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Lear Corporation</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0"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721" w:gutter="0" w:footer="0" w:header="0"/>
        </w:sectPr>
      </w:pPr>
    </w:p>
    <w:bookmarkStart w:id="1" w:name="page2"/>
    <w:bookmarkEnd w:id="1"/>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9"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2953385</wp:posOffset>
            </wp:positionH>
            <wp:positionV relativeFrom="page">
              <wp:posOffset>183515</wp:posOffset>
            </wp:positionV>
            <wp:extent cx="165544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55445" cy="462915"/>
                    </a:xfrm>
                    <a:prstGeom prst="rect">
                      <a:avLst/>
                    </a:prstGeom>
                    <a:noFill/>
                  </pic:spPr>
                </pic:pic>
              </a:graphicData>
            </a:graphic>
          </wp:anchor>
        </w:drawing>
        <w:t>21557 Telegraph Road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Southfield, Michigan 48033</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31, 2017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11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On behalf of the Board of Directors of Lear Corporation, you are cordially invited to attend the 2017 Annual Meeting of Stockholders (the “Annual Meeting”) to be held on May 18, 2017, at 9:00 a.m. (Eastern Time) at Lear Corporation’s Corporate Headquarters, 21557 Telegraph Road, Southfield, Michigan 48033.</w:t>
      </w:r>
    </w:p>
    <w:p>
      <w:pPr>
        <w:spacing w:after="0" w:line="8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We have included in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w:t>
      </w:r>
    </w:p>
    <w:p>
      <w:pPr>
        <w:spacing w:after="0" w:line="9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are delivering our proxy statement and annual report pursuant to the Securities and Exchange Commission rules that allow companies to furnish proxy materials to their stockholders over the Internet. We believe that this delivery method expedites stockholders’ receipt of proxy materials and lowers the cost and environmental impact of our Annual Meeting. On or about April 3, 2017, we will mail to our stockholders a notice containing instructions on how to access our proxy materials. In addition, the notice includes instructions on how you can receive a paper copy of our proxy materials.</w:t>
      </w:r>
    </w:p>
    <w:p>
      <w:pPr>
        <w:spacing w:after="0" w:line="95"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You are being asked at the Annual Meeting to elect directors named in this proxy statement, to ratify the retention of Ernst &amp; Young LLP as our independent registered public accounting firm, to provide an advisory vote to approve our executive compensation, to provide an advisory vote on the frequency of our advisory vote on executive compensation and to transact any other business properly brought before the meeting.</w:t>
      </w:r>
    </w:p>
    <w:p>
      <w:pPr>
        <w:spacing w:after="0" w:line="9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Whether or not you plan to attend the Annual Meeting, your vote is important, and we encourage you to vote promptly. You may vote your shares through one of the methods described in the enclosed proxy statement. </w:t>
      </w:r>
      <w:r>
        <w:rPr>
          <w:rFonts w:ascii="Arial" w:cs="Arial" w:eastAsia="Arial" w:hAnsi="Arial"/>
          <w:sz w:val="16"/>
          <w:szCs w:val="16"/>
          <w:b w:val="1"/>
          <w:bCs w:val="1"/>
          <w:color w:val="auto"/>
        </w:rPr>
        <w:t>We strongly urge you to read the accompanying proxy statement carefully and to vote FOR</w:t>
      </w:r>
      <w:r>
        <w:rPr>
          <w:rFonts w:ascii="Arial" w:cs="Arial" w:eastAsia="Arial" w:hAnsi="Arial"/>
          <w:sz w:val="16"/>
          <w:szCs w:val="16"/>
          <w:color w:val="auto"/>
        </w:rPr>
        <w:t xml:space="preserve"> </w:t>
      </w:r>
      <w:r>
        <w:rPr>
          <w:rFonts w:ascii="Arial" w:cs="Arial" w:eastAsia="Arial" w:hAnsi="Arial"/>
          <w:sz w:val="16"/>
          <w:szCs w:val="16"/>
          <w:b w:val="1"/>
          <w:bCs w:val="1"/>
          <w:color w:val="auto"/>
        </w:rPr>
        <w:t>the nominees proposed by the Board of Directors and in accordance with the recommendations of the Board of Directors on the other proposals by following the voting instructions contained in the proxy statement.</w:t>
      </w:r>
    </w:p>
    <w:p>
      <w:pPr>
        <w:spacing w:after="0" w:line="23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113665</wp:posOffset>
            </wp:positionV>
            <wp:extent cx="1209040"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9040" cy="46291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130810</wp:posOffset>
            </wp:positionV>
            <wp:extent cx="1466215" cy="454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454660"/>
                    </a:xfrm>
                    <a:prstGeom prst="rect">
                      <a:avLst/>
                    </a:prstGeom>
                    <a:noFill/>
                  </pic:spPr>
                </pic:pic>
              </a:graphicData>
            </a:graphic>
          </wp:anchor>
        </w:drawing>
      </w:r>
    </w:p>
    <w:p>
      <w:pPr>
        <w:sectPr>
          <w:pgSz w:w="11900" w:h="16838" w:orient="portrait"/>
          <w:cols w:equalWidth="0" w:num="1">
            <w:col w:w="11420"/>
          </w:cols>
          <w:pgMar w:left="240" w:top="1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Henry D.G. Wallace</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Matthew J. Simoncini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Chief Executive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Officer and Director</w:t>
      </w:r>
    </w:p>
    <w:p>
      <w:pPr>
        <w:spacing w:after="0" w:line="127" w:lineRule="exact"/>
        <w:rPr>
          <w:sz w:val="20"/>
          <w:szCs w:val="20"/>
          <w:color w:val="auto"/>
        </w:rPr>
      </w:pPr>
    </w:p>
    <w:p>
      <w:pPr>
        <w:sectPr>
          <w:pgSz w:w="11900" w:h="16838" w:orient="portrait"/>
          <w:cols w:equalWidth="0" w:num="2">
            <w:col w:w="5340" w:space="720"/>
            <w:col w:w="5360"/>
          </w:cols>
          <w:pgMar w:left="240" w:top="1127"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This proxy statement is dated March 31, 2017 and is first being made available to stockholders via the Internet on or about April 3, 2017.</w:t>
      </w:r>
    </w:p>
    <w:p>
      <w:pPr>
        <w:sectPr>
          <w:pgSz w:w="11900" w:h="16838" w:orient="portrait"/>
          <w:cols w:equalWidth="0" w:num="1">
            <w:col w:w="11420"/>
          </w:cols>
          <w:pgMar w:left="240" w:top="1127"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100" w:type="dxa"/>
            <w:vAlign w:val="bottom"/>
          </w:tcPr>
          <w:p>
            <w:pPr>
              <w:jc w:val="center"/>
              <w:ind w:right="2979"/>
              <w:spacing w:after="0"/>
              <w:rPr>
                <w:sz w:val="20"/>
                <w:szCs w:val="20"/>
                <w:color w:val="auto"/>
              </w:rPr>
            </w:pPr>
            <w:r>
              <w:rPr>
                <w:rFonts w:ascii="Arial" w:cs="Arial" w:eastAsia="Arial" w:hAnsi="Arial"/>
                <w:sz w:val="16"/>
                <w:szCs w:val="16"/>
                <w:color w:val="auto"/>
              </w:rPr>
              <w:t>21557 Telegraph Road</w:t>
            </w:r>
          </w:p>
        </w:tc>
      </w:tr>
      <w:tr>
        <w:trPr>
          <w:trHeight w:val="195"/>
        </w:trPr>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100" w:type="dxa"/>
            <w:vAlign w:val="bottom"/>
          </w:tcPr>
          <w:p>
            <w:pPr>
              <w:jc w:val="center"/>
              <w:ind w:right="2979"/>
              <w:spacing w:after="0"/>
              <w:rPr>
                <w:sz w:val="20"/>
                <w:szCs w:val="20"/>
                <w:color w:val="auto"/>
              </w:rPr>
            </w:pPr>
            <w:r>
              <w:rPr>
                <w:rFonts w:ascii="Arial" w:cs="Arial" w:eastAsia="Arial" w:hAnsi="Arial"/>
                <w:sz w:val="16"/>
                <w:szCs w:val="16"/>
                <w:color w:val="auto"/>
              </w:rPr>
              <w:t>Southfield, Michigan 48033</w:t>
            </w:r>
          </w:p>
        </w:tc>
      </w:tr>
      <w:tr>
        <w:trPr>
          <w:trHeight w:val="405"/>
        </w:trPr>
        <w:tc>
          <w:tcPr>
            <w:tcW w:w="2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00" w:type="dxa"/>
            <w:vAlign w:val="bottom"/>
          </w:tcPr>
          <w:p>
            <w:pPr>
              <w:jc w:val="center"/>
              <w:ind w:right="2999"/>
              <w:spacing w:after="0"/>
              <w:rPr>
                <w:sz w:val="20"/>
                <w:szCs w:val="20"/>
                <w:color w:val="auto"/>
              </w:rPr>
            </w:pPr>
            <w:r>
              <w:rPr>
                <w:rFonts w:ascii="Arial" w:cs="Arial" w:eastAsia="Arial" w:hAnsi="Arial"/>
                <w:sz w:val="16"/>
                <w:szCs w:val="16"/>
                <w:b w:val="1"/>
                <w:bCs w:val="1"/>
                <w:color w:val="auto"/>
              </w:rPr>
              <w:t>NOTICE OF ANNUAL MEETING OF STOCKHOLDERS</w:t>
            </w:r>
          </w:p>
        </w:tc>
      </w:tr>
      <w:tr>
        <w:trPr>
          <w:trHeight w:val="432"/>
        </w:trPr>
        <w:tc>
          <w:tcPr>
            <w:tcW w:w="2220" w:type="dxa"/>
            <w:vAlign w:val="bottom"/>
          </w:tcPr>
          <w:p>
            <w:pPr>
              <w:spacing w:after="0"/>
              <w:rPr>
                <w:sz w:val="20"/>
                <w:szCs w:val="20"/>
                <w:color w:val="auto"/>
              </w:rPr>
            </w:pPr>
            <w:r>
              <w:rPr>
                <w:rFonts w:ascii="Arial" w:cs="Arial" w:eastAsia="Arial" w:hAnsi="Arial"/>
                <w:sz w:val="16"/>
                <w:szCs w:val="16"/>
                <w:b w:val="1"/>
                <w:bCs w:val="1"/>
                <w:i w:val="1"/>
                <w:iCs w:val="1"/>
                <w:color w:val="auto"/>
              </w:rPr>
              <w:t>Time and Date:</w:t>
            </w:r>
          </w:p>
        </w:tc>
        <w:tc>
          <w:tcPr>
            <w:tcW w:w="9080" w:type="dxa"/>
            <w:vAlign w:val="bottom"/>
            <w:gridSpan w:val="2"/>
          </w:tcPr>
          <w:p>
            <w:pPr>
              <w:ind w:left="760"/>
              <w:spacing w:after="0"/>
              <w:rPr>
                <w:sz w:val="20"/>
                <w:szCs w:val="20"/>
                <w:color w:val="auto"/>
              </w:rPr>
            </w:pPr>
            <w:r>
              <w:rPr>
                <w:rFonts w:ascii="Arial" w:cs="Arial" w:eastAsia="Arial" w:hAnsi="Arial"/>
                <w:sz w:val="16"/>
                <w:szCs w:val="16"/>
                <w:color w:val="auto"/>
              </w:rPr>
              <w:t>Thursday, May 18, 2017 at 9:00 a.m. (Eastern Time)</w:t>
            </w:r>
          </w:p>
        </w:tc>
      </w:tr>
      <w:tr>
        <w:trPr>
          <w:trHeight w:val="297"/>
        </w:trPr>
        <w:tc>
          <w:tcPr>
            <w:tcW w:w="2220" w:type="dxa"/>
            <w:vAlign w:val="bottom"/>
          </w:tcPr>
          <w:p>
            <w:pPr>
              <w:spacing w:after="0"/>
              <w:rPr>
                <w:sz w:val="20"/>
                <w:szCs w:val="20"/>
                <w:color w:val="auto"/>
              </w:rPr>
            </w:pPr>
            <w:r>
              <w:rPr>
                <w:rFonts w:ascii="Arial" w:cs="Arial" w:eastAsia="Arial" w:hAnsi="Arial"/>
                <w:sz w:val="16"/>
                <w:szCs w:val="16"/>
                <w:b w:val="1"/>
                <w:bCs w:val="1"/>
                <w:i w:val="1"/>
                <w:iCs w:val="1"/>
                <w:color w:val="auto"/>
              </w:rPr>
              <w:t>Place:</w:t>
            </w:r>
          </w:p>
        </w:tc>
        <w:tc>
          <w:tcPr>
            <w:tcW w:w="9080" w:type="dxa"/>
            <w:vAlign w:val="bottom"/>
            <w:gridSpan w:val="2"/>
          </w:tcPr>
          <w:p>
            <w:pPr>
              <w:ind w:left="760"/>
              <w:spacing w:after="0"/>
              <w:rPr>
                <w:sz w:val="20"/>
                <w:szCs w:val="20"/>
                <w:color w:val="auto"/>
              </w:rPr>
            </w:pPr>
            <w:r>
              <w:rPr>
                <w:rFonts w:ascii="Arial" w:cs="Arial" w:eastAsia="Arial" w:hAnsi="Arial"/>
                <w:sz w:val="16"/>
                <w:szCs w:val="16"/>
                <w:color w:val="auto"/>
              </w:rPr>
              <w:t>Lear Corporation’s Corporate Headquarters</w:t>
            </w:r>
          </w:p>
        </w:tc>
      </w:tr>
      <w:tr>
        <w:trPr>
          <w:trHeight w:val="311"/>
        </w:trPr>
        <w:tc>
          <w:tcPr>
            <w:tcW w:w="2220" w:type="dxa"/>
            <w:vAlign w:val="bottom"/>
          </w:tcPr>
          <w:p>
            <w:pPr>
              <w:spacing w:after="0"/>
              <w:rPr>
                <w:sz w:val="24"/>
                <w:szCs w:val="24"/>
                <w:color w:val="auto"/>
              </w:rPr>
            </w:pPr>
          </w:p>
        </w:tc>
        <w:tc>
          <w:tcPr>
            <w:tcW w:w="9080" w:type="dxa"/>
            <w:vAlign w:val="bottom"/>
            <w:gridSpan w:val="2"/>
          </w:tcPr>
          <w:p>
            <w:pPr>
              <w:ind w:left="760"/>
              <w:spacing w:after="0"/>
              <w:rPr>
                <w:sz w:val="20"/>
                <w:szCs w:val="20"/>
                <w:color w:val="auto"/>
              </w:rPr>
            </w:pPr>
            <w:r>
              <w:rPr>
                <w:rFonts w:ascii="Arial" w:cs="Arial" w:eastAsia="Arial" w:hAnsi="Arial"/>
                <w:sz w:val="16"/>
                <w:szCs w:val="16"/>
                <w:color w:val="auto"/>
              </w:rPr>
              <w:t>21557 Telegraph Road</w:t>
            </w:r>
          </w:p>
        </w:tc>
      </w:tr>
      <w:tr>
        <w:trPr>
          <w:trHeight w:val="311"/>
        </w:trPr>
        <w:tc>
          <w:tcPr>
            <w:tcW w:w="2220" w:type="dxa"/>
            <w:vAlign w:val="bottom"/>
          </w:tcPr>
          <w:p>
            <w:pPr>
              <w:spacing w:after="0"/>
              <w:rPr>
                <w:sz w:val="24"/>
                <w:szCs w:val="24"/>
                <w:color w:val="auto"/>
              </w:rPr>
            </w:pPr>
          </w:p>
        </w:tc>
        <w:tc>
          <w:tcPr>
            <w:tcW w:w="9080" w:type="dxa"/>
            <w:vAlign w:val="bottom"/>
            <w:gridSpan w:val="2"/>
          </w:tcPr>
          <w:p>
            <w:pPr>
              <w:ind w:left="760"/>
              <w:spacing w:after="0"/>
              <w:rPr>
                <w:sz w:val="20"/>
                <w:szCs w:val="20"/>
                <w:color w:val="auto"/>
              </w:rPr>
            </w:pPr>
            <w:r>
              <w:rPr>
                <w:rFonts w:ascii="Arial" w:cs="Arial" w:eastAsia="Arial" w:hAnsi="Arial"/>
                <w:sz w:val="16"/>
                <w:szCs w:val="16"/>
                <w:color w:val="auto"/>
              </w:rPr>
              <w:t>Southfield, Michigan 48033</w:t>
            </w:r>
          </w:p>
        </w:tc>
      </w:tr>
      <w:tr>
        <w:trPr>
          <w:trHeight w:val="311"/>
        </w:trPr>
        <w:tc>
          <w:tcPr>
            <w:tcW w:w="2220" w:type="dxa"/>
            <w:vAlign w:val="bottom"/>
          </w:tcPr>
          <w:p>
            <w:pPr>
              <w:spacing w:after="0"/>
              <w:rPr>
                <w:sz w:val="20"/>
                <w:szCs w:val="20"/>
                <w:color w:val="auto"/>
              </w:rPr>
            </w:pPr>
            <w:r>
              <w:rPr>
                <w:rFonts w:ascii="Arial" w:cs="Arial" w:eastAsia="Arial" w:hAnsi="Arial"/>
                <w:sz w:val="16"/>
                <w:szCs w:val="16"/>
                <w:b w:val="1"/>
                <w:bCs w:val="1"/>
                <w:i w:val="1"/>
                <w:iCs w:val="1"/>
                <w:color w:val="auto"/>
              </w:rPr>
              <w:t>Record Date:</w:t>
            </w:r>
          </w:p>
        </w:tc>
        <w:tc>
          <w:tcPr>
            <w:tcW w:w="9080" w:type="dxa"/>
            <w:vAlign w:val="bottom"/>
            <w:gridSpan w:val="2"/>
          </w:tcPr>
          <w:p>
            <w:pPr>
              <w:ind w:left="760"/>
              <w:spacing w:after="0"/>
              <w:rPr>
                <w:sz w:val="20"/>
                <w:szCs w:val="20"/>
                <w:color w:val="auto"/>
              </w:rPr>
            </w:pPr>
            <w:r>
              <w:rPr>
                <w:rFonts w:ascii="Arial" w:cs="Arial" w:eastAsia="Arial" w:hAnsi="Arial"/>
                <w:sz w:val="16"/>
                <w:szCs w:val="16"/>
                <w:color w:val="auto"/>
              </w:rPr>
              <w:t>March 23, 2017</w:t>
            </w:r>
          </w:p>
        </w:tc>
      </w:tr>
      <w:tr>
        <w:trPr>
          <w:trHeight w:val="292"/>
        </w:trPr>
        <w:tc>
          <w:tcPr>
            <w:tcW w:w="2220" w:type="dxa"/>
            <w:vAlign w:val="bottom"/>
          </w:tcPr>
          <w:p>
            <w:pPr>
              <w:spacing w:after="0"/>
              <w:rPr>
                <w:sz w:val="20"/>
                <w:szCs w:val="20"/>
                <w:color w:val="auto"/>
              </w:rPr>
            </w:pPr>
            <w:r>
              <w:rPr>
                <w:rFonts w:ascii="Arial" w:cs="Arial" w:eastAsia="Arial" w:hAnsi="Arial"/>
                <w:sz w:val="16"/>
                <w:szCs w:val="16"/>
                <w:b w:val="1"/>
                <w:bCs w:val="1"/>
                <w:i w:val="1"/>
                <w:iCs w:val="1"/>
                <w:color w:val="auto"/>
              </w:rPr>
              <w:t>Items of Business:</w:t>
            </w:r>
          </w:p>
        </w:tc>
        <w:tc>
          <w:tcPr>
            <w:tcW w:w="980" w:type="dxa"/>
            <w:vAlign w:val="bottom"/>
          </w:tcPr>
          <w:p>
            <w:pPr>
              <w:ind w:left="760"/>
              <w:spacing w:after="0"/>
              <w:rPr>
                <w:sz w:val="20"/>
                <w:szCs w:val="20"/>
                <w:color w:val="auto"/>
              </w:rPr>
            </w:pPr>
            <w:r>
              <w:rPr>
                <w:rFonts w:ascii="Arial" w:cs="Arial" w:eastAsia="Arial" w:hAnsi="Arial"/>
                <w:sz w:val="16"/>
                <w:szCs w:val="16"/>
                <w:color w:val="auto"/>
              </w:rPr>
              <w:t>1.</w:t>
            </w:r>
          </w:p>
        </w:tc>
        <w:tc>
          <w:tcPr>
            <w:tcW w:w="8100" w:type="dxa"/>
            <w:vAlign w:val="bottom"/>
          </w:tcPr>
          <w:p>
            <w:pPr>
              <w:ind w:left="100"/>
              <w:spacing w:after="0"/>
              <w:rPr>
                <w:sz w:val="20"/>
                <w:szCs w:val="20"/>
                <w:color w:val="auto"/>
              </w:rPr>
            </w:pPr>
            <w:r>
              <w:rPr>
                <w:rFonts w:ascii="Arial" w:cs="Arial" w:eastAsia="Arial" w:hAnsi="Arial"/>
                <w:sz w:val="16"/>
                <w:szCs w:val="16"/>
                <w:color w:val="auto"/>
              </w:rPr>
              <w:t>To elect the following ten nominees to the Board of Directors: Richard H. Bott, Thomas P. Capo, Jonathan F.</w:t>
            </w:r>
          </w:p>
        </w:tc>
      </w:tr>
      <w:tr>
        <w:trPr>
          <w:trHeight w:val="189"/>
        </w:trPr>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100" w:type="dxa"/>
            <w:vAlign w:val="bottom"/>
          </w:tcPr>
          <w:p>
            <w:pPr>
              <w:ind w:left="100"/>
              <w:spacing w:after="0"/>
              <w:rPr>
                <w:sz w:val="20"/>
                <w:szCs w:val="20"/>
                <w:color w:val="auto"/>
              </w:rPr>
            </w:pPr>
            <w:r>
              <w:rPr>
                <w:rFonts w:ascii="Arial" w:cs="Arial" w:eastAsia="Arial" w:hAnsi="Arial"/>
                <w:sz w:val="16"/>
                <w:szCs w:val="16"/>
                <w:color w:val="auto"/>
              </w:rPr>
              <w:t>Foster, Mary Lou Jepsen, Kathleen A. Ligocki, Conrad L. Mallett, Jr., Donald L. Runkle, Matthew J. Simoncini,</w:t>
            </w:r>
          </w:p>
        </w:tc>
      </w:tr>
      <w:tr>
        <w:trPr>
          <w:trHeight w:val="189"/>
        </w:trPr>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100" w:type="dxa"/>
            <w:vAlign w:val="bottom"/>
          </w:tcPr>
          <w:p>
            <w:pPr>
              <w:ind w:left="100"/>
              <w:spacing w:after="0"/>
              <w:rPr>
                <w:sz w:val="20"/>
                <w:szCs w:val="20"/>
                <w:color w:val="auto"/>
              </w:rPr>
            </w:pPr>
            <w:r>
              <w:rPr>
                <w:rFonts w:ascii="Arial" w:cs="Arial" w:eastAsia="Arial" w:hAnsi="Arial"/>
                <w:sz w:val="16"/>
                <w:szCs w:val="16"/>
                <w:color w:val="auto"/>
              </w:rPr>
              <w:t>Gregory C. Smith and Henry D.G. Wallace;</w:t>
            </w:r>
          </w:p>
        </w:tc>
      </w:tr>
      <w:tr>
        <w:trPr>
          <w:trHeight w:val="189"/>
        </w:trPr>
        <w:tc>
          <w:tcPr>
            <w:tcW w:w="222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2.</w:t>
            </w:r>
          </w:p>
        </w:tc>
        <w:tc>
          <w:tcPr>
            <w:tcW w:w="8100" w:type="dxa"/>
            <w:vAlign w:val="bottom"/>
          </w:tcPr>
          <w:p>
            <w:pPr>
              <w:ind w:left="100"/>
              <w:spacing w:after="0"/>
              <w:rPr>
                <w:sz w:val="20"/>
                <w:szCs w:val="20"/>
                <w:color w:val="auto"/>
              </w:rPr>
            </w:pPr>
            <w:r>
              <w:rPr>
                <w:rFonts w:ascii="Arial" w:cs="Arial" w:eastAsia="Arial" w:hAnsi="Arial"/>
                <w:sz w:val="16"/>
                <w:szCs w:val="16"/>
                <w:color w:val="auto"/>
              </w:rPr>
              <w:t>To ratify the retention of Ernst &amp; Young LLP as the Company’s registered public accounting firm for 2017;</w:t>
            </w:r>
          </w:p>
        </w:tc>
      </w:tr>
      <w:tr>
        <w:trPr>
          <w:trHeight w:val="189"/>
        </w:trPr>
        <w:tc>
          <w:tcPr>
            <w:tcW w:w="222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3.</w:t>
            </w:r>
          </w:p>
        </w:tc>
        <w:tc>
          <w:tcPr>
            <w:tcW w:w="8100" w:type="dxa"/>
            <w:vAlign w:val="bottom"/>
          </w:tcPr>
          <w:p>
            <w:pPr>
              <w:ind w:left="100"/>
              <w:spacing w:after="0"/>
              <w:rPr>
                <w:sz w:val="20"/>
                <w:szCs w:val="20"/>
                <w:color w:val="auto"/>
              </w:rPr>
            </w:pPr>
            <w:r>
              <w:rPr>
                <w:rFonts w:ascii="Arial" w:cs="Arial" w:eastAsia="Arial" w:hAnsi="Arial"/>
                <w:sz w:val="16"/>
                <w:szCs w:val="16"/>
                <w:color w:val="auto"/>
              </w:rPr>
              <w:t>To approve, in a non-binding advisory vote, executive compensation;</w:t>
            </w:r>
          </w:p>
        </w:tc>
      </w:tr>
      <w:tr>
        <w:trPr>
          <w:trHeight w:val="189"/>
        </w:trPr>
        <w:tc>
          <w:tcPr>
            <w:tcW w:w="222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4.</w:t>
            </w:r>
          </w:p>
        </w:tc>
        <w:tc>
          <w:tcPr>
            <w:tcW w:w="8100" w:type="dxa"/>
            <w:vAlign w:val="bottom"/>
          </w:tcPr>
          <w:p>
            <w:pPr>
              <w:ind w:left="100"/>
              <w:spacing w:after="0"/>
              <w:rPr>
                <w:sz w:val="20"/>
                <w:szCs w:val="20"/>
                <w:color w:val="auto"/>
              </w:rPr>
            </w:pPr>
            <w:r>
              <w:rPr>
                <w:rFonts w:ascii="Arial" w:cs="Arial" w:eastAsia="Arial" w:hAnsi="Arial"/>
                <w:sz w:val="16"/>
                <w:szCs w:val="16"/>
                <w:color w:val="auto"/>
              </w:rPr>
              <w:t>To approve, in a non-binding advisory vote, the frequency of the advisory vote on executive compensation; and</w:t>
            </w:r>
          </w:p>
        </w:tc>
      </w:tr>
      <w:tr>
        <w:trPr>
          <w:trHeight w:val="195"/>
        </w:trPr>
        <w:tc>
          <w:tcPr>
            <w:tcW w:w="2220" w:type="dxa"/>
            <w:vAlign w:val="bottom"/>
          </w:tcPr>
          <w:p>
            <w:pPr>
              <w:spacing w:after="0"/>
              <w:rPr>
                <w:sz w:val="16"/>
                <w:szCs w:val="16"/>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5.</w:t>
            </w:r>
          </w:p>
        </w:tc>
        <w:tc>
          <w:tcPr>
            <w:tcW w:w="8100" w:type="dxa"/>
            <w:vAlign w:val="bottom"/>
          </w:tcPr>
          <w:p>
            <w:pPr>
              <w:ind w:left="100"/>
              <w:spacing w:after="0"/>
              <w:rPr>
                <w:sz w:val="20"/>
                <w:szCs w:val="20"/>
                <w:color w:val="auto"/>
              </w:rPr>
            </w:pPr>
            <w:r>
              <w:rPr>
                <w:rFonts w:ascii="Arial" w:cs="Arial" w:eastAsia="Arial" w:hAnsi="Arial"/>
                <w:sz w:val="16"/>
                <w:szCs w:val="16"/>
                <w:color w:val="auto"/>
              </w:rPr>
              <w:t>To conduct any other business properly brought before the Annual Meeting or any postponement thereof.</w:t>
            </w:r>
          </w:p>
        </w:tc>
      </w:tr>
      <w:tr>
        <w:trPr>
          <w:trHeight w:val="299"/>
        </w:trPr>
        <w:tc>
          <w:tcPr>
            <w:tcW w:w="2220" w:type="dxa"/>
            <w:vAlign w:val="bottom"/>
          </w:tcPr>
          <w:p>
            <w:pPr>
              <w:spacing w:after="0"/>
              <w:rPr>
                <w:sz w:val="20"/>
                <w:szCs w:val="20"/>
                <w:color w:val="auto"/>
              </w:rPr>
            </w:pPr>
            <w:r>
              <w:rPr>
                <w:rFonts w:ascii="Arial" w:cs="Arial" w:eastAsia="Arial" w:hAnsi="Arial"/>
                <w:sz w:val="16"/>
                <w:szCs w:val="16"/>
                <w:b w:val="1"/>
                <w:bCs w:val="1"/>
                <w:i w:val="1"/>
                <w:iCs w:val="1"/>
                <w:color w:val="auto"/>
              </w:rPr>
              <w:t>Proxy Voting:</w:t>
            </w:r>
          </w:p>
        </w:tc>
        <w:tc>
          <w:tcPr>
            <w:tcW w:w="9080" w:type="dxa"/>
            <w:vAlign w:val="bottom"/>
            <w:gridSpan w:val="2"/>
          </w:tcPr>
          <w:p>
            <w:pPr>
              <w:ind w:left="760"/>
              <w:spacing w:after="0"/>
              <w:rPr>
                <w:sz w:val="20"/>
                <w:szCs w:val="20"/>
                <w:color w:val="auto"/>
              </w:rPr>
            </w:pPr>
            <w:r>
              <w:rPr>
                <w:rFonts w:ascii="Arial" w:cs="Arial" w:eastAsia="Arial" w:hAnsi="Arial"/>
                <w:sz w:val="16"/>
                <w:szCs w:val="16"/>
                <w:b w:val="1"/>
                <w:bCs w:val="1"/>
                <w:color w:val="auto"/>
              </w:rPr>
              <w:t>YOUR VOTE IS IMPORTANT. WHETHER OR NOT YOU PLAN TO ATTEND THE ANNUAL MEETING, PLEASE</w:t>
            </w:r>
          </w:p>
        </w:tc>
      </w:tr>
      <w:tr>
        <w:trPr>
          <w:trHeight w:val="209"/>
        </w:trPr>
        <w:tc>
          <w:tcPr>
            <w:tcW w:w="2220" w:type="dxa"/>
            <w:vAlign w:val="bottom"/>
          </w:tcPr>
          <w:p>
            <w:pPr>
              <w:spacing w:after="0"/>
              <w:rPr>
                <w:sz w:val="18"/>
                <w:szCs w:val="18"/>
                <w:color w:val="auto"/>
              </w:rPr>
            </w:pPr>
          </w:p>
        </w:tc>
        <w:tc>
          <w:tcPr>
            <w:tcW w:w="9080" w:type="dxa"/>
            <w:vAlign w:val="bottom"/>
            <w:gridSpan w:val="2"/>
          </w:tcPr>
          <w:p>
            <w:pPr>
              <w:ind w:left="760"/>
              <w:spacing w:after="0"/>
              <w:rPr>
                <w:sz w:val="20"/>
                <w:szCs w:val="20"/>
                <w:color w:val="auto"/>
              </w:rPr>
            </w:pPr>
            <w:r>
              <w:rPr>
                <w:rFonts w:ascii="Arial" w:cs="Arial" w:eastAsia="Arial" w:hAnsi="Arial"/>
                <w:sz w:val="16"/>
                <w:szCs w:val="16"/>
                <w:b w:val="1"/>
                <w:bCs w:val="1"/>
                <w:color w:val="auto"/>
              </w:rPr>
              <w:t>VOTE YOUR SHARES OVER THE TELEPHONE, VIA THE INTERNET OR BY COMPLETING, DATING, SIGNING</w:t>
            </w:r>
          </w:p>
        </w:tc>
      </w:tr>
    </w:tbl>
    <w:p>
      <w:pPr>
        <w:ind w:left="2980" w:right="880"/>
        <w:spacing w:after="0" w:line="26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2953385</wp:posOffset>
            </wp:positionH>
            <wp:positionV relativeFrom="page">
              <wp:posOffset>183515</wp:posOffset>
            </wp:positionV>
            <wp:extent cx="1655445"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55445" cy="462915"/>
                    </a:xfrm>
                    <a:prstGeom prst="rect">
                      <a:avLst/>
                    </a:prstGeom>
                    <a:noFill/>
                  </pic:spPr>
                </pic:pic>
              </a:graphicData>
            </a:graphic>
          </wp:anchor>
        </w:drawing>
        <w:t>AND RETURNING A PROXY CARD, AS DESCRIBED IN THE PROXY STATEMENT. YOUR PROMPT COOPERATION IS GREATLY APPRECIATED.</w:t>
      </w:r>
    </w:p>
    <w:p>
      <w:pPr>
        <w:spacing w:after="0" w:line="2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113665</wp:posOffset>
            </wp:positionV>
            <wp:extent cx="1800860" cy="488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08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Terrence B. Larkin</w:t>
      </w:r>
    </w:p>
    <w:p>
      <w:pPr>
        <w:spacing w:after="0" w:line="5" w:lineRule="exact"/>
        <w:rPr>
          <w:sz w:val="20"/>
          <w:szCs w:val="20"/>
          <w:color w:val="auto"/>
        </w:rPr>
      </w:pPr>
    </w:p>
    <w:p>
      <w:pPr>
        <w:ind w:left="6280"/>
        <w:spacing w:after="0"/>
        <w:rPr>
          <w:sz w:val="20"/>
          <w:szCs w:val="20"/>
          <w:color w:val="auto"/>
        </w:rPr>
      </w:pPr>
      <w:r>
        <w:rPr>
          <w:rFonts w:ascii="Arial" w:cs="Arial" w:eastAsia="Arial" w:hAnsi="Arial"/>
          <w:sz w:val="16"/>
          <w:szCs w:val="16"/>
          <w:i w:val="1"/>
          <w:iCs w:val="1"/>
          <w:color w:val="auto"/>
        </w:rPr>
        <w:t>Executive Vice President, Business Development,</w:t>
      </w:r>
    </w:p>
    <w:p>
      <w:pPr>
        <w:spacing w:after="0" w:line="5" w:lineRule="exact"/>
        <w:rPr>
          <w:sz w:val="20"/>
          <w:szCs w:val="20"/>
          <w:color w:val="auto"/>
        </w:rPr>
      </w:pPr>
    </w:p>
    <w:p>
      <w:pPr>
        <w:ind w:left="6280"/>
        <w:spacing w:after="0"/>
        <w:rPr>
          <w:sz w:val="20"/>
          <w:szCs w:val="20"/>
          <w:color w:val="auto"/>
        </w:rPr>
      </w:pPr>
      <w:r>
        <w:rPr>
          <w:rFonts w:ascii="Arial" w:cs="Arial" w:eastAsia="Arial" w:hAnsi="Arial"/>
          <w:sz w:val="16"/>
          <w:szCs w:val="16"/>
          <w:i w:val="1"/>
          <w:iCs w:val="1"/>
          <w:color w:val="auto"/>
        </w:rPr>
        <w:t>General Counsel and Corporate Secretary</w:t>
      </w:r>
    </w:p>
    <w:p>
      <w:pPr>
        <w:spacing w:after="0" w:line="5"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67575" cy="749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749935"/>
                    </a:xfrm>
                    <a:prstGeom prst="rect">
                      <a:avLst/>
                    </a:prstGeom>
                    <a:noFill/>
                  </pic:spPr>
                </pic:pic>
              </a:graphicData>
            </a:graphic>
          </wp:anchor>
        </w:drawing>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Notice of Internet Availability of Proxy Materials</w:t>
      </w:r>
    </w:p>
    <w:p>
      <w:pPr>
        <w:spacing w:after="0" w:line="133" w:lineRule="exact"/>
        <w:rPr>
          <w:sz w:val="20"/>
          <w:szCs w:val="20"/>
          <w:color w:val="auto"/>
        </w:rPr>
      </w:pPr>
    </w:p>
    <w:p>
      <w:pPr>
        <w:ind w:left="140" w:right="80"/>
        <w:spacing w:after="0" w:line="251" w:lineRule="auto"/>
        <w:rPr>
          <w:sz w:val="20"/>
          <w:szCs w:val="20"/>
          <w:color w:val="auto"/>
        </w:rPr>
      </w:pPr>
      <w:r>
        <w:rPr>
          <w:rFonts w:ascii="Arial" w:cs="Arial" w:eastAsia="Arial" w:hAnsi="Arial"/>
          <w:sz w:val="16"/>
          <w:szCs w:val="16"/>
          <w:color w:val="auto"/>
        </w:rPr>
        <w:t>We are making this proxy statement and our annual report available to stockholders electronically via the Internet. On or about April 3, 2017, we will mail to most of our stockholders a notice containing instructions on how to access this proxy statement and our annual report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April 3, 2017.</w:t>
      </w:r>
    </w:p>
    <w:p>
      <w:pPr>
        <w:sectPr>
          <w:pgSz w:w="11900" w:h="16838" w:orient="portrait"/>
          <w:cols w:equalWidth="0" w:num="1">
            <w:col w:w="11300"/>
          </w:cols>
          <w:pgMar w:left="240" w:top="1127" w:right="35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E2231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900" w:type="dxa"/>
            <w:vAlign w:val="bottom"/>
            <w:gridSpan w:val="23"/>
          </w:tcPr>
          <w:p>
            <w:pPr>
              <w:spacing w:after="0"/>
              <w:rPr>
                <w:rFonts w:ascii="Arial" w:cs="Arial" w:eastAsia="Arial" w:hAnsi="Arial"/>
                <w:sz w:val="19"/>
                <w:szCs w:val="19"/>
                <w:b w:val="1"/>
                <w:bCs w:val="1"/>
                <w:color w:val="0000EE"/>
              </w:rPr>
            </w:pPr>
            <w:hyperlink w:anchor="page7">
              <w:r>
                <w:rPr>
                  <w:rFonts w:ascii="Arial" w:cs="Arial" w:eastAsia="Arial" w:hAnsi="Arial"/>
                  <w:sz w:val="19"/>
                  <w:szCs w:val="19"/>
                  <w:b w:val="1"/>
                  <w:bCs w:val="1"/>
                  <w:color w:val="0000EE"/>
                </w:rPr>
                <w:t>QUESTIONS AND ANSWERS ABOUT THE ANNUAL</w:t>
              </w:r>
            </w:hyperlink>
          </w:p>
        </w:tc>
        <w:tc>
          <w:tcPr>
            <w:tcW w:w="560" w:type="dxa"/>
            <w:vAlign w:val="bottom"/>
            <w:vMerge w:val="restart"/>
          </w:tcPr>
          <w:p>
            <w:pPr>
              <w:jc w:val="right"/>
              <w:ind w:right="69"/>
              <w:spacing w:after="0"/>
              <w:rPr>
                <w:sz w:val="20"/>
                <w:szCs w:val="20"/>
                <w:color w:val="auto"/>
              </w:rPr>
            </w:pPr>
            <w:r>
              <w:rPr>
                <w:rFonts w:ascii="Arial" w:cs="Arial" w:eastAsia="Arial" w:hAnsi="Arial"/>
                <w:sz w:val="19"/>
                <w:szCs w:val="19"/>
                <w:b w:val="1"/>
                <w:bCs w:val="1"/>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20" w:type="dxa"/>
            <w:vAlign w:val="bottom"/>
            <w:tcBorders>
              <w:top w:val="single" w:sz="8" w:color="0000EE"/>
            </w:tcBorders>
            <w:gridSpan w:val="19"/>
          </w:tcPr>
          <w:p>
            <w:pPr>
              <w:spacing w:after="0" w:line="196" w:lineRule="exact"/>
              <w:rPr>
                <w:rFonts w:ascii="Arial" w:cs="Arial" w:eastAsia="Arial" w:hAnsi="Arial"/>
                <w:sz w:val="19"/>
                <w:szCs w:val="19"/>
                <w:b w:val="1"/>
                <w:bCs w:val="1"/>
                <w:color w:val="0000EE"/>
              </w:rPr>
            </w:pPr>
            <w:hyperlink w:anchor="page7">
              <w:r>
                <w:rPr>
                  <w:rFonts w:ascii="Arial" w:cs="Arial" w:eastAsia="Arial" w:hAnsi="Arial"/>
                  <w:sz w:val="19"/>
                  <w:szCs w:val="19"/>
                  <w:b w:val="1"/>
                  <w:bCs w:val="1"/>
                  <w:color w:val="0000EE"/>
                </w:rPr>
                <w:t>MEETING</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900" w:type="dxa"/>
            <w:vAlign w:val="bottom"/>
            <w:gridSpan w:val="23"/>
          </w:tcPr>
          <w:p>
            <w:pPr>
              <w:spacing w:after="0"/>
              <w:rPr>
                <w:rFonts w:ascii="Arial" w:cs="Arial" w:eastAsia="Arial" w:hAnsi="Arial"/>
                <w:sz w:val="19"/>
                <w:szCs w:val="19"/>
                <w:b w:val="1"/>
                <w:bCs w:val="1"/>
                <w:color w:val="0000EE"/>
              </w:rPr>
            </w:pPr>
            <w:hyperlink w:anchor="page12">
              <w:r>
                <w:rPr>
                  <w:rFonts w:ascii="Arial" w:cs="Arial" w:eastAsia="Arial" w:hAnsi="Arial"/>
                  <w:sz w:val="19"/>
                  <w:szCs w:val="19"/>
                  <w:b w:val="1"/>
                  <w:bCs w:val="1"/>
                  <w:color w:val="0000EE"/>
                </w:rPr>
                <w:t>ELECTION OF DIRECTORS</w:t>
              </w:r>
            </w:hyperlink>
          </w:p>
        </w:tc>
        <w:tc>
          <w:tcPr>
            <w:tcW w:w="560" w:type="dxa"/>
            <w:vAlign w:val="bottom"/>
            <w:vMerge w:val="restart"/>
          </w:tcPr>
          <w:p>
            <w:pPr>
              <w:jc w:val="right"/>
              <w:ind w:right="69"/>
              <w:spacing w:after="0"/>
              <w:rPr>
                <w:sz w:val="20"/>
                <w:szCs w:val="20"/>
                <w:color w:val="auto"/>
              </w:rPr>
            </w:pPr>
            <w:r>
              <w:rPr>
                <w:rFonts w:ascii="Arial" w:cs="Arial" w:eastAsia="Arial" w:hAnsi="Arial"/>
                <w:sz w:val="19"/>
                <w:szCs w:val="19"/>
                <w:b w:val="1"/>
                <w:bCs w:val="1"/>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gridSpan w:val="9"/>
          </w:tcPr>
          <w:p>
            <w:pPr>
              <w:spacing w:after="0" w:line="196" w:lineRule="exact"/>
              <w:rPr>
                <w:rFonts w:ascii="Arial" w:cs="Arial" w:eastAsia="Arial" w:hAnsi="Arial"/>
                <w:sz w:val="19"/>
                <w:szCs w:val="19"/>
                <w:b w:val="1"/>
                <w:bCs w:val="1"/>
                <w:color w:val="0000EE"/>
              </w:rPr>
            </w:pPr>
            <w:hyperlink w:anchor="page12">
              <w:r>
                <w:rPr>
                  <w:rFonts w:ascii="Arial" w:cs="Arial" w:eastAsia="Arial" w:hAnsi="Arial"/>
                  <w:sz w:val="19"/>
                  <w:szCs w:val="19"/>
                  <w:b w:val="1"/>
                  <w:bCs w:val="1"/>
                  <w:color w:val="0000EE"/>
                </w:rPr>
                <w:t>(PROPOSAL NO. 1)</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900" w:type="dxa"/>
            <w:vAlign w:val="bottom"/>
            <w:gridSpan w:val="23"/>
          </w:tcPr>
          <w:p>
            <w:pPr>
              <w:spacing w:after="0"/>
              <w:rPr>
                <w:rFonts w:ascii="Arial" w:cs="Arial" w:eastAsia="Arial" w:hAnsi="Arial"/>
                <w:sz w:val="19"/>
                <w:szCs w:val="19"/>
                <w:b w:val="1"/>
                <w:bCs w:val="1"/>
                <w:color w:val="0000EE"/>
              </w:rPr>
            </w:pPr>
            <w:hyperlink w:anchor="page13">
              <w:r>
                <w:rPr>
                  <w:rFonts w:ascii="Arial" w:cs="Arial" w:eastAsia="Arial" w:hAnsi="Arial"/>
                  <w:sz w:val="19"/>
                  <w:szCs w:val="19"/>
                  <w:b w:val="1"/>
                  <w:bCs w:val="1"/>
                  <w:color w:val="0000EE"/>
                </w:rPr>
                <w:t>DIRECTORS AND CORPORATE GOVERNANCE</w:t>
              </w:r>
            </w:hyperlink>
          </w:p>
        </w:tc>
        <w:tc>
          <w:tcPr>
            <w:tcW w:w="560" w:type="dxa"/>
            <w:vAlign w:val="bottom"/>
          </w:tcPr>
          <w:p>
            <w:pPr>
              <w:jc w:val="right"/>
              <w:ind w:right="69"/>
              <w:spacing w:after="0"/>
              <w:rPr>
                <w:sz w:val="20"/>
                <w:szCs w:val="20"/>
                <w:color w:val="auto"/>
              </w:rPr>
            </w:pPr>
            <w:r>
              <w:rPr>
                <w:rFonts w:ascii="Arial" w:cs="Arial" w:eastAsia="Arial" w:hAnsi="Arial"/>
                <w:sz w:val="19"/>
                <w:szCs w:val="19"/>
                <w:b w:val="1"/>
                <w:bCs w:val="1"/>
                <w:color w:val="auto"/>
              </w:rPr>
              <w:t>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tcBorders>
              <w:bottom w:val="single" w:sz="8" w:color="0000EE"/>
            </w:tcBorders>
            <w:gridSpan w:val="16"/>
          </w:tcPr>
          <w:p>
            <w:pPr>
              <w:spacing w:after="0" w:line="15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Director Biographical Information and Qualifications</w:t>
              </w:r>
            </w:hyperlink>
          </w:p>
        </w:tc>
        <w:tc>
          <w:tcPr>
            <w:tcW w:w="800" w:type="dxa"/>
            <w:vAlign w:val="bottom"/>
            <w:gridSpan w:val="7"/>
          </w:tcPr>
          <w:p>
            <w:pPr>
              <w:spacing w:after="0"/>
              <w:rPr>
                <w:sz w:val="13"/>
                <w:szCs w:val="13"/>
                <w:color w:val="auto"/>
              </w:rPr>
            </w:pPr>
          </w:p>
        </w:tc>
        <w:tc>
          <w:tcPr>
            <w:tcW w:w="560" w:type="dxa"/>
            <w:vAlign w:val="bottom"/>
          </w:tcPr>
          <w:p>
            <w:pPr>
              <w:jc w:val="right"/>
              <w:ind w:right="69"/>
              <w:spacing w:after="0" w:line="15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Criteria for Selection of Directors</w:t>
              </w:r>
            </w:hyperlink>
          </w:p>
        </w:tc>
        <w:tc>
          <w:tcPr>
            <w:tcW w:w="2300" w:type="dxa"/>
            <w:vAlign w:val="bottom"/>
            <w:gridSpan w:val="11"/>
          </w:tcPr>
          <w:p>
            <w:pPr>
              <w:spacing w:after="0"/>
              <w:rPr>
                <w:sz w:val="15"/>
                <w:szCs w:val="15"/>
                <w:color w:val="auto"/>
              </w:rPr>
            </w:pPr>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Recommendation of Directors by Stockholders</w:t>
              </w:r>
            </w:hyperlink>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Independence of Directors</w:t>
              </w:r>
            </w:hyperlink>
          </w:p>
        </w:tc>
        <w:tc>
          <w:tcPr>
            <w:tcW w:w="1200" w:type="dxa"/>
            <w:vAlign w:val="bottom"/>
            <w:gridSpan w:val="9"/>
          </w:tcPr>
          <w:p>
            <w:pPr>
              <w:spacing w:after="0"/>
              <w:rPr>
                <w:sz w:val="15"/>
                <w:szCs w:val="15"/>
                <w:color w:val="auto"/>
              </w:rPr>
            </w:pPr>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Board’s Role in Risk Oversight</w:t>
              </w:r>
            </w:hyperlink>
          </w:p>
        </w:tc>
        <w:tc>
          <w:tcPr>
            <w:tcW w:w="2460" w:type="dxa"/>
            <w:vAlign w:val="bottom"/>
            <w:gridSpan w:val="12"/>
          </w:tcPr>
          <w:p>
            <w:pPr>
              <w:spacing w:after="0"/>
              <w:rPr>
                <w:sz w:val="15"/>
                <w:szCs w:val="15"/>
                <w:color w:val="auto"/>
              </w:rPr>
            </w:pPr>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Corporate Governance</w:t>
              </w:r>
            </w:hyperlink>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Other Board Information</w:t>
              </w:r>
            </w:hyperlink>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Director Compensation</w:t>
              </w:r>
            </w:hyperlink>
          </w:p>
        </w:tc>
        <w:tc>
          <w:tcPr>
            <w:tcW w:w="80" w:type="dxa"/>
            <w:vAlign w:val="bottom"/>
            <w:tcBorders>
              <w:top w:val="single" w:sz="8" w:color="0000EE"/>
            </w:tcBorders>
          </w:tcPr>
          <w:p>
            <w:pPr>
              <w:spacing w:after="0"/>
              <w:rPr>
                <w:sz w:val="15"/>
                <w:szCs w:val="15"/>
                <w:color w:val="auto"/>
              </w:rPr>
            </w:pPr>
          </w:p>
        </w:tc>
        <w:tc>
          <w:tcPr>
            <w:tcW w:w="2980" w:type="dxa"/>
            <w:vAlign w:val="bottom"/>
            <w:gridSpan w:val="16"/>
          </w:tcPr>
          <w:p>
            <w:pPr>
              <w:spacing w:after="0"/>
              <w:rPr>
                <w:sz w:val="15"/>
                <w:szCs w:val="15"/>
                <w:color w:val="auto"/>
              </w:rPr>
            </w:pPr>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Summary of 2016 Director Compensation</w:t>
              </w:r>
            </w:hyperlink>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Security Ownership of Certain Beneficial Owners, Directors</w:t>
              </w:r>
            </w:hyperlink>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4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and Management</w:t>
              </w:r>
            </w:hyperlink>
          </w:p>
        </w:tc>
        <w:tc>
          <w:tcPr>
            <w:tcW w:w="3120" w:type="dxa"/>
            <w:vAlign w:val="bottom"/>
            <w:tcBorders>
              <w:top w:val="single" w:sz="8" w:color="0000EE"/>
            </w:tcBorders>
            <w:gridSpan w:val="19"/>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Section 16(a) Beneficial Ownership Reporting Compliance</w:t>
              </w:r>
            </w:hyperlink>
          </w:p>
        </w:tc>
        <w:tc>
          <w:tcPr>
            <w:tcW w:w="260" w:type="dxa"/>
            <w:vAlign w:val="bottom"/>
            <w:gridSpan w:val="2"/>
          </w:tcPr>
          <w:p>
            <w:pPr>
              <w:spacing w:after="0"/>
              <w:rPr>
                <w:sz w:val="15"/>
                <w:szCs w:val="15"/>
                <w:color w:val="auto"/>
              </w:rPr>
            </w:pPr>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900" w:type="dxa"/>
            <w:vAlign w:val="bottom"/>
            <w:gridSpan w:val="23"/>
          </w:tcPr>
          <w:p>
            <w:pPr>
              <w:spacing w:after="0"/>
              <w:rPr>
                <w:rFonts w:ascii="Arial" w:cs="Arial" w:eastAsia="Arial" w:hAnsi="Arial"/>
                <w:sz w:val="19"/>
                <w:szCs w:val="19"/>
                <w:b w:val="1"/>
                <w:bCs w:val="1"/>
                <w:color w:val="0000EE"/>
              </w:rPr>
            </w:pPr>
            <w:hyperlink w:anchor="page33">
              <w:r>
                <w:rPr>
                  <w:rFonts w:ascii="Arial" w:cs="Arial" w:eastAsia="Arial" w:hAnsi="Arial"/>
                  <w:sz w:val="19"/>
                  <w:szCs w:val="19"/>
                  <w:b w:val="1"/>
                  <w:bCs w:val="1"/>
                  <w:color w:val="0000EE"/>
                </w:rPr>
                <w:t>COMPENSATION DISCUSSION AND ANALYSIS</w:t>
              </w:r>
            </w:hyperlink>
          </w:p>
        </w:tc>
        <w:tc>
          <w:tcPr>
            <w:tcW w:w="560" w:type="dxa"/>
            <w:vAlign w:val="bottom"/>
          </w:tcPr>
          <w:p>
            <w:pPr>
              <w:jc w:val="right"/>
              <w:ind w:right="69"/>
              <w:spacing w:after="0"/>
              <w:rPr>
                <w:sz w:val="20"/>
                <w:szCs w:val="20"/>
                <w:color w:val="auto"/>
              </w:rPr>
            </w:pPr>
            <w:r>
              <w:rPr>
                <w:rFonts w:ascii="Arial" w:cs="Arial" w:eastAsia="Arial" w:hAnsi="Arial"/>
                <w:sz w:val="19"/>
                <w:szCs w:val="19"/>
                <w:b w:val="1"/>
                <w:bCs w:val="1"/>
                <w:color w:val="auto"/>
              </w:rPr>
              <w:t>27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gridSpan w:val="23"/>
          </w:tcPr>
          <w:p>
            <w:pPr>
              <w:spacing w:after="0" w:line="156" w:lineRule="exact"/>
              <w:rPr>
                <w:rFonts w:ascii="Arial" w:cs="Arial" w:eastAsia="Arial" w:hAnsi="Arial"/>
                <w:sz w:val="18"/>
                <w:szCs w:val="18"/>
                <w:color w:val="0000EE"/>
              </w:rPr>
            </w:pPr>
            <w:hyperlink w:anchor="page33">
              <w:r>
                <w:rPr>
                  <w:rFonts w:ascii="Arial" w:cs="Arial" w:eastAsia="Arial" w:hAnsi="Arial"/>
                  <w:sz w:val="18"/>
                  <w:szCs w:val="18"/>
                  <w:color w:val="0000EE"/>
                </w:rPr>
                <w:t>Named Executive Officers</w:t>
              </w:r>
            </w:hyperlink>
          </w:p>
        </w:tc>
        <w:tc>
          <w:tcPr>
            <w:tcW w:w="560" w:type="dxa"/>
            <w:vAlign w:val="bottom"/>
          </w:tcPr>
          <w:p>
            <w:pPr>
              <w:jc w:val="right"/>
              <w:ind w:right="69"/>
              <w:spacing w:after="0" w:line="15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33">
              <w:r>
                <w:rPr>
                  <w:rFonts w:ascii="Arial" w:cs="Arial" w:eastAsia="Arial" w:hAnsi="Arial"/>
                  <w:sz w:val="18"/>
                  <w:szCs w:val="18"/>
                  <w:color w:val="0000EE"/>
                  <w:w w:val="98"/>
                </w:rPr>
                <w:t>Executive Summary</w:t>
              </w:r>
            </w:hyperlink>
          </w:p>
        </w:tc>
        <w:tc>
          <w:tcPr>
            <w:tcW w:w="500" w:type="dxa"/>
            <w:vAlign w:val="bottom"/>
            <w:tcBorders>
              <w:top w:val="single" w:sz="8" w:color="0000EE"/>
            </w:tcBorders>
            <w:gridSpan w:val="4"/>
          </w:tcPr>
          <w:p>
            <w:pPr>
              <w:spacing w:after="0"/>
              <w:rPr>
                <w:sz w:val="15"/>
                <w:szCs w:val="15"/>
                <w:color w:val="auto"/>
              </w:rPr>
            </w:pPr>
          </w:p>
        </w:tc>
        <w:tc>
          <w:tcPr>
            <w:tcW w:w="2800" w:type="dxa"/>
            <w:vAlign w:val="bottom"/>
            <w:gridSpan w:val="15"/>
          </w:tcPr>
          <w:p>
            <w:pPr>
              <w:spacing w:after="0"/>
              <w:rPr>
                <w:sz w:val="15"/>
                <w:szCs w:val="15"/>
                <w:color w:val="auto"/>
              </w:rPr>
            </w:pPr>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Pay-Performance Alignment</w:t>
              </w:r>
            </w:hyperlink>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gridSpan w:val="9"/>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2016 Advisory Vote on Executive Compensation</w:t>
              </w:r>
            </w:hyperlink>
          </w:p>
        </w:tc>
        <w:tc>
          <w:tcPr>
            <w:tcW w:w="1060" w:type="dxa"/>
            <w:vAlign w:val="bottom"/>
            <w:gridSpan w:val="8"/>
          </w:tcPr>
          <w:p>
            <w:pPr>
              <w:spacing w:after="0"/>
              <w:rPr>
                <w:sz w:val="15"/>
                <w:szCs w:val="15"/>
                <w:color w:val="auto"/>
              </w:rPr>
            </w:pPr>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Executive Compensation Philosophy and Objectives</w:t>
              </w:r>
            </w:hyperlink>
          </w:p>
        </w:tc>
        <w:tc>
          <w:tcPr>
            <w:tcW w:w="740" w:type="dxa"/>
            <w:vAlign w:val="bottom"/>
            <w:gridSpan w:val="6"/>
          </w:tcPr>
          <w:p>
            <w:pPr>
              <w:spacing w:after="0"/>
              <w:rPr>
                <w:sz w:val="15"/>
                <w:szCs w:val="15"/>
                <w:color w:val="auto"/>
              </w:rPr>
            </w:pPr>
          </w:p>
        </w:tc>
        <w:tc>
          <w:tcPr>
            <w:tcW w:w="560" w:type="dxa"/>
            <w:vAlign w:val="bottom"/>
          </w:tcPr>
          <w:p>
            <w:pPr>
              <w:jc w:val="right"/>
              <w:ind w:right="69"/>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60" w:type="dxa"/>
            <w:vAlign w:val="bottom"/>
            <w:gridSpan w:val="2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Benchmarking</w:t>
              </w:r>
            </w:hyperlink>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26"/>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Total Compensation Review</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26"/>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Role of Management in Setting Compensation Levels</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Discretion of Compensation Committee</w:t>
              </w:r>
            </w:hyperlink>
          </w:p>
        </w:tc>
        <w:tc>
          <w:tcPr>
            <w:tcW w:w="820" w:type="dxa"/>
            <w:vAlign w:val="bottom"/>
            <w:gridSpan w:val="4"/>
          </w:tcPr>
          <w:p>
            <w:pPr>
              <w:spacing w:after="0"/>
              <w:rPr>
                <w:sz w:val="15"/>
                <w:szCs w:val="15"/>
                <w:color w:val="auto"/>
              </w:rPr>
            </w:pPr>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Elements of Compensation</w:t>
              </w:r>
            </w:hyperlink>
          </w:p>
        </w:tc>
        <w:tc>
          <w:tcPr>
            <w:tcW w:w="900" w:type="dxa"/>
            <w:vAlign w:val="bottom"/>
            <w:tcBorders>
              <w:top w:val="single" w:sz="8" w:color="0000EE"/>
            </w:tcBorders>
            <w:gridSpan w:val="5"/>
          </w:tcPr>
          <w:p>
            <w:pPr>
              <w:spacing w:after="0"/>
              <w:rPr>
                <w:sz w:val="15"/>
                <w:szCs w:val="15"/>
                <w:color w:val="auto"/>
              </w:rPr>
            </w:pPr>
          </w:p>
        </w:tc>
        <w:tc>
          <w:tcPr>
            <w:tcW w:w="1940" w:type="dxa"/>
            <w:vAlign w:val="bottom"/>
            <w:gridSpan w:val="11"/>
          </w:tcPr>
          <w:p>
            <w:pPr>
              <w:spacing w:after="0"/>
              <w:rPr>
                <w:sz w:val="15"/>
                <w:szCs w:val="15"/>
                <w:color w:val="auto"/>
              </w:rPr>
            </w:pPr>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Management Stock Ownership Guidelines</w:t>
              </w:r>
            </w:hyperlink>
          </w:p>
        </w:tc>
        <w:tc>
          <w:tcPr>
            <w:tcW w:w="1700" w:type="dxa"/>
            <w:vAlign w:val="bottom"/>
            <w:gridSpan w:val="9"/>
          </w:tcPr>
          <w:p>
            <w:pPr>
              <w:spacing w:after="0"/>
              <w:rPr>
                <w:sz w:val="15"/>
                <w:szCs w:val="15"/>
                <w:color w:val="auto"/>
              </w:rPr>
            </w:pPr>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Equity Award Policy</w:t>
              </w:r>
            </w:hyperlink>
          </w:p>
        </w:tc>
        <w:tc>
          <w:tcPr>
            <w:tcW w:w="3480" w:type="dxa"/>
            <w:vAlign w:val="bottom"/>
            <w:gridSpan w:val="20"/>
          </w:tcPr>
          <w:p>
            <w:pPr>
              <w:spacing w:after="0"/>
              <w:rPr>
                <w:sz w:val="15"/>
                <w:szCs w:val="15"/>
                <w:color w:val="auto"/>
              </w:rPr>
            </w:pPr>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26"/>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Retirement Plan Benefits</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0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Employment Agreements/Termination/Change in Control</w:t>
              </w:r>
            </w:hyperlink>
          </w:p>
        </w:tc>
        <w:tc>
          <w:tcPr>
            <w:tcW w:w="5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80" w:type="dxa"/>
            <w:vAlign w:val="bottom"/>
            <w:gridSpan w:val="25"/>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Benefits</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2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Health, Welfare and Certain Other Benefits</w:t>
              </w:r>
            </w:hyperlink>
          </w:p>
        </w:tc>
        <w:tc>
          <w:tcPr>
            <w:tcW w:w="1640" w:type="dxa"/>
            <w:vAlign w:val="bottom"/>
            <w:gridSpan w:val="6"/>
          </w:tcPr>
          <w:p>
            <w:pPr>
              <w:spacing w:after="0"/>
              <w:rPr>
                <w:sz w:val="15"/>
                <w:szCs w:val="15"/>
                <w:color w:val="auto"/>
              </w:rPr>
            </w:pPr>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26"/>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Clawback Policy</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26"/>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Hedging/Pledging Policy</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380" w:type="dxa"/>
            <w:vAlign w:val="bottom"/>
            <w:tcBorders>
              <w:bottom w:val="single" w:sz="8" w:color="0000EE"/>
            </w:tcBorders>
            <w:gridSpan w:val="18"/>
          </w:tcPr>
          <w:p>
            <w:pPr>
              <w:spacing w:after="0" w:line="182"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Tax Treatment of Executive Compensation</w:t>
              </w:r>
            </w:hyperlink>
          </w:p>
        </w:tc>
        <w:tc>
          <w:tcPr>
            <w:tcW w:w="1680" w:type="dxa"/>
            <w:vAlign w:val="bottom"/>
            <w:gridSpan w:val="8"/>
          </w:tcPr>
          <w:p>
            <w:pPr>
              <w:spacing w:after="0"/>
              <w:rPr>
                <w:sz w:val="15"/>
                <w:szCs w:val="15"/>
                <w:color w:val="auto"/>
              </w:rPr>
            </w:pPr>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Impact of Accounting Treatment</w:t>
              </w:r>
            </w:hyperlink>
          </w:p>
        </w:tc>
        <w:tc>
          <w:tcPr>
            <w:tcW w:w="2520" w:type="dxa"/>
            <w:vAlign w:val="bottom"/>
            <w:gridSpan w:val="14"/>
          </w:tcPr>
          <w:p>
            <w:pPr>
              <w:spacing w:after="0"/>
              <w:rPr>
                <w:sz w:val="15"/>
                <w:szCs w:val="15"/>
                <w:color w:val="auto"/>
              </w:rPr>
            </w:pPr>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060" w:type="dxa"/>
            <w:vAlign w:val="bottom"/>
            <w:gridSpan w:val="26"/>
          </w:tcPr>
          <w:p>
            <w:pPr>
              <w:spacing w:after="0"/>
              <w:rPr>
                <w:rFonts w:ascii="Arial" w:cs="Arial" w:eastAsia="Arial" w:hAnsi="Arial"/>
                <w:sz w:val="19"/>
                <w:szCs w:val="19"/>
                <w:b w:val="1"/>
                <w:bCs w:val="1"/>
                <w:color w:val="0000EE"/>
              </w:rPr>
            </w:pPr>
            <w:hyperlink w:anchor="page47">
              <w:r>
                <w:rPr>
                  <w:rFonts w:ascii="Arial" w:cs="Arial" w:eastAsia="Arial" w:hAnsi="Arial"/>
                  <w:sz w:val="19"/>
                  <w:szCs w:val="19"/>
                  <w:b w:val="1"/>
                  <w:bCs w:val="1"/>
                  <w:color w:val="0000EE"/>
                </w:rPr>
                <w:t>EXECUTIVE COMPENSATION</w:t>
              </w:r>
            </w:hyperlink>
          </w:p>
        </w:tc>
        <w:tc>
          <w:tcPr>
            <w:tcW w:w="400" w:type="dxa"/>
            <w:vAlign w:val="bottom"/>
          </w:tcPr>
          <w:p>
            <w:pPr>
              <w:jc w:val="right"/>
              <w:ind w:right="70"/>
              <w:spacing w:after="0"/>
              <w:rPr>
                <w:sz w:val="20"/>
                <w:szCs w:val="20"/>
                <w:color w:val="auto"/>
              </w:rPr>
            </w:pPr>
            <w:r>
              <w:rPr>
                <w:rFonts w:ascii="Arial" w:cs="Arial" w:eastAsia="Arial" w:hAnsi="Arial"/>
                <w:sz w:val="19"/>
                <w:szCs w:val="19"/>
                <w:b w:val="1"/>
                <w:bCs w:val="1"/>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 w:type="dxa"/>
            <w:vAlign w:val="bottom"/>
            <w:gridSpan w:val="3"/>
          </w:tcPr>
          <w:p>
            <w:pPr>
              <w:ind w:left="20"/>
              <w:spacing w:after="0" w:line="156"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2016</w:t>
              </w:r>
            </w:hyperlink>
          </w:p>
        </w:tc>
        <w:tc>
          <w:tcPr>
            <w:tcW w:w="4640" w:type="dxa"/>
            <w:vAlign w:val="bottom"/>
            <w:gridSpan w:val="24"/>
          </w:tcPr>
          <w:p>
            <w:pPr>
              <w:ind w:left="20"/>
              <w:spacing w:after="0" w:line="156" w:lineRule="exact"/>
              <w:rPr>
                <w:rFonts w:ascii="Arial" w:cs="Arial" w:eastAsia="Arial" w:hAnsi="Arial"/>
                <w:sz w:val="18"/>
                <w:szCs w:val="18"/>
                <w:color w:val="0000EE"/>
              </w:rPr>
            </w:pPr>
            <w:hyperlink w:anchor="page47">
              <w:r>
                <w:rPr>
                  <w:rFonts w:ascii="Arial" w:cs="Arial" w:eastAsia="Arial" w:hAnsi="Arial"/>
                  <w:sz w:val="18"/>
                  <w:szCs w:val="18"/>
                  <w:color w:val="0000EE"/>
                </w:rPr>
                <w:t>Summary Compensation Table</w:t>
              </w:r>
            </w:hyperlink>
          </w:p>
        </w:tc>
        <w:tc>
          <w:tcPr>
            <w:tcW w:w="400" w:type="dxa"/>
            <w:vAlign w:val="bottom"/>
          </w:tcPr>
          <w:p>
            <w:pPr>
              <w:jc w:val="right"/>
              <w:ind w:right="70"/>
              <w:spacing w:after="0" w:line="15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gridSpan w:val="3"/>
          </w:tcPr>
          <w:p>
            <w:pPr>
              <w:ind w:left="20"/>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2016</w:t>
              </w:r>
            </w:hyperlink>
          </w:p>
        </w:tc>
        <w:tc>
          <w:tcPr>
            <w:tcW w:w="4640" w:type="dxa"/>
            <w:vAlign w:val="bottom"/>
            <w:gridSpan w:val="24"/>
          </w:tcPr>
          <w:p>
            <w:pPr>
              <w:ind w:left="20"/>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Grants Of Plan-based Awards</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gridSpan w:val="3"/>
          </w:tcPr>
          <w:p>
            <w:pPr>
              <w:ind w:left="20"/>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2016</w:t>
              </w:r>
            </w:hyperlink>
          </w:p>
        </w:tc>
        <w:tc>
          <w:tcPr>
            <w:tcW w:w="4640" w:type="dxa"/>
            <w:vAlign w:val="bottom"/>
            <w:gridSpan w:val="24"/>
          </w:tcPr>
          <w:p>
            <w:pPr>
              <w:ind w:left="20"/>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Outstanding Equity Awards At Fiscal Year-end</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gridSpan w:val="3"/>
          </w:tcPr>
          <w:p>
            <w:pPr>
              <w:ind w:left="20"/>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2016</w:t>
              </w:r>
            </w:hyperlink>
          </w:p>
        </w:tc>
        <w:tc>
          <w:tcPr>
            <w:tcW w:w="4640" w:type="dxa"/>
            <w:vAlign w:val="bottom"/>
            <w:gridSpan w:val="24"/>
          </w:tcPr>
          <w:p>
            <w:pPr>
              <w:ind w:left="20"/>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Option Exercises And Stock Vested</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gridSpan w:val="3"/>
          </w:tcPr>
          <w:p>
            <w:pPr>
              <w:ind w:left="20"/>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2016</w:t>
              </w:r>
            </w:hyperlink>
          </w:p>
        </w:tc>
        <w:tc>
          <w:tcPr>
            <w:tcW w:w="4640" w:type="dxa"/>
            <w:vAlign w:val="bottom"/>
            <w:gridSpan w:val="24"/>
          </w:tcPr>
          <w:p>
            <w:pPr>
              <w:ind w:left="20"/>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Pension Benefits</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gridSpan w:val="3"/>
          </w:tcPr>
          <w:p>
            <w:pPr>
              <w:ind w:left="20"/>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2016</w:t>
              </w:r>
            </w:hyperlink>
          </w:p>
        </w:tc>
        <w:tc>
          <w:tcPr>
            <w:tcW w:w="4640" w:type="dxa"/>
            <w:vAlign w:val="bottom"/>
            <w:gridSpan w:val="24"/>
          </w:tcPr>
          <w:p>
            <w:pPr>
              <w:ind w:left="2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Nonqualified Deferred Compensation</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7"/>
            <w:shd w:val="clear" w:color="auto" w:fill="0000EE"/>
          </w:tcPr>
          <w:p>
            <w:pPr>
              <w:spacing w:after="0" w:line="20" w:lineRule="exact"/>
              <w:rPr>
                <w:sz w:val="1"/>
                <w:szCs w:val="1"/>
                <w:color w:val="auto"/>
              </w:rPr>
            </w:pPr>
          </w:p>
        </w:tc>
        <w:tc>
          <w:tcPr>
            <w:tcW w:w="520" w:type="dxa"/>
            <w:vAlign w:val="bottom"/>
            <w:tcBorders>
              <w:left w:val="single" w:sz="8" w:color="0000EE"/>
            </w:tcBorders>
            <w:gridSpan w:val="3"/>
            <w:shd w:val="clear" w:color="auto" w:fill="0000EE"/>
          </w:tcPr>
          <w:p>
            <w:pPr>
              <w:spacing w:after="0" w:line="20" w:lineRule="exact"/>
              <w:rPr>
                <w:sz w:val="1"/>
                <w:szCs w:val="1"/>
                <w:color w:val="auto"/>
              </w:rPr>
            </w:pPr>
          </w:p>
        </w:tc>
        <w:tc>
          <w:tcPr>
            <w:tcW w:w="980" w:type="dxa"/>
            <w:vAlign w:val="bottom"/>
            <w:gridSpan w:val="8"/>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Potential Payments Upon Termination or Change in Control</w:t>
              </w:r>
            </w:hyperlink>
          </w:p>
        </w:tc>
        <w:tc>
          <w:tcPr>
            <w:tcW w:w="340" w:type="dxa"/>
            <w:vAlign w:val="bottom"/>
          </w:tcPr>
          <w:p>
            <w:pPr>
              <w:spacing w:after="0"/>
              <w:rPr>
                <w:sz w:val="15"/>
                <w:szCs w:val="15"/>
                <w:color w:val="auto"/>
              </w:rPr>
            </w:pPr>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60" w:type="dxa"/>
            <w:vAlign w:val="bottom"/>
            <w:gridSpan w:val="26"/>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Compensation and Risk</w:t>
              </w:r>
            </w:hyperlink>
          </w:p>
        </w:tc>
        <w:tc>
          <w:tcPr>
            <w:tcW w:w="4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7"/>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40" w:type="dxa"/>
            <w:vAlign w:val="bottom"/>
            <w:gridSpan w:val="1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060" w:type="dxa"/>
            <w:vAlign w:val="bottom"/>
            <w:gridSpan w:val="26"/>
          </w:tcPr>
          <w:p>
            <w:pPr>
              <w:spacing w:after="0"/>
              <w:rPr>
                <w:rFonts w:ascii="Arial" w:cs="Arial" w:eastAsia="Arial" w:hAnsi="Arial"/>
                <w:sz w:val="19"/>
                <w:szCs w:val="19"/>
                <w:b w:val="1"/>
                <w:bCs w:val="1"/>
                <w:color w:val="0000EE"/>
              </w:rPr>
            </w:pPr>
            <w:hyperlink w:anchor="page61">
              <w:r>
                <w:rPr>
                  <w:rFonts w:ascii="Arial" w:cs="Arial" w:eastAsia="Arial" w:hAnsi="Arial"/>
                  <w:sz w:val="19"/>
                  <w:szCs w:val="19"/>
                  <w:b w:val="1"/>
                  <w:bCs w:val="1"/>
                  <w:color w:val="0000EE"/>
                </w:rPr>
                <w:t>COMPENSATION COMMITTEE INTERLOCKS AND</w:t>
              </w:r>
            </w:hyperlink>
          </w:p>
        </w:tc>
        <w:tc>
          <w:tcPr>
            <w:tcW w:w="400" w:type="dxa"/>
            <w:vAlign w:val="bottom"/>
            <w:vMerge w:val="restart"/>
          </w:tcPr>
          <w:p>
            <w:pPr>
              <w:jc w:val="right"/>
              <w:ind w:right="70"/>
              <w:spacing w:after="0"/>
              <w:rPr>
                <w:sz w:val="20"/>
                <w:szCs w:val="20"/>
                <w:color w:val="auto"/>
              </w:rPr>
            </w:pPr>
            <w:r>
              <w:rPr>
                <w:rFonts w:ascii="Arial" w:cs="Arial" w:eastAsia="Arial" w:hAnsi="Arial"/>
                <w:sz w:val="19"/>
                <w:szCs w:val="19"/>
                <w:b w:val="1"/>
                <w:bCs w:val="1"/>
                <w:color w:val="auto"/>
              </w:rPr>
              <w:t>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22"/>
          </w:tcPr>
          <w:p>
            <w:pPr>
              <w:spacing w:after="0" w:line="196" w:lineRule="exact"/>
              <w:rPr>
                <w:rFonts w:ascii="Arial" w:cs="Arial" w:eastAsia="Arial" w:hAnsi="Arial"/>
                <w:sz w:val="19"/>
                <w:szCs w:val="19"/>
                <w:b w:val="1"/>
                <w:bCs w:val="1"/>
                <w:color w:val="0000EE"/>
              </w:rPr>
            </w:pPr>
            <w:hyperlink w:anchor="page61">
              <w:r>
                <w:rPr>
                  <w:rFonts w:ascii="Arial" w:cs="Arial" w:eastAsia="Arial" w:hAnsi="Arial"/>
                  <w:sz w:val="19"/>
                  <w:szCs w:val="19"/>
                  <w:b w:val="1"/>
                  <w:bCs w:val="1"/>
                  <w:color w:val="0000EE"/>
                </w:rPr>
                <w:t>INSIDER PARTICIPATION</w:t>
              </w:r>
            </w:hyperlink>
          </w:p>
        </w:tc>
        <w:tc>
          <w:tcPr>
            <w:tcW w:w="600" w:type="dxa"/>
            <w:vAlign w:val="bottom"/>
            <w:gridSpan w:val="3"/>
          </w:tcPr>
          <w:p>
            <w:pPr>
              <w:spacing w:after="0"/>
              <w:rPr>
                <w:sz w:val="17"/>
                <w:szCs w:val="17"/>
                <w:color w:val="auto"/>
              </w:rPr>
            </w:pPr>
          </w:p>
        </w:tc>
        <w:tc>
          <w:tcPr>
            <w:tcW w:w="4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ind w:left="40"/>
              <w:spacing w:after="0"/>
              <w:rPr>
                <w:sz w:val="20"/>
                <w:szCs w:val="20"/>
                <w:color w:val="auto"/>
              </w:rPr>
            </w:pPr>
            <w:r>
              <w:rPr>
                <w:rFonts w:ascii="Arial" w:cs="Arial" w:eastAsia="Arial" w:hAnsi="Arial"/>
                <w:sz w:val="15"/>
                <w:szCs w:val="15"/>
                <w:b w:val="1"/>
                <w:bCs w:val="1"/>
                <w:color w:val="E2231A"/>
              </w:rPr>
              <w:t>2017 Proxy Statement</w:t>
            </w:r>
          </w:p>
        </w:tc>
        <w:tc>
          <w:tcPr>
            <w:tcW w:w="420" w:type="dxa"/>
            <w:vAlign w:val="bottom"/>
            <w:gridSpan w:val="2"/>
          </w:tcPr>
          <w:p>
            <w:pPr>
              <w:ind w:left="140"/>
              <w:spacing w:after="0"/>
              <w:rPr>
                <w:sz w:val="20"/>
                <w:szCs w:val="20"/>
                <w:color w:val="auto"/>
              </w:rPr>
            </w:pPr>
            <w:r>
              <w:rPr>
                <w:rFonts w:ascii="Arial" w:cs="Arial" w:eastAsia="Arial" w:hAnsi="Arial"/>
                <w:sz w:val="18"/>
                <w:szCs w:val="18"/>
                <w:b w:val="1"/>
                <w:bCs w:val="1"/>
                <w:color w:val="E2231A"/>
              </w:rPr>
              <w:t xml:space="preserve">|  </w:t>
            </w:r>
            <w:r>
              <w:rPr>
                <w:rFonts w:ascii="Arial" w:cs="Arial" w:eastAsia="Arial" w:hAnsi="Arial"/>
                <w:sz w:val="18"/>
                <w:szCs w:val="18"/>
                <w:b w:val="1"/>
                <w:bCs w:val="1"/>
                <w:color w:val="000000"/>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-4921885</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-4716145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5480" w:space="340"/>
            <w:col w:w="5500"/>
          </w:cols>
          <w:pgMar w:left="240" w:top="49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4800" w:type="dxa"/>
            <w:vAlign w:val="bottom"/>
            <w:gridSpan w:val="16"/>
          </w:tcPr>
          <w:p>
            <w:pPr>
              <w:spacing w:after="0"/>
              <w:rPr>
                <w:sz w:val="20"/>
                <w:szCs w:val="20"/>
                <w:color w:val="auto"/>
              </w:rPr>
            </w:pPr>
            <w:r>
              <w:rPr>
                <w:rFonts w:ascii="Arial" w:cs="Arial" w:eastAsia="Arial" w:hAnsi="Arial"/>
                <w:sz w:val="15"/>
                <w:szCs w:val="15"/>
                <w:b w:val="1"/>
                <w:bCs w:val="1"/>
                <w:color w:val="E2231A"/>
              </w:rPr>
              <w:t>TABLE OF CONTENTS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E2231A"/>
          </w:tcPr>
          <w:p>
            <w:pPr>
              <w:spacing w:after="0" w:line="20" w:lineRule="exact"/>
              <w:rPr>
                <w:sz w:val="1"/>
                <w:szCs w:val="1"/>
                <w:color w:val="auto"/>
              </w:rPr>
            </w:pPr>
          </w:p>
        </w:tc>
        <w:tc>
          <w:tcPr>
            <w:tcW w:w="180" w:type="dxa"/>
            <w:vAlign w:val="bottom"/>
            <w:shd w:val="clear" w:color="auto" w:fill="E2231A"/>
          </w:tcPr>
          <w:p>
            <w:pPr>
              <w:spacing w:after="0" w:line="20" w:lineRule="exact"/>
              <w:rPr>
                <w:sz w:val="1"/>
                <w:szCs w:val="1"/>
                <w:color w:val="auto"/>
              </w:rPr>
            </w:pPr>
          </w:p>
        </w:tc>
        <w:tc>
          <w:tcPr>
            <w:tcW w:w="1440" w:type="dxa"/>
            <w:vAlign w:val="bottom"/>
            <w:shd w:val="clear" w:color="auto" w:fill="E2231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0" w:type="dxa"/>
            <w:vAlign w:val="bottom"/>
          </w:tcPr>
          <w:p>
            <w:pPr>
              <w:spacing w:after="0"/>
              <w:rPr>
                <w:sz w:val="24"/>
                <w:szCs w:val="24"/>
                <w:color w:val="auto"/>
              </w:rPr>
            </w:pPr>
          </w:p>
        </w:tc>
        <w:tc>
          <w:tcPr>
            <w:tcW w:w="4780" w:type="dxa"/>
            <w:vAlign w:val="bottom"/>
            <w:gridSpan w:val="15"/>
          </w:tcPr>
          <w:p>
            <w:pPr>
              <w:spacing w:after="0"/>
              <w:rPr>
                <w:rFonts w:ascii="Arial" w:cs="Arial" w:eastAsia="Arial" w:hAnsi="Arial"/>
                <w:sz w:val="19"/>
                <w:szCs w:val="19"/>
                <w:b w:val="1"/>
                <w:bCs w:val="1"/>
                <w:color w:val="0000EE"/>
              </w:rPr>
            </w:pPr>
            <w:hyperlink w:anchor="page62">
              <w:r>
                <w:rPr>
                  <w:rFonts w:ascii="Arial" w:cs="Arial" w:eastAsia="Arial" w:hAnsi="Arial"/>
                  <w:sz w:val="19"/>
                  <w:szCs w:val="19"/>
                  <w:b w:val="1"/>
                  <w:bCs w:val="1"/>
                  <w:color w:val="0000EE"/>
                </w:rPr>
                <w:t>COMPENSATION COMMITTEE REPORT</w:t>
              </w:r>
            </w:hyperlink>
          </w:p>
        </w:tc>
        <w:tc>
          <w:tcPr>
            <w:tcW w:w="680" w:type="dxa"/>
            <w:vAlign w:val="bottom"/>
          </w:tcPr>
          <w:p>
            <w:pPr>
              <w:jc w:val="right"/>
              <w:ind w:right="66"/>
              <w:spacing w:after="0"/>
              <w:rPr>
                <w:sz w:val="20"/>
                <w:szCs w:val="20"/>
                <w:color w:val="auto"/>
              </w:rPr>
            </w:pPr>
            <w:r>
              <w:rPr>
                <w:rFonts w:ascii="Arial" w:cs="Arial" w:eastAsia="Arial" w:hAnsi="Arial"/>
                <w:sz w:val="19"/>
                <w:szCs w:val="19"/>
                <w:b w:val="1"/>
                <w:bCs w:val="1"/>
                <w:color w:val="auto"/>
              </w:rPr>
              <w:t>56</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780" w:type="dxa"/>
            <w:vAlign w:val="bottom"/>
            <w:gridSpan w:val="15"/>
          </w:tcPr>
          <w:p>
            <w:pPr>
              <w:spacing w:after="0"/>
              <w:rPr>
                <w:rFonts w:ascii="Arial" w:cs="Arial" w:eastAsia="Arial" w:hAnsi="Arial"/>
                <w:sz w:val="19"/>
                <w:szCs w:val="19"/>
                <w:b w:val="1"/>
                <w:bCs w:val="1"/>
                <w:color w:val="0000EE"/>
              </w:rPr>
            </w:pPr>
            <w:hyperlink w:anchor="page63">
              <w:r>
                <w:rPr>
                  <w:rFonts w:ascii="Arial" w:cs="Arial" w:eastAsia="Arial" w:hAnsi="Arial"/>
                  <w:sz w:val="19"/>
                  <w:szCs w:val="19"/>
                  <w:b w:val="1"/>
                  <w:bCs w:val="1"/>
                  <w:color w:val="0000EE"/>
                </w:rPr>
                <w:t>AUDIT COMMITTEE REPORT</w:t>
              </w:r>
            </w:hyperlink>
          </w:p>
        </w:tc>
        <w:tc>
          <w:tcPr>
            <w:tcW w:w="680" w:type="dxa"/>
            <w:vAlign w:val="bottom"/>
          </w:tcPr>
          <w:p>
            <w:pPr>
              <w:jc w:val="right"/>
              <w:ind w:right="66"/>
              <w:spacing w:after="0"/>
              <w:rPr>
                <w:sz w:val="20"/>
                <w:szCs w:val="20"/>
                <w:color w:val="auto"/>
              </w:rPr>
            </w:pPr>
            <w:r>
              <w:rPr>
                <w:rFonts w:ascii="Arial" w:cs="Arial" w:eastAsia="Arial" w:hAnsi="Arial"/>
                <w:sz w:val="19"/>
                <w:szCs w:val="19"/>
                <w:b w:val="1"/>
                <w:bCs w:val="1"/>
                <w:color w:val="auto"/>
              </w:rPr>
              <w:t>57</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780" w:type="dxa"/>
            <w:vAlign w:val="bottom"/>
            <w:gridSpan w:val="15"/>
          </w:tcPr>
          <w:p>
            <w:pPr>
              <w:spacing w:after="0"/>
              <w:rPr>
                <w:rFonts w:ascii="Arial" w:cs="Arial" w:eastAsia="Arial" w:hAnsi="Arial"/>
                <w:sz w:val="19"/>
                <w:szCs w:val="19"/>
                <w:b w:val="1"/>
                <w:bCs w:val="1"/>
                <w:color w:val="0000EE"/>
              </w:rPr>
            </w:pPr>
            <w:hyperlink w:anchor="page65">
              <w:r>
                <w:rPr>
                  <w:rFonts w:ascii="Arial" w:cs="Arial" w:eastAsia="Arial" w:hAnsi="Arial"/>
                  <w:sz w:val="19"/>
                  <w:szCs w:val="19"/>
                  <w:b w:val="1"/>
                  <w:bCs w:val="1"/>
                  <w:color w:val="0000EE"/>
                </w:rPr>
                <w:t>FEES OF INDEPENDENT ACCOUNTANTS</w:t>
              </w:r>
            </w:hyperlink>
          </w:p>
        </w:tc>
        <w:tc>
          <w:tcPr>
            <w:tcW w:w="680" w:type="dxa"/>
            <w:vAlign w:val="bottom"/>
          </w:tcPr>
          <w:p>
            <w:pPr>
              <w:jc w:val="right"/>
              <w:ind w:right="66"/>
              <w:spacing w:after="0"/>
              <w:rPr>
                <w:sz w:val="20"/>
                <w:szCs w:val="20"/>
                <w:color w:val="auto"/>
              </w:rPr>
            </w:pPr>
            <w:r>
              <w:rPr>
                <w:rFonts w:ascii="Arial" w:cs="Arial" w:eastAsia="Arial" w:hAnsi="Arial"/>
                <w:sz w:val="19"/>
                <w:szCs w:val="19"/>
                <w:b w:val="1"/>
                <w:bCs w:val="1"/>
                <w:color w:val="auto"/>
              </w:rPr>
              <w:t>59</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780" w:type="dxa"/>
            <w:vAlign w:val="bottom"/>
            <w:gridSpan w:val="15"/>
          </w:tcPr>
          <w:p>
            <w:pPr>
              <w:spacing w:after="0"/>
              <w:rPr>
                <w:rFonts w:ascii="Arial" w:cs="Arial" w:eastAsia="Arial" w:hAnsi="Arial"/>
                <w:sz w:val="19"/>
                <w:szCs w:val="19"/>
                <w:b w:val="1"/>
                <w:bCs w:val="1"/>
                <w:color w:val="0000EE"/>
              </w:rPr>
            </w:pPr>
            <w:hyperlink w:anchor="page66">
              <w:r>
                <w:rPr>
                  <w:rFonts w:ascii="Arial" w:cs="Arial" w:eastAsia="Arial" w:hAnsi="Arial"/>
                  <w:sz w:val="19"/>
                  <w:szCs w:val="19"/>
                  <w:b w:val="1"/>
                  <w:bCs w:val="1"/>
                  <w:color w:val="0000EE"/>
                </w:rPr>
                <w:t>CERTAIN RELATIONSHIPS AND RELATED PARTY</w:t>
              </w:r>
            </w:hyperlink>
          </w:p>
        </w:tc>
        <w:tc>
          <w:tcPr>
            <w:tcW w:w="68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rPr>
              <w:t>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12"/>
          </w:tcPr>
          <w:p>
            <w:pPr>
              <w:spacing w:after="0" w:line="196" w:lineRule="exact"/>
              <w:rPr>
                <w:rFonts w:ascii="Arial" w:cs="Arial" w:eastAsia="Arial" w:hAnsi="Arial"/>
                <w:sz w:val="19"/>
                <w:szCs w:val="19"/>
                <w:b w:val="1"/>
                <w:bCs w:val="1"/>
                <w:color w:val="0000EE"/>
              </w:rPr>
            </w:pPr>
            <w:hyperlink w:anchor="page66">
              <w:r>
                <w:rPr>
                  <w:rFonts w:ascii="Arial" w:cs="Arial" w:eastAsia="Arial" w:hAnsi="Arial"/>
                  <w:sz w:val="19"/>
                  <w:szCs w:val="19"/>
                  <w:b w:val="1"/>
                  <w:bCs w:val="1"/>
                  <w:color w:val="0000EE"/>
                </w:rPr>
                <w:t>TRANSACTIONS</w:t>
              </w:r>
            </w:hyperlink>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gridSpan w:val="15"/>
          </w:tcPr>
          <w:p>
            <w:pPr>
              <w:spacing w:after="0" w:line="156" w:lineRule="exact"/>
              <w:rPr>
                <w:rFonts w:ascii="Arial" w:cs="Arial" w:eastAsia="Arial" w:hAnsi="Arial"/>
                <w:sz w:val="18"/>
                <w:szCs w:val="18"/>
                <w:color w:val="0000EE"/>
              </w:rPr>
            </w:pPr>
            <w:hyperlink w:anchor="page67">
              <w:r>
                <w:rPr>
                  <w:rFonts w:ascii="Arial" w:cs="Arial" w:eastAsia="Arial" w:hAnsi="Arial"/>
                  <w:sz w:val="18"/>
                  <w:szCs w:val="18"/>
                  <w:color w:val="0000EE"/>
                </w:rPr>
                <w:t>Certain Transactions</w:t>
              </w:r>
            </w:hyperlink>
          </w:p>
        </w:tc>
        <w:tc>
          <w:tcPr>
            <w:tcW w:w="680" w:type="dxa"/>
            <w:vAlign w:val="bottom"/>
          </w:tcPr>
          <w:p>
            <w:pPr>
              <w:jc w:val="right"/>
              <w:ind w:right="66"/>
              <w:spacing w:after="0" w:line="15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780" w:type="dxa"/>
            <w:vAlign w:val="bottom"/>
            <w:gridSpan w:val="15"/>
          </w:tcPr>
          <w:p>
            <w:pPr>
              <w:spacing w:after="0"/>
              <w:rPr>
                <w:rFonts w:ascii="Arial" w:cs="Arial" w:eastAsia="Arial" w:hAnsi="Arial"/>
                <w:sz w:val="19"/>
                <w:szCs w:val="19"/>
                <w:b w:val="1"/>
                <w:bCs w:val="1"/>
                <w:color w:val="0000EE"/>
              </w:rPr>
            </w:pPr>
            <w:hyperlink w:anchor="page68">
              <w:r>
                <w:rPr>
                  <w:rFonts w:ascii="Arial" w:cs="Arial" w:eastAsia="Arial" w:hAnsi="Arial"/>
                  <w:sz w:val="19"/>
                  <w:szCs w:val="19"/>
                  <w:b w:val="1"/>
                  <w:bCs w:val="1"/>
                  <w:color w:val="0000EE"/>
                </w:rPr>
                <w:t>RATIFICATION OF RETENTION OF INDEPENDENT</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300" w:type="dxa"/>
            <w:vAlign w:val="bottom"/>
            <w:tcBorders>
              <w:top w:val="single" w:sz="8" w:color="0000EE"/>
            </w:tcBorders>
            <w:gridSpan w:val="13"/>
          </w:tcPr>
          <w:p>
            <w:pPr>
              <w:spacing w:after="0" w:line="196" w:lineRule="exact"/>
              <w:rPr>
                <w:rFonts w:ascii="Arial" w:cs="Arial" w:eastAsia="Arial" w:hAnsi="Arial"/>
                <w:sz w:val="19"/>
                <w:szCs w:val="19"/>
                <w:b w:val="1"/>
                <w:bCs w:val="1"/>
                <w:color w:val="0000EE"/>
              </w:rPr>
            </w:pPr>
            <w:hyperlink w:anchor="page68">
              <w:r>
                <w:rPr>
                  <w:rFonts w:ascii="Arial" w:cs="Arial" w:eastAsia="Arial" w:hAnsi="Arial"/>
                  <w:sz w:val="19"/>
                  <w:szCs w:val="19"/>
                  <w:b w:val="1"/>
                  <w:bCs w:val="1"/>
                  <w:color w:val="0000EE"/>
                </w:rPr>
                <w:t>REGISTERED PUBLIC ACCOUNTING FIRM</w:t>
              </w:r>
            </w:hyperlink>
          </w:p>
        </w:tc>
        <w:tc>
          <w:tcPr>
            <w:tcW w:w="300" w:type="dxa"/>
            <w:vAlign w:val="bottom"/>
          </w:tcPr>
          <w:p>
            <w:pPr>
              <w:spacing w:after="0"/>
              <w:rPr>
                <w:sz w:val="17"/>
                <w:szCs w:val="17"/>
                <w:color w:val="auto"/>
              </w:rPr>
            </w:pPr>
          </w:p>
        </w:tc>
        <w:tc>
          <w:tcPr>
            <w:tcW w:w="68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rPr>
              <w:t>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40" w:type="dxa"/>
            <w:vAlign w:val="bottom"/>
            <w:tcBorders>
              <w:top w:val="single" w:sz="8" w:color="0000EE"/>
            </w:tcBorders>
            <w:gridSpan w:val="10"/>
          </w:tcPr>
          <w:p>
            <w:pPr>
              <w:spacing w:after="0" w:line="196" w:lineRule="exact"/>
              <w:rPr>
                <w:rFonts w:ascii="Arial" w:cs="Arial" w:eastAsia="Arial" w:hAnsi="Arial"/>
                <w:sz w:val="19"/>
                <w:szCs w:val="19"/>
                <w:b w:val="1"/>
                <w:bCs w:val="1"/>
                <w:color w:val="0000EE"/>
              </w:rPr>
            </w:pPr>
            <w:hyperlink w:anchor="page68">
              <w:r>
                <w:rPr>
                  <w:rFonts w:ascii="Arial" w:cs="Arial" w:eastAsia="Arial" w:hAnsi="Arial"/>
                  <w:sz w:val="19"/>
                  <w:szCs w:val="19"/>
                  <w:b w:val="1"/>
                  <w:bCs w:val="1"/>
                  <w:color w:val="0000EE"/>
                </w:rPr>
                <w:t>(PROPOSAL NO. 2)</w:t>
              </w:r>
            </w:hyperlink>
          </w:p>
        </w:tc>
        <w:tc>
          <w:tcPr>
            <w:tcW w:w="26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960" w:type="dxa"/>
            <w:vAlign w:val="bottom"/>
            <w:tcBorders>
              <w:bottom w:val="single" w:sz="8" w:color="0000EE"/>
            </w:tcBorders>
            <w:gridSpan w:val="10"/>
          </w:tcPr>
          <w:p>
            <w:pPr>
              <w:spacing w:after="0"/>
              <w:rPr>
                <w:rFonts w:ascii="Arial" w:cs="Arial" w:eastAsia="Arial" w:hAnsi="Arial"/>
                <w:sz w:val="19"/>
                <w:szCs w:val="19"/>
                <w:b w:val="1"/>
                <w:bCs w:val="1"/>
                <w:color w:val="0000EE"/>
                <w:w w:val="98"/>
              </w:rPr>
            </w:pPr>
            <w:hyperlink w:anchor="page69">
              <w:r>
                <w:rPr>
                  <w:rFonts w:ascii="Arial" w:cs="Arial" w:eastAsia="Arial" w:hAnsi="Arial"/>
                  <w:sz w:val="19"/>
                  <w:szCs w:val="19"/>
                  <w:b w:val="1"/>
                  <w:bCs w:val="1"/>
                  <w:color w:val="0000EE"/>
                  <w:w w:val="98"/>
                </w:rPr>
                <w:t>ADVISORY VOTE TO APPROVE EXECUTIVE</w:t>
              </w:r>
            </w:hyperlink>
          </w:p>
        </w:tc>
        <w:tc>
          <w:tcPr>
            <w:tcW w:w="82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gridSpan w:val="14"/>
          </w:tcPr>
          <w:p>
            <w:pPr>
              <w:spacing w:after="0" w:line="196" w:lineRule="exact"/>
              <w:rPr>
                <w:rFonts w:ascii="Arial" w:cs="Arial" w:eastAsia="Arial" w:hAnsi="Arial"/>
                <w:sz w:val="19"/>
                <w:szCs w:val="19"/>
                <w:b w:val="1"/>
                <w:bCs w:val="1"/>
                <w:color w:val="0000EE"/>
              </w:rPr>
            </w:pPr>
            <w:hyperlink w:anchor="page69">
              <w:r>
                <w:rPr>
                  <w:rFonts w:ascii="Arial" w:cs="Arial" w:eastAsia="Arial" w:hAnsi="Arial"/>
                  <w:sz w:val="19"/>
                  <w:szCs w:val="19"/>
                  <w:b w:val="1"/>
                  <w:bCs w:val="1"/>
                  <w:color w:val="0000EE"/>
                </w:rPr>
                <w:t>COMPENSATION SET FORTH IN THIS PROXY</w:t>
              </w:r>
            </w:hyperlink>
          </w:p>
        </w:tc>
        <w:tc>
          <w:tcPr>
            <w:tcW w:w="680" w:type="dxa"/>
            <w:vAlign w:val="bottom"/>
            <w:vMerge w:val="restart"/>
          </w:tcPr>
          <w:p>
            <w:pPr>
              <w:jc w:val="right"/>
              <w:ind w:right="66"/>
              <w:spacing w:after="0"/>
              <w:rPr>
                <w:sz w:val="20"/>
                <w:szCs w:val="20"/>
                <w:color w:val="auto"/>
              </w:rPr>
            </w:pPr>
            <w:r>
              <w:rPr>
                <w:rFonts w:ascii="Arial" w:cs="Arial" w:eastAsia="Arial" w:hAnsi="Arial"/>
                <w:sz w:val="19"/>
                <w:szCs w:val="19"/>
                <w:b w:val="1"/>
                <w:bCs w:val="1"/>
                <w:color w:val="auto"/>
              </w:rPr>
              <w:t>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00" w:type="dxa"/>
            <w:vAlign w:val="bottom"/>
            <w:tcBorders>
              <w:top w:val="single" w:sz="8" w:color="0000EE"/>
            </w:tcBorders>
            <w:gridSpan w:val="11"/>
          </w:tcPr>
          <w:p>
            <w:pPr>
              <w:spacing w:after="0" w:line="196" w:lineRule="exact"/>
              <w:rPr>
                <w:rFonts w:ascii="Arial" w:cs="Arial" w:eastAsia="Arial" w:hAnsi="Arial"/>
                <w:sz w:val="19"/>
                <w:szCs w:val="19"/>
                <w:b w:val="1"/>
                <w:bCs w:val="1"/>
                <w:color w:val="0000EE"/>
              </w:rPr>
            </w:pPr>
            <w:hyperlink w:anchor="page69">
              <w:r>
                <w:rPr>
                  <w:rFonts w:ascii="Arial" w:cs="Arial" w:eastAsia="Arial" w:hAnsi="Arial"/>
                  <w:sz w:val="19"/>
                  <w:szCs w:val="19"/>
                  <w:b w:val="1"/>
                  <w:bCs w:val="1"/>
                  <w:color w:val="0000EE"/>
                </w:rPr>
                <w:t>STATEMENT (PROPOSAL NO. 3)</w:t>
              </w:r>
            </w:hyperlink>
          </w:p>
        </w:tc>
        <w:tc>
          <w:tcPr>
            <w:tcW w:w="500" w:type="dxa"/>
            <w:vAlign w:val="bottom"/>
            <w:gridSpan w:val="3"/>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80" w:hanging="267"/>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740" w:type="dxa"/>
            <w:vAlign w:val="bottom"/>
            <w:gridSpan w:val="11"/>
          </w:tcPr>
          <w:p>
            <w:pPr>
              <w:spacing w:after="0"/>
              <w:rPr>
                <w:rFonts w:ascii="Arial" w:cs="Arial" w:eastAsia="Arial" w:hAnsi="Arial"/>
                <w:sz w:val="19"/>
                <w:szCs w:val="19"/>
                <w:b w:val="1"/>
                <w:bCs w:val="1"/>
                <w:color w:val="0000EE"/>
              </w:rPr>
            </w:pPr>
            <w:hyperlink w:anchor="page70">
              <w:r>
                <w:rPr>
                  <w:rFonts w:ascii="Arial" w:cs="Arial" w:eastAsia="Arial" w:hAnsi="Arial"/>
                  <w:sz w:val="19"/>
                  <w:szCs w:val="19"/>
                  <w:b w:val="1"/>
                  <w:bCs w:val="1"/>
                  <w:color w:val="0000EE"/>
                </w:rPr>
                <w:t>ADVISORY VOTE TO APPROVE THE FREQUENCY</w:t>
              </w:r>
            </w:hyperlink>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gridSpan w:val="9"/>
          </w:tcPr>
          <w:p>
            <w:pPr>
              <w:spacing w:after="0" w:line="196" w:lineRule="exact"/>
              <w:rPr>
                <w:rFonts w:ascii="Arial" w:cs="Arial" w:eastAsia="Arial" w:hAnsi="Arial"/>
                <w:sz w:val="19"/>
                <w:szCs w:val="19"/>
                <w:b w:val="1"/>
                <w:bCs w:val="1"/>
                <w:color w:val="0000EE"/>
              </w:rPr>
            </w:pPr>
            <w:hyperlink w:anchor="page70">
              <w:r>
                <w:rPr>
                  <w:rFonts w:ascii="Arial" w:cs="Arial" w:eastAsia="Arial" w:hAnsi="Arial"/>
                  <w:sz w:val="19"/>
                  <w:szCs w:val="19"/>
                  <w:b w:val="1"/>
                  <w:bCs w:val="1"/>
                  <w:color w:val="0000EE"/>
                </w:rPr>
                <w:t>OF THE ADVISORY VOTE OF EXECUTIVE</w:t>
              </w:r>
            </w:hyperlink>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Borders>
              <w:top w:val="single" w:sz="8" w:color="0000EE"/>
            </w:tcBorders>
            <w:gridSpan w:val="7"/>
          </w:tcPr>
          <w:p>
            <w:pPr>
              <w:spacing w:after="0" w:line="196" w:lineRule="exact"/>
              <w:rPr>
                <w:rFonts w:ascii="Arial" w:cs="Arial" w:eastAsia="Arial" w:hAnsi="Arial"/>
                <w:sz w:val="19"/>
                <w:szCs w:val="19"/>
                <w:b w:val="1"/>
                <w:bCs w:val="1"/>
                <w:color w:val="0000EE"/>
              </w:rPr>
            </w:pPr>
            <w:hyperlink w:anchor="page70">
              <w:r>
                <w:rPr>
                  <w:rFonts w:ascii="Arial" w:cs="Arial" w:eastAsia="Arial" w:hAnsi="Arial"/>
                  <w:sz w:val="19"/>
                  <w:szCs w:val="19"/>
                  <w:b w:val="1"/>
                  <w:bCs w:val="1"/>
                  <w:color w:val="0000EE"/>
                </w:rPr>
                <w:t>COMPENSATION</w:t>
              </w:r>
            </w:hyperlink>
          </w:p>
        </w:tc>
        <w:tc>
          <w:tcPr>
            <w:tcW w:w="5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7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top w:val="single" w:sz="8" w:color="0000EE"/>
            </w:tcBorders>
            <w:gridSpan w:val="2"/>
          </w:tcPr>
          <w:p>
            <w:pPr>
              <w:spacing w:after="0" w:line="196" w:lineRule="exact"/>
              <w:rPr>
                <w:rFonts w:ascii="Arial" w:cs="Arial" w:eastAsia="Arial" w:hAnsi="Arial"/>
                <w:sz w:val="19"/>
                <w:szCs w:val="19"/>
                <w:b w:val="1"/>
                <w:bCs w:val="1"/>
                <w:color w:val="0000EE"/>
                <w:w w:val="99"/>
              </w:rPr>
            </w:pPr>
            <w:hyperlink w:anchor="page70">
              <w:r>
                <w:rPr>
                  <w:rFonts w:ascii="Arial" w:cs="Arial" w:eastAsia="Arial" w:hAnsi="Arial"/>
                  <w:sz w:val="19"/>
                  <w:szCs w:val="19"/>
                  <w:b w:val="1"/>
                  <w:bCs w:val="1"/>
                  <w:color w:val="0000EE"/>
                  <w:w w:val="99"/>
                </w:rPr>
                <w:t>(PROPOSAL NO.</w:t>
              </w:r>
            </w:hyperlink>
          </w:p>
        </w:tc>
        <w:tc>
          <w:tcPr>
            <w:tcW w:w="1280" w:type="dxa"/>
            <w:vAlign w:val="bottom"/>
            <w:gridSpan w:val="2"/>
          </w:tcPr>
          <w:p>
            <w:pPr>
              <w:jc w:val="right"/>
              <w:ind w:right="1080"/>
              <w:spacing w:after="0" w:line="196" w:lineRule="exact"/>
              <w:rPr>
                <w:rFonts w:ascii="Arial" w:cs="Arial" w:eastAsia="Arial" w:hAnsi="Arial"/>
                <w:sz w:val="19"/>
                <w:szCs w:val="19"/>
                <w:b w:val="1"/>
                <w:bCs w:val="1"/>
                <w:color w:val="0000EE"/>
              </w:rPr>
            </w:pPr>
            <w:hyperlink w:anchor="page70">
              <w:r>
                <w:rPr>
                  <w:rFonts w:ascii="Arial" w:cs="Arial" w:eastAsia="Arial" w:hAnsi="Arial"/>
                  <w:sz w:val="19"/>
                  <w:szCs w:val="19"/>
                  <w:b w:val="1"/>
                  <w:bCs w:val="1"/>
                  <w:color w:val="0000EE"/>
                </w:rPr>
                <w:t>4)</w:t>
              </w:r>
            </w:hyperlink>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740" w:type="dxa"/>
            <w:vAlign w:val="bottom"/>
            <w:gridSpan w:val="11"/>
          </w:tcPr>
          <w:p>
            <w:pPr>
              <w:spacing w:after="0"/>
              <w:rPr>
                <w:rFonts w:ascii="Arial" w:cs="Arial" w:eastAsia="Arial" w:hAnsi="Arial"/>
                <w:sz w:val="19"/>
                <w:szCs w:val="19"/>
                <w:b w:val="1"/>
                <w:bCs w:val="1"/>
                <w:color w:val="0000EE"/>
              </w:rPr>
            </w:pPr>
            <w:hyperlink w:anchor="page71">
              <w:r>
                <w:rPr>
                  <w:rFonts w:ascii="Arial" w:cs="Arial" w:eastAsia="Arial" w:hAnsi="Arial"/>
                  <w:sz w:val="19"/>
                  <w:szCs w:val="19"/>
                  <w:b w:val="1"/>
                  <w:bCs w:val="1"/>
                  <w:color w:val="0000EE"/>
                </w:rPr>
                <w:t>STOCKHOLDER PROPOSALS FOR 2018 ANNUAL</w:t>
              </w:r>
            </w:hyperlink>
          </w:p>
        </w:tc>
        <w:tc>
          <w:tcPr>
            <w:tcW w:w="7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80" w:type="dxa"/>
            <w:vAlign w:val="bottom"/>
            <w:tcBorders>
              <w:top w:val="single" w:sz="8" w:color="0000EE"/>
            </w:tcBorders>
            <w:gridSpan w:val="8"/>
          </w:tcPr>
          <w:p>
            <w:pPr>
              <w:spacing w:after="0" w:line="196" w:lineRule="exact"/>
              <w:rPr>
                <w:rFonts w:ascii="Arial" w:cs="Arial" w:eastAsia="Arial" w:hAnsi="Arial"/>
                <w:sz w:val="19"/>
                <w:szCs w:val="19"/>
                <w:b w:val="1"/>
                <w:bCs w:val="1"/>
                <w:color w:val="0000EE"/>
              </w:rPr>
            </w:pPr>
            <w:hyperlink w:anchor="page71">
              <w:r>
                <w:rPr>
                  <w:rFonts w:ascii="Arial" w:cs="Arial" w:eastAsia="Arial" w:hAnsi="Arial"/>
                  <w:sz w:val="19"/>
                  <w:szCs w:val="19"/>
                  <w:b w:val="1"/>
                  <w:bCs w:val="1"/>
                  <w:color w:val="0000EE"/>
                </w:rPr>
                <w:t>MEETING OF STOCKHOLDERS</w:t>
              </w:r>
            </w:hyperlink>
          </w:p>
        </w:tc>
        <w:tc>
          <w:tcPr>
            <w:tcW w:w="280" w:type="dxa"/>
            <w:vAlign w:val="bottom"/>
            <w:gridSpan w:val="2"/>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740" w:type="dxa"/>
            <w:vAlign w:val="bottom"/>
            <w:gridSpan w:val="11"/>
          </w:tcPr>
          <w:p>
            <w:pPr>
              <w:spacing w:after="0"/>
              <w:rPr>
                <w:rFonts w:ascii="Arial" w:cs="Arial" w:eastAsia="Arial" w:hAnsi="Arial"/>
                <w:sz w:val="19"/>
                <w:szCs w:val="19"/>
                <w:b w:val="1"/>
                <w:bCs w:val="1"/>
                <w:color w:val="0000EE"/>
              </w:rPr>
            </w:pPr>
            <w:hyperlink w:anchor="page72">
              <w:r>
                <w:rPr>
                  <w:rFonts w:ascii="Arial" w:cs="Arial" w:eastAsia="Arial" w:hAnsi="Arial"/>
                  <w:sz w:val="19"/>
                  <w:szCs w:val="19"/>
                  <w:b w:val="1"/>
                  <w:bCs w:val="1"/>
                  <w:color w:val="0000EE"/>
                </w:rPr>
                <w:t>OTHER MATTERS</w:t>
              </w:r>
            </w:hyperlink>
          </w:p>
        </w:tc>
        <w:tc>
          <w:tcPr>
            <w:tcW w:w="720" w:type="dxa"/>
            <w:vAlign w:val="bottom"/>
          </w:tcPr>
          <w:p>
            <w:pPr>
              <w:jc w:val="right"/>
              <w:ind w:right="65"/>
              <w:spacing w:after="0"/>
              <w:rPr>
                <w:sz w:val="20"/>
                <w:szCs w:val="20"/>
                <w:color w:val="auto"/>
              </w:rPr>
            </w:pPr>
            <w:r>
              <w:rPr>
                <w:rFonts w:ascii="Arial" w:cs="Arial" w:eastAsia="Arial" w:hAnsi="Arial"/>
                <w:sz w:val="19"/>
                <w:szCs w:val="19"/>
                <w:b w:val="1"/>
                <w:bCs w:val="1"/>
                <w:color w:val="auto"/>
              </w:rPr>
              <w:t>66</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740" w:type="dxa"/>
            <w:vAlign w:val="bottom"/>
            <w:gridSpan w:val="11"/>
          </w:tcPr>
          <w:p>
            <w:pPr>
              <w:spacing w:after="0"/>
              <w:rPr>
                <w:rFonts w:ascii="Arial" w:cs="Arial" w:eastAsia="Arial" w:hAnsi="Arial"/>
                <w:sz w:val="19"/>
                <w:szCs w:val="19"/>
                <w:b w:val="1"/>
                <w:bCs w:val="1"/>
                <w:color w:val="0000EE"/>
              </w:rPr>
            </w:pPr>
            <w:hyperlink w:anchor="page73">
              <w:r>
                <w:rPr>
                  <w:rFonts w:ascii="Arial" w:cs="Arial" w:eastAsia="Arial" w:hAnsi="Arial"/>
                  <w:sz w:val="19"/>
                  <w:szCs w:val="19"/>
                  <w:b w:val="1"/>
                  <w:bCs w:val="1"/>
                  <w:color w:val="0000EE"/>
                </w:rPr>
                <w:t>APPENDIX A RECONCILIATION OF</w:t>
              </w:r>
            </w:hyperlink>
          </w:p>
        </w:tc>
        <w:tc>
          <w:tcPr>
            <w:tcW w:w="720" w:type="dxa"/>
            <w:vAlign w:val="bottom"/>
            <w:vMerge w:val="restart"/>
          </w:tcPr>
          <w:p>
            <w:pPr>
              <w:jc w:val="right"/>
              <w:ind w:right="65"/>
              <w:spacing w:after="0"/>
              <w:rPr>
                <w:sz w:val="20"/>
                <w:szCs w:val="20"/>
                <w:color w:val="auto"/>
              </w:rPr>
            </w:pPr>
            <w:r>
              <w:rPr>
                <w:rFonts w:ascii="Arial" w:cs="Arial" w:eastAsia="Arial" w:hAnsi="Arial"/>
                <w:sz w:val="19"/>
                <w:szCs w:val="19"/>
                <w:b w:val="1"/>
                <w:bCs w:val="1"/>
                <w:color w:val="auto"/>
              </w:rPr>
              <w:t>A-1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gridSpan w:val="10"/>
          </w:tcPr>
          <w:p>
            <w:pPr>
              <w:spacing w:after="0" w:line="196" w:lineRule="exact"/>
              <w:rPr>
                <w:rFonts w:ascii="Arial" w:cs="Arial" w:eastAsia="Arial" w:hAnsi="Arial"/>
                <w:sz w:val="19"/>
                <w:szCs w:val="19"/>
                <w:b w:val="1"/>
                <w:bCs w:val="1"/>
                <w:color w:val="0000EE"/>
              </w:rPr>
            </w:pPr>
            <w:hyperlink w:anchor="page73">
              <w:r>
                <w:rPr>
                  <w:rFonts w:ascii="Arial" w:cs="Arial" w:eastAsia="Arial" w:hAnsi="Arial"/>
                  <w:sz w:val="19"/>
                  <w:szCs w:val="19"/>
                  <w:b w:val="1"/>
                  <w:bCs w:val="1"/>
                  <w:color w:val="0000EE"/>
                </w:rPr>
                <w:t>NON-GAAP FINANCIAL MEASURES</w:t>
              </w:r>
            </w:hyperlink>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-2014855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480" w:space="340"/>
            <w:col w:w="5480"/>
          </w:cols>
          <w:pgMar w:left="240" w:top="264" w:right="359" w:bottom="1440" w:gutter="0" w:footer="0" w:header="0"/>
        </w:sectPr>
      </w:pPr>
    </w:p>
    <w:bookmarkStart w:id="6" w:name="page7"/>
    <w:bookmarkEnd w:id="6"/>
    <w:p>
      <w:pPr>
        <w:ind w:right="1680"/>
        <w:spacing w:after="0" w:line="274" w:lineRule="auto"/>
        <w:rPr>
          <w:sz w:val="20"/>
          <w:szCs w:val="20"/>
          <w:color w:val="auto"/>
        </w:rPr>
      </w:pPr>
      <w:r>
        <w:rPr>
          <w:rFonts w:ascii="Arial" w:cs="Arial" w:eastAsia="Arial" w:hAnsi="Arial"/>
          <w:sz w:val="40"/>
          <w:szCs w:val="40"/>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QUESTIONS AND ANSWERS ABOUT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23"/>
          <w:szCs w:val="23"/>
          <w:color w:val="auto"/>
        </w:rPr>
        <w:t>Why did you send me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93" w:right="339" w:bottom="1440" w:gutter="0" w:footer="0" w:header="0"/>
        </w:sectPr>
      </w:pPr>
    </w:p>
    <w:p>
      <w:pPr>
        <w:spacing w:after="0" w:line="3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sent you this proxy statement because the Board of Directors (the “Board”) is soliciting your proxy to vote at the Annual Meeting to be held on May 18, 2017, at 9:00 a.m. (Eastern Time) and at any postponements or adjournments of</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Annual Meeting. This proxy statement summarizes information that is intended to assist you in making an informed vote on the proposals described in this proxy statement.</w:t>
      </w:r>
    </w:p>
    <w:p>
      <w:pPr>
        <w:spacing w:after="0" w:line="387" w:lineRule="exact"/>
        <w:rPr>
          <w:sz w:val="20"/>
          <w:szCs w:val="20"/>
          <w:color w:val="auto"/>
        </w:rPr>
      </w:pPr>
    </w:p>
    <w:p>
      <w:pPr>
        <w:sectPr>
          <w:pgSz w:w="11900" w:h="16838" w:orient="portrait"/>
          <w:cols w:equalWidth="0" w:num="2">
            <w:col w:w="5360" w:space="460"/>
            <w:col w:w="5500"/>
          </w:cols>
          <w:pgMar w:left="240" w:top="393" w:right="3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color w:val="auto"/>
        </w:rPr>
        <w:t>Who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93" w:right="339" w:bottom="1440" w:gutter="0" w:footer="0" w:header="0"/>
          <w:type w:val="continuous"/>
        </w:sectPr>
      </w:pPr>
    </w:p>
    <w:p>
      <w:pPr>
        <w:spacing w:after="0" w:line="3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23, 2017. On the record date, there were 68,697,937 shares of our common stock, par value $0.01 per share, outstanding (excluding</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10,510,641 shares reserved for the satisfaction of certain claims in connection with our emergence from chapter 11 bankruptcy proceedings, which are not entitled to vote at the Annual Meeting). Our common stock is the only class of voting securities outstanding.</w:t>
      </w:r>
    </w:p>
    <w:p>
      <w:pPr>
        <w:spacing w:after="0" w:line="388" w:lineRule="exact"/>
        <w:rPr>
          <w:sz w:val="20"/>
          <w:szCs w:val="20"/>
          <w:color w:val="auto"/>
        </w:rPr>
      </w:pPr>
    </w:p>
    <w:p>
      <w:pPr>
        <w:sectPr>
          <w:pgSz w:w="11900" w:h="16838" w:orient="portrait"/>
          <w:cols w:equalWidth="0" w:num="2">
            <w:col w:w="5340" w:space="480"/>
            <w:col w:w="5500"/>
          </w:cols>
          <w:pgMar w:left="240" w:top="393" w:right="3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color w:val="auto"/>
        </w:rPr>
        <w:t>How many shares must be present to conduct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93" w:right="339" w:bottom="1440" w:gutter="0" w:footer="0" w:header="0"/>
          <w:type w:val="continuous"/>
        </w:sectPr>
      </w:pPr>
    </w:p>
    <w:p>
      <w:pPr>
        <w:spacing w:after="0" w:line="31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must have a quorum present in person or by proxy to conduct the Annual Meeting. A quorum is established when a majority of shares entitled to vote is present in person or</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represented by proxy at the Annual Meeting. Abstentions and broker non-votes (as described below) are counted for purposes of determining whether a quorum is present.</w:t>
      </w:r>
    </w:p>
    <w:p>
      <w:pPr>
        <w:spacing w:after="0" w:line="200" w:lineRule="exact"/>
        <w:rPr>
          <w:sz w:val="20"/>
          <w:szCs w:val="20"/>
          <w:color w:val="auto"/>
        </w:rPr>
      </w:pPr>
    </w:p>
    <w:p>
      <w:pPr>
        <w:sectPr>
          <w:pgSz w:w="11900" w:h="16838" w:orient="portrait"/>
          <w:cols w:equalWidth="0" w:num="2">
            <w:col w:w="5420" w:space="400"/>
            <w:col w:w="5500"/>
          </w:cols>
          <w:pgMar w:left="240" w:top="393" w:right="3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color w:val="auto"/>
        </w:rPr>
        <w:t>What matters are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93" w:right="339"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agenda for the Annual Meeting is to:</w:t>
      </w:r>
    </w:p>
    <w:p>
      <w:pPr>
        <w:spacing w:after="0" w:line="12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elect ten directors;</w:t>
      </w:r>
    </w:p>
    <w:p>
      <w:pPr>
        <w:spacing w:after="0" w:line="126"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ratify the retention of Ernst &amp; Young LLP as our independent registered public accounting firm for 2017;</w:t>
      </w:r>
    </w:p>
    <w:p>
      <w:pPr>
        <w:spacing w:after="0" w:line="101"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provide an advisory vote to approve our executive compensation;</w:t>
      </w:r>
    </w:p>
    <w:p>
      <w:pPr>
        <w:spacing w:after="0" w:line="126" w:lineRule="exact"/>
        <w:rPr>
          <w:rFonts w:ascii="Arial" w:cs="Arial" w:eastAsia="Arial" w:hAnsi="Arial"/>
          <w:sz w:val="16"/>
          <w:szCs w:val="16"/>
          <w:color w:val="auto"/>
        </w:rPr>
      </w:pPr>
    </w:p>
    <w:p>
      <w:pPr>
        <w:ind w:left="340" w:right="400" w:hanging="332"/>
        <w:spacing w:after="0" w:line="260"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provide an advisory vote on the frequency of the advisory vote on executive compensation; and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340" w:right="20" w:hanging="332"/>
        <w:spacing w:after="0" w:line="260"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conduct any other business properly brought before the Annual Meeting or any adjournments or postponements thereof.</w:t>
      </w:r>
    </w:p>
    <w:p>
      <w:pPr>
        <w:spacing w:after="0" w:line="88"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774" w:lineRule="exact"/>
        <w:rPr>
          <w:sz w:val="20"/>
          <w:szCs w:val="20"/>
          <w:color w:val="auto"/>
        </w:rPr>
      </w:pPr>
    </w:p>
    <w:p>
      <w:pPr>
        <w:sectPr>
          <w:pgSz w:w="11900" w:h="16838" w:orient="portrait"/>
          <w:cols w:equalWidth="0" w:num="2">
            <w:col w:w="5420" w:space="400"/>
            <w:col w:w="5500"/>
          </w:cols>
          <w:pgMar w:left="240" w:top="393"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color w:val="auto"/>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93" w:right="339"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w:t>
      </w:r>
    </w:p>
    <w:p>
      <w:pPr>
        <w:spacing w:after="0" w:line="107" w:lineRule="exact"/>
        <w:rPr>
          <w:sz w:val="20"/>
          <w:szCs w:val="20"/>
          <w:color w:val="auto"/>
        </w:rPr>
      </w:pPr>
    </w:p>
    <w:p>
      <w:pPr>
        <w:ind w:left="340" w:hanging="332"/>
        <w:spacing w:after="0" w:line="28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Lear’s director nominees named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w:t>
      </w:r>
    </w:p>
    <w:p>
      <w:pPr>
        <w:spacing w:after="0" w:line="61" w:lineRule="exact"/>
        <w:rPr>
          <w:rFonts w:ascii="Arial" w:cs="Arial" w:eastAsia="Arial" w:hAnsi="Arial"/>
          <w:sz w:val="16"/>
          <w:szCs w:val="16"/>
          <w:color w:val="auto"/>
        </w:rPr>
      </w:pPr>
    </w:p>
    <w:p>
      <w:pPr>
        <w:ind w:left="340" w:right="200" w:hanging="332"/>
        <w:spacing w:after="0" w:line="28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retention of Ernst &amp; Young LLP as our</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registered public accounting firm for 2017;</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332" w:right="1080" w:hanging="332"/>
        <w:spacing w:after="0" w:line="286" w:lineRule="auto"/>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w:t>
      </w:r>
    </w:p>
    <w:p>
      <w:pPr>
        <w:spacing w:after="0" w:line="61" w:lineRule="exact"/>
        <w:rPr>
          <w:rFonts w:ascii="Arial" w:cs="Arial" w:eastAsia="Arial" w:hAnsi="Arial"/>
          <w:sz w:val="16"/>
          <w:szCs w:val="16"/>
          <w:color w:val="auto"/>
        </w:rPr>
      </w:pPr>
    </w:p>
    <w:p>
      <w:pPr>
        <w:ind w:left="332" w:right="160" w:hanging="332"/>
        <w:spacing w:after="0" w:line="286" w:lineRule="auto"/>
        <w:tabs>
          <w:tab w:leader="none" w:pos="3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For future advisory votes on executive compensation to occur </w:t>
      </w:r>
      <w:r>
        <w:rPr>
          <w:rFonts w:ascii="Arial" w:cs="Arial" w:eastAsia="Arial" w:hAnsi="Arial"/>
          <w:sz w:val="16"/>
          <w:szCs w:val="16"/>
          <w:b w:val="1"/>
          <w:bCs w:val="1"/>
          <w:color w:val="auto"/>
        </w:rPr>
        <w:t>EVERY</w:t>
      </w:r>
      <w:r>
        <w:rPr>
          <w:rFonts w:ascii="Arial" w:cs="Arial" w:eastAsia="Arial" w:hAnsi="Arial"/>
          <w:sz w:val="16"/>
          <w:szCs w:val="16"/>
          <w:color w:val="auto"/>
        </w:rPr>
        <w:t xml:space="preserve"> </w:t>
      </w:r>
      <w:r>
        <w:rPr>
          <w:rFonts w:ascii="Arial" w:cs="Arial" w:eastAsia="Arial" w:hAnsi="Arial"/>
          <w:sz w:val="16"/>
          <w:szCs w:val="16"/>
          <w:b w:val="1"/>
          <w:bCs w:val="1"/>
          <w:color w:val="auto"/>
        </w:rPr>
        <w:t>ONE YEAR</w:t>
      </w:r>
      <w:r>
        <w:rPr>
          <w:rFonts w:ascii="Arial" w:cs="Arial" w:eastAsia="Arial" w:hAnsi="Arial"/>
          <w:sz w:val="16"/>
          <w:szCs w:val="16"/>
          <w:color w:val="auto"/>
        </w:rPr>
        <w:t>.</w:t>
      </w: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320" w:val="left"/>
          <w:tab w:leader="none" w:pos="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w:t>
      </w:r>
    </w:p>
    <w:p>
      <w:pPr>
        <w:sectPr>
          <w:pgSz w:w="11900" w:h="16838" w:orient="portrait"/>
          <w:cols w:equalWidth="0" w:num="2">
            <w:col w:w="5140" w:space="688"/>
            <w:col w:w="5492"/>
          </w:cols>
          <w:pgMar w:left="240" w:top="393"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QUESTIONS AND ANSWERS ABOUT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How do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sectPr>
      </w:pP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 may vote in person at the Annual Meeting or by proxy. In addition, if you are a stockholder of record of Lear’s shares, there are three ways to vote by proxy:</w:t>
      </w:r>
    </w:p>
    <w:p>
      <w:pPr>
        <w:spacing w:after="0" w:line="107" w:lineRule="exact"/>
        <w:rPr>
          <w:sz w:val="20"/>
          <w:szCs w:val="20"/>
          <w:color w:val="auto"/>
        </w:rPr>
      </w:pPr>
    </w:p>
    <w:p>
      <w:pPr>
        <w:ind w:left="220" w:hanging="212"/>
        <w:spacing w:after="0" w:line="253"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Telephone — You can vote by telephone by following the instructions on your proxy card. You will need to use the control number appearing on your Notice or proxy card to vote by telephone;</w:t>
      </w:r>
    </w:p>
    <w:p>
      <w:pPr>
        <w:spacing w:after="0" w:line="106" w:lineRule="exact"/>
        <w:rPr>
          <w:rFonts w:ascii="Arial" w:cs="Arial" w:eastAsia="Arial" w:hAnsi="Arial"/>
          <w:sz w:val="16"/>
          <w:szCs w:val="16"/>
          <w:color w:val="auto"/>
        </w:rPr>
      </w:pPr>
    </w:p>
    <w:p>
      <w:pPr>
        <w:ind w:left="220" w:hanging="212"/>
        <w:spacing w:after="0" w:line="253"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Internet — You can vote via the Internet by following the instructions on your proxy card. You will need to use the control number appearing on your Notice or proxy card to vote via the Internet; or</w:t>
      </w:r>
    </w:p>
    <w:p>
      <w:pPr>
        <w:spacing w:after="0" w:line="106" w:lineRule="exact"/>
        <w:rPr>
          <w:rFonts w:ascii="Arial" w:cs="Arial" w:eastAsia="Arial" w:hAnsi="Arial"/>
          <w:sz w:val="16"/>
          <w:szCs w:val="16"/>
          <w:color w:val="auto"/>
        </w:rPr>
      </w:pPr>
    </w:p>
    <w:p>
      <w:pPr>
        <w:ind w:left="220" w:right="80" w:hanging="212"/>
        <w:spacing w:after="0" w:line="260"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By Mail — You can vote by completing, dating, signing and returning the proxy card.</w:t>
      </w:r>
    </w:p>
    <w:p>
      <w:pPr>
        <w:spacing w:after="0" w:line="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If you are a beneficial owner of shares held in street name, you may vote as follows:</w:t>
      </w:r>
    </w:p>
    <w:p>
      <w:pPr>
        <w:spacing w:after="0" w:line="101" w:lineRule="exact"/>
        <w:rPr>
          <w:sz w:val="20"/>
          <w:szCs w:val="20"/>
          <w:color w:val="auto"/>
        </w:rPr>
      </w:pPr>
    </w:p>
    <w:p>
      <w:pPr>
        <w:ind w:left="220" w:right="20" w:hanging="212"/>
        <w:spacing w:after="0" w:line="250"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Telephone — If you request printed copies of the proxy materials by mail, you will receive a voting instruction form and you may vote by proxy by calling the toll free number found on the voting instruction form. The availability of telephone voting may depend on the voting process of the organization that holds your shares.</w:t>
      </w:r>
    </w:p>
    <w:p>
      <w:pPr>
        <w:spacing w:after="0" w:line="108" w:lineRule="exact"/>
        <w:rPr>
          <w:rFonts w:ascii="Arial" w:cs="Arial" w:eastAsia="Arial" w:hAnsi="Arial"/>
          <w:sz w:val="16"/>
          <w:szCs w:val="16"/>
          <w:color w:val="auto"/>
        </w:rPr>
      </w:pPr>
    </w:p>
    <w:p>
      <w:pPr>
        <w:ind w:left="220" w:right="460" w:hanging="212"/>
        <w:spacing w:after="0" w:line="251"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Internet — You may vote by proxy via the Internet by visiting www.proxyvote.com and entering the control number found in your Notice. The availability of Internet voting may depend on the voting process of the organization that holds your shares.</w:t>
      </w:r>
    </w:p>
    <w:p>
      <w:pPr>
        <w:spacing w:after="0" w:line="108" w:lineRule="exact"/>
        <w:rPr>
          <w:rFonts w:ascii="Arial" w:cs="Arial" w:eastAsia="Arial" w:hAnsi="Arial"/>
          <w:sz w:val="16"/>
          <w:szCs w:val="16"/>
          <w:color w:val="auto"/>
        </w:rPr>
      </w:pPr>
    </w:p>
    <w:p>
      <w:pPr>
        <w:ind w:left="220" w:right="180" w:hanging="212"/>
        <w:spacing w:after="0" w:line="251"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By Mail — If you request printed copies of the proxy materials by mail, you will receive a voting instruction form and you may vote by proxy by filling out the voting instruction form and returning it in the envelope provided.</w:t>
      </w:r>
    </w:p>
    <w:p>
      <w:pPr>
        <w:spacing w:after="0" w:line="9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If you are a beneficial owner of shares held in street name and wish to vote in person at the Annual Meeting, you must obtain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 “legal proxy” from the organization that holds your shares. A legal proxy is a written document that will authorize you to vote your shares held in street name at the Annual Meeting. Please contact the organization that holds your shares for instructions regarding obtaining a legal proxy. You must bring a copy of the legal proxy to the Annual Meeting and ask for a ballot when you arrive.</w:t>
      </w:r>
    </w:p>
    <w:p>
      <w:pPr>
        <w:spacing w:after="0" w:line="9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Telephone and Internet voting facilities for stockholders of record will be available 24 hours a day. You may vote over the telephone or via the Internet until 11:59 p.m. on May 17, 2017. Even if you plan to attend the Annual Meeting in person, we recommend that you also submit your proxy or voting instructions as described above so that your vote will be counted if you later decide not to attend the Annual Meeting in person.</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FOR the advisory approval of executive compensation described in this proxy statement and for the EVERY ONE YEAR frequency option for the advisory vote on executive compensation.</w:t>
      </w:r>
    </w:p>
    <w:p>
      <w:pPr>
        <w:spacing w:after="0" w:line="9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1017" w:lineRule="exact"/>
        <w:rPr>
          <w:sz w:val="20"/>
          <w:szCs w:val="20"/>
          <w:color w:val="auto"/>
        </w:rPr>
      </w:pPr>
    </w:p>
    <w:p>
      <w:pPr>
        <w:sectPr>
          <w:pgSz w:w="11900" w:h="16838" w:orient="portrait"/>
          <w:cols w:equalWidth="0" w:num="2">
            <w:col w:w="5460" w:space="360"/>
            <w:col w:w="5460"/>
          </w:cols>
          <w:pgMar w:left="240" w:top="267" w:right="37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color w:val="auto"/>
        </w:rPr>
        <w:t>What does it mean if I receive more than one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type w:val="continuous"/>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You may receive more than one Notice, more than one e-mail or multiple proxy cards or voting instruction cards. For example, if you hold your shares in more than one brokerage account, you may receive a separate Notice, a separate e-mail or a separate voting instruction card for each brokerage account in which you hold shares. If you are a stockholder of record and your shares are registered in more than one name, you may receive more than one Notice, more than one e-mail</w:t>
      </w:r>
    </w:p>
    <w:p>
      <w:pPr>
        <w:spacing w:after="0" w:line="252" w:lineRule="exact"/>
        <w:rPr>
          <w:sz w:val="20"/>
          <w:szCs w:val="20"/>
          <w:color w:val="auto"/>
        </w:rPr>
      </w:pPr>
    </w:p>
    <w:p>
      <w:pPr>
        <w:ind w:left="380" w:hanging="267"/>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or more than one proxy card. To vote all of your shares by proxy, you must complete, sign, date and return each proxy card and voting instruction card that you receive and vote over the Internet the shares represented by each Notice that you receive (unless you have requested and received a proxy card or voting instruction card for the shares represented by one or more of those Notices).</w:t>
      </w:r>
    </w:p>
    <w:p>
      <w:pPr>
        <w:sectPr>
          <w:pgSz w:w="11900" w:h="16838" w:orient="portrait"/>
          <w:cols w:equalWidth="0" w:num="2">
            <w:col w:w="5440" w:space="380"/>
            <w:col w:w="5460"/>
          </w:cols>
          <w:pgMar w:left="240" w:top="267" w:right="37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QUESTIONS AND ANSWERS ABOUT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May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p>
      <w:pPr>
        <w:spacing w:after="0" w:line="3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Yes. You may revoke your proxy at any time before it is voted at the Annual Meeting. To change your vote, if you are a stockholder of record, you may submit another later dated proxy by telephone, Internet or mail or by voting your shares in person at the Annual Meeting (your attendance at the Annual Meeting will not, by itself, revoke your proxy; you must vote in person at the Annual Meeting to revoke your proxy). If you are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a beneficial owner and your shares are held in street name, you may change your vote by submitting new voting instructions to your bank, broker, trustee or nominee, or if you have obtained a legal proxy from such entity giving you the right to vote your shares, you may change your vote by attending the Annual Meeting and voting in person.</w:t>
      </w:r>
    </w:p>
    <w:p>
      <w:pPr>
        <w:spacing w:after="0" w:line="387" w:lineRule="exact"/>
        <w:rPr>
          <w:sz w:val="20"/>
          <w:szCs w:val="20"/>
          <w:color w:val="auto"/>
        </w:rPr>
      </w:pPr>
    </w:p>
    <w:p>
      <w:pPr>
        <w:sectPr>
          <w:pgSz w:w="11900" w:h="16838" w:orient="portrait"/>
          <w:cols w:equalWidth="0" w:num="2">
            <w:col w:w="5440" w:space="380"/>
            <w:col w:w="5600"/>
          </w:cols>
          <w:pgMar w:left="240" w:top="267"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23"/>
          <w:szCs w:val="23"/>
          <w:color w:val="auto"/>
        </w:rPr>
        <w:t>What vote is required to elect directors and approve the other matters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the ratification of the retention of Ernst &amp; Young LLP as our independent registered public accounting firm (Proposal No. 2) and the advisory approval of our executive compensation (Proposal No. 3), the affirmative vote of the holders of a majority of the shares represented in person or by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proxy and entitled to vote on the proposal will be required for approval. Abstentions will not be voted but will be counted for purposes of determining whether there is a quorum. Accordingly, abstentions will have the effect of a negative vote on Proposals No. 2 and 3. Broker non-votes will have no effect on Proposal No. 3. The frequency receiving the highest number of votes cast on the advisory vote on the frequency of our advisory approval of executive compensation (Proposal No. 4) will be deemed to be the frequency selected by the stockholders. Abstentions and broker non-votes will have no effect on Proposal No. 4. For additional information about broker non-votes see “How do I vote if my bank or broker holds my shares in ‘street name’?”</w:t>
      </w:r>
    </w:p>
    <w:p>
      <w:pPr>
        <w:spacing w:after="0" w:line="200" w:lineRule="exact"/>
        <w:rPr>
          <w:sz w:val="20"/>
          <w:szCs w:val="20"/>
          <w:color w:val="auto"/>
        </w:rPr>
      </w:pPr>
    </w:p>
    <w:p>
      <w:pPr>
        <w:sectPr>
          <w:pgSz w:w="11900" w:h="16838" w:orient="portrait"/>
          <w:cols w:equalWidth="0" w:num="2">
            <w:col w:w="5460" w:space="360"/>
            <w:col w:w="5600"/>
          </w:cols>
          <w:pgMar w:left="240" w:top="267" w:right="239" w:bottom="1440" w:gutter="0" w:footer="0" w:header="0"/>
          <w:type w:val="continuous"/>
        </w:sect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385" w:lineRule="exact"/>
        <w:rPr>
          <w:sz w:val="20"/>
          <w:szCs w:val="20"/>
          <w:color w:val="auto"/>
        </w:rPr>
      </w:pPr>
    </w:p>
    <w:p>
      <w:pPr>
        <w:sectPr>
          <w:pgSz w:w="11900" w:h="16838" w:orient="portrait"/>
          <w:cols w:equalWidth="0" w:num="2">
            <w:col w:w="5380" w:space="440"/>
            <w:col w:w="5600"/>
          </w:cols>
          <w:pgMar w:left="240" w:top="267" w:right="2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color w:val="auto"/>
        </w:rPr>
        <w:t>How do I vote if my bank or broker holds my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 auditors)) but will not be permitted to exercise voting discretion with respect to non-routine matters (Proposals No. 1 (director elections), No. 3 (advisory vote on executive compensation) and No. 4 (advisory vote on the frequency of advisory vote 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executive compensation). Thus, if you do not give your bank, broker or 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200" w:lineRule="exact"/>
        <w:rPr>
          <w:sz w:val="20"/>
          <w:szCs w:val="20"/>
          <w:color w:val="auto"/>
        </w:rPr>
      </w:pPr>
    </w:p>
    <w:p>
      <w:pPr>
        <w:sectPr>
          <w:pgSz w:w="11900" w:h="16838" w:orient="portrait"/>
          <w:cols w:equalWidth="0" w:num="2">
            <w:col w:w="5480" w:space="340"/>
            <w:col w:w="5600"/>
          </w:cols>
          <w:pgMar w:left="240" w:top="267" w:right="239" w:bottom="1440" w:gutter="0" w:footer="0" w:header="0"/>
          <w:type w:val="continuous"/>
        </w:sectPr>
      </w:pPr>
    </w:p>
    <w:p>
      <w:pPr>
        <w:spacing w:after="0" w:line="62" w:lineRule="exact"/>
        <w:rPr>
          <w:sz w:val="20"/>
          <w:szCs w:val="20"/>
          <w:color w:val="auto"/>
        </w:rPr>
      </w:pPr>
    </w:p>
    <w:p>
      <w:pPr>
        <w:ind w:left="9240"/>
        <w:spacing w:after="0"/>
        <w:tabs>
          <w:tab w:leader="none" w:pos="10960" w:val="left"/>
          <w:tab w:leader="none" w:pos="112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w:t>
      </w:r>
    </w:p>
    <w:p>
      <w:pPr>
        <w:sectPr>
          <w:pgSz w:w="11900" w:h="16838" w:orient="portrait"/>
          <w:cols w:equalWidth="0" w:num="1">
            <w:col w:w="11420"/>
          </w:cols>
          <w:pgMar w:left="240" w:top="267"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QUESTIONS AND ANSWERS ABOUT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Each share of common stock that you hold as of the record date entitles you</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one vote, without cumulation, on each matter to be voted upon at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Annual Meeting.</w:t>
      </w: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color w:val="auto"/>
        </w:rPr>
        <w:t>How will the votes be counted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The votes will be counted by the inspector of election appointed for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Annual Meeting.</w:t>
      </w:r>
    </w:p>
    <w:p>
      <w:pPr>
        <w:spacing w:after="0" w:line="386" w:lineRule="exact"/>
        <w:rPr>
          <w:sz w:val="20"/>
          <w:szCs w:val="20"/>
          <w:color w:val="auto"/>
        </w:rPr>
      </w:pPr>
    </w:p>
    <w:p>
      <w:pPr>
        <w:spacing w:after="0"/>
        <w:rPr>
          <w:sz w:val="20"/>
          <w:szCs w:val="20"/>
          <w:color w:val="auto"/>
        </w:rPr>
      </w:pPr>
      <w:r>
        <w:rPr>
          <w:rFonts w:ascii="Arial" w:cs="Arial" w:eastAsia="Arial" w:hAnsi="Arial"/>
          <w:sz w:val="23"/>
          <w:szCs w:val="23"/>
          <w:color w:val="auto"/>
        </w:rPr>
        <w:t>How will the Company announce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report the final results of the voting at the Annual Meeting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a filing with the SEC on a Current Report on Form 8-K.</w:t>
      </w:r>
    </w:p>
    <w:p>
      <w:pPr>
        <w:spacing w:after="0" w:line="399" w:lineRule="exact"/>
        <w:rPr>
          <w:sz w:val="20"/>
          <w:szCs w:val="20"/>
          <w:color w:val="auto"/>
        </w:rPr>
      </w:pPr>
    </w:p>
    <w:p>
      <w:pPr>
        <w:spacing w:after="0"/>
        <w:rPr>
          <w:sz w:val="20"/>
          <w:szCs w:val="20"/>
          <w:color w:val="auto"/>
        </w:rPr>
      </w:pPr>
      <w:r>
        <w:rPr>
          <w:rFonts w:ascii="Arial" w:cs="Arial" w:eastAsia="Arial" w:hAnsi="Arial"/>
          <w:sz w:val="23"/>
          <w:szCs w:val="23"/>
          <w:color w:val="auto"/>
        </w:rPr>
        <w:t>Who pays for the Company’s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sectPr>
      </w:pPr>
    </w:p>
    <w:p>
      <w:pPr>
        <w:spacing w:after="0" w:line="3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388" w:lineRule="exact"/>
        <w:rPr>
          <w:sz w:val="20"/>
          <w:szCs w:val="20"/>
          <w:color w:val="auto"/>
        </w:rPr>
      </w:pPr>
    </w:p>
    <w:p>
      <w:pPr>
        <w:sectPr>
          <w:pgSz w:w="11900" w:h="16838" w:orient="portrait"/>
          <w:cols w:equalWidth="0" w:num="2">
            <w:col w:w="5460" w:space="360"/>
            <w:col w:w="5460"/>
          </w:cols>
          <w:pgMar w:left="240" w:top="267" w:right="37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color w:val="auto"/>
        </w:rPr>
        <w:t>What is “householding” and how does it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type w:val="continuous"/>
        </w:sectPr>
      </w:pPr>
    </w:p>
    <w:p>
      <w:pPr>
        <w:spacing w:after="0" w:line="3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proxy statement or annual report, contact Broadridge Financial Solutions, Inc. by calling 1-800-542-1061 or in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writing at Broadridge, Householding Department, 51 Mercedes Way, Edgewood, New York 11717.</w:t>
      </w:r>
    </w:p>
    <w:p>
      <w:pPr>
        <w:spacing w:after="0" w:line="8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465" w:lineRule="exact"/>
        <w:rPr>
          <w:sz w:val="20"/>
          <w:szCs w:val="20"/>
          <w:color w:val="auto"/>
        </w:rPr>
      </w:pPr>
    </w:p>
    <w:p>
      <w:pPr>
        <w:sectPr>
          <w:pgSz w:w="11900" w:h="16838" w:orient="portrait"/>
          <w:cols w:equalWidth="0" w:num="2">
            <w:col w:w="5440" w:space="380"/>
            <w:col w:w="5460"/>
          </w:cols>
          <w:pgMar w:left="240" w:top="267" w:right="37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color w:val="auto"/>
        </w:rPr>
        <w:t>What do I need for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type w:val="continuous"/>
        </w:sectPr>
      </w:pPr>
    </w:p>
    <w:p>
      <w:pPr>
        <w:spacing w:after="0" w:line="3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Attendance at the Annual Meeting or any adjournment or postponement thereof will be limited to record and beneficial stockholders as of the record date (March 23, 2017), individuals holding a valid proxy from a record holder and other persons authorized by the Company. If you are a stockholder of record (or a “recordholder”), your name will be verified against the list of stockholders of record prior to your</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admittance to the Annual Meeting or any adjournment or postponement thereof. You should be prepared to present photo identification for admission. If you hold your shares in a street name, you will need to provide proof of beneficial ownership on the record date, such as a brokerage account statement showing that you owned stock as of the record date, a copy of a voting instruction form provided by your</w:t>
      </w:r>
    </w:p>
    <w:p>
      <w:pPr>
        <w:spacing w:after="0" w:line="200" w:lineRule="exact"/>
        <w:rPr>
          <w:sz w:val="20"/>
          <w:szCs w:val="20"/>
          <w:color w:val="auto"/>
        </w:rPr>
      </w:pPr>
    </w:p>
    <w:p>
      <w:pPr>
        <w:sectPr>
          <w:pgSz w:w="11900" w:h="16838" w:orient="portrait"/>
          <w:cols w:equalWidth="0" w:num="2">
            <w:col w:w="5480" w:space="340"/>
            <w:col w:w="5460"/>
          </w:cols>
          <w:pgMar w:left="240" w:top="267" w:right="379" w:bottom="1440" w:gutter="0" w:footer="0" w:header="0"/>
          <w:type w:val="continuous"/>
        </w:sectPr>
      </w:pPr>
    </w:p>
    <w:p>
      <w:pPr>
        <w:spacing w:after="0" w:line="61" w:lineRule="exact"/>
        <w:rPr>
          <w:sz w:val="20"/>
          <w:szCs w:val="20"/>
          <w:color w:val="auto"/>
        </w:rPr>
      </w:pPr>
    </w:p>
    <w:p>
      <w:pPr>
        <w:ind w:left="380" w:hanging="267"/>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80"/>
          </w:cols>
          <w:pgMar w:left="240" w:top="267" w:right="379" w:bottom="1440" w:gutter="0" w:footer="0" w:header="0"/>
          <w:type w:val="continuous"/>
        </w:sectPr>
      </w:pPr>
    </w:p>
    <w:bookmarkStart w:id="10" w:name="page11"/>
    <w:bookmarkEnd w:id="10"/>
    <w:p>
      <w:pPr>
        <w:spacing w:after="0" w:line="38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broker, bank or other nominee, or other similar evidence of ownership as of the record date, as well as your photo identification, for admission. If you do not provide photo identification or comply with the other procedures described</w:t>
      </w:r>
    </w:p>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Arial" w:cs="Arial" w:eastAsia="Arial" w:hAnsi="Arial"/>
          <w:sz w:val="15"/>
          <w:szCs w:val="15"/>
          <w:b w:val="1"/>
          <w:bCs w:val="1"/>
          <w:u w:val="single" w:color="auto"/>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-189865</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above, you will not be admitted to the Annual Meeting or any adjournment or postponement thereof. For security reasons, you and your bags may be subject to search prior to your admittance to the Annual Meeting.</w:t>
      </w:r>
    </w:p>
    <w:p>
      <w:pPr>
        <w:spacing w:after="0" w:line="200" w:lineRule="exact"/>
        <w:rPr>
          <w:sz w:val="20"/>
          <w:szCs w:val="20"/>
          <w:color w:val="auto"/>
        </w:rPr>
      </w:pPr>
    </w:p>
    <w:p>
      <w:pPr>
        <w:spacing w:after="0" w:line="247" w:lineRule="exact"/>
        <w:rPr>
          <w:sz w:val="20"/>
          <w:szCs w:val="20"/>
          <w:color w:val="auto"/>
        </w:rPr>
      </w:pPr>
    </w:p>
    <w:p>
      <w:pPr>
        <w:ind w:left="3420"/>
        <w:spacing w:after="0"/>
        <w:tabs>
          <w:tab w:leader="none" w:pos="5140" w:val="left"/>
          <w:tab w:leader="none" w:pos="53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w:t>
      </w:r>
    </w:p>
    <w:p>
      <w:pPr>
        <w:sectPr>
          <w:pgSz w:w="11900" w:h="16838" w:orient="portrait"/>
          <w:cols w:equalWidth="0" w:num="2">
            <w:col w:w="5420" w:space="400"/>
            <w:col w:w="5600"/>
          </w:cols>
          <w:pgMar w:left="240" w:top="267" w:right="239" w:bottom="1440" w:gutter="0" w:footer="0" w:header="0"/>
        </w:sectPr>
      </w:pPr>
    </w:p>
    <w:bookmarkStart w:id="11" w:name="page12"/>
    <w:bookmarkEnd w:id="11"/>
    <w:p>
      <w:pPr>
        <w:ind w:right="360"/>
        <w:spacing w:after="0" w:line="345" w:lineRule="auto"/>
        <w:rPr>
          <w:sz w:val="20"/>
          <w:szCs w:val="20"/>
          <w:color w:val="auto"/>
        </w:rPr>
      </w:pPr>
      <w:r>
        <w:rPr>
          <w:rFonts w:ascii="Arial" w:cs="Arial" w:eastAsia="Arial" w:hAnsi="Arial"/>
          <w:sz w:val="39"/>
          <w:szCs w:val="39"/>
          <w:b w:val="1"/>
          <w:bCs w:val="1"/>
          <w:color w:val="E2231A"/>
        </w:rPr>
        <w:t>ELECTION OF DIRECTORS (PROPOSAL NO. 1)</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Upon the recommendation of our Nominating and Corporate Governance Committee (the “Nominating Committee”), the Board has nominated the ten individuals listed below to stand for election to the Board for a one-year term ending at the annual meeting of stockholders in 2018 or until their successors, if any, are elected or appointed. Our Amended and Restated Certificate of Incorporation and Bylaws provide for the annual election of directors. Each director nominee must receive the affirmative vote of a majority of the votes cast to be elected (i.e., the number of shares voted “for” a director nominee must exceed the number of votes cast “against”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nominee). Unless contrary instructions are given, the shares represented by your proxy will be voted FOR the election of all director nominees. In addition, our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Simoncini, is an independent director, as further described below in “Directors and Corporate Governance — 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-2116455</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360"/>
            <w:col w:w="5600"/>
          </w:cols>
          <w:pgMar w:left="240" w:top="393" w:right="239" w:bottom="1440" w:gutter="0" w:footer="0" w:header="0"/>
        </w:sectPr>
      </w:pPr>
    </w:p>
    <w:p>
      <w:pPr>
        <w:spacing w:after="0" w:line="61"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Name</w:t>
            </w:r>
          </w:p>
        </w:tc>
        <w:tc>
          <w:tcPr>
            <w:tcW w:w="762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E2231A"/>
              </w:rPr>
              <w:t>Position</w:t>
            </w:r>
          </w:p>
        </w:tc>
      </w:tr>
      <w:tr>
        <w:trPr>
          <w:trHeight w:val="183"/>
        </w:trPr>
        <w:tc>
          <w:tcPr>
            <w:tcW w:w="380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Richard H. Bott</w:t>
            </w:r>
          </w:p>
        </w:tc>
        <w:tc>
          <w:tcPr>
            <w:tcW w:w="7620" w:type="dxa"/>
            <w:vAlign w:val="bottom"/>
            <w:shd w:val="clear" w:color="auto" w:fill="FCE9E8"/>
          </w:tcPr>
          <w:p>
            <w:pPr>
              <w:ind w:left="2260"/>
              <w:spacing w:after="0" w:line="183" w:lineRule="exact"/>
              <w:rPr>
                <w:sz w:val="20"/>
                <w:szCs w:val="20"/>
                <w:color w:val="auto"/>
              </w:rPr>
            </w:pPr>
            <w:r>
              <w:rPr>
                <w:rFonts w:ascii="Arial" w:cs="Arial" w:eastAsia="Arial" w:hAnsi="Arial"/>
                <w:sz w:val="16"/>
                <w:szCs w:val="16"/>
                <w:color w:val="auto"/>
              </w:rPr>
              <w:t>Director</w:t>
            </w:r>
          </w:p>
        </w:tc>
      </w:tr>
      <w:tr>
        <w:trPr>
          <w:trHeight w:val="189"/>
        </w:trPr>
        <w:tc>
          <w:tcPr>
            <w:tcW w:w="3800" w:type="dxa"/>
            <w:vAlign w:val="bottom"/>
          </w:tcPr>
          <w:p>
            <w:pPr>
              <w:spacing w:after="0"/>
              <w:rPr>
                <w:sz w:val="20"/>
                <w:szCs w:val="20"/>
                <w:color w:val="auto"/>
              </w:rPr>
            </w:pPr>
            <w:r>
              <w:rPr>
                <w:rFonts w:ascii="Arial" w:cs="Arial" w:eastAsia="Arial" w:hAnsi="Arial"/>
                <w:sz w:val="16"/>
                <w:szCs w:val="16"/>
                <w:color w:val="auto"/>
              </w:rPr>
              <w:t>Thomas P. Capo</w:t>
            </w:r>
          </w:p>
        </w:tc>
        <w:tc>
          <w:tcPr>
            <w:tcW w:w="7620" w:type="dxa"/>
            <w:vAlign w:val="bottom"/>
          </w:tcPr>
          <w:p>
            <w:pPr>
              <w:ind w:left="2260"/>
              <w:spacing w:after="0"/>
              <w:rPr>
                <w:sz w:val="20"/>
                <w:szCs w:val="20"/>
                <w:color w:val="auto"/>
              </w:rPr>
            </w:pPr>
            <w:r>
              <w:rPr>
                <w:rFonts w:ascii="Arial" w:cs="Arial" w:eastAsia="Arial" w:hAnsi="Arial"/>
                <w:sz w:val="16"/>
                <w:szCs w:val="16"/>
                <w:color w:val="auto"/>
              </w:rPr>
              <w:t>Director</w:t>
            </w:r>
          </w:p>
        </w:tc>
      </w:tr>
      <w:tr>
        <w:trPr>
          <w:trHeight w:val="189"/>
        </w:trPr>
        <w:tc>
          <w:tcPr>
            <w:tcW w:w="3800" w:type="dxa"/>
            <w:vAlign w:val="bottom"/>
            <w:shd w:val="clear" w:color="auto" w:fill="FCE9E8"/>
          </w:tcPr>
          <w:p>
            <w:pPr>
              <w:spacing w:after="0"/>
              <w:rPr>
                <w:sz w:val="20"/>
                <w:szCs w:val="20"/>
                <w:color w:val="auto"/>
              </w:rPr>
            </w:pPr>
            <w:r>
              <w:rPr>
                <w:rFonts w:ascii="Arial" w:cs="Arial" w:eastAsia="Arial" w:hAnsi="Arial"/>
                <w:sz w:val="16"/>
                <w:szCs w:val="16"/>
                <w:color w:val="auto"/>
              </w:rPr>
              <w:t>Jonathan F. Foster</w:t>
            </w:r>
          </w:p>
        </w:tc>
        <w:tc>
          <w:tcPr>
            <w:tcW w:w="7620" w:type="dxa"/>
            <w:vAlign w:val="bottom"/>
            <w:shd w:val="clear" w:color="auto" w:fill="FCE9E8"/>
          </w:tcPr>
          <w:p>
            <w:pPr>
              <w:ind w:left="2260"/>
              <w:spacing w:after="0"/>
              <w:rPr>
                <w:sz w:val="20"/>
                <w:szCs w:val="20"/>
                <w:color w:val="auto"/>
              </w:rPr>
            </w:pPr>
            <w:r>
              <w:rPr>
                <w:rFonts w:ascii="Arial" w:cs="Arial" w:eastAsia="Arial" w:hAnsi="Arial"/>
                <w:sz w:val="16"/>
                <w:szCs w:val="16"/>
                <w:color w:val="auto"/>
              </w:rPr>
              <w:t>Director</w:t>
            </w:r>
          </w:p>
        </w:tc>
      </w:tr>
      <w:tr>
        <w:trPr>
          <w:trHeight w:val="189"/>
        </w:trPr>
        <w:tc>
          <w:tcPr>
            <w:tcW w:w="3800" w:type="dxa"/>
            <w:vAlign w:val="bottom"/>
          </w:tcPr>
          <w:p>
            <w:pPr>
              <w:spacing w:after="0"/>
              <w:rPr>
                <w:sz w:val="20"/>
                <w:szCs w:val="20"/>
                <w:color w:val="auto"/>
              </w:rPr>
            </w:pPr>
            <w:r>
              <w:rPr>
                <w:rFonts w:ascii="Arial" w:cs="Arial" w:eastAsia="Arial" w:hAnsi="Arial"/>
                <w:sz w:val="16"/>
                <w:szCs w:val="16"/>
                <w:color w:val="auto"/>
              </w:rPr>
              <w:t>Mary Lou Jepsen</w:t>
            </w:r>
          </w:p>
        </w:tc>
        <w:tc>
          <w:tcPr>
            <w:tcW w:w="7620" w:type="dxa"/>
            <w:vAlign w:val="bottom"/>
          </w:tcPr>
          <w:p>
            <w:pPr>
              <w:ind w:left="2260"/>
              <w:spacing w:after="0"/>
              <w:rPr>
                <w:sz w:val="20"/>
                <w:szCs w:val="20"/>
                <w:color w:val="auto"/>
              </w:rPr>
            </w:pPr>
            <w:r>
              <w:rPr>
                <w:rFonts w:ascii="Arial" w:cs="Arial" w:eastAsia="Arial" w:hAnsi="Arial"/>
                <w:sz w:val="16"/>
                <w:szCs w:val="16"/>
                <w:color w:val="auto"/>
              </w:rPr>
              <w:t>Director</w:t>
            </w:r>
          </w:p>
        </w:tc>
      </w:tr>
      <w:tr>
        <w:trPr>
          <w:trHeight w:val="189"/>
        </w:trPr>
        <w:tc>
          <w:tcPr>
            <w:tcW w:w="3800" w:type="dxa"/>
            <w:vAlign w:val="bottom"/>
            <w:shd w:val="clear" w:color="auto" w:fill="FCE9E8"/>
          </w:tcPr>
          <w:p>
            <w:pPr>
              <w:spacing w:after="0"/>
              <w:rPr>
                <w:sz w:val="20"/>
                <w:szCs w:val="20"/>
                <w:color w:val="auto"/>
              </w:rPr>
            </w:pPr>
            <w:r>
              <w:rPr>
                <w:rFonts w:ascii="Arial" w:cs="Arial" w:eastAsia="Arial" w:hAnsi="Arial"/>
                <w:sz w:val="16"/>
                <w:szCs w:val="16"/>
                <w:color w:val="auto"/>
              </w:rPr>
              <w:t>Kathleen A. Ligocki</w:t>
            </w:r>
          </w:p>
        </w:tc>
        <w:tc>
          <w:tcPr>
            <w:tcW w:w="7620" w:type="dxa"/>
            <w:vAlign w:val="bottom"/>
            <w:shd w:val="clear" w:color="auto" w:fill="FCE9E8"/>
          </w:tcPr>
          <w:p>
            <w:pPr>
              <w:ind w:left="2260"/>
              <w:spacing w:after="0"/>
              <w:rPr>
                <w:sz w:val="20"/>
                <w:szCs w:val="20"/>
                <w:color w:val="auto"/>
              </w:rPr>
            </w:pPr>
            <w:r>
              <w:rPr>
                <w:rFonts w:ascii="Arial" w:cs="Arial" w:eastAsia="Arial" w:hAnsi="Arial"/>
                <w:sz w:val="16"/>
                <w:szCs w:val="16"/>
                <w:color w:val="auto"/>
              </w:rPr>
              <w:t>Director</w:t>
            </w:r>
          </w:p>
        </w:tc>
      </w:tr>
      <w:tr>
        <w:trPr>
          <w:trHeight w:val="189"/>
        </w:trPr>
        <w:tc>
          <w:tcPr>
            <w:tcW w:w="3800" w:type="dxa"/>
            <w:vAlign w:val="bottom"/>
          </w:tcPr>
          <w:p>
            <w:pPr>
              <w:spacing w:after="0"/>
              <w:rPr>
                <w:sz w:val="20"/>
                <w:szCs w:val="20"/>
                <w:color w:val="auto"/>
              </w:rPr>
            </w:pPr>
            <w:r>
              <w:rPr>
                <w:rFonts w:ascii="Arial" w:cs="Arial" w:eastAsia="Arial" w:hAnsi="Arial"/>
                <w:sz w:val="16"/>
                <w:szCs w:val="16"/>
                <w:color w:val="auto"/>
              </w:rPr>
              <w:t>Conrad L. Mallett, Jr.</w:t>
            </w:r>
          </w:p>
        </w:tc>
        <w:tc>
          <w:tcPr>
            <w:tcW w:w="7620" w:type="dxa"/>
            <w:vAlign w:val="bottom"/>
          </w:tcPr>
          <w:p>
            <w:pPr>
              <w:ind w:left="2260"/>
              <w:spacing w:after="0"/>
              <w:rPr>
                <w:sz w:val="20"/>
                <w:szCs w:val="20"/>
                <w:color w:val="auto"/>
              </w:rPr>
            </w:pPr>
            <w:r>
              <w:rPr>
                <w:rFonts w:ascii="Arial" w:cs="Arial" w:eastAsia="Arial" w:hAnsi="Arial"/>
                <w:sz w:val="16"/>
                <w:szCs w:val="16"/>
                <w:color w:val="auto"/>
              </w:rPr>
              <w:t>Director</w:t>
            </w:r>
          </w:p>
        </w:tc>
      </w:tr>
      <w:tr>
        <w:trPr>
          <w:trHeight w:val="189"/>
        </w:trPr>
        <w:tc>
          <w:tcPr>
            <w:tcW w:w="3800" w:type="dxa"/>
            <w:vAlign w:val="bottom"/>
            <w:shd w:val="clear" w:color="auto" w:fill="FCE9E8"/>
          </w:tcPr>
          <w:p>
            <w:pPr>
              <w:spacing w:after="0"/>
              <w:rPr>
                <w:sz w:val="20"/>
                <w:szCs w:val="20"/>
                <w:color w:val="auto"/>
              </w:rPr>
            </w:pPr>
            <w:r>
              <w:rPr>
                <w:rFonts w:ascii="Arial" w:cs="Arial" w:eastAsia="Arial" w:hAnsi="Arial"/>
                <w:sz w:val="16"/>
                <w:szCs w:val="16"/>
                <w:color w:val="auto"/>
              </w:rPr>
              <w:t>Donald L. Runkle</w:t>
            </w:r>
          </w:p>
        </w:tc>
        <w:tc>
          <w:tcPr>
            <w:tcW w:w="7620" w:type="dxa"/>
            <w:vAlign w:val="bottom"/>
            <w:shd w:val="clear" w:color="auto" w:fill="FCE9E8"/>
          </w:tcPr>
          <w:p>
            <w:pPr>
              <w:ind w:left="2260"/>
              <w:spacing w:after="0"/>
              <w:rPr>
                <w:sz w:val="20"/>
                <w:szCs w:val="20"/>
                <w:color w:val="auto"/>
              </w:rPr>
            </w:pPr>
            <w:r>
              <w:rPr>
                <w:rFonts w:ascii="Arial" w:cs="Arial" w:eastAsia="Arial" w:hAnsi="Arial"/>
                <w:sz w:val="16"/>
                <w:szCs w:val="16"/>
                <w:color w:val="auto"/>
              </w:rPr>
              <w:t>Director</w:t>
            </w:r>
          </w:p>
        </w:tc>
      </w:tr>
      <w:tr>
        <w:trPr>
          <w:trHeight w:val="189"/>
        </w:trPr>
        <w:tc>
          <w:tcPr>
            <w:tcW w:w="3800" w:type="dxa"/>
            <w:vAlign w:val="bottom"/>
          </w:tcPr>
          <w:p>
            <w:pPr>
              <w:spacing w:after="0"/>
              <w:rPr>
                <w:sz w:val="20"/>
                <w:szCs w:val="20"/>
                <w:color w:val="auto"/>
              </w:rPr>
            </w:pPr>
            <w:r>
              <w:rPr>
                <w:rFonts w:ascii="Arial" w:cs="Arial" w:eastAsia="Arial" w:hAnsi="Arial"/>
                <w:sz w:val="16"/>
                <w:szCs w:val="16"/>
                <w:color w:val="auto"/>
              </w:rPr>
              <w:t>Matthew J. Simoncini</w:t>
            </w:r>
          </w:p>
        </w:tc>
        <w:tc>
          <w:tcPr>
            <w:tcW w:w="7620" w:type="dxa"/>
            <w:vAlign w:val="bottom"/>
          </w:tcPr>
          <w:p>
            <w:pPr>
              <w:ind w:left="2260"/>
              <w:spacing w:after="0"/>
              <w:rPr>
                <w:sz w:val="20"/>
                <w:szCs w:val="20"/>
                <w:color w:val="auto"/>
              </w:rPr>
            </w:pPr>
            <w:r>
              <w:rPr>
                <w:rFonts w:ascii="Arial" w:cs="Arial" w:eastAsia="Arial" w:hAnsi="Arial"/>
                <w:sz w:val="16"/>
                <w:szCs w:val="16"/>
                <w:color w:val="auto"/>
              </w:rPr>
              <w:t>Director, President and Chief Executive Officer</w:t>
            </w:r>
          </w:p>
        </w:tc>
      </w:tr>
      <w:tr>
        <w:trPr>
          <w:trHeight w:val="189"/>
        </w:trPr>
        <w:tc>
          <w:tcPr>
            <w:tcW w:w="3800" w:type="dxa"/>
            <w:vAlign w:val="bottom"/>
            <w:shd w:val="clear" w:color="auto" w:fill="FCE9E8"/>
          </w:tcPr>
          <w:p>
            <w:pPr>
              <w:spacing w:after="0"/>
              <w:rPr>
                <w:sz w:val="20"/>
                <w:szCs w:val="20"/>
                <w:color w:val="auto"/>
              </w:rPr>
            </w:pPr>
            <w:r>
              <w:rPr>
                <w:rFonts w:ascii="Arial" w:cs="Arial" w:eastAsia="Arial" w:hAnsi="Arial"/>
                <w:sz w:val="16"/>
                <w:szCs w:val="16"/>
                <w:color w:val="auto"/>
              </w:rPr>
              <w:t>Gregory C. Smith</w:t>
            </w:r>
          </w:p>
        </w:tc>
        <w:tc>
          <w:tcPr>
            <w:tcW w:w="7620" w:type="dxa"/>
            <w:vAlign w:val="bottom"/>
            <w:shd w:val="clear" w:color="auto" w:fill="FCE9E8"/>
          </w:tcPr>
          <w:p>
            <w:pPr>
              <w:ind w:left="2260"/>
              <w:spacing w:after="0"/>
              <w:rPr>
                <w:sz w:val="20"/>
                <w:szCs w:val="20"/>
                <w:color w:val="auto"/>
              </w:rPr>
            </w:pPr>
            <w:r>
              <w:rPr>
                <w:rFonts w:ascii="Arial" w:cs="Arial" w:eastAsia="Arial" w:hAnsi="Arial"/>
                <w:sz w:val="16"/>
                <w:szCs w:val="16"/>
                <w:color w:val="auto"/>
              </w:rPr>
              <w:t>Director</w:t>
            </w:r>
          </w:p>
        </w:tc>
      </w:tr>
      <w:tr>
        <w:trPr>
          <w:trHeight w:val="200"/>
        </w:trPr>
        <w:tc>
          <w:tcPr>
            <w:tcW w:w="3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Henry D.G. Wallace</w:t>
            </w:r>
          </w:p>
        </w:tc>
        <w:tc>
          <w:tcPr>
            <w:tcW w:w="7620" w:type="dxa"/>
            <w:vAlign w:val="bottom"/>
            <w:tcBorders>
              <w:bottom w:val="single" w:sz="8" w:color="auto"/>
            </w:tcBorders>
          </w:tcPr>
          <w:p>
            <w:pPr>
              <w:ind w:left="2260"/>
              <w:spacing w:after="0"/>
              <w:rPr>
                <w:sz w:val="20"/>
                <w:szCs w:val="20"/>
                <w:color w:val="auto"/>
              </w:rPr>
            </w:pPr>
            <w:r>
              <w:rPr>
                <w:rFonts w:ascii="Arial" w:cs="Arial" w:eastAsia="Arial" w:hAnsi="Arial"/>
                <w:sz w:val="16"/>
                <w:szCs w:val="16"/>
                <w:color w:val="auto"/>
              </w:rPr>
              <w:t>Director, Non-Executive Chairman</w:t>
            </w:r>
          </w:p>
        </w:tc>
      </w:tr>
    </w:tbl>
    <w:p>
      <w:pPr>
        <w:spacing w:after="0" w:line="184" w:lineRule="exact"/>
        <w:rPr>
          <w:sz w:val="20"/>
          <w:szCs w:val="20"/>
          <w:color w:val="auto"/>
        </w:rPr>
      </w:pPr>
    </w:p>
    <w:p>
      <w:pPr>
        <w:sectPr>
          <w:pgSz w:w="11900" w:h="16838" w:orient="portrait"/>
          <w:cols w:equalWidth="0" w:num="1">
            <w:col w:w="11420"/>
          </w:cols>
          <w:pgMar w:left="240" w:top="393" w:right="239" w:bottom="1440" w:gutter="0" w:footer="0" w:header="0"/>
          <w:type w:val="continuous"/>
        </w:sectPr>
      </w:pPr>
    </w:p>
    <w:p>
      <w:pPr>
        <w:spacing w:after="0" w:line="2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Biographical information relating to each of the director nominees is set forth below under “Directors and Corporate Governance” and incorporated by reference herein.</w:t>
      </w:r>
    </w:p>
    <w:p>
      <w:pPr>
        <w:spacing w:after="0" w:line="73"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b w:val="1"/>
          <w:bCs w:val="1"/>
          <w:color w:val="auto"/>
        </w:rPr>
        <w:t>THE BOARD UNANIMOUSLY RECOMMENDS A VOTE “FOR” THE ELECTION OF EACH OF LEAR’S DIRECTOR NOMINEES NAMED IN THIS PROXY STATEMENT.</w:t>
      </w:r>
    </w:p>
    <w:p>
      <w:pPr>
        <w:spacing w:after="0" w:line="20" w:lineRule="exact"/>
        <w:rPr>
          <w:sz w:val="20"/>
          <w:szCs w:val="20"/>
          <w:color w:val="auto"/>
        </w:rPr>
      </w:pPr>
      <w:r>
        <w:rPr>
          <w:sz w:val="20"/>
          <w:szCs w:val="20"/>
          <w:color w:val="auto"/>
        </w:rPr>
        <w:br w:type="column"/>
      </w:r>
    </w:p>
    <w:p>
      <w:pPr>
        <w:ind w:right="44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ELECTION OF EACH OF LEAR’S DIRECTOR NOMINEES NAMED IN THIS PROXY STATEMENT UNLESS STOCKHOLDERS SPECIFY A CONTRARY VOTE.</w:t>
      </w:r>
    </w:p>
    <w:p>
      <w:pPr>
        <w:spacing w:after="0" w:line="692" w:lineRule="exact"/>
        <w:rPr>
          <w:sz w:val="20"/>
          <w:szCs w:val="20"/>
          <w:color w:val="auto"/>
        </w:rPr>
      </w:pPr>
    </w:p>
    <w:p>
      <w:pPr>
        <w:sectPr>
          <w:pgSz w:w="11900" w:h="16838" w:orient="portrait"/>
          <w:cols w:equalWidth="0" w:num="2">
            <w:col w:w="5480" w:space="340"/>
            <w:col w:w="5600"/>
          </w:cols>
          <w:pgMar w:left="240" w:top="393" w:right="239" w:bottom="1440" w:gutter="0" w:footer="0" w:header="0"/>
          <w:type w:val="continuous"/>
        </w:sectPr>
      </w:pPr>
    </w:p>
    <w:p>
      <w:pPr>
        <w:spacing w:after="0" w:line="48" w:lineRule="exact"/>
        <w:rPr>
          <w:sz w:val="20"/>
          <w:szCs w:val="20"/>
          <w:color w:val="auto"/>
        </w:rPr>
      </w:pPr>
    </w:p>
    <w:p>
      <w:pPr>
        <w:ind w:left="380" w:hanging="267"/>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20"/>
          </w:cols>
          <w:pgMar w:left="240" w:top="393"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40"/>
          <w:szCs w:val="40"/>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auto"/>
        </w:rPr>
        <w:t>Director Biographical Information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Set forth below is a description of the business experience of each director, as well as the specific qualifications, skills and experiences considered by the Nominating Committee and the Board in recommending our slate of director nominees. Each director listed below is nominated for re-election to the Board for a term expiring at the annual meeting of stockholders in 2018. See “Election of Directors (Proposal No. 1).”</w:t>
      </w:r>
    </w:p>
    <w:p>
      <w:pPr>
        <w:spacing w:after="0" w:line="212" w:lineRule="exact"/>
        <w:rPr>
          <w:sz w:val="20"/>
          <w:szCs w:val="20"/>
          <w:color w:val="auto"/>
        </w:rPr>
      </w:pPr>
    </w:p>
    <w:p>
      <w:pPr>
        <w:spacing w:after="0"/>
        <w:tabs>
          <w:tab w:leader="none" w:pos="2280" w:val="left"/>
          <w:tab w:leader="none" w:pos="3240" w:val="left"/>
        </w:tabs>
        <w:rPr>
          <w:sz w:val="20"/>
          <w:szCs w:val="20"/>
          <w:color w:val="auto"/>
        </w:rPr>
      </w:pPr>
      <w:r>
        <w:rPr>
          <w:rFonts w:ascii="Arial" w:cs="Arial" w:eastAsia="Arial" w:hAnsi="Arial"/>
          <w:sz w:val="16"/>
          <w:szCs w:val="16"/>
          <w:i w:val="1"/>
          <w:iCs w:val="1"/>
          <w:color w:val="auto"/>
        </w:rPr>
        <w:t>Richard H. Bott</w:t>
      </w:r>
      <w:r>
        <w:rPr>
          <w:sz w:val="20"/>
          <w:szCs w:val="20"/>
          <w:color w:val="auto"/>
        </w:rPr>
        <w:tab/>
      </w:r>
      <w:r>
        <w:rPr>
          <w:rFonts w:ascii="Arial" w:cs="Arial" w:eastAsia="Arial" w:hAnsi="Arial"/>
          <w:sz w:val="16"/>
          <w:szCs w:val="16"/>
          <w:color w:val="auto"/>
        </w:rPr>
        <w:t>Age: 70</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 Audit</w:t>
      </w:r>
    </w:p>
    <w:p>
      <w:pPr>
        <w:spacing w:after="0" w:line="228"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spacing w:after="0" w:line="248" w:lineRule="auto"/>
        <w:rPr>
          <w:sz w:val="20"/>
          <w:szCs w:val="20"/>
          <w:color w:val="auto"/>
        </w:rPr>
      </w:pPr>
      <w:r>
        <w:rPr>
          <w:rFonts w:ascii="Arial" w:cs="Arial" w:eastAsia="Arial" w:hAnsi="Arial"/>
          <w:sz w:val="16"/>
          <w:szCs w:val="16"/>
          <w:color w:val="auto"/>
        </w:rPr>
        <w:t>Mr. Bott has been a director of the Company since September 2013. Mr. Bott worked in investment banking for more than 35 years at Morgan Stanley &amp; Co. and Credit Suisse First Boston (now Credit Suisse), where he provided financial structuring and strategic advice to numerous large American and international corporations, with a focus on industrial, automotive and transportation companies. Mr. Bott served as Vice Chairman, Institutional Securities Group of Morgan Stanley &amp; Co. Incorporated from 2003 until his retirement at the end of 2007. Prior to holding this position, Mr. Bott served as Vice Chairman, Investment Banking, Credit Suisse First Boston Corporation from 1998 to 2003; Managing Director, The First Boston Corporation and its successor companies, CS First Boston Corporation and Credit Suisse First Boston Corporation, from 1982 to 1998; and Vice President, Assistant Vice President &amp; Associate, The First Boston Corporation from 1972 to 1982. Mr. Bott is also a director of Genesee &amp; Wyoming Inc., serving on both the Audit and Compensation Committees. Mr. Bott has a bachelor’s degree in Economics from Princeton University and an MBA from Columbia Business School.</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40" w:hanging="150"/>
        <w:spacing w:after="0"/>
        <w:tabs>
          <w:tab w:leader="none" w:pos="2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Extensive experience in global finance, investment banking and capital markets</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Significant experience in structuring and executing financing transactions and mergers and acquisitions</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264" w:lineRule="exact"/>
        <w:rPr>
          <w:sz w:val="20"/>
          <w:szCs w:val="20"/>
          <w:color w:val="auto"/>
        </w:rPr>
      </w:pPr>
    </w:p>
    <w:p>
      <w:pPr>
        <w:ind w:left="9240"/>
        <w:spacing w:after="0"/>
        <w:tabs>
          <w:tab w:leader="none" w:pos="10960" w:val="left"/>
          <w:tab w:leader="none" w:pos="112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7</w:t>
      </w:r>
    </w:p>
    <w:p>
      <w:pPr>
        <w:sectPr>
          <w:pgSz w:w="11900" w:h="16838" w:orient="portrait"/>
          <w:cols w:equalWidth="0" w:num="1">
            <w:col w:w="11360"/>
          </w:cols>
          <w:pgMar w:left="240" w:top="393" w:right="29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389" w:lineRule="exact"/>
        <w:rPr>
          <w:sz w:val="20"/>
          <w:szCs w:val="20"/>
          <w:color w:val="auto"/>
        </w:rPr>
      </w:pPr>
    </w:p>
    <w:p>
      <w:pPr>
        <w:spacing w:after="0"/>
        <w:tabs>
          <w:tab w:leader="none" w:pos="2280" w:val="left"/>
          <w:tab w:leader="none" w:pos="3240" w:val="left"/>
        </w:tabs>
        <w:rPr>
          <w:sz w:val="20"/>
          <w:szCs w:val="20"/>
          <w:color w:val="auto"/>
        </w:rPr>
      </w:pPr>
      <w:r>
        <w:rPr>
          <w:rFonts w:ascii="Arial" w:cs="Arial" w:eastAsia="Arial" w:hAnsi="Arial"/>
          <w:sz w:val="16"/>
          <w:szCs w:val="16"/>
          <w:i w:val="1"/>
          <w:iCs w:val="1"/>
          <w:color w:val="auto"/>
        </w:rPr>
        <w:t>Thomas P. Capo</w:t>
      </w:r>
      <w:r>
        <w:rPr>
          <w:sz w:val="20"/>
          <w:szCs w:val="20"/>
          <w:color w:val="auto"/>
        </w:rPr>
        <w:tab/>
      </w:r>
      <w:r>
        <w:rPr>
          <w:rFonts w:ascii="Arial" w:cs="Arial" w:eastAsia="Arial" w:hAnsi="Arial"/>
          <w:sz w:val="16"/>
          <w:szCs w:val="16"/>
          <w:color w:val="auto"/>
        </w:rPr>
        <w:t>Age: 66</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380" w:hanging="153"/>
        <w:spacing w:after="0"/>
        <w:tabs>
          <w:tab w:leader="none" w:pos="3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380" w:hanging="153"/>
        <w:spacing w:after="0"/>
        <w:tabs>
          <w:tab w:leader="none" w:pos="3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line="228"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spacing w:after="0" w:line="248" w:lineRule="auto"/>
        <w:rPr>
          <w:sz w:val="20"/>
          <w:szCs w:val="20"/>
          <w:color w:val="auto"/>
        </w:rPr>
      </w:pPr>
      <w:r>
        <w:rPr>
          <w:rFonts w:ascii="Arial" w:cs="Arial" w:eastAsia="Arial" w:hAnsi="Arial"/>
          <w:sz w:val="16"/>
          <w:szCs w:val="16"/>
          <w:color w:val="auto"/>
        </w:rPr>
        <w:t>Mr. Capo has been a director of the Company since November 2009. Mr. Capo was Chairman of Dollar Thrifty Automotive Group, Inc. from October 2003 until November 2010. Mr. Capo was a Senior Vice President and the Treasurer of DaimlerChrysler Corporation from November 1998 to August 2000, Vice President and Treasurer of Chrysler Corporation from 1993 to 1998 and Treasurer of Chrysler Corporation from 1991 to 1993. Prior to holding these positions, Mr. Capo served as Vice President and Controller of Chrysler Financial Corporation. Mr. Capo also serves as the Non-Executive Chairman of Cooper Tire &amp; Rubber Company. Previously, Mr. Capo served as a director of Dollar Thrifty Automotive Group, Inc. from its initial public offering in 1997 until its sale to Hertz Corporation in 2012, JLG Industries, Inc. until its sale to Oshkosh Corp. in 2006, Sonic Automotive, Inc. and Microheat, Inc. Mr. Capo has a bachelor’s degree in Finance, an MBA and a master’s degree in Economics from the University of Detroit-Mercy.</w:t>
      </w: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40" w:hanging="150"/>
        <w:spacing w:after="0"/>
        <w:tabs>
          <w:tab w:leader="none" w:pos="2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extensive knowledge of the automotive industry</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at board chairman level</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Extensive experience in global finance, treasury, investment management and capital markets</w:t>
      </w:r>
    </w:p>
    <w:p>
      <w:pPr>
        <w:spacing w:after="0" w:line="126" w:lineRule="exact"/>
        <w:rPr>
          <w:rFonts w:ascii="Arial" w:cs="Arial" w:eastAsia="Arial" w:hAnsi="Arial"/>
          <w:sz w:val="16"/>
          <w:szCs w:val="16"/>
          <w:color w:val="auto"/>
        </w:rPr>
      </w:pPr>
    </w:p>
    <w:p>
      <w:pPr>
        <w:ind w:left="2460" w:right="260" w:hanging="170"/>
        <w:spacing w:after="0" w:line="260" w:lineRule="auto"/>
        <w:tabs>
          <w:tab w:leader="none" w:pos="24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Core leadership and management experience in mergers, acquisitions and divestitures, strategy development and capital restructuring</w:t>
      </w:r>
    </w:p>
    <w:p>
      <w:pPr>
        <w:spacing w:after="0" w:line="101" w:lineRule="exact"/>
        <w:rPr>
          <w:rFonts w:ascii="Arial" w:cs="Arial" w:eastAsia="Arial" w:hAnsi="Arial"/>
          <w:sz w:val="16"/>
          <w:szCs w:val="16"/>
          <w:color w:val="auto"/>
        </w:rPr>
      </w:pPr>
    </w:p>
    <w:p>
      <w:pPr>
        <w:ind w:left="2440" w:hanging="150"/>
        <w:spacing w:after="0"/>
        <w:tabs>
          <w:tab w:leader="none" w:pos="2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reporting, compliance and internal controls</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380" w:hanging="267"/>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80"/>
          </w:cols>
          <w:pgMar w:left="240" w:top="267" w:right="279" w:bottom="1440" w:gutter="0" w:footer="0" w:header="0"/>
        </w:sectPr>
      </w:pPr>
    </w:p>
    <w:bookmarkStart w:id="14" w:name="page15"/>
    <w:bookmarkEnd w:id="14"/>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389" w:lineRule="exact"/>
        <w:rPr>
          <w:sz w:val="20"/>
          <w:szCs w:val="20"/>
          <w:color w:val="auto"/>
        </w:rPr>
      </w:pPr>
    </w:p>
    <w:p>
      <w:pPr>
        <w:spacing w:after="0"/>
        <w:tabs>
          <w:tab w:leader="none" w:pos="2280" w:val="left"/>
          <w:tab w:leader="none" w:pos="3240" w:val="left"/>
        </w:tabs>
        <w:rPr>
          <w:sz w:val="20"/>
          <w:szCs w:val="20"/>
          <w:color w:val="auto"/>
        </w:rPr>
      </w:pPr>
      <w:r>
        <w:rPr>
          <w:rFonts w:ascii="Arial" w:cs="Arial" w:eastAsia="Arial" w:hAnsi="Arial"/>
          <w:sz w:val="16"/>
          <w:szCs w:val="16"/>
          <w:i w:val="1"/>
          <w:iCs w:val="1"/>
          <w:color w:val="auto"/>
        </w:rPr>
        <w:t>Jonathan F. Foster</w:t>
      </w:r>
      <w:r>
        <w:rPr>
          <w:sz w:val="20"/>
          <w:szCs w:val="20"/>
          <w:color w:val="auto"/>
        </w:rPr>
        <w:tab/>
      </w:r>
      <w:r>
        <w:rPr>
          <w:rFonts w:ascii="Arial" w:cs="Arial" w:eastAsia="Arial" w:hAnsi="Arial"/>
          <w:sz w:val="16"/>
          <w:szCs w:val="16"/>
          <w:color w:val="auto"/>
        </w:rPr>
        <w:t>Age: 56</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380" w:hanging="153"/>
        <w:spacing w:after="0"/>
        <w:tabs>
          <w:tab w:leader="none" w:pos="3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w:t>
      </w:r>
    </w:p>
    <w:p>
      <w:pPr>
        <w:spacing w:after="0" w:line="126" w:lineRule="exact"/>
        <w:rPr>
          <w:rFonts w:ascii="Arial" w:cs="Arial" w:eastAsia="Arial" w:hAnsi="Arial"/>
          <w:sz w:val="16"/>
          <w:szCs w:val="16"/>
          <w:color w:val="auto"/>
        </w:rPr>
      </w:pPr>
    </w:p>
    <w:p>
      <w:pPr>
        <w:ind w:left="3380" w:hanging="153"/>
        <w:spacing w:after="0"/>
        <w:tabs>
          <w:tab w:leader="none" w:pos="3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Nominating and Corporate Governance (Chair)</w:t>
      </w:r>
    </w:p>
    <w:p>
      <w:pPr>
        <w:spacing w:after="0" w:line="228"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right="80"/>
        <w:spacing w:after="0" w:line="246"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Partners LLC, a private equity investing and management services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w:t>
      </w:r>
    </w:p>
    <w:p>
      <w:pPr>
        <w:spacing w:after="0" w:line="2" w:lineRule="exact"/>
        <w:rPr>
          <w:sz w:val="20"/>
          <w:szCs w:val="20"/>
          <w:color w:val="auto"/>
        </w:rPr>
      </w:pPr>
    </w:p>
    <w:p>
      <w:pPr>
        <w:ind w:left="2300" w:right="80"/>
        <w:spacing w:after="0" w:line="248" w:lineRule="auto"/>
        <w:rPr>
          <w:sz w:val="20"/>
          <w:szCs w:val="20"/>
          <w:color w:val="auto"/>
        </w:rPr>
      </w:pPr>
      <w:r>
        <w:rPr>
          <w:rFonts w:ascii="Arial" w:cs="Arial" w:eastAsia="Arial" w:hAnsi="Arial"/>
          <w:sz w:val="16"/>
          <w:szCs w:val="16"/>
          <w:color w:val="auto"/>
        </w:rPr>
        <w:t>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also a director of Masonite International Corporation, Berry Plastics, Chemtura Corporation and Dayco Products LLC. He is Non-Executive Chairman of Chassix and a director of Rimstock, both automotive suppliers; he was a director of privately held automotive suppliers TI Automotive and Stackpole. Mr. Foster was previously a member of the board of directors of publicly traded Sabine Oil &amp; Gas and Smurfit-Stone Container Corporation. Mr. Foster has a bachelor’s degree in Accounting from Emory University, a master’s degree in Accounting &amp; Finance from the London School of Economics and has attended the Executive Education Program at Harvard Business School.</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40" w:hanging="150"/>
        <w:spacing w:after="0"/>
        <w:tabs>
          <w:tab w:leader="none" w:pos="2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with global manufacturing companies</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Experience in financial statement preparation and accounting, financial reporting, compliance and internal controls</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Previous experience as a chief financial officer</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Extensive transactional experience in mergers and acquisitions, debt financings and equity offerings</w:t>
      </w:r>
    </w:p>
    <w:p>
      <w:pPr>
        <w:spacing w:after="0" w:line="126" w:lineRule="exact"/>
        <w:rPr>
          <w:rFonts w:ascii="Arial" w:cs="Arial" w:eastAsia="Arial" w:hAnsi="Arial"/>
          <w:sz w:val="16"/>
          <w:szCs w:val="16"/>
          <w:color w:val="auto"/>
        </w:rPr>
      </w:pPr>
    </w:p>
    <w:p>
      <w:pPr>
        <w:ind w:left="2460" w:right="40" w:hanging="170"/>
        <w:spacing w:after="0" w:line="260" w:lineRule="auto"/>
        <w:tabs>
          <w:tab w:leader="none" w:pos="24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Extensive experience as an investment banker, private equity investor and director with industrial companies, including those in the automotive sector</w:t>
      </w:r>
    </w:p>
    <w:p>
      <w:pPr>
        <w:spacing w:after="0" w:line="101" w:lineRule="exact"/>
        <w:rPr>
          <w:rFonts w:ascii="Arial" w:cs="Arial" w:eastAsia="Arial" w:hAnsi="Arial"/>
          <w:sz w:val="16"/>
          <w:szCs w:val="16"/>
          <w:color w:val="auto"/>
        </w:rPr>
      </w:pPr>
    </w:p>
    <w:p>
      <w:pPr>
        <w:ind w:left="2440" w:hanging="150"/>
        <w:spacing w:after="0"/>
        <w:tabs>
          <w:tab w:leader="none" w:pos="2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9240"/>
        <w:spacing w:after="0"/>
        <w:tabs>
          <w:tab w:leader="none" w:pos="10960" w:val="left"/>
          <w:tab w:leader="none" w:pos="112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9</w:t>
      </w:r>
    </w:p>
    <w:p>
      <w:pPr>
        <w:sectPr>
          <w:pgSz w:w="11900" w:h="16838" w:orient="portrait"/>
          <w:cols w:equalWidth="0" w:num="1">
            <w:col w:w="11420"/>
          </w:cols>
          <w:pgMar w:left="240" w:top="267" w:right="2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389"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i w:val="1"/>
          <w:iCs w:val="1"/>
          <w:color w:val="auto"/>
        </w:rPr>
        <w:t>Mary Lou Jepsen</w:t>
      </w:r>
      <w:r>
        <w:rPr>
          <w:sz w:val="20"/>
          <w:szCs w:val="20"/>
          <w:color w:val="auto"/>
        </w:rPr>
        <w:tab/>
      </w:r>
      <w:r>
        <w:rPr>
          <w:rFonts w:ascii="Arial" w:cs="Arial" w:eastAsia="Arial" w:hAnsi="Arial"/>
          <w:sz w:val="15"/>
          <w:szCs w:val="15"/>
          <w:color w:val="auto"/>
        </w:rPr>
        <w:t>Age: 52</w:t>
      </w:r>
    </w:p>
    <w:p>
      <w:pPr>
        <w:spacing w:after="0" w:line="123"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right="60"/>
        <w:spacing w:after="0" w:line="246" w:lineRule="auto"/>
        <w:rPr>
          <w:sz w:val="20"/>
          <w:szCs w:val="20"/>
          <w:color w:val="auto"/>
        </w:rPr>
      </w:pPr>
      <w:r>
        <w:rPr>
          <w:rFonts w:ascii="Arial" w:cs="Arial" w:eastAsia="Arial" w:hAnsi="Arial"/>
          <w:sz w:val="16"/>
          <w:szCs w:val="16"/>
          <w:color w:val="auto"/>
        </w:rPr>
        <w:t>Dr. Jepsen was appointed a director of the Company in March 2016. Dr. Jepsen is the founder of Openwater, which is a start-up company focused on replacing the functionality of Magnetic Resonance Imaging (MRI) with a consumer electronic wearable using novel opto-electronics to achieve comparable resolution to a MRI. Previously, Dr. Jepsen was the Executive Director of Engineering at Facebook, Inc. and Head of Display Technologies at Oculus where she led advanced consumer electronics, opto-electronic and display design and manufacturing efforts. From 2012 to 2015, Dr. Jepsen had a similar role at Google, Inc. and Google X. She also co-founded One Laptop per Child, and was the lead architect of the $100 laptop, millions of which were shipped to children in the developing world. She is the principal inventor on approximately 100 patents.</w:t>
      </w:r>
    </w:p>
    <w:p>
      <w:pPr>
        <w:spacing w:after="0" w:line="3" w:lineRule="exact"/>
        <w:rPr>
          <w:sz w:val="20"/>
          <w:szCs w:val="20"/>
          <w:color w:val="auto"/>
        </w:rPr>
      </w:pPr>
    </w:p>
    <w:p>
      <w:pPr>
        <w:ind w:left="2300"/>
        <w:spacing w:after="0" w:line="251" w:lineRule="auto"/>
        <w:rPr>
          <w:sz w:val="20"/>
          <w:szCs w:val="20"/>
          <w:color w:val="auto"/>
        </w:rPr>
      </w:pPr>
      <w:r>
        <w:rPr>
          <w:rFonts w:ascii="Arial" w:cs="Arial" w:eastAsia="Arial" w:hAnsi="Arial"/>
          <w:sz w:val="16"/>
          <w:szCs w:val="16"/>
          <w:color w:val="auto"/>
        </w:rPr>
        <w:t>Dr. Jepsen has broad advisory experience in Peru, China, Uruguay, Taiwan, Brazil and the United States, as well as at the United Nations. Dr. Jepsen holds a doctorate degree from Brown University in Optical Sciences, a master of science degree from Massachusetts Institute of Technology in Visual Studies and a bachelor’s of science degree in Electrical Engineering from Brown University.</w:t>
      </w:r>
    </w:p>
    <w:p>
      <w:pPr>
        <w:spacing w:after="0" w:line="210"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40" w:hanging="150"/>
        <w:spacing w:after="0"/>
        <w:tabs>
          <w:tab w:leader="none" w:pos="2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One of the world’s foremost display innovators</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Exceptional track record of leadership and innovation</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Significant experience in working with Asia’s largest computer manufacturers</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Experience and leadership in engineering with global technology companies</w:t>
      </w:r>
    </w:p>
    <w:p>
      <w:pPr>
        <w:spacing w:after="0" w:line="126" w:lineRule="exact"/>
        <w:rPr>
          <w:rFonts w:ascii="Arial" w:cs="Arial" w:eastAsia="Arial" w:hAnsi="Arial"/>
          <w:sz w:val="16"/>
          <w:szCs w:val="16"/>
          <w:color w:val="auto"/>
        </w:rPr>
      </w:pPr>
    </w:p>
    <w:p>
      <w:pPr>
        <w:ind w:left="2460" w:right="180" w:hanging="170"/>
        <w:spacing w:after="0" w:line="253" w:lineRule="auto"/>
        <w:tabs>
          <w:tab w:leader="none" w:pos="24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Globally recognized with dozens of prestigious awards including TIME magazine’s “Time 100” as one of the 100 most influential people in the world, a CNN top 10 thinker, and by the leading global professional societies in optics, display and electronics</w:t>
      </w:r>
    </w:p>
    <w:p>
      <w:pPr>
        <w:spacing w:after="0" w:line="106" w:lineRule="exact"/>
        <w:rPr>
          <w:rFonts w:ascii="Arial" w:cs="Arial" w:eastAsia="Arial" w:hAnsi="Arial"/>
          <w:sz w:val="16"/>
          <w:szCs w:val="16"/>
          <w:color w:val="auto"/>
        </w:rPr>
      </w:pPr>
    </w:p>
    <w:p>
      <w:pPr>
        <w:ind w:left="2440" w:hanging="150"/>
        <w:spacing w:after="0"/>
        <w:tabs>
          <w:tab w:leader="none" w:pos="2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Executive management experience</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460" w:hanging="349"/>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60"/>
          </w:cols>
          <w:pgMar w:left="240" w:top="267" w:right="299" w:bottom="1440" w:gutter="0" w:footer="0" w:header="0"/>
        </w:sectPr>
      </w:pPr>
    </w:p>
    <w:bookmarkStart w:id="16" w:name="page17"/>
    <w:bookmarkEnd w:id="16"/>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389" w:lineRule="exact"/>
        <w:rPr>
          <w:sz w:val="20"/>
          <w:szCs w:val="20"/>
          <w:color w:val="auto"/>
        </w:rPr>
      </w:pPr>
    </w:p>
    <w:p>
      <w:pPr>
        <w:spacing w:after="0"/>
        <w:tabs>
          <w:tab w:leader="none" w:pos="2280" w:val="left"/>
          <w:tab w:leader="none" w:pos="3240" w:val="left"/>
        </w:tabs>
        <w:rPr>
          <w:sz w:val="20"/>
          <w:szCs w:val="20"/>
          <w:color w:val="auto"/>
        </w:rPr>
      </w:pPr>
      <w:r>
        <w:rPr>
          <w:rFonts w:ascii="Arial" w:cs="Arial" w:eastAsia="Arial" w:hAnsi="Arial"/>
          <w:sz w:val="16"/>
          <w:szCs w:val="16"/>
          <w:i w:val="1"/>
          <w:iCs w:val="1"/>
          <w:color w:val="auto"/>
        </w:rPr>
        <w:t>Kathleen A. Ligocki</w:t>
      </w:r>
      <w:r>
        <w:rPr>
          <w:sz w:val="20"/>
          <w:szCs w:val="20"/>
          <w:color w:val="auto"/>
        </w:rPr>
        <w:tab/>
      </w:r>
      <w:r>
        <w:rPr>
          <w:rFonts w:ascii="Arial" w:cs="Arial" w:eastAsia="Arial" w:hAnsi="Arial"/>
          <w:sz w:val="16"/>
          <w:szCs w:val="16"/>
          <w:color w:val="auto"/>
        </w:rPr>
        <w:t>Age: 60</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400" w:hanging="155"/>
        <w:spacing w:after="0"/>
        <w:tabs>
          <w:tab w:leader="none" w:pos="3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400" w:hanging="155"/>
        <w:spacing w:after="0"/>
        <w:tabs>
          <w:tab w:leader="none" w:pos="34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28"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right="40"/>
        <w:spacing w:after="0" w:line="247" w:lineRule="auto"/>
        <w:rPr>
          <w:sz w:val="20"/>
          <w:szCs w:val="20"/>
          <w:color w:val="auto"/>
        </w:rPr>
      </w:pPr>
      <w:r>
        <w:rPr>
          <w:rFonts w:ascii="Arial" w:cs="Arial" w:eastAsia="Arial" w:hAnsi="Arial"/>
          <w:sz w:val="16"/>
          <w:szCs w:val="16"/>
          <w:color w:val="auto"/>
        </w:rPr>
        <w:t>Ms. Ligocki has been a director of the Company since September 2012. Ms. Ligocki is the Chief Executive Officer of Agility Fuel Solutions, based in Costa Mesa, California. Ms. Ligocki has served as the Chief Executive Officer of Harvest Power, Inc., one of the leading organics management companies in North America from 2014 to 2015. From 2012 to 2014, she served as an Operating Partner at Kleiner Perkins Caufield &amp; Byers, one of Silicon Valley’s top venture capital providers where she worked with the firm’s greentech ventures on strategic challenges, scaling operations and commercialization. Ms. Ligocki also has served as the Chief Executive Officer of two early stage companies: Next Autoworks, an auto company with a unique low-cost business model, from 2010 to 2012, and GS Motors, a Mexico City-based auto retailer owned by Grupo Salinas, a large Mexican conglomerate, from 2008 to 2009. From 2008 to 2010, Ms. Ligocki also served as a Principal in Pine Lake Partners, a consultancy focused on start-ups and turnarounds. From 2003 to 2007, Ms. Ligocki was the Chief Executive Officer of Tower Automotive, a global Fortune 1000 automotive supplier. Previously, Ms. Ligocki held executive positions at Ford Motor Company and at United Technologies Corporation where she led operations in North America, Europe, Africa, the Middle East and Russia. Ms. Ligocki began her career at General Motors Corporation working for 15 years at Delco Electronics Corporation. Ms. Ligocki formerly served as a director of Harvest Power, Inc., Ashland Inc., Next Autoworks, BlueOak Resources and Lehigh Technologies. Ms. Ligocki earned a bachelor’s degree with highest distinction in Liberal Studies from Indiana University Kokomo and holds an MBA from the Wharton School at the University of Pennsylvania. She also has been awarded honorary doctorate degrees from Central Michigan University and Indiana University Kokomo.</w:t>
      </w:r>
    </w:p>
    <w:p>
      <w:pPr>
        <w:spacing w:after="0" w:line="219"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40" w:hanging="150"/>
        <w:spacing w:after="0"/>
        <w:tabs>
          <w:tab w:leader="none" w:pos="2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Executive management and leadership experience, including in the automotive industry</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 including in the automotive industry</w:t>
      </w:r>
    </w:p>
    <w:p>
      <w:pPr>
        <w:spacing w:after="0" w:line="126" w:lineRule="exact"/>
        <w:rPr>
          <w:rFonts w:ascii="Arial" w:cs="Arial" w:eastAsia="Arial" w:hAnsi="Arial"/>
          <w:sz w:val="16"/>
          <w:szCs w:val="16"/>
          <w:color w:val="auto"/>
        </w:rPr>
      </w:pPr>
    </w:p>
    <w:p>
      <w:pPr>
        <w:ind w:left="2460" w:right="520" w:hanging="170"/>
        <w:spacing w:after="0" w:line="260" w:lineRule="auto"/>
        <w:tabs>
          <w:tab w:leader="none" w:pos="24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Extensive experience in financial analysis, financial statement preparation, financial reporting, compliance and internal controls</w:t>
      </w:r>
    </w:p>
    <w:p>
      <w:pPr>
        <w:spacing w:after="0" w:line="101" w:lineRule="exact"/>
        <w:rPr>
          <w:rFonts w:ascii="Arial" w:cs="Arial" w:eastAsia="Arial" w:hAnsi="Arial"/>
          <w:sz w:val="16"/>
          <w:szCs w:val="16"/>
          <w:color w:val="auto"/>
        </w:rPr>
      </w:pPr>
    </w:p>
    <w:p>
      <w:pPr>
        <w:ind w:left="2440" w:hanging="150"/>
        <w:spacing w:after="0"/>
        <w:tabs>
          <w:tab w:leader="none" w:pos="2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Senior management experience in international automotive operations</w:t>
      </w:r>
    </w:p>
    <w:p>
      <w:pPr>
        <w:spacing w:after="0" w:line="126" w:lineRule="exact"/>
        <w:rPr>
          <w:rFonts w:ascii="Arial" w:cs="Arial" w:eastAsia="Arial" w:hAnsi="Arial"/>
          <w:sz w:val="16"/>
          <w:szCs w:val="16"/>
          <w:color w:val="auto"/>
        </w:rPr>
      </w:pPr>
    </w:p>
    <w:p>
      <w:pPr>
        <w:ind w:left="2460" w:right="740" w:hanging="170"/>
        <w:spacing w:after="0" w:line="260" w:lineRule="auto"/>
        <w:tabs>
          <w:tab w:leader="none" w:pos="24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Understanding of a wide range of issues through experience with businesses ranging from start-ups to large, global manufacturing operations</w:t>
      </w:r>
    </w:p>
    <w:p>
      <w:pPr>
        <w:spacing w:after="0" w:line="101" w:lineRule="exact"/>
        <w:rPr>
          <w:rFonts w:ascii="Arial" w:cs="Arial" w:eastAsia="Arial" w:hAnsi="Arial"/>
          <w:sz w:val="16"/>
          <w:szCs w:val="16"/>
          <w:color w:val="auto"/>
        </w:rPr>
      </w:pPr>
    </w:p>
    <w:p>
      <w:pPr>
        <w:ind w:left="2440" w:hanging="150"/>
        <w:spacing w:after="0"/>
        <w:tabs>
          <w:tab w:leader="none" w:pos="2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11</w:t>
      </w:r>
    </w:p>
    <w:p>
      <w:pPr>
        <w:sectPr>
          <w:pgSz w:w="11900" w:h="16838" w:orient="portrait"/>
          <w:cols w:equalWidth="0" w:num="1">
            <w:col w:w="11420"/>
          </w:cols>
          <w:pgMar w:left="240" w:top="267" w:right="2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389" w:lineRule="exact"/>
        <w:rPr>
          <w:sz w:val="20"/>
          <w:szCs w:val="20"/>
          <w:color w:val="auto"/>
        </w:rPr>
      </w:pPr>
    </w:p>
    <w:p>
      <w:pPr>
        <w:spacing w:after="0"/>
        <w:tabs>
          <w:tab w:leader="none" w:pos="2280" w:val="left"/>
          <w:tab w:leader="none" w:pos="3240" w:val="left"/>
        </w:tabs>
        <w:rPr>
          <w:sz w:val="20"/>
          <w:szCs w:val="20"/>
          <w:color w:val="auto"/>
        </w:rPr>
      </w:pPr>
      <w:r>
        <w:rPr>
          <w:rFonts w:ascii="Arial" w:cs="Arial" w:eastAsia="Arial" w:hAnsi="Arial"/>
          <w:sz w:val="16"/>
          <w:szCs w:val="16"/>
          <w:i w:val="1"/>
          <w:iCs w:val="1"/>
          <w:color w:val="auto"/>
        </w:rPr>
        <w:t>Conrad L. Mallett, Jr</w:t>
      </w:r>
      <w:r>
        <w:rPr>
          <w:sz w:val="20"/>
          <w:szCs w:val="20"/>
          <w:color w:val="auto"/>
        </w:rPr>
        <w:tab/>
      </w:r>
      <w:r>
        <w:rPr>
          <w:rFonts w:ascii="Arial" w:cs="Arial" w:eastAsia="Arial" w:hAnsi="Arial"/>
          <w:sz w:val="16"/>
          <w:szCs w:val="16"/>
          <w:color w:val="auto"/>
        </w:rPr>
        <w:t>Age: 63</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380" w:hanging="153"/>
        <w:spacing w:after="0"/>
        <w:tabs>
          <w:tab w:leader="none" w:pos="3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380" w:hanging="153"/>
        <w:spacing w:after="0"/>
        <w:tabs>
          <w:tab w:leader="none" w:pos="3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28"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spacing w:after="0" w:line="247" w:lineRule="auto"/>
        <w:rPr>
          <w:sz w:val="20"/>
          <w:szCs w:val="20"/>
          <w:color w:val="auto"/>
        </w:rPr>
      </w:pPr>
      <w:r>
        <w:rPr>
          <w:rFonts w:ascii="Arial" w:cs="Arial" w:eastAsia="Arial" w:hAnsi="Arial"/>
          <w:sz w:val="16"/>
          <w:szCs w:val="16"/>
          <w:color w:val="auto"/>
        </w:rPr>
        <w:t>Justice Mallett has been a director of the Company since August 2002. In March 2017, Justice Mallett was named Interim Chief Executive Officer of Detroit Medical Center Huron Valley-Sinai Hospital. He is also Executive Vice President and Chief Administrative Officer of Detroit Medical Center since January 2012, after serving as President and Chief Executive Officer of Detroit Medical Center’s Sinai 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formerly served as a director of Kelly Services, Inc. He was recognized by Savoy Magazine as one of 2016 Most Influential Black Corporate Directors. Justice Mallett has a bachelor’s degree from the University of California, Los Angeles, a JD and a master of public administration degree from the University of Southern California and an MBA from Oakland University.</w:t>
      </w:r>
    </w:p>
    <w:p>
      <w:pPr>
        <w:spacing w:after="0" w:line="219"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40" w:hanging="150"/>
        <w:spacing w:after="0"/>
        <w:tabs>
          <w:tab w:leader="none" w:pos="2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Executive management and leadership experience</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Leadership experience gained as Chief Justice of the Michigan Supreme Court</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460" w:right="800" w:hanging="170"/>
        <w:spacing w:after="0" w:line="260" w:lineRule="auto"/>
        <w:tabs>
          <w:tab w:leader="none" w:pos="24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Extensive legal and governmental experience, including significant involvement in state, municipal and community governmental activities</w:t>
      </w:r>
    </w:p>
    <w:p>
      <w:pPr>
        <w:spacing w:after="0" w:line="101" w:lineRule="exact"/>
        <w:rPr>
          <w:rFonts w:ascii="Arial" w:cs="Arial" w:eastAsia="Arial" w:hAnsi="Arial"/>
          <w:sz w:val="16"/>
          <w:szCs w:val="16"/>
          <w:color w:val="auto"/>
        </w:rPr>
      </w:pPr>
    </w:p>
    <w:p>
      <w:pPr>
        <w:ind w:left="2440" w:hanging="150"/>
        <w:spacing w:after="0"/>
        <w:tabs>
          <w:tab w:leader="none" w:pos="2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460" w:hanging="349"/>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00"/>
          </w:cols>
          <w:pgMar w:left="240" w:top="267"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389" w:lineRule="exact"/>
        <w:rPr>
          <w:sz w:val="20"/>
          <w:szCs w:val="20"/>
          <w:color w:val="auto"/>
        </w:rPr>
      </w:pPr>
    </w:p>
    <w:p>
      <w:pPr>
        <w:spacing w:after="0"/>
        <w:tabs>
          <w:tab w:leader="none" w:pos="2280" w:val="left"/>
          <w:tab w:leader="none" w:pos="3240" w:val="left"/>
        </w:tabs>
        <w:rPr>
          <w:sz w:val="20"/>
          <w:szCs w:val="20"/>
          <w:color w:val="auto"/>
        </w:rPr>
      </w:pPr>
      <w:r>
        <w:rPr>
          <w:rFonts w:ascii="Arial" w:cs="Arial" w:eastAsia="Arial" w:hAnsi="Arial"/>
          <w:sz w:val="16"/>
          <w:szCs w:val="16"/>
          <w:i w:val="1"/>
          <w:iCs w:val="1"/>
          <w:color w:val="auto"/>
        </w:rPr>
        <w:t>Donald L. Runkle</w:t>
      </w:r>
      <w:r>
        <w:rPr>
          <w:sz w:val="20"/>
          <w:szCs w:val="20"/>
          <w:color w:val="auto"/>
        </w:rPr>
        <w:tab/>
      </w:r>
      <w:r>
        <w:rPr>
          <w:rFonts w:ascii="Arial" w:cs="Arial" w:eastAsia="Arial" w:hAnsi="Arial"/>
          <w:sz w:val="16"/>
          <w:szCs w:val="16"/>
          <w:color w:val="auto"/>
        </w:rPr>
        <w:t>Age: 71</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380" w:hanging="153"/>
        <w:spacing w:after="0"/>
        <w:tabs>
          <w:tab w:leader="none" w:pos="3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26" w:lineRule="exact"/>
        <w:rPr>
          <w:rFonts w:ascii="Arial" w:cs="Arial" w:eastAsia="Arial" w:hAnsi="Arial"/>
          <w:sz w:val="16"/>
          <w:szCs w:val="16"/>
          <w:color w:val="auto"/>
        </w:rPr>
      </w:pPr>
    </w:p>
    <w:p>
      <w:pPr>
        <w:ind w:left="3380" w:hanging="153"/>
        <w:spacing w:after="0"/>
        <w:tabs>
          <w:tab w:leader="none" w:pos="3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28"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right="80"/>
        <w:spacing w:after="0" w:line="246" w:lineRule="auto"/>
        <w:rPr>
          <w:sz w:val="20"/>
          <w:szCs w:val="20"/>
          <w:color w:val="auto"/>
        </w:rPr>
      </w:pPr>
      <w:r>
        <w:rPr>
          <w:rFonts w:ascii="Arial" w:cs="Arial" w:eastAsia="Arial" w:hAnsi="Arial"/>
          <w:sz w:val="16"/>
          <w:szCs w:val="16"/>
          <w:color w:val="auto"/>
        </w:rPr>
        <w:t>Mr. Runkle has been a director of the Company since November 2009. Mr. Runkle currently serves as the Executive Chairman of Ioxus Inc. and is a Director of VIA Motors. He also serves as an Operating Executive Advisor at Tennenbaum Capital Partners, a position he has held since 2005, and is on the Advisory Boards of General Fusion and TULA Technology.</w:t>
      </w:r>
    </w:p>
    <w:p>
      <w:pPr>
        <w:spacing w:after="0" w:line="1" w:lineRule="exact"/>
        <w:rPr>
          <w:sz w:val="20"/>
          <w:szCs w:val="20"/>
          <w:color w:val="auto"/>
        </w:rPr>
      </w:pPr>
    </w:p>
    <w:p>
      <w:pPr>
        <w:ind w:left="2300"/>
        <w:spacing w:after="0" w:line="247" w:lineRule="auto"/>
        <w:rPr>
          <w:sz w:val="20"/>
          <w:szCs w:val="20"/>
          <w:color w:val="auto"/>
        </w:rPr>
      </w:pPr>
      <w:r>
        <w:rPr>
          <w:rFonts w:ascii="Arial" w:cs="Arial" w:eastAsia="Arial" w:hAnsi="Arial"/>
          <w:sz w:val="16"/>
          <w:szCs w:val="16"/>
          <w:color w:val="auto"/>
        </w:rPr>
        <w:t>Mr. Runkle also serves on the Engineering Advisory Council of the University of Michigan. Recently, Mr. Runkle was Executive Chairman of EcoMotors International and formerly served as its Chief Executive Officer. He was also formerly Chairman of Autocam and Eagle-Picher Corporations, and formerly a director of Envirotest, the Lean Enterprise Institute, Transonic Combustion and WinCup Corporation. From 1999 until 2005, Mr. Runkle held various executive-level positions at Delphi Corporation, including Director, Vice Chairman and Chief Technology Officer from 2003 until 2005, Executive Vice President and President, Delphi Dynamics and Propulsion Sector from 2000 until 2003 and President, Delphi Energy and Engine Management Systems from 1999 to 2000. Prior to Delphi, Mr. Runkle was employed by General Motors Corporation for over 30 years in various executive-level positions, including Vice President &amp; General Manager of Energy &amp; Engine Management Systems from 1996 until 1999, Vice President &amp; General Manager of Saginaw Steering Systems from 1993 until 1996, Vice President of North American Engineering Operations from 1992 to 1993, Vice President of Advanced Engineering from 1988 to 1992, as well as Chief Engineer of Chevrolet and Assistant Chief Engineer of Buick. Mr. Runkle has a bachelor’s and master’s degree in Mechanical Engineering from the University of Michigan and a Master of Science in Management Studies degree, as a Sloan Fellow, from the Massachusetts Institute of Technology.</w:t>
      </w:r>
    </w:p>
    <w:p>
      <w:pPr>
        <w:spacing w:after="0" w:line="219"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40" w:hanging="150"/>
        <w:spacing w:after="0"/>
        <w:tabs>
          <w:tab w:leader="none" w:pos="2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management and leadership experience, including in the automotive industry</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Management and consulting experience in technology, including in the automotive industry and as chief technology officer</w:t>
      </w:r>
    </w:p>
    <w:p>
      <w:pPr>
        <w:spacing w:after="0" w:line="126" w:lineRule="exact"/>
        <w:rPr>
          <w:rFonts w:ascii="Arial" w:cs="Arial" w:eastAsia="Arial" w:hAnsi="Arial"/>
          <w:sz w:val="16"/>
          <w:szCs w:val="16"/>
          <w:color w:val="auto"/>
        </w:rPr>
      </w:pPr>
    </w:p>
    <w:p>
      <w:pPr>
        <w:ind w:left="2460" w:right="340" w:hanging="170"/>
        <w:spacing w:after="0" w:line="260" w:lineRule="auto"/>
        <w:tabs>
          <w:tab w:leader="none" w:pos="24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Directorship and management experience, including in the automotive industry, at board chairman level and with a public company</w:t>
      </w:r>
    </w:p>
    <w:p>
      <w:pPr>
        <w:spacing w:after="0" w:line="101" w:lineRule="exact"/>
        <w:rPr>
          <w:rFonts w:ascii="Arial" w:cs="Arial" w:eastAsia="Arial" w:hAnsi="Arial"/>
          <w:sz w:val="16"/>
          <w:szCs w:val="16"/>
          <w:color w:val="auto"/>
        </w:rPr>
      </w:pPr>
    </w:p>
    <w:p>
      <w:pPr>
        <w:ind w:left="2440" w:hanging="150"/>
        <w:spacing w:after="0"/>
        <w:tabs>
          <w:tab w:leader="none" w:pos="2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13</w:t>
      </w:r>
    </w:p>
    <w:p>
      <w:pPr>
        <w:sectPr>
          <w:pgSz w:w="11900" w:h="16838" w:orient="portrait"/>
          <w:cols w:equalWidth="0" w:num="1">
            <w:col w:w="11420"/>
          </w:cols>
          <w:pgMar w:left="240" w:top="267" w:right="23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AND CORPORATE GOVERNANCE</w:t>
      </w:r>
    </w:p>
    <w:p>
      <w:pPr>
        <w:spacing w:after="0" w:line="389" w:lineRule="exact"/>
        <w:rPr>
          <w:sz w:val="20"/>
          <w:szCs w:val="20"/>
          <w:color w:val="auto"/>
        </w:rPr>
      </w:pPr>
    </w:p>
    <w:p>
      <w:pPr>
        <w:spacing w:after="0"/>
        <w:tabs>
          <w:tab w:leader="none" w:pos="2280" w:val="left"/>
          <w:tab w:leader="none" w:pos="3180" w:val="left"/>
        </w:tabs>
        <w:rPr>
          <w:sz w:val="20"/>
          <w:szCs w:val="20"/>
          <w:color w:val="auto"/>
        </w:rPr>
      </w:pPr>
      <w:r>
        <w:rPr>
          <w:rFonts w:ascii="Arial" w:cs="Arial" w:eastAsia="Arial" w:hAnsi="Arial"/>
          <w:sz w:val="16"/>
          <w:szCs w:val="16"/>
          <w:i w:val="1"/>
          <w:iCs w:val="1"/>
          <w:color w:val="auto"/>
        </w:rPr>
        <w:t>Matthew J. Simoncini</w:t>
      </w:r>
      <w:r>
        <w:rPr>
          <w:sz w:val="20"/>
          <w:szCs w:val="20"/>
          <w:color w:val="auto"/>
        </w:rPr>
        <w:tab/>
      </w:r>
      <w:r>
        <w:rPr>
          <w:rFonts w:ascii="Arial" w:cs="Arial" w:eastAsia="Arial" w:hAnsi="Arial"/>
          <w:sz w:val="16"/>
          <w:szCs w:val="16"/>
          <w:color w:val="auto"/>
        </w:rPr>
        <w:t>Age: 56</w:t>
      </w:r>
      <w:r>
        <w:rPr>
          <w:sz w:val="20"/>
          <w:szCs w:val="20"/>
          <w:color w:val="auto"/>
        </w:rPr>
        <w:tab/>
      </w:r>
      <w:r>
        <w:rPr>
          <w:rFonts w:ascii="Arial" w:cs="Arial" w:eastAsia="Arial" w:hAnsi="Arial"/>
          <w:sz w:val="16"/>
          <w:szCs w:val="16"/>
          <w:color w:val="auto"/>
        </w:rPr>
        <w:t>President and Chief Executive Officer</w:t>
      </w:r>
    </w:p>
    <w:p>
      <w:pPr>
        <w:spacing w:after="0" w:line="244"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spacing w:after="0" w:line="247" w:lineRule="auto"/>
        <w:rPr>
          <w:sz w:val="20"/>
          <w:szCs w:val="20"/>
          <w:color w:val="auto"/>
        </w:rPr>
      </w:pPr>
      <w:r>
        <w:rPr>
          <w:rFonts w:ascii="Arial" w:cs="Arial" w:eastAsia="Arial" w:hAnsi="Arial"/>
          <w:sz w:val="16"/>
          <w:szCs w:val="16"/>
          <w:color w:val="auto"/>
        </w:rPr>
        <w:t>Mr. Simoncini has served as President, Chief Executive Officer and a director of the Company since September 2011. In this role, Mr. Simoncini is responsible for the strategic direction and operational leadership of the Company. Formerly, Mr. Simoncini was Senior Vice President and Chief Financial Officer of the Company, a role he had held since September 2007. As Senior Vice President and Chief Financial Officer, he was responsible for the Company’s Global Finance operations, including external Financial Reporting, Corporate Business Planning &amp; Analysis, Corporate Strategy and Business Development as well as Information Technology activities worldwide. In August 2006, Mr. Simoncini was named Senior Vice President of Finance and Chief Accounting Officer where he was responsible for the Company’s worldwide operational finance, accounting and financial reporting. Prior to that, he was vice president of Operational Finance, a position he had held since June 2004. Mr. Simoncini also served as the Company’s Vice President of Finance — Europe as well as held the Vice President of Finance position for the Company’s Electrical &amp; Electronics business and DaimlerChrysler division. Mr. Simoncini joined United Technologies Automotive (“UTA”) in April 1996 as director of Finance for the Motors Division with responsibility for the financial activities of the business unit. At the time of the Company’s acquisition of UTA in May 1999, Mr. Simoncini was director of Global Financial Planning &amp; Analysis. Previous to UTA, Mr. Simoncini held financial and manufacturing positions with Varity Kelsey Hayes and Horizon Enterprises including Chief Financial Officer of Kelsey Hayes’ European Operations. Mr. Simoncini began his career at Touche Ross and is a certified public accountant. Born and raised in Detroit, Simoncini earned a bachelor’s degree from Wayne State University. In addition to his responsibilities at Lear, he is a member of the board of directors for the Wayne State University Foundation, Detroit Economic Club, Business Leaders of Michigan, Michigan Opera Theatre, Downtown Detroit Partnership, Bing Youth Institute and the Detroit Mayor’s Workforce Development Board.</w:t>
      </w:r>
    </w:p>
    <w:p>
      <w:pPr>
        <w:spacing w:after="0" w:line="218"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60" w:right="140" w:hanging="170"/>
        <w:spacing w:after="0" w:line="260" w:lineRule="auto"/>
        <w:tabs>
          <w:tab w:leader="none" w:pos="24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Executive management and leadership experience with the Company, current President and Chief Executive Officer, former Senior Vice President and Chief Financial Officer</w:t>
      </w:r>
    </w:p>
    <w:p>
      <w:pPr>
        <w:spacing w:after="0" w:line="101" w:lineRule="exact"/>
        <w:rPr>
          <w:rFonts w:ascii="Arial" w:cs="Arial" w:eastAsia="Arial" w:hAnsi="Arial"/>
          <w:sz w:val="16"/>
          <w:szCs w:val="16"/>
          <w:color w:val="auto"/>
        </w:rPr>
      </w:pPr>
    </w:p>
    <w:p>
      <w:pPr>
        <w:ind w:left="2440" w:hanging="150"/>
        <w:spacing w:after="0"/>
        <w:tabs>
          <w:tab w:leader="none" w:pos="2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Record of leadership, achievement and execution of the Company’s business and global strategy</w:t>
      </w:r>
    </w:p>
    <w:p>
      <w:pPr>
        <w:spacing w:after="0" w:line="126" w:lineRule="exact"/>
        <w:rPr>
          <w:rFonts w:ascii="Arial" w:cs="Arial" w:eastAsia="Arial" w:hAnsi="Arial"/>
          <w:sz w:val="16"/>
          <w:szCs w:val="16"/>
          <w:color w:val="auto"/>
        </w:rPr>
      </w:pPr>
    </w:p>
    <w:p>
      <w:pPr>
        <w:ind w:left="2460" w:right="80" w:hanging="170"/>
        <w:spacing w:after="0" w:line="260" w:lineRule="auto"/>
        <w:tabs>
          <w:tab w:leader="none" w:pos="24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Extensive understanding of finance, treasury, financial reporting, investment analysis, management, compliance and internal controls</w:t>
      </w:r>
    </w:p>
    <w:p>
      <w:pPr>
        <w:spacing w:after="0" w:line="117" w:lineRule="exact"/>
        <w:rPr>
          <w:sz w:val="20"/>
          <w:szCs w:val="20"/>
          <w:color w:val="auto"/>
        </w:rPr>
      </w:pPr>
    </w:p>
    <w:p>
      <w:pPr>
        <w:ind w:left="460" w:hanging="349"/>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20"/>
          </w:cols>
          <w:pgMar w:left="240" w:top="26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389" w:lineRule="exact"/>
        <w:rPr>
          <w:sz w:val="20"/>
          <w:szCs w:val="20"/>
          <w:color w:val="auto"/>
        </w:rPr>
      </w:pPr>
    </w:p>
    <w:p>
      <w:pPr>
        <w:spacing w:after="0"/>
        <w:tabs>
          <w:tab w:leader="none" w:pos="2280" w:val="left"/>
          <w:tab w:leader="none" w:pos="3180" w:val="left"/>
        </w:tabs>
        <w:rPr>
          <w:sz w:val="20"/>
          <w:szCs w:val="20"/>
          <w:color w:val="auto"/>
        </w:rPr>
      </w:pPr>
      <w:r>
        <w:rPr>
          <w:rFonts w:ascii="Arial" w:cs="Arial" w:eastAsia="Arial" w:hAnsi="Arial"/>
          <w:sz w:val="16"/>
          <w:szCs w:val="16"/>
          <w:i w:val="1"/>
          <w:iCs w:val="1"/>
          <w:color w:val="auto"/>
        </w:rPr>
        <w:t>Gregory C. Smith</w:t>
      </w:r>
      <w:r>
        <w:rPr>
          <w:sz w:val="20"/>
          <w:szCs w:val="20"/>
          <w:color w:val="auto"/>
        </w:rPr>
        <w:tab/>
      </w:r>
      <w:r>
        <w:rPr>
          <w:rFonts w:ascii="Arial" w:cs="Arial" w:eastAsia="Arial" w:hAnsi="Arial"/>
          <w:sz w:val="16"/>
          <w:szCs w:val="16"/>
          <w:color w:val="auto"/>
        </w:rPr>
        <w:t>Age: 65</w:t>
      </w:r>
      <w:r>
        <w:rPr>
          <w:sz w:val="20"/>
          <w:szCs w:val="20"/>
          <w:color w:val="auto"/>
        </w:rPr>
        <w:tab/>
      </w:r>
      <w:r>
        <w:rPr>
          <w:rFonts w:ascii="Arial" w:cs="Arial" w:eastAsia="Arial" w:hAnsi="Arial"/>
          <w:sz w:val="16"/>
          <w:szCs w:val="16"/>
          <w:color w:val="auto"/>
        </w:rPr>
        <w:t>Lear Committees:</w:t>
      </w:r>
    </w:p>
    <w:p>
      <w:pPr>
        <w:spacing w:after="0" w:line="143" w:lineRule="exact"/>
        <w:rPr>
          <w:sz w:val="20"/>
          <w:szCs w:val="20"/>
          <w:color w:val="auto"/>
        </w:rPr>
      </w:pPr>
    </w:p>
    <w:p>
      <w:pPr>
        <w:ind w:left="3380" w:hanging="153"/>
        <w:spacing w:after="0"/>
        <w:tabs>
          <w:tab w:leader="none" w:pos="3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126" w:lineRule="exact"/>
        <w:rPr>
          <w:rFonts w:ascii="Arial" w:cs="Arial" w:eastAsia="Arial" w:hAnsi="Arial"/>
          <w:sz w:val="16"/>
          <w:szCs w:val="16"/>
          <w:color w:val="auto"/>
        </w:rPr>
      </w:pPr>
    </w:p>
    <w:p>
      <w:pPr>
        <w:ind w:left="3380" w:hanging="153"/>
        <w:spacing w:after="0"/>
        <w:tabs>
          <w:tab w:leader="none" w:pos="3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Nominating and Corporate Governance</w:t>
      </w:r>
    </w:p>
    <w:p>
      <w:pPr>
        <w:spacing w:after="0" w:line="242"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right="40"/>
        <w:spacing w:after="0" w:line="247" w:lineRule="auto"/>
        <w:rPr>
          <w:sz w:val="20"/>
          <w:szCs w:val="20"/>
          <w:color w:val="auto"/>
        </w:rPr>
      </w:pPr>
      <w:r>
        <w:rPr>
          <w:rFonts w:ascii="Arial" w:cs="Arial" w:eastAsia="Arial" w:hAnsi="Arial"/>
          <w:sz w:val="16"/>
          <w:szCs w:val="16"/>
          <w:color w:val="auto"/>
        </w:rPr>
        <w:t>Mr. Smith has been a director of the Company since November 2009. Mr. Smith, a retired Vice Chairman of Ford Motor Company,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 Ford Motor Company, and President and Chief Operating Officer —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Currently, Mr. Smith serves as a director of Penske Corporation and formerly served as a director of the Federal National Mortgage Association (Fannie Mae) and Solutia Inc. Mr. Smith is a Board Leadership Fellow of the National Association of Corporate Directors and also serves on the Risk Oversight Advisory Council of the National Association of Corporate Directors. Mr. Smith has a bachelor’s degree in Mechanical Engineering from Rose-Hulman Institute of Technology and an MBA from Eastern Michigan University.</w:t>
      </w:r>
    </w:p>
    <w:p>
      <w:pPr>
        <w:spacing w:after="0" w:line="219"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40" w:hanging="150"/>
        <w:spacing w:after="0"/>
        <w:tabs>
          <w:tab w:leader="none" w:pos="2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Executive management and leadership experience, including in the automotive industry</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Public company directorship and committee experience</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Served on audit committees of public and private companies</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Experience actively overseeing finance departments and personnel</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Extensive experience and knowledge of automotive industry</w:t>
      </w:r>
    </w:p>
    <w:p>
      <w:pPr>
        <w:spacing w:after="0" w:line="126" w:lineRule="exact"/>
        <w:rPr>
          <w:rFonts w:ascii="Arial" w:cs="Arial" w:eastAsia="Arial" w:hAnsi="Arial"/>
          <w:sz w:val="16"/>
          <w:szCs w:val="16"/>
          <w:color w:val="auto"/>
        </w:rPr>
      </w:pPr>
    </w:p>
    <w:p>
      <w:pPr>
        <w:ind w:left="2460" w:right="260" w:hanging="170"/>
        <w:spacing w:after="0" w:line="260" w:lineRule="auto"/>
        <w:tabs>
          <w:tab w:leader="none" w:pos="24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Experience and knowledge of automotive company operations and strategic issues, including engineering, manufacturing, marketing, human resources and finance</w:t>
      </w:r>
    </w:p>
    <w:p>
      <w:pPr>
        <w:spacing w:after="0" w:line="101" w:lineRule="exact"/>
        <w:rPr>
          <w:rFonts w:ascii="Arial" w:cs="Arial" w:eastAsia="Arial" w:hAnsi="Arial"/>
          <w:sz w:val="16"/>
          <w:szCs w:val="16"/>
          <w:color w:val="auto"/>
        </w:rPr>
      </w:pPr>
    </w:p>
    <w:p>
      <w:pPr>
        <w:ind w:left="2440" w:hanging="150"/>
        <w:spacing w:after="0"/>
        <w:tabs>
          <w:tab w:leader="none" w:pos="2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15</w:t>
      </w:r>
    </w:p>
    <w:p>
      <w:pPr>
        <w:sectPr>
          <w:pgSz w:w="11900" w:h="16838" w:orient="portrait"/>
          <w:cols w:equalWidth="0" w:num="1">
            <w:col w:w="11420"/>
          </w:cols>
          <w:pgMar w:left="240" w:top="267" w:right="239" w:bottom="1440" w:gutter="0" w:footer="0" w:header="0"/>
        </w:sectPr>
      </w:pPr>
    </w:p>
    <w:bookmarkStart w:id="21" w:name="page22"/>
    <w:bookmarkEnd w:id="21"/>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389"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i w:val="1"/>
          <w:iCs w:val="1"/>
          <w:color w:val="auto"/>
        </w:rPr>
        <w:t>Henry D.G. Wallace</w:t>
      </w:r>
      <w:r>
        <w:rPr>
          <w:sz w:val="20"/>
          <w:szCs w:val="20"/>
          <w:color w:val="auto"/>
        </w:rPr>
        <w:tab/>
      </w:r>
      <w:r>
        <w:rPr>
          <w:rFonts w:ascii="Arial" w:cs="Arial" w:eastAsia="Arial" w:hAnsi="Arial"/>
          <w:sz w:val="15"/>
          <w:szCs w:val="15"/>
          <w:color w:val="auto"/>
        </w:rPr>
        <w:t>Age: 71</w:t>
      </w:r>
    </w:p>
    <w:p>
      <w:pPr>
        <w:spacing w:after="0" w:line="244"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Biography</w:t>
      </w:r>
    </w:p>
    <w:p>
      <w:pPr>
        <w:spacing w:after="0" w:line="147" w:lineRule="exact"/>
        <w:rPr>
          <w:sz w:val="20"/>
          <w:szCs w:val="20"/>
          <w:color w:val="auto"/>
        </w:rPr>
      </w:pPr>
    </w:p>
    <w:p>
      <w:pPr>
        <w:ind w:left="2300"/>
        <w:spacing w:after="0" w:line="249" w:lineRule="auto"/>
        <w:rPr>
          <w:sz w:val="20"/>
          <w:szCs w:val="20"/>
          <w:color w:val="auto"/>
        </w:rPr>
      </w:pPr>
      <w:r>
        <w:rPr>
          <w:rFonts w:ascii="Arial" w:cs="Arial" w:eastAsia="Arial" w:hAnsi="Arial"/>
          <w:sz w:val="16"/>
          <w:szCs w:val="16"/>
          <w:color w:val="auto"/>
        </w:rPr>
        <w:t>Mr. Wallace has served as the Company’s Non-Executive Chairman since August 2010 and has been a director of the Company since February 2005. Mr. Wallace worked for 30 years at Ford Motor Company until his retirement in 2001 and held several executive level operations and financial oversight positions. His most recent positions included Chief Financial Officer and President and CEO of Mazda Motor Corporation. Mr. Wallace serves as Non-Executive Chairman of Diebold, Inc. (formerly Interim Executive Chairman). Mr. Wallace formerly served as a director of Hayes Lemmerz International, Inc. and AMBAC Financial Group, Inc. Mr. Wallace earned a bachelor’s degree with Honours from the University of Leicester, England.</w:t>
      </w:r>
    </w:p>
    <w:p>
      <w:pPr>
        <w:spacing w:after="0" w:line="212" w:lineRule="exact"/>
        <w:rPr>
          <w:sz w:val="20"/>
          <w:szCs w:val="20"/>
          <w:color w:val="auto"/>
        </w:rPr>
      </w:pPr>
    </w:p>
    <w:p>
      <w:pPr>
        <w:ind w:left="230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47" w:lineRule="exact"/>
        <w:rPr>
          <w:sz w:val="20"/>
          <w:szCs w:val="20"/>
          <w:color w:val="auto"/>
        </w:rPr>
      </w:pPr>
    </w:p>
    <w:p>
      <w:pPr>
        <w:ind w:left="2440" w:hanging="150"/>
        <w:spacing w:after="0"/>
        <w:tabs>
          <w:tab w:leader="none" w:pos="2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Experience and leadership with a global manufacturing company</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Leadership experience on boards of several public companies</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Extensive international experience in Asia, Europe and Latin America</w:t>
      </w:r>
    </w:p>
    <w:p>
      <w:pPr>
        <w:spacing w:after="0" w:line="126" w:lineRule="exact"/>
        <w:rPr>
          <w:rFonts w:ascii="Arial" w:cs="Arial" w:eastAsia="Arial" w:hAnsi="Arial"/>
          <w:sz w:val="16"/>
          <w:szCs w:val="16"/>
          <w:color w:val="auto"/>
        </w:rPr>
      </w:pPr>
    </w:p>
    <w:p>
      <w:pPr>
        <w:ind w:left="2460" w:right="140" w:hanging="170"/>
        <w:spacing w:after="0" w:line="260" w:lineRule="auto"/>
        <w:tabs>
          <w:tab w:leader="none" w:pos="24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Experience in finance, financial statement preparation and accounting, financial reporting, compliance and internal controls, including as chief financial officer</w:t>
      </w:r>
    </w:p>
    <w:p>
      <w:pPr>
        <w:spacing w:after="0" w:line="101" w:lineRule="exact"/>
        <w:rPr>
          <w:rFonts w:ascii="Arial" w:cs="Arial" w:eastAsia="Arial" w:hAnsi="Arial"/>
          <w:sz w:val="16"/>
          <w:szCs w:val="16"/>
          <w:color w:val="auto"/>
        </w:rPr>
      </w:pPr>
    </w:p>
    <w:p>
      <w:pPr>
        <w:ind w:left="2440" w:hanging="150"/>
        <w:spacing w:after="0"/>
        <w:tabs>
          <w:tab w:leader="none" w:pos="2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Executive management experience, including in the automotive industry</w:t>
      </w:r>
    </w:p>
    <w:p>
      <w:pPr>
        <w:spacing w:after="0" w:line="126" w:lineRule="exact"/>
        <w:rPr>
          <w:rFonts w:ascii="Arial" w:cs="Arial" w:eastAsia="Arial" w:hAnsi="Arial"/>
          <w:sz w:val="16"/>
          <w:szCs w:val="16"/>
          <w:color w:val="auto"/>
        </w:rPr>
      </w:pPr>
    </w:p>
    <w:p>
      <w:pPr>
        <w:ind w:left="2440" w:hanging="150"/>
        <w:spacing w:after="0"/>
        <w:tabs>
          <w:tab w:leader="none" w:pos="2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Independent of management</w:t>
      </w:r>
    </w:p>
    <w:p>
      <w:pPr>
        <w:spacing w:after="0" w:line="142" w:lineRule="exact"/>
        <w:rPr>
          <w:sz w:val="20"/>
          <w:szCs w:val="20"/>
          <w:color w:val="auto"/>
        </w:rPr>
      </w:pPr>
    </w:p>
    <w:p>
      <w:pPr>
        <w:ind w:left="460" w:hanging="349"/>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00"/>
          </w:cols>
          <w:pgMar w:left="240" w:top="267" w:right="259" w:bottom="1440" w:gutter="0" w:footer="0" w:header="0"/>
        </w:sectPr>
      </w:pPr>
    </w:p>
    <w:bookmarkStart w:id="22" w:name="page23"/>
    <w:bookmarkEnd w:id="22"/>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DIRECTORS AND 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Criteria for Selection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following are the general criteria for the selection of our directors that the Nominating Committee utilizes in evaluating candidates for Board membership. The Nominating Committee considers, without limitation, a director nominee’s independence, skills and other attributes, experience, perspective, background and diversity (which we define broadly to include differences in viewpoints, background, experience, skill, education, national origin, gender, race, age,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culture and current affiliations that may offer the Company exposure to contemporary business issues and is considered in the context of the Board as a whole). These qualifications may vary from year to year, depending on the needs of the Company at the time.</w:t>
      </w:r>
    </w:p>
    <w:p>
      <w:pPr>
        <w:spacing w:after="0" w:line="9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general criteria set forth below are not listed in any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285750</wp:posOffset>
            </wp:positionV>
            <wp:extent cx="5702935" cy="3533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02935" cy="353314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5400" w:space="420"/>
            <w:col w:w="5600"/>
          </w:cols>
          <w:pgMar w:left="240" w:top="26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above criteria should not be construed as minimum qualifications for director selection nor is it expected that director nominees will possess all of the criteria identified. Rather, they represent the range of complementary talents, backgrounds and experiences that the Nominating Committee believes would contribute to the effective functioning of our Board.</w:t>
      </w:r>
    </w:p>
    <w:p>
      <w:pPr>
        <w:spacing w:after="0" w:line="95"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Corporate Governance Guidelines and Nominating Committee charter provide guidelines with respect to the consideration of director candidates. Under these guidelines, the Nominating Committee is responsible for, subject to approval by the Board, establishing and periodically reviewing the criteria for Board membership and selection of new directors, including independence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60"/>
        <w:spacing w:after="0" w:line="249" w:lineRule="auto"/>
        <w:rPr>
          <w:sz w:val="20"/>
          <w:szCs w:val="20"/>
          <w:color w:val="auto"/>
        </w:rPr>
      </w:pPr>
      <w:r>
        <w:rPr>
          <w:rFonts w:ascii="Arial" w:cs="Arial" w:eastAsia="Arial" w:hAnsi="Arial"/>
          <w:sz w:val="16"/>
          <w:szCs w:val="16"/>
          <w:color w:val="auto"/>
        </w:rPr>
        <w:t>standards. The Nominating Committee also may recommend to the Board changes to the portfolio of director skills, experience, perspective and background required for the effective functioning of the Board considering our strategy and the regulatory, geographic and market environments. Any such changes to the director selection criteria must be approved by the Board.</w:t>
      </w:r>
    </w:p>
    <w:p>
      <w:pPr>
        <w:spacing w:after="0" w:line="97"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The Nominating Committee screens candidates and recommends director nominees who are approved by the Board. The Nominating Committee considers candidates for Board membership suggested by its members and other Board members, as well as management and stockholders. The Nominating Committee also may retain a search firm (which may be paid a fee) to identify director candidates.</w:t>
      </w:r>
    </w:p>
    <w:p>
      <w:pPr>
        <w:spacing w:after="0" w:line="248" w:lineRule="exact"/>
        <w:rPr>
          <w:sz w:val="20"/>
          <w:szCs w:val="20"/>
          <w:color w:val="auto"/>
        </w:rPr>
      </w:pPr>
    </w:p>
    <w:p>
      <w:pPr>
        <w:jc w:val="right"/>
        <w:ind w:right="100"/>
        <w:spacing w:after="0"/>
        <w:tabs>
          <w:tab w:leader="none" w:pos="400" w:val="left"/>
          <w:tab w:leader="none" w:pos="1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17</w:t>
      </w:r>
    </w:p>
    <w:p>
      <w:pPr>
        <w:sectPr>
          <w:pgSz w:w="11900" w:h="16838" w:orient="portrait"/>
          <w:cols w:equalWidth="0" w:num="2">
            <w:col w:w="5440" w:space="380"/>
            <w:col w:w="5600"/>
          </w:cols>
          <w:pgMar w:left="240" w:top="267"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Once a potential candidate has been identified, the Nominating Committee evaluates the potential candidate based on the Board’s criteria for selection of directors (described above) and the composition and needs of the Board at the time. All director candidates are evaluated 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the same basis. Candidates also are evaluated in light of Board policies, such as those relating to director independence and service on other boards, as well as considerations relating to the size and structure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-815340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20"/>
            <w:col w:w="5460"/>
          </w:cols>
          <w:pgMar w:left="240" w:top="267" w:right="37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color w:val="auto"/>
        </w:rPr>
        <w:t>Recommendation of Directors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type w:val="continuous"/>
        </w:sectPr>
      </w:pPr>
    </w:p>
    <w:p>
      <w:pPr>
        <w:spacing w:after="0" w:line="31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accordance with its charter, the Nominating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Nominating Committee evaluates such candidates in the same manner by which it evaluates other director candidates considered by the Nominating Committee, as described above.</w:t>
      </w:r>
    </w:p>
    <w:p>
      <w:pPr>
        <w:spacing w:after="0" w:line="10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spacing w:after="0" w:line="9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Terrence B. Larkin, Executive Vice President, Business Development, General Counsel and Corporate Secretary.</w:t>
      </w:r>
    </w:p>
    <w:p>
      <w:pPr>
        <w:spacing w:after="0" w:line="98" w:lineRule="exact"/>
        <w:rPr>
          <w:sz w:val="20"/>
          <w:szCs w:val="20"/>
          <w:color w:val="auto"/>
        </w:rPr>
      </w:pPr>
    </w:p>
    <w:p>
      <w:pPr>
        <w:jc w:val="both"/>
        <w:ind w:right="440"/>
        <w:spacing w:after="0" w:line="260" w:lineRule="auto"/>
        <w:rPr>
          <w:sz w:val="20"/>
          <w:szCs w:val="20"/>
          <w:color w:val="auto"/>
        </w:rPr>
      </w:pPr>
      <w:r>
        <w:rPr>
          <w:rFonts w:ascii="Arial" w:cs="Arial" w:eastAsia="Arial" w:hAnsi="Arial"/>
          <w:sz w:val="16"/>
          <w:szCs w:val="16"/>
          <w:color w:val="auto"/>
        </w:rPr>
        <w:t>A copy of our Bylaws, as amended, has been filed as an exhibit to our Current Report on Form 8-K filed with the SEC on November 9, 2009.</w:t>
      </w:r>
    </w:p>
    <w:p>
      <w:pPr>
        <w:spacing w:after="0" w:line="452" w:lineRule="exact"/>
        <w:rPr>
          <w:sz w:val="20"/>
          <w:szCs w:val="20"/>
          <w:color w:val="auto"/>
        </w:rPr>
      </w:pPr>
    </w:p>
    <w:p>
      <w:pPr>
        <w:sectPr>
          <w:pgSz w:w="11900" w:h="16838" w:orient="portrait"/>
          <w:cols w:equalWidth="0" w:num="2">
            <w:col w:w="5460" w:space="360"/>
            <w:col w:w="5460"/>
          </w:cols>
          <w:pgMar w:left="240" w:top="267" w:right="379" w:bottom="1440" w:gutter="0" w:footer="0" w:header="0"/>
          <w:type w:val="continuous"/>
        </w:sectPr>
      </w:pPr>
    </w:p>
    <w:p>
      <w:pPr>
        <w:spacing w:after="0" w:line="366" w:lineRule="exact"/>
        <w:rPr>
          <w:sz w:val="20"/>
          <w:szCs w:val="20"/>
          <w:color w:val="auto"/>
        </w:rPr>
      </w:pPr>
    </w:p>
    <w:p>
      <w:pPr>
        <w:spacing w:after="0"/>
        <w:rPr>
          <w:sz w:val="20"/>
          <w:szCs w:val="20"/>
          <w:color w:val="auto"/>
        </w:rPr>
      </w:pPr>
      <w:r>
        <w:rPr>
          <w:rFonts w:ascii="Arial" w:cs="Arial" w:eastAsia="Arial" w:hAnsi="Arial"/>
          <w:sz w:val="23"/>
          <w:szCs w:val="23"/>
          <w:color w:val="auto"/>
        </w:rPr>
        <w:t>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type w:val="continuous"/>
        </w:sectPr>
      </w:pPr>
    </w:p>
    <w:p>
      <w:pPr>
        <w:spacing w:after="0" w:line="3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Company’s Corporate Governance Guidelines provide that a majority of the members of the Board, and each member of the Audit Committee, Compensation Committee and Nominating Committee, must meet the criteria for independence set forth under applicable law and the New York Stock Exchange (“NYSE”) listing standards. No director qualifies as independent unless the Board determines that the director has no direct or indirect material relationship with the Company. These independence guidelines are part of our Corporate Governance Guidelines, available on our website at www.lear.com. In addition to applying these director independence guidelines and the NYSE independence guidelines, the Board will consider all relevant facts and circumstances of which it is aware in making an independence determination with respect to any director.</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has made director independence determinations with respect to each of our directors. Based on our director independence guidelines and the NYSE independence guidelines, the Board has affirmatively determined that (i) Messrs. Bott, Capo and Foster, Dr. Jepsen, Ms. Ligocki and Messrs. Mallett, Runkle, Smith and Wallace (A) have no relationships or only immaterial relationships with us, (B) meet our director independence guidelines and the NYSE independence guidelines with respect to any such relationships and (C) are independent; and (ii) Mr. Simoncini is not independent. Mr. Simoncini is our President and Chief Executive Officer (the “CEO”).</w:t>
      </w:r>
    </w:p>
    <w:p>
      <w:pPr>
        <w:spacing w:after="0" w:line="571" w:lineRule="exact"/>
        <w:rPr>
          <w:sz w:val="20"/>
          <w:szCs w:val="20"/>
          <w:color w:val="auto"/>
        </w:rPr>
      </w:pPr>
    </w:p>
    <w:p>
      <w:pPr>
        <w:sectPr>
          <w:pgSz w:w="11900" w:h="16838" w:orient="portrait"/>
          <w:cols w:equalWidth="0" w:num="2">
            <w:col w:w="5460" w:space="360"/>
            <w:col w:w="5460"/>
          </w:cols>
          <w:pgMar w:left="240" w:top="267" w:right="379" w:bottom="1440" w:gutter="0" w:footer="0" w:header="0"/>
          <w:type w:val="continuous"/>
        </w:sectPr>
      </w:pPr>
    </w:p>
    <w:p>
      <w:pPr>
        <w:spacing w:after="0" w:line="69" w:lineRule="exact"/>
        <w:rPr>
          <w:sz w:val="20"/>
          <w:szCs w:val="20"/>
          <w:color w:val="auto"/>
        </w:rPr>
      </w:pPr>
    </w:p>
    <w:p>
      <w:pPr>
        <w:ind w:left="460" w:hanging="349"/>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80"/>
          </w:cols>
          <w:pgMar w:left="240" w:top="267" w:right="37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p>
      <w:pPr>
        <w:spacing w:after="0" w:line="3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management continually monitors the material risks facing the Company. Our enterprise risk management process is designed to facilitate the identification, assessment and management of certain key risks the Company may encounter and which may impact our ability to achieve our strategic</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objectives. The enterprise risk management process supplements management’s ongoing responsibilities to monitor and address risks by working with risk owners to identify the key mitigating actions for certain risks, which then are discussed with senior management.</w:t>
      </w:r>
    </w:p>
    <w:p>
      <w:pPr>
        <w:spacing w:after="0" w:line="388" w:lineRule="exact"/>
        <w:rPr>
          <w:sz w:val="20"/>
          <w:szCs w:val="20"/>
          <w:color w:val="auto"/>
        </w:rPr>
      </w:pPr>
    </w:p>
    <w:p>
      <w:pPr>
        <w:sectPr>
          <w:pgSz w:w="11900" w:h="16838" w:orient="portrait"/>
          <w:cols w:equalWidth="0" w:num="2">
            <w:col w:w="5460" w:space="360"/>
            <w:col w:w="5600"/>
          </w:cols>
          <w:pgMar w:left="240" w:top="267" w:right="239" w:bottom="1440" w:gutter="0" w:footer="0" w:header="0"/>
          <w:type w:val="continuous"/>
        </w:sectPr>
      </w:pPr>
    </w:p>
    <w:p>
      <w:pPr>
        <w:spacing w:after="0" w:line="57"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The Board, with the assistance of the Board committees, is responsible for overseeing such management actions to ensure that material risks affecting the Company are identified and managed appropriately. The Board and the Board committees oversee risks associated with their principal areas of focus, as summarized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Board/Committee Areas of Risk Oversight and Actions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560" w:type="dxa"/>
            <w:vAlign w:val="bottom"/>
            <w:shd w:val="clear" w:color="auto" w:fill="FCE9E8"/>
          </w:tcPr>
          <w:p>
            <w:pPr>
              <w:spacing w:after="0"/>
              <w:rPr>
                <w:sz w:val="20"/>
                <w:szCs w:val="20"/>
                <w:color w:val="auto"/>
              </w:rPr>
            </w:pPr>
            <w:r>
              <w:rPr>
                <w:rFonts w:ascii="Arial" w:cs="Arial" w:eastAsia="Arial" w:hAnsi="Arial"/>
                <w:sz w:val="16"/>
                <w:szCs w:val="16"/>
                <w:b w:val="1"/>
                <w:bCs w:val="1"/>
                <w:color w:val="auto"/>
              </w:rPr>
              <w:t>Full Board</w:t>
            </w:r>
          </w:p>
        </w:tc>
        <w:tc>
          <w:tcPr>
            <w:tcW w:w="8840" w:type="dxa"/>
            <w:vAlign w:val="bottom"/>
            <w:shd w:val="clear" w:color="auto" w:fill="FCE9E8"/>
          </w:tcPr>
          <w:p>
            <w:pPr>
              <w:ind w:left="540"/>
              <w:spacing w:after="0"/>
              <w:rPr>
                <w:sz w:val="20"/>
                <w:szCs w:val="20"/>
                <w:color w:val="auto"/>
              </w:rPr>
            </w:pPr>
            <w:r>
              <w:rPr>
                <w:rFonts w:ascii="Arial" w:cs="Arial" w:eastAsia="Arial" w:hAnsi="Arial"/>
                <w:sz w:val="16"/>
                <w:szCs w:val="16"/>
                <w:color w:val="auto"/>
              </w:rPr>
              <w:t>• Carefully evaluates the reports received from management and makes inquiries of management on areas of</w:t>
            </w:r>
          </w:p>
        </w:tc>
      </w:tr>
      <w:tr>
        <w:trPr>
          <w:trHeight w:val="195"/>
        </w:trPr>
        <w:tc>
          <w:tcPr>
            <w:tcW w:w="20" w:type="dxa"/>
            <w:vAlign w:val="bottom"/>
          </w:tcPr>
          <w:p>
            <w:pPr>
              <w:spacing w:after="0"/>
              <w:rPr>
                <w:sz w:val="16"/>
                <w:szCs w:val="16"/>
                <w:color w:val="auto"/>
              </w:rPr>
            </w:pPr>
          </w:p>
        </w:tc>
        <w:tc>
          <w:tcPr>
            <w:tcW w:w="2560" w:type="dxa"/>
            <w:vAlign w:val="bottom"/>
            <w:shd w:val="clear" w:color="auto" w:fill="FCE9E8"/>
          </w:tcPr>
          <w:p>
            <w:pPr>
              <w:spacing w:after="0"/>
              <w:rPr>
                <w:sz w:val="16"/>
                <w:szCs w:val="16"/>
                <w:color w:val="auto"/>
              </w:rPr>
            </w:pPr>
          </w:p>
        </w:tc>
        <w:tc>
          <w:tcPr>
            <w:tcW w:w="8840" w:type="dxa"/>
            <w:vAlign w:val="bottom"/>
            <w:shd w:val="clear" w:color="auto" w:fill="FCE9E8"/>
          </w:tcPr>
          <w:p>
            <w:pPr>
              <w:ind w:left="700"/>
              <w:spacing w:after="0"/>
              <w:rPr>
                <w:sz w:val="20"/>
                <w:szCs w:val="20"/>
                <w:color w:val="auto"/>
              </w:rPr>
            </w:pPr>
            <w:r>
              <w:rPr>
                <w:rFonts w:ascii="Arial" w:cs="Arial" w:eastAsia="Arial" w:hAnsi="Arial"/>
                <w:sz w:val="16"/>
                <w:szCs w:val="16"/>
                <w:color w:val="auto"/>
              </w:rPr>
              <w:t>particular interest to the Board</w:t>
            </w:r>
          </w:p>
        </w:tc>
      </w:tr>
      <w:tr>
        <w:trPr>
          <w:trHeight w:val="311"/>
        </w:trPr>
        <w:tc>
          <w:tcPr>
            <w:tcW w:w="20" w:type="dxa"/>
            <w:vAlign w:val="bottom"/>
          </w:tcPr>
          <w:p>
            <w:pPr>
              <w:spacing w:after="0"/>
              <w:rPr>
                <w:sz w:val="24"/>
                <w:szCs w:val="24"/>
                <w:color w:val="auto"/>
              </w:rPr>
            </w:pPr>
          </w:p>
        </w:tc>
        <w:tc>
          <w:tcPr>
            <w:tcW w:w="2560" w:type="dxa"/>
            <w:vAlign w:val="bottom"/>
            <w:shd w:val="clear" w:color="auto" w:fill="FCE9E8"/>
          </w:tcPr>
          <w:p>
            <w:pPr>
              <w:spacing w:after="0"/>
              <w:rPr>
                <w:sz w:val="24"/>
                <w:szCs w:val="24"/>
                <w:color w:val="auto"/>
              </w:rPr>
            </w:pPr>
          </w:p>
        </w:tc>
        <w:tc>
          <w:tcPr>
            <w:tcW w:w="8840" w:type="dxa"/>
            <w:vAlign w:val="bottom"/>
            <w:shd w:val="clear" w:color="auto" w:fill="FCE9E8"/>
          </w:tcPr>
          <w:p>
            <w:pPr>
              <w:ind w:left="540"/>
              <w:spacing w:after="0"/>
              <w:rPr>
                <w:sz w:val="20"/>
                <w:szCs w:val="20"/>
                <w:color w:val="auto"/>
              </w:rPr>
            </w:pPr>
            <w:r>
              <w:rPr>
                <w:rFonts w:ascii="Arial" w:cs="Arial" w:eastAsia="Arial" w:hAnsi="Arial"/>
                <w:sz w:val="16"/>
                <w:szCs w:val="16"/>
                <w:color w:val="auto"/>
              </w:rPr>
              <w:t>• Reviews with management material strategic, operational, financial, compensation and compliance risks</w:t>
            </w:r>
          </w:p>
        </w:tc>
      </w:tr>
      <w:tr>
        <w:trPr>
          <w:trHeight w:val="311"/>
        </w:trPr>
        <w:tc>
          <w:tcPr>
            <w:tcW w:w="20" w:type="dxa"/>
            <w:vAlign w:val="bottom"/>
          </w:tcPr>
          <w:p>
            <w:pPr>
              <w:spacing w:after="0"/>
              <w:rPr>
                <w:sz w:val="24"/>
                <w:szCs w:val="24"/>
                <w:color w:val="auto"/>
              </w:rPr>
            </w:pPr>
          </w:p>
        </w:tc>
        <w:tc>
          <w:tcPr>
            <w:tcW w:w="2560" w:type="dxa"/>
            <w:vAlign w:val="bottom"/>
            <w:shd w:val="clear" w:color="auto" w:fill="FCE9E8"/>
          </w:tcPr>
          <w:p>
            <w:pPr>
              <w:spacing w:after="0"/>
              <w:rPr>
                <w:sz w:val="24"/>
                <w:szCs w:val="24"/>
                <w:color w:val="auto"/>
              </w:rPr>
            </w:pPr>
          </w:p>
        </w:tc>
        <w:tc>
          <w:tcPr>
            <w:tcW w:w="8840" w:type="dxa"/>
            <w:vAlign w:val="bottom"/>
            <w:shd w:val="clear" w:color="auto" w:fill="FCE9E8"/>
          </w:tcPr>
          <w:p>
            <w:pPr>
              <w:ind w:left="540"/>
              <w:spacing w:after="0"/>
              <w:rPr>
                <w:sz w:val="20"/>
                <w:szCs w:val="20"/>
                <w:color w:val="auto"/>
              </w:rPr>
            </w:pPr>
            <w:r>
              <w:rPr>
                <w:rFonts w:ascii="Arial" w:cs="Arial" w:eastAsia="Arial" w:hAnsi="Arial"/>
                <w:sz w:val="16"/>
                <w:szCs w:val="16"/>
                <w:color w:val="auto"/>
              </w:rPr>
              <w:t>• Considers specific risk topics in connection with strategic planning and other matters</w:t>
            </w:r>
          </w:p>
        </w:tc>
      </w:tr>
      <w:tr>
        <w:trPr>
          <w:trHeight w:val="305"/>
        </w:trPr>
        <w:tc>
          <w:tcPr>
            <w:tcW w:w="20" w:type="dxa"/>
            <w:vAlign w:val="bottom"/>
          </w:tcPr>
          <w:p>
            <w:pPr>
              <w:spacing w:after="0"/>
              <w:rPr>
                <w:sz w:val="24"/>
                <w:szCs w:val="24"/>
                <w:color w:val="auto"/>
              </w:rPr>
            </w:pPr>
          </w:p>
        </w:tc>
        <w:tc>
          <w:tcPr>
            <w:tcW w:w="2560" w:type="dxa"/>
            <w:vAlign w:val="bottom"/>
            <w:shd w:val="clear" w:color="auto" w:fill="FCE9E8"/>
          </w:tcPr>
          <w:p>
            <w:pPr>
              <w:spacing w:after="0"/>
              <w:rPr>
                <w:sz w:val="24"/>
                <w:szCs w:val="24"/>
                <w:color w:val="auto"/>
              </w:rPr>
            </w:pPr>
          </w:p>
        </w:tc>
        <w:tc>
          <w:tcPr>
            <w:tcW w:w="8840" w:type="dxa"/>
            <w:vAlign w:val="bottom"/>
            <w:shd w:val="clear" w:color="auto" w:fill="FCE9E8"/>
          </w:tcPr>
          <w:p>
            <w:pPr>
              <w:ind w:left="540"/>
              <w:spacing w:after="0"/>
              <w:rPr>
                <w:sz w:val="20"/>
                <w:szCs w:val="20"/>
                <w:color w:val="auto"/>
              </w:rPr>
            </w:pPr>
            <w:r>
              <w:rPr>
                <w:rFonts w:ascii="Arial" w:cs="Arial" w:eastAsia="Arial" w:hAnsi="Arial"/>
                <w:sz w:val="16"/>
                <w:szCs w:val="16"/>
                <w:color w:val="auto"/>
              </w:rPr>
              <w:t>• Oversees risk oversight and related activities conducted by the Board committees through reports of the</w:t>
            </w:r>
          </w:p>
        </w:tc>
      </w:tr>
      <w:tr>
        <w:trPr>
          <w:trHeight w:val="195"/>
        </w:trPr>
        <w:tc>
          <w:tcPr>
            <w:tcW w:w="20" w:type="dxa"/>
            <w:vAlign w:val="bottom"/>
          </w:tcPr>
          <w:p>
            <w:pPr>
              <w:spacing w:after="0"/>
              <w:rPr>
                <w:sz w:val="16"/>
                <w:szCs w:val="16"/>
                <w:color w:val="auto"/>
              </w:rPr>
            </w:pPr>
          </w:p>
        </w:tc>
        <w:tc>
          <w:tcPr>
            <w:tcW w:w="2560" w:type="dxa"/>
            <w:vAlign w:val="bottom"/>
            <w:shd w:val="clear" w:color="auto" w:fill="FCE9E8"/>
          </w:tcPr>
          <w:p>
            <w:pPr>
              <w:spacing w:after="0"/>
              <w:rPr>
                <w:sz w:val="16"/>
                <w:szCs w:val="16"/>
                <w:color w:val="auto"/>
              </w:rPr>
            </w:pPr>
          </w:p>
        </w:tc>
        <w:tc>
          <w:tcPr>
            <w:tcW w:w="8840" w:type="dxa"/>
            <w:vAlign w:val="bottom"/>
            <w:shd w:val="clear" w:color="auto" w:fill="FCE9E8"/>
          </w:tcPr>
          <w:p>
            <w:pPr>
              <w:ind w:left="700"/>
              <w:spacing w:after="0"/>
              <w:rPr>
                <w:sz w:val="20"/>
                <w:szCs w:val="20"/>
                <w:color w:val="auto"/>
              </w:rPr>
            </w:pPr>
            <w:r>
              <w:rPr>
                <w:rFonts w:ascii="Arial" w:cs="Arial" w:eastAsia="Arial" w:hAnsi="Arial"/>
                <w:sz w:val="16"/>
                <w:szCs w:val="16"/>
                <w:color w:val="auto"/>
              </w:rPr>
              <w:t>committee chairmen to the Board</w:t>
            </w:r>
          </w:p>
        </w:tc>
      </w:tr>
      <w:tr>
        <w:trPr>
          <w:trHeight w:val="128"/>
        </w:trPr>
        <w:tc>
          <w:tcPr>
            <w:tcW w:w="20" w:type="dxa"/>
            <w:vAlign w:val="bottom"/>
          </w:tcPr>
          <w:p>
            <w:pPr>
              <w:spacing w:after="0"/>
              <w:rPr>
                <w:sz w:val="11"/>
                <w:szCs w:val="11"/>
                <w:color w:val="auto"/>
              </w:rPr>
            </w:pPr>
          </w:p>
        </w:tc>
        <w:tc>
          <w:tcPr>
            <w:tcW w:w="2560" w:type="dxa"/>
            <w:vAlign w:val="bottom"/>
            <w:tcBorders>
              <w:bottom w:val="single" w:sz="8" w:color="auto"/>
            </w:tcBorders>
            <w:shd w:val="clear" w:color="auto" w:fill="FCE9E8"/>
          </w:tcPr>
          <w:p>
            <w:pPr>
              <w:spacing w:after="0"/>
              <w:rPr>
                <w:sz w:val="11"/>
                <w:szCs w:val="11"/>
                <w:color w:val="auto"/>
              </w:rPr>
            </w:pPr>
          </w:p>
        </w:tc>
        <w:tc>
          <w:tcPr>
            <w:tcW w:w="8840" w:type="dxa"/>
            <w:vAlign w:val="bottom"/>
            <w:tcBorders>
              <w:bottom w:val="single" w:sz="8" w:color="auto"/>
            </w:tcBorders>
            <w:shd w:val="clear" w:color="auto" w:fill="FCE9E8"/>
          </w:tcPr>
          <w:p>
            <w:pPr>
              <w:spacing w:after="0"/>
              <w:rPr>
                <w:sz w:val="11"/>
                <w:szCs w:val="11"/>
                <w:color w:val="auto"/>
              </w:rPr>
            </w:pPr>
          </w:p>
        </w:tc>
      </w:tr>
      <w:tr>
        <w:trPr>
          <w:trHeight w:val="184"/>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8840" w:type="dxa"/>
            <w:vAlign w:val="bottom"/>
          </w:tcPr>
          <w:p>
            <w:pPr>
              <w:ind w:left="540"/>
              <w:spacing w:after="0"/>
              <w:rPr>
                <w:sz w:val="20"/>
                <w:szCs w:val="20"/>
                <w:color w:val="auto"/>
              </w:rPr>
            </w:pPr>
            <w:r>
              <w:rPr>
                <w:rFonts w:ascii="Arial" w:cs="Arial" w:eastAsia="Arial" w:hAnsi="Arial"/>
                <w:sz w:val="16"/>
                <w:szCs w:val="16"/>
                <w:color w:val="auto"/>
              </w:rPr>
              <w:t>• Responsible for ensuring that the Company has an internal audit function to provide management and the Audit</w:t>
            </w:r>
          </w:p>
        </w:tc>
      </w:tr>
      <w:tr>
        <w:trPr>
          <w:trHeight w:val="189"/>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840" w:type="dxa"/>
            <w:vAlign w:val="bottom"/>
          </w:tcPr>
          <w:p>
            <w:pPr>
              <w:ind w:left="700"/>
              <w:spacing w:after="0"/>
              <w:rPr>
                <w:sz w:val="20"/>
                <w:szCs w:val="20"/>
                <w:color w:val="auto"/>
              </w:rPr>
            </w:pPr>
            <w:r>
              <w:rPr>
                <w:rFonts w:ascii="Arial" w:cs="Arial" w:eastAsia="Arial" w:hAnsi="Arial"/>
                <w:sz w:val="16"/>
                <w:szCs w:val="16"/>
                <w:color w:val="auto"/>
              </w:rPr>
              <w:t>Committee with ongoing assessments of the Company’s risk management process and system of internal</w:t>
            </w:r>
          </w:p>
        </w:tc>
      </w:tr>
      <w:tr>
        <w:trPr>
          <w:trHeight w:val="19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840" w:type="dxa"/>
            <w:vAlign w:val="bottom"/>
          </w:tcPr>
          <w:p>
            <w:pPr>
              <w:ind w:left="700"/>
              <w:spacing w:after="0"/>
              <w:rPr>
                <w:sz w:val="20"/>
                <w:szCs w:val="20"/>
                <w:color w:val="auto"/>
              </w:rPr>
            </w:pPr>
            <w:r>
              <w:rPr>
                <w:rFonts w:ascii="Arial" w:cs="Arial" w:eastAsia="Arial" w:hAnsi="Arial"/>
                <w:sz w:val="16"/>
                <w:szCs w:val="16"/>
                <w:color w:val="auto"/>
              </w:rPr>
              <w:t>controls</w:t>
            </w:r>
          </w:p>
        </w:tc>
      </w:tr>
      <w:tr>
        <w:trPr>
          <w:trHeight w:val="30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40" w:type="dxa"/>
            <w:vAlign w:val="bottom"/>
          </w:tcPr>
          <w:p>
            <w:pPr>
              <w:ind w:left="540"/>
              <w:spacing w:after="0"/>
              <w:rPr>
                <w:sz w:val="20"/>
                <w:szCs w:val="20"/>
                <w:color w:val="auto"/>
              </w:rPr>
            </w:pPr>
            <w:r>
              <w:rPr>
                <w:rFonts w:ascii="Arial" w:cs="Arial" w:eastAsia="Arial" w:hAnsi="Arial"/>
                <w:sz w:val="16"/>
                <w:szCs w:val="16"/>
                <w:color w:val="auto"/>
              </w:rPr>
              <w:t>• Discusses with management the Company’s process for assessing and managing risks, including the Company’s</w:t>
            </w:r>
          </w:p>
        </w:tc>
      </w:tr>
      <w:tr>
        <w:trPr>
          <w:trHeight w:val="19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840" w:type="dxa"/>
            <w:vAlign w:val="bottom"/>
          </w:tcPr>
          <w:p>
            <w:pPr>
              <w:ind w:left="700"/>
              <w:spacing w:after="0"/>
              <w:rPr>
                <w:sz w:val="20"/>
                <w:szCs w:val="20"/>
                <w:color w:val="auto"/>
              </w:rPr>
            </w:pPr>
            <w:r>
              <w:rPr>
                <w:rFonts w:ascii="Arial" w:cs="Arial" w:eastAsia="Arial" w:hAnsi="Arial"/>
                <w:sz w:val="16"/>
                <w:szCs w:val="16"/>
                <w:color w:val="auto"/>
              </w:rPr>
              <w:t>major financial risk exposures and the steps necessary to monitor and control such exposures</w:t>
            </w:r>
          </w:p>
        </w:tc>
      </w:tr>
      <w:tr>
        <w:trPr>
          <w:trHeight w:val="311"/>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40" w:type="dxa"/>
            <w:vAlign w:val="bottom"/>
          </w:tcPr>
          <w:p>
            <w:pPr>
              <w:ind w:left="540"/>
              <w:spacing w:after="0"/>
              <w:rPr>
                <w:sz w:val="20"/>
                <w:szCs w:val="20"/>
                <w:color w:val="auto"/>
              </w:rPr>
            </w:pPr>
            <w:r>
              <w:rPr>
                <w:rFonts w:ascii="Arial" w:cs="Arial" w:eastAsia="Arial" w:hAnsi="Arial"/>
                <w:sz w:val="16"/>
                <w:szCs w:val="16"/>
                <w:color w:val="auto"/>
              </w:rPr>
              <w:t>• Central oversight of financial and compliance risks</w:t>
            </w:r>
          </w:p>
        </w:tc>
      </w:tr>
      <w:tr>
        <w:trPr>
          <w:trHeight w:val="30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40" w:type="dxa"/>
            <w:vAlign w:val="bottom"/>
          </w:tcPr>
          <w:p>
            <w:pPr>
              <w:ind w:left="540"/>
              <w:spacing w:after="0"/>
              <w:rPr>
                <w:sz w:val="20"/>
                <w:szCs w:val="20"/>
                <w:color w:val="auto"/>
              </w:rPr>
            </w:pPr>
            <w:r>
              <w:rPr>
                <w:rFonts w:ascii="Arial" w:cs="Arial" w:eastAsia="Arial" w:hAnsi="Arial"/>
                <w:sz w:val="16"/>
                <w:szCs w:val="16"/>
                <w:color w:val="auto"/>
              </w:rPr>
              <w:t>• Meets periodically with senior management, our vice president of internal audit, our chief compliance officer and</w:t>
            </w:r>
          </w:p>
        </w:tc>
      </w:tr>
      <w:tr>
        <w:trPr>
          <w:trHeight w:val="189"/>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840" w:type="dxa"/>
            <w:vAlign w:val="bottom"/>
          </w:tcPr>
          <w:p>
            <w:pPr>
              <w:ind w:left="700"/>
              <w:spacing w:after="0"/>
              <w:rPr>
                <w:sz w:val="20"/>
                <w:szCs w:val="20"/>
                <w:color w:val="auto"/>
              </w:rPr>
            </w:pPr>
            <w:r>
              <w:rPr>
                <w:rFonts w:ascii="Arial" w:cs="Arial" w:eastAsia="Arial" w:hAnsi="Arial"/>
                <w:sz w:val="16"/>
                <w:szCs w:val="16"/>
                <w:color w:val="auto"/>
              </w:rPr>
              <w:t>our independent auditor, Ernst &amp; Young LLP, and reports on its findings at each regularly scheduled meeting of</w:t>
            </w:r>
          </w:p>
        </w:tc>
      </w:tr>
      <w:tr>
        <w:trPr>
          <w:trHeight w:val="19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840" w:type="dxa"/>
            <w:vAlign w:val="bottom"/>
          </w:tcPr>
          <w:p>
            <w:pPr>
              <w:ind w:left="700"/>
              <w:spacing w:after="0"/>
              <w:rPr>
                <w:sz w:val="20"/>
                <w:szCs w:val="20"/>
                <w:color w:val="auto"/>
              </w:rPr>
            </w:pPr>
            <w:r>
              <w:rPr>
                <w:rFonts w:ascii="Arial" w:cs="Arial" w:eastAsia="Arial" w:hAnsi="Arial"/>
                <w:sz w:val="16"/>
                <w:szCs w:val="16"/>
                <w:color w:val="auto"/>
              </w:rPr>
              <w:t>the Board</w:t>
            </w:r>
          </w:p>
        </w:tc>
      </w:tr>
      <w:tr>
        <w:trPr>
          <w:trHeight w:val="30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40" w:type="dxa"/>
            <w:vAlign w:val="bottom"/>
          </w:tcPr>
          <w:p>
            <w:pPr>
              <w:ind w:left="540"/>
              <w:spacing w:after="0"/>
              <w:rPr>
                <w:sz w:val="20"/>
                <w:szCs w:val="20"/>
                <w:color w:val="auto"/>
              </w:rPr>
            </w:pPr>
            <w:r>
              <w:rPr>
                <w:rFonts w:ascii="Arial" w:cs="Arial" w:eastAsia="Arial" w:hAnsi="Arial"/>
                <w:sz w:val="16"/>
                <w:szCs w:val="16"/>
                <w:color w:val="auto"/>
              </w:rPr>
              <w:t>• Periodically assesses reports provided by management on risks addressed in the enterprise risk management</w:t>
            </w:r>
          </w:p>
        </w:tc>
      </w:tr>
      <w:tr>
        <w:trPr>
          <w:trHeight w:val="19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840" w:type="dxa"/>
            <w:vAlign w:val="bottom"/>
          </w:tcPr>
          <w:p>
            <w:pPr>
              <w:ind w:left="700"/>
              <w:spacing w:after="0"/>
              <w:rPr>
                <w:sz w:val="20"/>
                <w:szCs w:val="20"/>
                <w:color w:val="auto"/>
              </w:rPr>
            </w:pPr>
            <w:r>
              <w:rPr>
                <w:rFonts w:ascii="Arial" w:cs="Arial" w:eastAsia="Arial" w:hAnsi="Arial"/>
                <w:sz w:val="16"/>
                <w:szCs w:val="16"/>
                <w:color w:val="auto"/>
              </w:rPr>
              <w:t>process and other risks, and reports to the Board, as appropriate</w:t>
            </w:r>
          </w:p>
        </w:tc>
      </w:tr>
      <w:tr>
        <w:trPr>
          <w:trHeight w:val="128"/>
        </w:trPr>
        <w:tc>
          <w:tcPr>
            <w:tcW w:w="2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tcPr>
          <w:p>
            <w:pPr>
              <w:spacing w:after="0"/>
              <w:rPr>
                <w:sz w:val="11"/>
                <w:szCs w:val="11"/>
                <w:color w:val="auto"/>
              </w:rPr>
            </w:pPr>
          </w:p>
        </w:tc>
      </w:tr>
      <w:tr>
        <w:trPr>
          <w:trHeight w:val="184"/>
        </w:trPr>
        <w:tc>
          <w:tcPr>
            <w:tcW w:w="20" w:type="dxa"/>
            <w:vAlign w:val="bottom"/>
          </w:tcPr>
          <w:p>
            <w:pPr>
              <w:spacing w:after="0"/>
              <w:rPr>
                <w:sz w:val="16"/>
                <w:szCs w:val="16"/>
                <w:color w:val="auto"/>
              </w:rPr>
            </w:pPr>
          </w:p>
        </w:tc>
        <w:tc>
          <w:tcPr>
            <w:tcW w:w="2560" w:type="dxa"/>
            <w:vAlign w:val="bottom"/>
            <w:shd w:val="clear" w:color="auto" w:fill="FCE9E8"/>
          </w:tcPr>
          <w:p>
            <w:pPr>
              <w:spacing w:after="0"/>
              <w:rPr>
                <w:sz w:val="20"/>
                <w:szCs w:val="20"/>
                <w:color w:val="auto"/>
              </w:rPr>
            </w:pPr>
            <w:r>
              <w:rPr>
                <w:rFonts w:ascii="Arial" w:cs="Arial" w:eastAsia="Arial" w:hAnsi="Arial"/>
                <w:sz w:val="16"/>
                <w:szCs w:val="16"/>
                <w:b w:val="1"/>
                <w:bCs w:val="1"/>
                <w:color w:val="auto"/>
              </w:rPr>
              <w:t>Compensation Committee</w:t>
            </w:r>
          </w:p>
        </w:tc>
        <w:tc>
          <w:tcPr>
            <w:tcW w:w="8840" w:type="dxa"/>
            <w:vAlign w:val="bottom"/>
            <w:shd w:val="clear" w:color="auto" w:fill="FCE9E8"/>
          </w:tcPr>
          <w:p>
            <w:pPr>
              <w:ind w:left="540"/>
              <w:spacing w:after="0"/>
              <w:rPr>
                <w:sz w:val="20"/>
                <w:szCs w:val="20"/>
                <w:color w:val="auto"/>
              </w:rPr>
            </w:pPr>
            <w:r>
              <w:rPr>
                <w:rFonts w:ascii="Arial" w:cs="Arial" w:eastAsia="Arial" w:hAnsi="Arial"/>
                <w:sz w:val="16"/>
                <w:szCs w:val="16"/>
                <w:color w:val="auto"/>
              </w:rPr>
              <w:t>• Oversees the review and evaluation of the risks associated with our compensation policies and practices (see also</w:t>
            </w:r>
          </w:p>
        </w:tc>
      </w:tr>
      <w:tr>
        <w:trPr>
          <w:trHeight w:val="195"/>
        </w:trPr>
        <w:tc>
          <w:tcPr>
            <w:tcW w:w="20" w:type="dxa"/>
            <w:vAlign w:val="bottom"/>
          </w:tcPr>
          <w:p>
            <w:pPr>
              <w:spacing w:after="0"/>
              <w:rPr>
                <w:sz w:val="16"/>
                <w:szCs w:val="16"/>
                <w:color w:val="auto"/>
              </w:rPr>
            </w:pPr>
          </w:p>
        </w:tc>
        <w:tc>
          <w:tcPr>
            <w:tcW w:w="2560" w:type="dxa"/>
            <w:vAlign w:val="bottom"/>
            <w:shd w:val="clear" w:color="auto" w:fill="FCE9E8"/>
          </w:tcPr>
          <w:p>
            <w:pPr>
              <w:spacing w:after="0"/>
              <w:rPr>
                <w:sz w:val="16"/>
                <w:szCs w:val="16"/>
                <w:color w:val="auto"/>
              </w:rPr>
            </w:pPr>
          </w:p>
        </w:tc>
        <w:tc>
          <w:tcPr>
            <w:tcW w:w="8840" w:type="dxa"/>
            <w:vAlign w:val="bottom"/>
            <w:shd w:val="clear" w:color="auto" w:fill="FCE9E8"/>
          </w:tcPr>
          <w:p>
            <w:pPr>
              <w:ind w:left="700"/>
              <w:spacing w:after="0"/>
              <w:rPr>
                <w:sz w:val="20"/>
                <w:szCs w:val="20"/>
                <w:color w:val="auto"/>
              </w:rPr>
            </w:pPr>
            <w:r>
              <w:rPr>
                <w:rFonts w:ascii="Arial" w:cs="Arial" w:eastAsia="Arial" w:hAnsi="Arial"/>
                <w:sz w:val="16"/>
                <w:szCs w:val="16"/>
                <w:color w:val="auto"/>
              </w:rPr>
              <w:t>“Compensation and Risk”)</w:t>
            </w:r>
          </w:p>
        </w:tc>
      </w:tr>
      <w:tr>
        <w:trPr>
          <w:trHeight w:val="128"/>
        </w:trPr>
        <w:tc>
          <w:tcPr>
            <w:tcW w:w="20" w:type="dxa"/>
            <w:vAlign w:val="bottom"/>
          </w:tcPr>
          <w:p>
            <w:pPr>
              <w:spacing w:after="0"/>
              <w:rPr>
                <w:sz w:val="11"/>
                <w:szCs w:val="11"/>
                <w:color w:val="auto"/>
              </w:rPr>
            </w:pPr>
          </w:p>
        </w:tc>
        <w:tc>
          <w:tcPr>
            <w:tcW w:w="2560" w:type="dxa"/>
            <w:vAlign w:val="bottom"/>
            <w:tcBorders>
              <w:bottom w:val="single" w:sz="8" w:color="auto"/>
            </w:tcBorders>
            <w:shd w:val="clear" w:color="auto" w:fill="FCE9E8"/>
          </w:tcPr>
          <w:p>
            <w:pPr>
              <w:spacing w:after="0"/>
              <w:rPr>
                <w:sz w:val="11"/>
                <w:szCs w:val="11"/>
                <w:color w:val="auto"/>
              </w:rPr>
            </w:pPr>
          </w:p>
        </w:tc>
        <w:tc>
          <w:tcPr>
            <w:tcW w:w="8840" w:type="dxa"/>
            <w:vAlign w:val="bottom"/>
            <w:tcBorders>
              <w:bottom w:val="single" w:sz="8" w:color="auto"/>
            </w:tcBorders>
            <w:shd w:val="clear" w:color="auto" w:fill="FCE9E8"/>
          </w:tcPr>
          <w:p>
            <w:pPr>
              <w:spacing w:after="0"/>
              <w:rPr>
                <w:sz w:val="11"/>
                <w:szCs w:val="11"/>
                <w:color w:val="auto"/>
              </w:rPr>
            </w:pPr>
          </w:p>
        </w:tc>
      </w:tr>
      <w:tr>
        <w:trPr>
          <w:trHeight w:val="208"/>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auto"/>
              </w:rPr>
              <w:t>Nominating Committee</w:t>
            </w:r>
          </w:p>
        </w:tc>
        <w:tc>
          <w:tcPr>
            <w:tcW w:w="8840" w:type="dxa"/>
            <w:vAlign w:val="bottom"/>
          </w:tcPr>
          <w:p>
            <w:pPr>
              <w:ind w:left="540"/>
              <w:spacing w:after="0"/>
              <w:rPr>
                <w:sz w:val="20"/>
                <w:szCs w:val="20"/>
                <w:color w:val="auto"/>
              </w:rPr>
            </w:pPr>
            <w:r>
              <w:rPr>
                <w:rFonts w:ascii="Arial" w:cs="Arial" w:eastAsia="Arial" w:hAnsi="Arial"/>
                <w:sz w:val="16"/>
                <w:szCs w:val="16"/>
                <w:color w:val="auto"/>
              </w:rPr>
              <w:t>• Oversees risks associated with our governance structure and processes</w:t>
            </w:r>
          </w:p>
        </w:tc>
      </w:tr>
      <w:tr>
        <w:trPr>
          <w:trHeight w:val="287"/>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40" w:type="dxa"/>
            <w:vAlign w:val="bottom"/>
          </w:tcPr>
          <w:p>
            <w:pPr>
              <w:ind w:left="540"/>
              <w:spacing w:after="0"/>
              <w:rPr>
                <w:sz w:val="20"/>
                <w:szCs w:val="20"/>
                <w:color w:val="auto"/>
              </w:rPr>
            </w:pPr>
            <w:r>
              <w:rPr>
                <w:rFonts w:ascii="Arial" w:cs="Arial" w:eastAsia="Arial" w:hAnsi="Arial"/>
                <w:sz w:val="16"/>
                <w:szCs w:val="16"/>
                <w:color w:val="auto"/>
              </w:rPr>
              <w:t>• Reviews our organizational documents, Code of Business Conduct and Ethics, Corporate Governance Guidelines</w:t>
            </w:r>
          </w:p>
        </w:tc>
      </w:tr>
      <w:tr>
        <w:trPr>
          <w:trHeight w:val="195"/>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840" w:type="dxa"/>
            <w:vAlign w:val="bottom"/>
          </w:tcPr>
          <w:p>
            <w:pPr>
              <w:ind w:left="700"/>
              <w:spacing w:after="0"/>
              <w:rPr>
                <w:sz w:val="20"/>
                <w:szCs w:val="20"/>
                <w:color w:val="auto"/>
              </w:rPr>
            </w:pPr>
            <w:r>
              <w:rPr>
                <w:rFonts w:ascii="Arial" w:cs="Arial" w:eastAsia="Arial" w:hAnsi="Arial"/>
                <w:sz w:val="16"/>
                <w:szCs w:val="16"/>
                <w:color w:val="auto"/>
              </w:rPr>
              <w:t>and other policies</w:t>
            </w:r>
          </w:p>
        </w:tc>
      </w:tr>
      <w:tr>
        <w:trPr>
          <w:trHeight w:val="128"/>
        </w:trPr>
        <w:tc>
          <w:tcPr>
            <w:tcW w:w="2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tcPr>
          <w:p>
            <w:pPr>
              <w:spacing w:after="0"/>
              <w:rPr>
                <w:sz w:val="11"/>
                <w:szCs w:val="1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200" w:lineRule="exact"/>
        <w:rPr>
          <w:sz w:val="20"/>
          <w:szCs w:val="20"/>
          <w:color w:val="auto"/>
        </w:rPr>
      </w:pPr>
    </w:p>
    <w:p>
      <w:pPr>
        <w:spacing w:after="0" w:line="235" w:lineRule="exact"/>
        <w:rPr>
          <w:sz w:val="20"/>
          <w:szCs w:val="20"/>
          <w:color w:val="auto"/>
        </w:rPr>
      </w:pPr>
    </w:p>
    <w:p>
      <w:pPr>
        <w:jc w:val="right"/>
        <w:ind w:right="100"/>
        <w:spacing w:after="0"/>
        <w:tabs>
          <w:tab w:leader="none" w:pos="400" w:val="left"/>
          <w:tab w:leader="none" w:pos="1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19</w:t>
      </w:r>
    </w:p>
    <w:p>
      <w:pPr>
        <w:sectPr>
          <w:pgSz w:w="11900" w:h="16838" w:orient="portrait"/>
          <w:cols w:equalWidth="0" w:num="2">
            <w:col w:w="5440" w:space="380"/>
            <w:col w:w="5600"/>
          </w:cols>
          <w:pgMar w:left="240" w:top="267"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Other Board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Henry D.G. Wallace is our Non-Executive Chairman of the Board and has served in that role since August 2010. Our Board has decided to maintain separate Chairman and CEO roles to allow our CEO to focus on the execution of our business strategy, growth and development, while allowing the Non-Executive Chairman to lead the Board in its fundamental role of providing advice to, and independent oversight of, management. The Board recognizes the time, effort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energy that the CEO is required to devote to his position in the current business environment, as well as the commitment required to serve as our Chairman. While our Bylaws and Corporate Governance Guidelines do not require that our Chairman and CEO positions be separate, the Board believes that having separate positions and having an independent director serve as Non-Executive Chairman is the appropriate leadership structure for us at this time.</w:t>
      </w:r>
    </w:p>
    <w:p>
      <w:pPr>
        <w:spacing w:after="0" w:line="200" w:lineRule="exact"/>
        <w:rPr>
          <w:sz w:val="20"/>
          <w:szCs w:val="20"/>
          <w:color w:val="auto"/>
        </w:rPr>
      </w:pPr>
    </w:p>
    <w:p>
      <w:pPr>
        <w:sectPr>
          <w:pgSz w:w="11900" w:h="16838" w:orient="portrait"/>
          <w:cols w:equalWidth="0" w:num="2">
            <w:col w:w="5420" w:space="400"/>
            <w:col w:w="5600"/>
          </w:cols>
          <w:pgMar w:left="240" w:top="267" w:right="2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2016, our Board held 9 meetings. In addition to our Board meetings, our directors attend meetings of committees established by our Board. Each of Lear’s director nominees attended at least 75% of the meetings of our Board and the committees on which he or she served during 2016 that were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96"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held when he or she was a director. Our directors are encouraged to attend all annual and special meetings of our stockholders. In 2016, our annual meeting of stockholders was held on May 19, 2016, and all directors attended (either in person or telephonically).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management present. Mr. Wallace, our Non-Executive Chairman, presides over these executive sessions.</w:t>
      </w:r>
    </w:p>
    <w:p>
      <w:pPr>
        <w:spacing w:after="0" w:line="383" w:lineRule="exact"/>
        <w:rPr>
          <w:sz w:val="20"/>
          <w:szCs w:val="20"/>
          <w:color w:val="auto"/>
        </w:rPr>
      </w:pPr>
    </w:p>
    <w:p>
      <w:pPr>
        <w:sectPr>
          <w:pgSz w:w="11900" w:h="16838" w:orient="portrait"/>
          <w:cols w:equalWidth="0" w:num="2">
            <w:col w:w="5440" w:space="380"/>
            <w:col w:w="5600"/>
          </w:cols>
          <w:pgMar w:left="240" w:top="267" w:right="239"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2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Board has three standing committees: the Audit Committee, the Compensation Committee and the Nominating Committee. The following chart sets forth the directors who currently serve as members of each of the Board committees.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3500" w:type="dxa"/>
            <w:vAlign w:val="bottom"/>
          </w:tcPr>
          <w:p>
            <w:pPr>
              <w:jc w:val="right"/>
              <w:ind w:right="682"/>
              <w:spacing w:after="0"/>
              <w:rPr>
                <w:sz w:val="20"/>
                <w:szCs w:val="20"/>
                <w:color w:val="auto"/>
              </w:rPr>
            </w:pPr>
            <w:r>
              <w:rPr>
                <w:rFonts w:ascii="Arial" w:cs="Arial" w:eastAsia="Arial" w:hAnsi="Arial"/>
                <w:sz w:val="14"/>
                <w:szCs w:val="14"/>
                <w:b w:val="1"/>
                <w:bCs w:val="1"/>
                <w:color w:val="E2231A"/>
              </w:rPr>
              <w:t>Audit</w:t>
            </w:r>
          </w:p>
        </w:tc>
        <w:tc>
          <w:tcPr>
            <w:tcW w:w="2120" w:type="dxa"/>
            <w:vAlign w:val="bottom"/>
          </w:tcPr>
          <w:p>
            <w:pPr>
              <w:jc w:val="right"/>
              <w:ind w:right="482"/>
              <w:spacing w:after="0"/>
              <w:rPr>
                <w:sz w:val="20"/>
                <w:szCs w:val="20"/>
                <w:color w:val="auto"/>
              </w:rPr>
            </w:pPr>
            <w:r>
              <w:rPr>
                <w:rFonts w:ascii="Arial" w:cs="Arial" w:eastAsia="Arial" w:hAnsi="Arial"/>
                <w:sz w:val="14"/>
                <w:szCs w:val="14"/>
                <w:b w:val="1"/>
                <w:bCs w:val="1"/>
                <w:color w:val="E2231A"/>
              </w:rPr>
              <w:t>Compensation</w:t>
            </w:r>
          </w:p>
        </w:tc>
        <w:tc>
          <w:tcPr>
            <w:tcW w:w="2060" w:type="dxa"/>
            <w:vAlign w:val="bottom"/>
          </w:tcPr>
          <w:p>
            <w:pPr>
              <w:jc w:val="right"/>
              <w:ind w:right="641"/>
              <w:spacing w:after="0"/>
              <w:rPr>
                <w:sz w:val="20"/>
                <w:szCs w:val="20"/>
                <w:color w:val="auto"/>
              </w:rPr>
            </w:pPr>
            <w:r>
              <w:rPr>
                <w:rFonts w:ascii="Arial" w:cs="Arial" w:eastAsia="Arial" w:hAnsi="Arial"/>
                <w:sz w:val="14"/>
                <w:szCs w:val="14"/>
                <w:b w:val="1"/>
                <w:bCs w:val="1"/>
                <w:color w:val="E2231A"/>
              </w:rPr>
              <w:t>Nominating</w:t>
            </w:r>
          </w:p>
        </w:tc>
      </w:tr>
      <w:tr>
        <w:trPr>
          <w:trHeight w:val="189"/>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Directors</w:t>
            </w:r>
          </w:p>
        </w:tc>
        <w:tc>
          <w:tcPr>
            <w:tcW w:w="35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E2231A"/>
              </w:rPr>
              <w:t>Committee</w:t>
            </w:r>
          </w:p>
        </w:tc>
        <w:tc>
          <w:tcPr>
            <w:tcW w:w="21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E2231A"/>
              </w:rPr>
              <w:t>Committee</w:t>
            </w:r>
          </w:p>
        </w:tc>
        <w:tc>
          <w:tcPr>
            <w:tcW w:w="20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E2231A"/>
              </w:rPr>
              <w:t>Committee</w:t>
            </w:r>
          </w:p>
        </w:tc>
      </w:tr>
      <w:tr>
        <w:trPr>
          <w:trHeight w:val="183"/>
        </w:trPr>
        <w:tc>
          <w:tcPr>
            <w:tcW w:w="374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Richard H. Bott</w:t>
            </w:r>
          </w:p>
        </w:tc>
        <w:tc>
          <w:tcPr>
            <w:tcW w:w="3500" w:type="dxa"/>
            <w:vAlign w:val="bottom"/>
            <w:shd w:val="clear" w:color="auto" w:fill="FCE9E8"/>
          </w:tcPr>
          <w:p>
            <w:pPr>
              <w:jc w:val="right"/>
              <w:ind w:right="462"/>
              <w:spacing w:after="0" w:line="183" w:lineRule="exact"/>
              <w:rPr>
                <w:sz w:val="20"/>
                <w:szCs w:val="20"/>
                <w:color w:val="auto"/>
              </w:rPr>
            </w:pPr>
            <w:r>
              <w:rPr>
                <w:rFonts w:ascii="Arial" w:cs="Arial" w:eastAsia="Arial" w:hAnsi="Arial"/>
                <w:sz w:val="16"/>
                <w:szCs w:val="16"/>
                <w:color w:val="auto"/>
              </w:rPr>
              <w:t>X</w:t>
            </w:r>
          </w:p>
        </w:tc>
        <w:tc>
          <w:tcPr>
            <w:tcW w:w="2120" w:type="dxa"/>
            <w:vAlign w:val="bottom"/>
            <w:shd w:val="clear" w:color="auto" w:fill="FCE9E8"/>
          </w:tcPr>
          <w:p>
            <w:pPr>
              <w:spacing w:after="0"/>
              <w:rPr>
                <w:sz w:val="15"/>
                <w:szCs w:val="15"/>
                <w:color w:val="auto"/>
              </w:rPr>
            </w:pPr>
          </w:p>
        </w:tc>
        <w:tc>
          <w:tcPr>
            <w:tcW w:w="2060" w:type="dxa"/>
            <w:vAlign w:val="bottom"/>
            <w:shd w:val="clear" w:color="auto" w:fill="FCE9E8"/>
          </w:tcPr>
          <w:p>
            <w:pPr>
              <w:spacing w:after="0"/>
              <w:rPr>
                <w:sz w:val="15"/>
                <w:szCs w:val="15"/>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Thomas P. Capo</w:t>
            </w:r>
          </w:p>
        </w:tc>
        <w:tc>
          <w:tcPr>
            <w:tcW w:w="3500" w:type="dxa"/>
            <w:vAlign w:val="bottom"/>
          </w:tcPr>
          <w:p>
            <w:pPr>
              <w:jc w:val="right"/>
              <w:ind w:right="462"/>
              <w:spacing w:after="0"/>
              <w:rPr>
                <w:sz w:val="20"/>
                <w:szCs w:val="20"/>
                <w:color w:val="auto"/>
              </w:rPr>
            </w:pPr>
            <w:r>
              <w:rPr>
                <w:rFonts w:ascii="Arial" w:cs="Arial" w:eastAsia="Arial" w:hAnsi="Arial"/>
                <w:sz w:val="16"/>
                <w:szCs w:val="16"/>
                <w:color w:val="auto"/>
              </w:rPr>
              <w:t>X</w:t>
            </w:r>
          </w:p>
        </w:tc>
        <w:tc>
          <w:tcPr>
            <w:tcW w:w="2120" w:type="dxa"/>
            <w:vAlign w:val="bottom"/>
          </w:tcPr>
          <w:p>
            <w:pPr>
              <w:jc w:val="right"/>
              <w:ind w:right="482"/>
              <w:spacing w:after="0"/>
              <w:rPr>
                <w:sz w:val="20"/>
                <w:szCs w:val="20"/>
                <w:color w:val="auto"/>
              </w:rPr>
            </w:pPr>
            <w:r>
              <w:rPr>
                <w:rFonts w:ascii="Arial" w:cs="Arial" w:eastAsia="Arial" w:hAnsi="Arial"/>
                <w:sz w:val="16"/>
                <w:szCs w:val="16"/>
                <w:color w:val="auto"/>
              </w:rPr>
              <w:t>C</w:t>
            </w:r>
          </w:p>
        </w:tc>
        <w:tc>
          <w:tcPr>
            <w:tcW w:w="2060" w:type="dxa"/>
            <w:vAlign w:val="bottom"/>
          </w:tcPr>
          <w:p>
            <w:pPr>
              <w:spacing w:after="0"/>
              <w:rPr>
                <w:sz w:val="16"/>
                <w:szCs w:val="16"/>
                <w:color w:val="auto"/>
              </w:rPr>
            </w:pPr>
          </w:p>
        </w:tc>
      </w:tr>
      <w:tr>
        <w:trPr>
          <w:trHeight w:val="189"/>
        </w:trPr>
        <w:tc>
          <w:tcPr>
            <w:tcW w:w="3740" w:type="dxa"/>
            <w:vAlign w:val="bottom"/>
            <w:shd w:val="clear" w:color="auto" w:fill="FCE9E8"/>
          </w:tcPr>
          <w:p>
            <w:pPr>
              <w:spacing w:after="0"/>
              <w:rPr>
                <w:sz w:val="20"/>
                <w:szCs w:val="20"/>
                <w:color w:val="auto"/>
              </w:rPr>
            </w:pPr>
            <w:r>
              <w:rPr>
                <w:rFonts w:ascii="Arial" w:cs="Arial" w:eastAsia="Arial" w:hAnsi="Arial"/>
                <w:sz w:val="16"/>
                <w:szCs w:val="16"/>
                <w:color w:val="auto"/>
              </w:rPr>
              <w:t>Jonathan F. Foster</w:t>
            </w:r>
          </w:p>
        </w:tc>
        <w:tc>
          <w:tcPr>
            <w:tcW w:w="3500" w:type="dxa"/>
            <w:vAlign w:val="bottom"/>
            <w:shd w:val="clear" w:color="auto" w:fill="FCE9E8"/>
          </w:tcPr>
          <w:p>
            <w:pPr>
              <w:jc w:val="right"/>
              <w:ind w:right="462"/>
              <w:spacing w:after="0"/>
              <w:rPr>
                <w:sz w:val="20"/>
                <w:szCs w:val="20"/>
                <w:color w:val="auto"/>
              </w:rPr>
            </w:pPr>
            <w:r>
              <w:rPr>
                <w:rFonts w:ascii="Arial" w:cs="Arial" w:eastAsia="Arial" w:hAnsi="Arial"/>
                <w:sz w:val="16"/>
                <w:szCs w:val="16"/>
                <w:color w:val="auto"/>
              </w:rPr>
              <w:t>X</w:t>
            </w:r>
          </w:p>
        </w:tc>
        <w:tc>
          <w:tcPr>
            <w:tcW w:w="2120" w:type="dxa"/>
            <w:vAlign w:val="bottom"/>
            <w:shd w:val="clear" w:color="auto" w:fill="FCE9E8"/>
          </w:tcPr>
          <w:p>
            <w:pPr>
              <w:spacing w:after="0"/>
              <w:rPr>
                <w:sz w:val="16"/>
                <w:szCs w:val="16"/>
                <w:color w:val="auto"/>
              </w:rPr>
            </w:pPr>
          </w:p>
        </w:tc>
        <w:tc>
          <w:tcPr>
            <w:tcW w:w="2060" w:type="dxa"/>
            <w:vAlign w:val="bottom"/>
            <w:shd w:val="clear" w:color="auto" w:fill="FCE9E8"/>
          </w:tcPr>
          <w:p>
            <w:pPr>
              <w:jc w:val="right"/>
              <w:ind w:right="641"/>
              <w:spacing w:after="0"/>
              <w:rPr>
                <w:sz w:val="20"/>
                <w:szCs w:val="20"/>
                <w:color w:val="auto"/>
              </w:rPr>
            </w:pPr>
            <w:r>
              <w:rPr>
                <w:rFonts w:ascii="Arial" w:cs="Arial" w:eastAsia="Arial" w:hAnsi="Arial"/>
                <w:sz w:val="16"/>
                <w:szCs w:val="16"/>
                <w:color w:val="auto"/>
              </w:rPr>
              <w:t>C</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Mary Lou Jepsen</w:t>
            </w:r>
          </w:p>
        </w:tc>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89"/>
        </w:trPr>
        <w:tc>
          <w:tcPr>
            <w:tcW w:w="3740" w:type="dxa"/>
            <w:vAlign w:val="bottom"/>
            <w:shd w:val="clear" w:color="auto" w:fill="FCE9E8"/>
          </w:tcPr>
          <w:p>
            <w:pPr>
              <w:spacing w:after="0"/>
              <w:rPr>
                <w:sz w:val="20"/>
                <w:szCs w:val="20"/>
                <w:color w:val="auto"/>
              </w:rPr>
            </w:pPr>
            <w:r>
              <w:rPr>
                <w:rFonts w:ascii="Arial" w:cs="Arial" w:eastAsia="Arial" w:hAnsi="Arial"/>
                <w:sz w:val="16"/>
                <w:szCs w:val="16"/>
                <w:color w:val="auto"/>
              </w:rPr>
              <w:t>Kathleen A. Ligocki</w:t>
            </w:r>
          </w:p>
        </w:tc>
        <w:tc>
          <w:tcPr>
            <w:tcW w:w="3500" w:type="dxa"/>
            <w:vAlign w:val="bottom"/>
            <w:shd w:val="clear" w:color="auto" w:fill="FCE9E8"/>
          </w:tcPr>
          <w:p>
            <w:pPr>
              <w:spacing w:after="0"/>
              <w:rPr>
                <w:sz w:val="16"/>
                <w:szCs w:val="16"/>
                <w:color w:val="auto"/>
              </w:rPr>
            </w:pPr>
          </w:p>
        </w:tc>
        <w:tc>
          <w:tcPr>
            <w:tcW w:w="2120" w:type="dxa"/>
            <w:vAlign w:val="bottom"/>
            <w:shd w:val="clear" w:color="auto" w:fill="FCE9E8"/>
          </w:tcPr>
          <w:p>
            <w:pPr>
              <w:jc w:val="right"/>
              <w:ind w:right="482"/>
              <w:spacing w:after="0"/>
              <w:rPr>
                <w:sz w:val="20"/>
                <w:szCs w:val="20"/>
                <w:color w:val="auto"/>
              </w:rPr>
            </w:pPr>
            <w:r>
              <w:rPr>
                <w:rFonts w:ascii="Arial" w:cs="Arial" w:eastAsia="Arial" w:hAnsi="Arial"/>
                <w:sz w:val="16"/>
                <w:szCs w:val="16"/>
                <w:color w:val="auto"/>
              </w:rPr>
              <w:t>X</w:t>
            </w:r>
          </w:p>
        </w:tc>
        <w:tc>
          <w:tcPr>
            <w:tcW w:w="2060" w:type="dxa"/>
            <w:vAlign w:val="bottom"/>
            <w:shd w:val="clear" w:color="auto" w:fill="FCE9E8"/>
          </w:tcPr>
          <w:p>
            <w:pPr>
              <w:jc w:val="right"/>
              <w:ind w:right="641"/>
              <w:spacing w:after="0"/>
              <w:rPr>
                <w:sz w:val="20"/>
                <w:szCs w:val="20"/>
                <w:color w:val="auto"/>
              </w:rPr>
            </w:pPr>
            <w:r>
              <w:rPr>
                <w:rFonts w:ascii="Arial" w:cs="Arial" w:eastAsia="Arial" w:hAnsi="Arial"/>
                <w:sz w:val="16"/>
                <w:szCs w:val="16"/>
                <w:color w:val="auto"/>
              </w:rPr>
              <w:t>X</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Conrad L. Mallett, Jr.</w:t>
            </w:r>
          </w:p>
        </w:tc>
        <w:tc>
          <w:tcPr>
            <w:tcW w:w="3500" w:type="dxa"/>
            <w:vAlign w:val="bottom"/>
          </w:tcPr>
          <w:p>
            <w:pPr>
              <w:spacing w:after="0"/>
              <w:rPr>
                <w:sz w:val="16"/>
                <w:szCs w:val="16"/>
                <w:color w:val="auto"/>
              </w:rPr>
            </w:pPr>
          </w:p>
        </w:tc>
        <w:tc>
          <w:tcPr>
            <w:tcW w:w="2120" w:type="dxa"/>
            <w:vAlign w:val="bottom"/>
          </w:tcPr>
          <w:p>
            <w:pPr>
              <w:jc w:val="right"/>
              <w:ind w:right="482"/>
              <w:spacing w:after="0"/>
              <w:rPr>
                <w:sz w:val="20"/>
                <w:szCs w:val="20"/>
                <w:color w:val="auto"/>
              </w:rPr>
            </w:pPr>
            <w:r>
              <w:rPr>
                <w:rFonts w:ascii="Arial" w:cs="Arial" w:eastAsia="Arial" w:hAnsi="Arial"/>
                <w:sz w:val="16"/>
                <w:szCs w:val="16"/>
                <w:color w:val="auto"/>
              </w:rPr>
              <w:t>X</w:t>
            </w:r>
          </w:p>
        </w:tc>
        <w:tc>
          <w:tcPr>
            <w:tcW w:w="2060" w:type="dxa"/>
            <w:vAlign w:val="bottom"/>
          </w:tcPr>
          <w:p>
            <w:pPr>
              <w:jc w:val="right"/>
              <w:ind w:right="641"/>
              <w:spacing w:after="0"/>
              <w:rPr>
                <w:sz w:val="20"/>
                <w:szCs w:val="20"/>
                <w:color w:val="auto"/>
              </w:rPr>
            </w:pPr>
            <w:r>
              <w:rPr>
                <w:rFonts w:ascii="Arial" w:cs="Arial" w:eastAsia="Arial" w:hAnsi="Arial"/>
                <w:sz w:val="16"/>
                <w:szCs w:val="16"/>
                <w:color w:val="auto"/>
              </w:rPr>
              <w:t>X</w:t>
            </w:r>
          </w:p>
        </w:tc>
      </w:tr>
      <w:tr>
        <w:trPr>
          <w:trHeight w:val="189"/>
        </w:trPr>
        <w:tc>
          <w:tcPr>
            <w:tcW w:w="3740" w:type="dxa"/>
            <w:vAlign w:val="bottom"/>
            <w:shd w:val="clear" w:color="auto" w:fill="FCE9E8"/>
          </w:tcPr>
          <w:p>
            <w:pPr>
              <w:spacing w:after="0"/>
              <w:rPr>
                <w:sz w:val="20"/>
                <w:szCs w:val="20"/>
                <w:color w:val="auto"/>
              </w:rPr>
            </w:pPr>
            <w:r>
              <w:rPr>
                <w:rFonts w:ascii="Arial" w:cs="Arial" w:eastAsia="Arial" w:hAnsi="Arial"/>
                <w:sz w:val="16"/>
                <w:szCs w:val="16"/>
                <w:color w:val="auto"/>
              </w:rPr>
              <w:t>Donald L. Runkle</w:t>
            </w:r>
          </w:p>
        </w:tc>
        <w:tc>
          <w:tcPr>
            <w:tcW w:w="3500" w:type="dxa"/>
            <w:vAlign w:val="bottom"/>
            <w:shd w:val="clear" w:color="auto" w:fill="FCE9E8"/>
          </w:tcPr>
          <w:p>
            <w:pPr>
              <w:spacing w:after="0"/>
              <w:rPr>
                <w:sz w:val="16"/>
                <w:szCs w:val="16"/>
                <w:color w:val="auto"/>
              </w:rPr>
            </w:pPr>
          </w:p>
        </w:tc>
        <w:tc>
          <w:tcPr>
            <w:tcW w:w="2120" w:type="dxa"/>
            <w:vAlign w:val="bottom"/>
            <w:shd w:val="clear" w:color="auto" w:fill="FCE9E8"/>
          </w:tcPr>
          <w:p>
            <w:pPr>
              <w:jc w:val="right"/>
              <w:ind w:right="482"/>
              <w:spacing w:after="0"/>
              <w:rPr>
                <w:sz w:val="20"/>
                <w:szCs w:val="20"/>
                <w:color w:val="auto"/>
              </w:rPr>
            </w:pPr>
            <w:r>
              <w:rPr>
                <w:rFonts w:ascii="Arial" w:cs="Arial" w:eastAsia="Arial" w:hAnsi="Arial"/>
                <w:sz w:val="16"/>
                <w:szCs w:val="16"/>
                <w:color w:val="auto"/>
              </w:rPr>
              <w:t>X</w:t>
            </w:r>
          </w:p>
        </w:tc>
        <w:tc>
          <w:tcPr>
            <w:tcW w:w="2060" w:type="dxa"/>
            <w:vAlign w:val="bottom"/>
            <w:shd w:val="clear" w:color="auto" w:fill="FCE9E8"/>
          </w:tcPr>
          <w:p>
            <w:pPr>
              <w:jc w:val="right"/>
              <w:ind w:right="641"/>
              <w:spacing w:after="0"/>
              <w:rPr>
                <w:sz w:val="20"/>
                <w:szCs w:val="20"/>
                <w:color w:val="auto"/>
              </w:rPr>
            </w:pPr>
            <w:r>
              <w:rPr>
                <w:rFonts w:ascii="Arial" w:cs="Arial" w:eastAsia="Arial" w:hAnsi="Arial"/>
                <w:sz w:val="16"/>
                <w:szCs w:val="16"/>
                <w:color w:val="auto"/>
              </w:rPr>
              <w:t>X</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Matthew J. Simoncini</w:t>
            </w:r>
          </w:p>
        </w:tc>
        <w:tc>
          <w:tcPr>
            <w:tcW w:w="3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189"/>
        </w:trPr>
        <w:tc>
          <w:tcPr>
            <w:tcW w:w="3740" w:type="dxa"/>
            <w:vAlign w:val="bottom"/>
            <w:shd w:val="clear" w:color="auto" w:fill="FCE9E8"/>
          </w:tcPr>
          <w:p>
            <w:pPr>
              <w:spacing w:after="0"/>
              <w:rPr>
                <w:sz w:val="20"/>
                <w:szCs w:val="20"/>
                <w:color w:val="auto"/>
              </w:rPr>
            </w:pPr>
            <w:r>
              <w:rPr>
                <w:rFonts w:ascii="Arial" w:cs="Arial" w:eastAsia="Arial" w:hAnsi="Arial"/>
                <w:sz w:val="16"/>
                <w:szCs w:val="16"/>
                <w:color w:val="auto"/>
              </w:rPr>
              <w:t>Gregory C. Smith</w:t>
            </w:r>
          </w:p>
        </w:tc>
        <w:tc>
          <w:tcPr>
            <w:tcW w:w="3500" w:type="dxa"/>
            <w:vAlign w:val="bottom"/>
            <w:shd w:val="clear" w:color="auto" w:fill="FCE9E8"/>
          </w:tcPr>
          <w:p>
            <w:pPr>
              <w:jc w:val="right"/>
              <w:ind w:right="462"/>
              <w:spacing w:after="0"/>
              <w:rPr>
                <w:sz w:val="20"/>
                <w:szCs w:val="20"/>
                <w:color w:val="auto"/>
              </w:rPr>
            </w:pPr>
            <w:r>
              <w:rPr>
                <w:rFonts w:ascii="Arial" w:cs="Arial" w:eastAsia="Arial" w:hAnsi="Arial"/>
                <w:sz w:val="16"/>
                <w:szCs w:val="16"/>
                <w:color w:val="auto"/>
              </w:rPr>
              <w:t>C</w:t>
            </w:r>
          </w:p>
        </w:tc>
        <w:tc>
          <w:tcPr>
            <w:tcW w:w="2120" w:type="dxa"/>
            <w:vAlign w:val="bottom"/>
            <w:shd w:val="clear" w:color="auto" w:fill="FCE9E8"/>
          </w:tcPr>
          <w:p>
            <w:pPr>
              <w:spacing w:after="0"/>
              <w:rPr>
                <w:sz w:val="16"/>
                <w:szCs w:val="16"/>
                <w:color w:val="auto"/>
              </w:rPr>
            </w:pPr>
          </w:p>
        </w:tc>
        <w:tc>
          <w:tcPr>
            <w:tcW w:w="2060" w:type="dxa"/>
            <w:vAlign w:val="bottom"/>
            <w:shd w:val="clear" w:color="auto" w:fill="FCE9E8"/>
          </w:tcPr>
          <w:p>
            <w:pPr>
              <w:jc w:val="right"/>
              <w:ind w:right="641"/>
              <w:spacing w:after="0"/>
              <w:rPr>
                <w:sz w:val="20"/>
                <w:szCs w:val="20"/>
                <w:color w:val="auto"/>
              </w:rPr>
            </w:pPr>
            <w:r>
              <w:rPr>
                <w:rFonts w:ascii="Arial" w:cs="Arial" w:eastAsia="Arial" w:hAnsi="Arial"/>
                <w:sz w:val="16"/>
                <w:szCs w:val="16"/>
                <w:color w:val="auto"/>
              </w:rPr>
              <w:t>X</w:t>
            </w:r>
          </w:p>
        </w:tc>
      </w:tr>
      <w:tr>
        <w:trPr>
          <w:trHeight w:val="189"/>
        </w:trPr>
        <w:tc>
          <w:tcPr>
            <w:tcW w:w="3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Henry D.G. Wallace*</w:t>
            </w:r>
          </w:p>
        </w:tc>
        <w:tc>
          <w:tcPr>
            <w:tcW w:w="350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E</w:t>
            </w:r>
          </w:p>
        </w:tc>
        <w:tc>
          <w:tcPr>
            <w:tcW w:w="212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E</w:t>
            </w:r>
          </w:p>
        </w:tc>
        <w:tc>
          <w:tcPr>
            <w:tcW w:w="206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E</w:t>
            </w:r>
          </w:p>
        </w:tc>
      </w:tr>
    </w:tbl>
    <w:p>
      <w:pPr>
        <w:spacing w:after="0" w:line="86"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Non-Executive Chairman of the Board</w:t>
      </w:r>
    </w:p>
    <w:p>
      <w:pPr>
        <w:spacing w:after="0" w:line="8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“C”</w:t>
        <w:tab/>
        <w:t>Denotes member and chairman of committee</w:t>
      </w:r>
    </w:p>
    <w:p>
      <w:pPr>
        <w:spacing w:after="0" w:line="8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“X”</w:t>
        <w:tab/>
        <w:t>Denotes member</w:t>
      </w:r>
    </w:p>
    <w:p>
      <w:pPr>
        <w:spacing w:after="0" w:line="123"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“E”</w:t>
        <w:tab/>
        <w:t>Denotes Ex Officio member</w:t>
      </w:r>
    </w:p>
    <w:p>
      <w:pPr>
        <w:sectPr>
          <w:pgSz w:w="11900" w:h="16838" w:orient="portrait"/>
          <w:cols w:equalWidth="0" w:num="1">
            <w:col w:w="11420"/>
          </w:cols>
          <w:pgMar w:left="240" w:top="267" w:right="239"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9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2016, the Audit Committee held 9 meetings. Each of the members of the Audit Committee is a non-employee director. In addition, the Board has determined that all of the members of the Audit Committee are independent, financially literate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and financial experts, as further discussed under “Audit Committee Report.” For a description of the Audit Committee’s responsibilities and findings and additional information about the Audit Committee, see “Audit Committee Report.”</w:t>
      </w:r>
    </w:p>
    <w:p>
      <w:pPr>
        <w:spacing w:after="0" w:line="200" w:lineRule="exact"/>
        <w:rPr>
          <w:sz w:val="20"/>
          <w:szCs w:val="20"/>
          <w:color w:val="auto"/>
        </w:rPr>
      </w:pPr>
    </w:p>
    <w:p>
      <w:pPr>
        <w:sectPr>
          <w:pgSz w:w="11900" w:h="16838" w:orient="portrait"/>
          <w:cols w:equalWidth="0" w:num="2">
            <w:col w:w="5460" w:space="360"/>
            <w:col w:w="5600"/>
          </w:cols>
          <w:pgMar w:left="240" w:top="267" w:right="239" w:bottom="1440" w:gutter="0" w:footer="0" w:header="0"/>
          <w:type w:val="continuous"/>
        </w:sectPr>
      </w:pPr>
    </w:p>
    <w:p>
      <w:pPr>
        <w:spacing w:after="0" w:line="59" w:lineRule="exact"/>
        <w:rPr>
          <w:sz w:val="20"/>
          <w:szCs w:val="20"/>
          <w:color w:val="auto"/>
        </w:rPr>
      </w:pPr>
    </w:p>
    <w:p>
      <w:pPr>
        <w:ind w:left="460" w:hanging="349"/>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20"/>
          </w:cols>
          <w:pgMar w:left="240" w:top="267" w:right="239" w:bottom="1440" w:gutter="0" w:footer="0" w:header="0"/>
          <w:type w:val="continuous"/>
        </w:sectPr>
      </w:pPr>
    </w:p>
    <w:bookmarkStart w:id="26" w:name="page27"/>
    <w:bookmarkEnd w:id="26"/>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9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 2016, the Compensation Committee held 4 meetings. Each of the members of the Compensation Committee is a non-employee director. In addition, the Board has determined that all of the members of the Compensation Committee are independent as defined in the listing standards of the NYSE, including the independence standards applicable to compensation committees. The Compensation Committee has overall responsibility for approving and evaluating director and officer compensation plans, policies and programs of the Company and reviewing the disclosure of such plans, policies and programs to our stockholders in the annual proxy statement. The Compensation Committee utilizes an independent compensation consultant to assist it in its duties. The Compensation Committee operates under a written charter setting forth its functions and responsibilities. A copy of the current charter is available on our website at www.lear.com or in printed form upon request.</w:t>
      </w:r>
    </w:p>
    <w:p>
      <w:pPr>
        <w:spacing w:after="0" w:line="10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consultation with the Company’s management, the Compensation Committee establishes the general policies relating to senior management compensation and oversees the development and administration of such compensation programs. Our human resources executives and staff support the Compensation Committee in its work. These members of management work with compensation consultants whose engagements have been approved by the Compensation Committee, accountants and legal counsel, as necessary, to implement the Compensation Committee’s decisions, to monitor evolving competitive practices and to make compensation recommendations to the Compensation Committee. Our human resources management develops specific compensation recommendations for senior executives, which are first reviewed by senior management and then presented to the Compensation Committee and its independent compensation consultant. The Compensation Committee has final authority to approve, modify or reject the recommendations and to make its decisions in executive session. The Compensation Committee approves all compensation of our executive officers, including equity awards. Under our equity award policy, an aggregate equity award pool to non-executive officers may be approved by the Compensation Committee and allocated to individuals by the Company’s CEO. The policy also allows the Compensation Committee to delegate to the CEO the ability to grant equity awards to non-executive officer employees who are newly</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Committee</w:t>
      </w:r>
    </w:p>
    <w:p>
      <w:pPr>
        <w:spacing w:after="0" w:line="19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2016, the Nominating Committee held 5 meetings. Each of the members of the Nominating Committee is a non-employee director. In addition, the Board has determined that all of the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-189865</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hired or promoted or deemed to be deserving of special retention or recognition awards.</w:t>
      </w:r>
    </w:p>
    <w:p>
      <w:pPr>
        <w:spacing w:after="0" w:line="8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The Compensation Committee utilizes Pay Governance LLC (“Pay Governance”) as its independent compensation consultant. The consultant reports directly to the Compensation Committee, including with respect to management’s recommendations of compensation programs and awards. The Compensation Committee has the sole authority to approve the scope and terms of the engagement of such compensation consultant and to terminate such engagement. The mandate of the consultant is to serve the Company and work for the Compensation Committee in its review of executive and director compensation practices, including the competitiveness of pay levels, program design, market trends and technical considerations. Pay Governance has assisted the Compensation Committee with the development of competitive market data and a related assessment of the Company’s executive and director compensation levels, evaluation of annual and long-term incentive compensation strategy and compilation and review of total compensation data and tally sheets (including data for certain termination and change in control scenarios) for the Company’s Named Executive Officers (as defined in “Compensation Discussion and Analysis”). As part of this process, the Compensation Committee also reviewed a comprehensive analysis of peer group companies provided by Pay Governance. See, “Compensation Discussion and Analysis — Benchmarking.” Other than with respect to consulting on executive and director compensation matters, Pay Governance has performed no other services for the Compensation Committee or the Company.</w:t>
      </w:r>
    </w:p>
    <w:p>
      <w:pPr>
        <w:spacing w:after="0" w:line="102"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Compensation Committee has reviewed the independence of Pay Governance in light of SEC rules and NYSE listing standards regarding compensation consultants and has concluded that Pay Governance’s work for the Compensation Committee does not raise any conflict of interest.</w:t>
      </w:r>
    </w:p>
    <w:p>
      <w:pPr>
        <w:spacing w:after="0" w:line="95"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In 2016, the Company’s management retained Frederic W. Cook &amp; Co., Inc. to assist in the review of various executive compensation programs. The Company and the Compensation Committee reviewed the engagement of the management consultant under the SEC disclosure rules and found that no conflicts of interest existed with respect to such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members of the Nominating Committee are independent as defined in the listing standards of the NYSE.</w:t>
      </w:r>
    </w:p>
    <w:p>
      <w:pPr>
        <w:spacing w:after="0" w:line="200" w:lineRule="exact"/>
        <w:rPr>
          <w:sz w:val="20"/>
          <w:szCs w:val="20"/>
          <w:color w:val="auto"/>
        </w:rPr>
      </w:pPr>
    </w:p>
    <w:p>
      <w:pPr>
        <w:spacing w:after="0" w:line="227" w:lineRule="exact"/>
        <w:rPr>
          <w:sz w:val="20"/>
          <w:szCs w:val="20"/>
          <w:color w:val="auto"/>
        </w:rPr>
      </w:pPr>
    </w:p>
    <w:p>
      <w:pPr>
        <w:ind w:left="3340"/>
        <w:spacing w:after="0"/>
        <w:tabs>
          <w:tab w:leader="none" w:pos="5060" w:val="left"/>
          <w:tab w:leader="none" w:pos="52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21</w:t>
      </w:r>
    </w:p>
    <w:p>
      <w:pPr>
        <w:sectPr>
          <w:pgSz w:w="11900" w:h="16838" w:orient="portrait"/>
          <w:cols w:equalWidth="0" w:num="2">
            <w:col w:w="5480" w:space="340"/>
            <w:col w:w="5600"/>
          </w:cols>
          <w:pgMar w:left="240" w:top="267"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Committee is responsible for, among other things:</w:t>
      </w:r>
    </w:p>
    <w:p>
      <w:pPr>
        <w:spacing w:after="0" w:line="5" w:lineRule="exact"/>
        <w:rPr>
          <w:sz w:val="20"/>
          <w:szCs w:val="20"/>
          <w:color w:val="auto"/>
        </w:rPr>
      </w:pPr>
    </w:p>
    <w:p>
      <w:pPr>
        <w:ind w:firstLine="8"/>
        <w:spacing w:after="0" w:line="246" w:lineRule="auto"/>
        <w:tabs>
          <w:tab w:leader="none" w:pos="1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consistent with criteria approved by the Board; (ii) recommending director nominees to the Board for election at the next annual meeting of the stockholders of the Company; (iii) in the event of a vacancy on or an increase in the size of the Board, recommending director nominees to the Board to fill such vacancy or newly established Board seat;</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recommending directors to the Board for membership 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each committee of the Board; (v) establishing and reviewing annually our Corporate Governance Guidelines and Code of Business Conduct and Ethics; and (vi) reviewing potential conflicts of interest involving our executive officers. The Nominating Committee operates under a written charter setting forth its functions and responsibilities. A copy of the current charter is available on our website at www.lear.com or in printed form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-1171575</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76" w:lineRule="exact"/>
        <w:rPr>
          <w:sz w:val="20"/>
          <w:szCs w:val="20"/>
          <w:color w:val="auto"/>
        </w:rPr>
      </w:pPr>
    </w:p>
    <w:p>
      <w:pPr>
        <w:sectPr>
          <w:pgSz w:w="11900" w:h="16838" w:orient="portrait"/>
          <w:cols w:equalWidth="0" w:num="2">
            <w:col w:w="5260" w:space="560"/>
            <w:col w:w="5460"/>
          </w:cols>
          <w:pgMar w:left="240" w:top="267" w:right="37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Terrence B. Larkin, Executive Vice President, Business Development, General Counsel and Corporate Secretary. Our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Legal Proceedings</w:t>
      </w:r>
    </w:p>
    <w:p>
      <w:pPr>
        <w:spacing w:after="0" w:line="19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Mr. Simoncini currently serves as the Company’s President and CEO and has served in other positions at the Company</w:t>
      </w:r>
    </w:p>
    <w:p>
      <w:pPr>
        <w:spacing w:after="0" w:line="252" w:lineRule="exact"/>
        <w:rPr>
          <w:sz w:val="20"/>
          <w:szCs w:val="20"/>
          <w:color w:val="auto"/>
        </w:rPr>
      </w:pPr>
    </w:p>
    <w:p>
      <w:pPr>
        <w:ind w:left="460" w:hanging="349"/>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since 1999, as described above. In 2009, the Company filed for reorganization under chapter 11 of the Bankruptcy Code.</w:t>
      </w:r>
    </w:p>
    <w:p>
      <w:pPr>
        <w:sectPr>
          <w:pgSz w:w="11900" w:h="16838" w:orient="portrait"/>
          <w:cols w:equalWidth="0" w:num="2">
            <w:col w:w="5480" w:space="340"/>
            <w:col w:w="5460"/>
          </w:cols>
          <w:pgMar w:left="240" w:top="267" w:right="37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following table summarizes the annual compensation for our non-employee directors during 2016. A summary of the director compensation program and elements is presented after the table below.</w:t>
      </w:r>
    </w:p>
    <w:p>
      <w:pPr>
        <w:spacing w:after="0" w:line="200" w:lineRule="exact"/>
        <w:rPr>
          <w:sz w:val="20"/>
          <w:szCs w:val="20"/>
          <w:color w:val="auto"/>
        </w:rPr>
      </w:pPr>
    </w:p>
    <w:p>
      <w:pPr>
        <w:spacing w:after="0" w:line="251"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FFFFFF"/>
        </w:rPr>
        <w:t>2016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E2231A"/>
              </w:rPr>
              <w:t>Name</w:t>
            </w:r>
          </w:p>
        </w:tc>
        <w:tc>
          <w:tcPr>
            <w:tcW w:w="4020" w:type="dxa"/>
            <w:vAlign w:val="bottom"/>
            <w:gridSpan w:val="2"/>
          </w:tcPr>
          <w:p>
            <w:pPr>
              <w:ind w:left="2180"/>
              <w:spacing w:after="0"/>
              <w:rPr>
                <w:sz w:val="20"/>
                <w:szCs w:val="20"/>
                <w:color w:val="auto"/>
              </w:rPr>
            </w:pPr>
            <w:r>
              <w:rPr>
                <w:rFonts w:ascii="Arial" w:cs="Arial" w:eastAsia="Arial" w:hAnsi="Arial"/>
                <w:sz w:val="14"/>
                <w:szCs w:val="14"/>
                <w:b w:val="1"/>
                <w:bCs w:val="1"/>
                <w:color w:val="E2231A"/>
              </w:rPr>
              <w:t>Fees Earned or Paid</w:t>
            </w:r>
          </w:p>
        </w:tc>
        <w:tc>
          <w:tcPr>
            <w:tcW w:w="2000" w:type="dxa"/>
            <w:vAlign w:val="bottom"/>
            <w:gridSpan w:val="2"/>
          </w:tcPr>
          <w:p>
            <w:pPr>
              <w:ind w:left="460"/>
              <w:spacing w:after="0" w:line="182" w:lineRule="exact"/>
              <w:rPr>
                <w:sz w:val="20"/>
                <w:szCs w:val="20"/>
                <w:color w:val="auto"/>
              </w:rPr>
            </w:pPr>
            <w:r>
              <w:rPr>
                <w:rFonts w:ascii="Arial" w:cs="Arial" w:eastAsia="Arial" w:hAnsi="Arial"/>
                <w:sz w:val="13"/>
                <w:szCs w:val="13"/>
                <w:b w:val="1"/>
                <w:bCs w:val="1"/>
                <w:color w:val="E2231A"/>
              </w:rPr>
              <w:t>Stock Awards</w:t>
            </w:r>
            <w:r>
              <w:rPr>
                <w:rFonts w:ascii="Arial" w:cs="Arial" w:eastAsia="Arial" w:hAnsi="Arial"/>
                <w:sz w:val="21"/>
                <w:szCs w:val="21"/>
                <w:b w:val="1"/>
                <w:bCs w:val="1"/>
                <w:color w:val="E2231A"/>
                <w:vertAlign w:val="superscript"/>
              </w:rPr>
              <w:t>(3)</w:t>
            </w:r>
          </w:p>
        </w:tc>
        <w:tc>
          <w:tcPr>
            <w:tcW w:w="174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E2231A"/>
                <w:w w:val="95"/>
              </w:rPr>
              <w:t>Total</w:t>
            </w:r>
          </w:p>
        </w:tc>
        <w:tc>
          <w:tcPr>
            <w:tcW w:w="0" w:type="dxa"/>
            <w:vAlign w:val="bottom"/>
          </w:tcPr>
          <w:p>
            <w:pPr>
              <w:spacing w:after="0"/>
              <w:rPr>
                <w:sz w:val="1"/>
                <w:szCs w:val="1"/>
                <w:color w:val="auto"/>
              </w:rPr>
            </w:pPr>
          </w:p>
        </w:tc>
      </w:tr>
      <w:tr>
        <w:trPr>
          <w:trHeight w:val="162"/>
        </w:trPr>
        <w:tc>
          <w:tcPr>
            <w:tcW w:w="3660" w:type="dxa"/>
            <w:vAlign w:val="bottom"/>
            <w:tcBorders>
              <w:bottom w:val="single" w:sz="8" w:color="auto"/>
            </w:tcBorders>
            <w:vMerge w:val="continue"/>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61"/>
              <w:spacing w:after="0" w:line="162" w:lineRule="exact"/>
              <w:rPr>
                <w:sz w:val="20"/>
                <w:szCs w:val="20"/>
                <w:color w:val="auto"/>
              </w:rPr>
            </w:pPr>
            <w:r>
              <w:rPr>
                <w:rFonts w:ascii="Arial" w:cs="Arial" w:eastAsia="Arial" w:hAnsi="Arial"/>
                <w:sz w:val="11"/>
                <w:szCs w:val="11"/>
                <w:b w:val="1"/>
                <w:bCs w:val="1"/>
                <w:color w:val="E2231A"/>
              </w:rPr>
              <w:t>in Cash</w:t>
            </w:r>
            <w:r>
              <w:rPr>
                <w:rFonts w:ascii="Arial" w:cs="Arial" w:eastAsia="Arial" w:hAnsi="Arial"/>
                <w:sz w:val="18"/>
                <w:szCs w:val="18"/>
                <w:b w:val="1"/>
                <w:bCs w:val="1"/>
                <w:color w:val="E2231A"/>
                <w:vertAlign w:val="superscript"/>
              </w:rPr>
              <w:t>(1)(2)</w:t>
            </w: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41"/>
              <w:spacing w:after="0"/>
              <w:rPr>
                <w:sz w:val="20"/>
                <w:szCs w:val="20"/>
                <w:color w:val="auto"/>
              </w:rPr>
            </w:pPr>
            <w:r>
              <w:rPr>
                <w:rFonts w:ascii="Arial" w:cs="Arial" w:eastAsia="Arial" w:hAnsi="Arial"/>
                <w:sz w:val="12"/>
                <w:szCs w:val="12"/>
                <w:b w:val="1"/>
                <w:bCs w:val="1"/>
                <w:color w:val="E2231A"/>
              </w:rPr>
              <w:t>(4)</w:t>
            </w:r>
          </w:p>
        </w:tc>
        <w:tc>
          <w:tcPr>
            <w:tcW w:w="1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6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Richard H. Bott</w:t>
            </w:r>
          </w:p>
        </w:tc>
        <w:tc>
          <w:tcPr>
            <w:tcW w:w="2360" w:type="dxa"/>
            <w:vAlign w:val="bottom"/>
            <w:shd w:val="clear" w:color="auto" w:fill="FCE9E8"/>
          </w:tcPr>
          <w:p>
            <w:pPr>
              <w:ind w:left="2160"/>
              <w:spacing w:after="0" w:line="183" w:lineRule="exact"/>
              <w:rPr>
                <w:sz w:val="20"/>
                <w:szCs w:val="20"/>
                <w:color w:val="auto"/>
              </w:rPr>
            </w:pPr>
            <w:r>
              <w:rPr>
                <w:rFonts w:ascii="Arial" w:cs="Arial" w:eastAsia="Arial" w:hAnsi="Arial"/>
                <w:sz w:val="16"/>
                <w:szCs w:val="16"/>
                <w:color w:val="auto"/>
              </w:rPr>
              <w:t>$</w:t>
            </w:r>
          </w:p>
        </w:tc>
        <w:tc>
          <w:tcPr>
            <w:tcW w:w="1660" w:type="dxa"/>
            <w:vAlign w:val="bottom"/>
            <w:shd w:val="clear" w:color="auto" w:fill="FCE9E8"/>
          </w:tcPr>
          <w:p>
            <w:pPr>
              <w:jc w:val="right"/>
              <w:ind w:right="381"/>
              <w:spacing w:after="0" w:line="183" w:lineRule="exact"/>
              <w:rPr>
                <w:sz w:val="20"/>
                <w:szCs w:val="20"/>
                <w:color w:val="auto"/>
              </w:rPr>
            </w:pPr>
            <w:r>
              <w:rPr>
                <w:rFonts w:ascii="Arial" w:cs="Arial" w:eastAsia="Arial" w:hAnsi="Arial"/>
                <w:sz w:val="16"/>
                <w:szCs w:val="16"/>
                <w:color w:val="auto"/>
              </w:rPr>
              <w:t>110,000</w:t>
            </w:r>
          </w:p>
        </w:tc>
        <w:tc>
          <w:tcPr>
            <w:tcW w:w="740" w:type="dxa"/>
            <w:vAlign w:val="bottom"/>
            <w:shd w:val="clear" w:color="auto" w:fill="FCE9E8"/>
          </w:tcPr>
          <w:p>
            <w:pPr>
              <w:ind w:left="46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361"/>
              <w:spacing w:after="0" w:line="183" w:lineRule="exact"/>
              <w:rPr>
                <w:sz w:val="20"/>
                <w:szCs w:val="20"/>
                <w:color w:val="auto"/>
              </w:rPr>
            </w:pPr>
            <w:r>
              <w:rPr>
                <w:rFonts w:ascii="Arial" w:cs="Arial" w:eastAsia="Arial" w:hAnsi="Arial"/>
                <w:sz w:val="16"/>
                <w:szCs w:val="16"/>
                <w:color w:val="auto"/>
              </w:rPr>
              <w:t>149,930</w:t>
            </w:r>
          </w:p>
        </w:tc>
        <w:tc>
          <w:tcPr>
            <w:tcW w:w="1740" w:type="dxa"/>
            <w:vAlign w:val="bottom"/>
            <w:shd w:val="clear" w:color="auto" w:fill="FCE9E8"/>
          </w:tcPr>
          <w:p>
            <w:pPr>
              <w:jc w:val="center"/>
              <w:ind w:right="60"/>
              <w:spacing w:after="0" w:line="183" w:lineRule="exact"/>
              <w:rPr>
                <w:sz w:val="20"/>
                <w:szCs w:val="20"/>
                <w:color w:val="auto"/>
              </w:rPr>
            </w:pPr>
            <w:r>
              <w:rPr>
                <w:rFonts w:ascii="Arial" w:cs="Arial" w:eastAsia="Arial" w:hAnsi="Arial"/>
                <w:sz w:val="16"/>
                <w:szCs w:val="16"/>
                <w:color w:val="auto"/>
              </w:rPr>
              <w:t>$259,930</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Thomas P. Capo</w:t>
            </w:r>
          </w:p>
        </w:tc>
        <w:tc>
          <w:tcPr>
            <w:tcW w:w="2360" w:type="dxa"/>
            <w:vAlign w:val="bottom"/>
          </w:tcPr>
          <w:p>
            <w:pPr>
              <w:ind w:left="21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81"/>
              <w:spacing w:after="0"/>
              <w:rPr>
                <w:sz w:val="20"/>
                <w:szCs w:val="20"/>
                <w:color w:val="auto"/>
              </w:rPr>
            </w:pPr>
            <w:r>
              <w:rPr>
                <w:rFonts w:ascii="Arial" w:cs="Arial" w:eastAsia="Arial" w:hAnsi="Arial"/>
                <w:sz w:val="16"/>
                <w:szCs w:val="16"/>
                <w:color w:val="auto"/>
              </w:rPr>
              <w:t>130,000</w:t>
            </w:r>
          </w:p>
        </w:tc>
        <w:tc>
          <w:tcPr>
            <w:tcW w:w="740" w:type="dxa"/>
            <w:vAlign w:val="bottom"/>
          </w:tcPr>
          <w:p>
            <w:pPr>
              <w:ind w:left="4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61"/>
              <w:spacing w:after="0"/>
              <w:rPr>
                <w:sz w:val="20"/>
                <w:szCs w:val="20"/>
                <w:color w:val="auto"/>
              </w:rPr>
            </w:pPr>
            <w:r>
              <w:rPr>
                <w:rFonts w:ascii="Arial" w:cs="Arial" w:eastAsia="Arial" w:hAnsi="Arial"/>
                <w:sz w:val="16"/>
                <w:szCs w:val="16"/>
                <w:color w:val="auto"/>
              </w:rPr>
              <w:t>149,930</w:t>
            </w:r>
          </w:p>
        </w:tc>
        <w:tc>
          <w:tcPr>
            <w:tcW w:w="1740" w:type="dxa"/>
            <w:vAlign w:val="bottom"/>
          </w:tcPr>
          <w:p>
            <w:pPr>
              <w:jc w:val="center"/>
              <w:ind w:right="60"/>
              <w:spacing w:after="0"/>
              <w:rPr>
                <w:sz w:val="20"/>
                <w:szCs w:val="20"/>
                <w:color w:val="auto"/>
              </w:rPr>
            </w:pPr>
            <w:r>
              <w:rPr>
                <w:rFonts w:ascii="Arial" w:cs="Arial" w:eastAsia="Arial" w:hAnsi="Arial"/>
                <w:sz w:val="16"/>
                <w:szCs w:val="16"/>
                <w:color w:val="auto"/>
              </w:rPr>
              <w:t>$279,930</w:t>
            </w:r>
          </w:p>
        </w:tc>
        <w:tc>
          <w:tcPr>
            <w:tcW w:w="0" w:type="dxa"/>
            <w:vAlign w:val="bottom"/>
          </w:tcPr>
          <w:p>
            <w:pPr>
              <w:spacing w:after="0"/>
              <w:rPr>
                <w:sz w:val="1"/>
                <w:szCs w:val="1"/>
                <w:color w:val="auto"/>
              </w:rPr>
            </w:pPr>
          </w:p>
        </w:tc>
      </w:tr>
      <w:tr>
        <w:trPr>
          <w:trHeight w:val="189"/>
        </w:trPr>
        <w:tc>
          <w:tcPr>
            <w:tcW w:w="3660" w:type="dxa"/>
            <w:vAlign w:val="bottom"/>
            <w:shd w:val="clear" w:color="auto" w:fill="FCE9E8"/>
          </w:tcPr>
          <w:p>
            <w:pPr>
              <w:spacing w:after="0"/>
              <w:rPr>
                <w:sz w:val="20"/>
                <w:szCs w:val="20"/>
                <w:color w:val="auto"/>
              </w:rPr>
            </w:pPr>
            <w:r>
              <w:rPr>
                <w:rFonts w:ascii="Arial" w:cs="Arial" w:eastAsia="Arial" w:hAnsi="Arial"/>
                <w:sz w:val="16"/>
                <w:szCs w:val="16"/>
                <w:color w:val="auto"/>
              </w:rPr>
              <w:t>Jonathan F. Foster</w:t>
            </w:r>
          </w:p>
        </w:tc>
        <w:tc>
          <w:tcPr>
            <w:tcW w:w="2360" w:type="dxa"/>
            <w:vAlign w:val="bottom"/>
            <w:shd w:val="clear" w:color="auto" w:fill="FCE9E8"/>
          </w:tcPr>
          <w:p>
            <w:pPr>
              <w:ind w:left="21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125,000</w:t>
            </w:r>
          </w:p>
        </w:tc>
        <w:tc>
          <w:tcPr>
            <w:tcW w:w="74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149,930</w:t>
            </w:r>
          </w:p>
        </w:tc>
        <w:tc>
          <w:tcPr>
            <w:tcW w:w="1740" w:type="dxa"/>
            <w:vAlign w:val="bottom"/>
            <w:shd w:val="clear" w:color="auto" w:fill="FCE9E8"/>
          </w:tcPr>
          <w:p>
            <w:pPr>
              <w:jc w:val="center"/>
              <w:ind w:right="60"/>
              <w:spacing w:after="0"/>
              <w:rPr>
                <w:sz w:val="20"/>
                <w:szCs w:val="20"/>
                <w:color w:val="auto"/>
              </w:rPr>
            </w:pPr>
            <w:r>
              <w:rPr>
                <w:rFonts w:ascii="Arial" w:cs="Arial" w:eastAsia="Arial" w:hAnsi="Arial"/>
                <w:sz w:val="16"/>
                <w:szCs w:val="16"/>
                <w:color w:val="auto"/>
              </w:rPr>
              <w:t>$274,930</w:t>
            </w:r>
          </w:p>
        </w:tc>
        <w:tc>
          <w:tcPr>
            <w:tcW w:w="0" w:type="dxa"/>
            <w:vAlign w:val="bottom"/>
          </w:tcPr>
          <w:p>
            <w:pPr>
              <w:spacing w:after="0"/>
              <w:rPr>
                <w:sz w:val="1"/>
                <w:szCs w:val="1"/>
                <w:color w:val="auto"/>
              </w:rPr>
            </w:pPr>
          </w:p>
        </w:tc>
      </w:tr>
      <w:tr>
        <w:trPr>
          <w:trHeight w:val="189"/>
        </w:trPr>
        <w:tc>
          <w:tcPr>
            <w:tcW w:w="3660" w:type="dxa"/>
            <w:vAlign w:val="bottom"/>
          </w:tcPr>
          <w:p>
            <w:pPr>
              <w:spacing w:after="0" w:line="189" w:lineRule="exact"/>
              <w:rPr>
                <w:sz w:val="20"/>
                <w:szCs w:val="20"/>
                <w:color w:val="auto"/>
              </w:rPr>
            </w:pPr>
            <w:r>
              <w:rPr>
                <w:rFonts w:ascii="Arial" w:cs="Arial" w:eastAsia="Arial" w:hAnsi="Arial"/>
                <w:sz w:val="13"/>
                <w:szCs w:val="13"/>
                <w:color w:val="auto"/>
              </w:rPr>
              <w:t>Mary Lou Jepsen</w:t>
            </w:r>
            <w:r>
              <w:rPr>
                <w:rFonts w:ascii="Arial" w:cs="Arial" w:eastAsia="Arial" w:hAnsi="Arial"/>
                <w:sz w:val="21"/>
                <w:szCs w:val="21"/>
                <w:color w:val="auto"/>
                <w:vertAlign w:val="superscript"/>
              </w:rPr>
              <w:t>(5)</w:t>
            </w:r>
          </w:p>
        </w:tc>
        <w:tc>
          <w:tcPr>
            <w:tcW w:w="2360" w:type="dxa"/>
            <w:vAlign w:val="bottom"/>
          </w:tcPr>
          <w:p>
            <w:pPr>
              <w:ind w:left="21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81"/>
              <w:spacing w:after="0"/>
              <w:rPr>
                <w:sz w:val="20"/>
                <w:szCs w:val="20"/>
                <w:color w:val="auto"/>
              </w:rPr>
            </w:pPr>
            <w:r>
              <w:rPr>
                <w:rFonts w:ascii="Arial" w:cs="Arial" w:eastAsia="Arial" w:hAnsi="Arial"/>
                <w:sz w:val="16"/>
                <w:szCs w:val="16"/>
                <w:color w:val="auto"/>
              </w:rPr>
              <w:t>91,667</w:t>
            </w:r>
          </w:p>
        </w:tc>
        <w:tc>
          <w:tcPr>
            <w:tcW w:w="740" w:type="dxa"/>
            <w:vAlign w:val="bottom"/>
          </w:tcPr>
          <w:p>
            <w:pPr>
              <w:ind w:left="4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61"/>
              <w:spacing w:after="0"/>
              <w:rPr>
                <w:sz w:val="20"/>
                <w:szCs w:val="20"/>
                <w:color w:val="auto"/>
              </w:rPr>
            </w:pPr>
            <w:r>
              <w:rPr>
                <w:rFonts w:ascii="Arial" w:cs="Arial" w:eastAsia="Arial" w:hAnsi="Arial"/>
                <w:sz w:val="16"/>
                <w:szCs w:val="16"/>
                <w:color w:val="auto"/>
              </w:rPr>
              <w:t>173,255</w:t>
            </w:r>
          </w:p>
        </w:tc>
        <w:tc>
          <w:tcPr>
            <w:tcW w:w="1740" w:type="dxa"/>
            <w:vAlign w:val="bottom"/>
          </w:tcPr>
          <w:p>
            <w:pPr>
              <w:jc w:val="center"/>
              <w:ind w:right="60"/>
              <w:spacing w:after="0"/>
              <w:rPr>
                <w:sz w:val="20"/>
                <w:szCs w:val="20"/>
                <w:color w:val="auto"/>
              </w:rPr>
            </w:pPr>
            <w:r>
              <w:rPr>
                <w:rFonts w:ascii="Arial" w:cs="Arial" w:eastAsia="Arial" w:hAnsi="Arial"/>
                <w:sz w:val="16"/>
                <w:szCs w:val="16"/>
                <w:color w:val="auto"/>
              </w:rPr>
              <w:t>$264,922</w:t>
            </w:r>
          </w:p>
        </w:tc>
        <w:tc>
          <w:tcPr>
            <w:tcW w:w="0" w:type="dxa"/>
            <w:vAlign w:val="bottom"/>
          </w:tcPr>
          <w:p>
            <w:pPr>
              <w:spacing w:after="0"/>
              <w:rPr>
                <w:sz w:val="1"/>
                <w:szCs w:val="1"/>
                <w:color w:val="auto"/>
              </w:rPr>
            </w:pPr>
          </w:p>
        </w:tc>
      </w:tr>
      <w:tr>
        <w:trPr>
          <w:trHeight w:val="189"/>
        </w:trPr>
        <w:tc>
          <w:tcPr>
            <w:tcW w:w="3660" w:type="dxa"/>
            <w:vAlign w:val="bottom"/>
            <w:shd w:val="clear" w:color="auto" w:fill="FCE9E8"/>
          </w:tcPr>
          <w:p>
            <w:pPr>
              <w:spacing w:after="0"/>
              <w:rPr>
                <w:sz w:val="20"/>
                <w:szCs w:val="20"/>
                <w:color w:val="auto"/>
              </w:rPr>
            </w:pPr>
            <w:r>
              <w:rPr>
                <w:rFonts w:ascii="Arial" w:cs="Arial" w:eastAsia="Arial" w:hAnsi="Arial"/>
                <w:sz w:val="16"/>
                <w:szCs w:val="16"/>
                <w:color w:val="auto"/>
              </w:rPr>
              <w:t>Kathleen A. Ligocki</w:t>
            </w:r>
          </w:p>
        </w:tc>
        <w:tc>
          <w:tcPr>
            <w:tcW w:w="2360" w:type="dxa"/>
            <w:vAlign w:val="bottom"/>
            <w:shd w:val="clear" w:color="auto" w:fill="FCE9E8"/>
          </w:tcPr>
          <w:p>
            <w:pPr>
              <w:ind w:left="21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110,000</w:t>
            </w:r>
          </w:p>
        </w:tc>
        <w:tc>
          <w:tcPr>
            <w:tcW w:w="74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149,930</w:t>
            </w:r>
          </w:p>
        </w:tc>
        <w:tc>
          <w:tcPr>
            <w:tcW w:w="1740" w:type="dxa"/>
            <w:vAlign w:val="bottom"/>
            <w:shd w:val="clear" w:color="auto" w:fill="FCE9E8"/>
          </w:tcPr>
          <w:p>
            <w:pPr>
              <w:jc w:val="center"/>
              <w:ind w:right="60"/>
              <w:spacing w:after="0"/>
              <w:rPr>
                <w:sz w:val="20"/>
                <w:szCs w:val="20"/>
                <w:color w:val="auto"/>
              </w:rPr>
            </w:pPr>
            <w:r>
              <w:rPr>
                <w:rFonts w:ascii="Arial" w:cs="Arial" w:eastAsia="Arial" w:hAnsi="Arial"/>
                <w:sz w:val="16"/>
                <w:szCs w:val="16"/>
                <w:color w:val="auto"/>
              </w:rPr>
              <w:t>$259,930</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Conrad L. Mallett, Jr.</w:t>
            </w:r>
          </w:p>
        </w:tc>
        <w:tc>
          <w:tcPr>
            <w:tcW w:w="2360" w:type="dxa"/>
            <w:vAlign w:val="bottom"/>
          </w:tcPr>
          <w:p>
            <w:pPr>
              <w:ind w:left="21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81"/>
              <w:spacing w:after="0"/>
              <w:rPr>
                <w:sz w:val="20"/>
                <w:szCs w:val="20"/>
                <w:color w:val="auto"/>
              </w:rPr>
            </w:pPr>
            <w:r>
              <w:rPr>
                <w:rFonts w:ascii="Arial" w:cs="Arial" w:eastAsia="Arial" w:hAnsi="Arial"/>
                <w:sz w:val="16"/>
                <w:szCs w:val="16"/>
                <w:color w:val="auto"/>
              </w:rPr>
              <w:t>110,000</w:t>
            </w:r>
          </w:p>
        </w:tc>
        <w:tc>
          <w:tcPr>
            <w:tcW w:w="740" w:type="dxa"/>
            <w:vAlign w:val="bottom"/>
          </w:tcPr>
          <w:p>
            <w:pPr>
              <w:ind w:left="4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61"/>
              <w:spacing w:after="0"/>
              <w:rPr>
                <w:sz w:val="20"/>
                <w:szCs w:val="20"/>
                <w:color w:val="auto"/>
              </w:rPr>
            </w:pPr>
            <w:r>
              <w:rPr>
                <w:rFonts w:ascii="Arial" w:cs="Arial" w:eastAsia="Arial" w:hAnsi="Arial"/>
                <w:sz w:val="16"/>
                <w:szCs w:val="16"/>
                <w:color w:val="auto"/>
              </w:rPr>
              <w:t>149,930</w:t>
            </w:r>
          </w:p>
        </w:tc>
        <w:tc>
          <w:tcPr>
            <w:tcW w:w="1740" w:type="dxa"/>
            <w:vAlign w:val="bottom"/>
          </w:tcPr>
          <w:p>
            <w:pPr>
              <w:jc w:val="center"/>
              <w:ind w:right="60"/>
              <w:spacing w:after="0"/>
              <w:rPr>
                <w:sz w:val="20"/>
                <w:szCs w:val="20"/>
                <w:color w:val="auto"/>
              </w:rPr>
            </w:pPr>
            <w:r>
              <w:rPr>
                <w:rFonts w:ascii="Arial" w:cs="Arial" w:eastAsia="Arial" w:hAnsi="Arial"/>
                <w:sz w:val="16"/>
                <w:szCs w:val="16"/>
                <w:color w:val="auto"/>
              </w:rPr>
              <w:t>$259,930</w:t>
            </w:r>
          </w:p>
        </w:tc>
        <w:tc>
          <w:tcPr>
            <w:tcW w:w="0" w:type="dxa"/>
            <w:vAlign w:val="bottom"/>
          </w:tcPr>
          <w:p>
            <w:pPr>
              <w:spacing w:after="0"/>
              <w:rPr>
                <w:sz w:val="1"/>
                <w:szCs w:val="1"/>
                <w:color w:val="auto"/>
              </w:rPr>
            </w:pPr>
          </w:p>
        </w:tc>
      </w:tr>
      <w:tr>
        <w:trPr>
          <w:trHeight w:val="189"/>
        </w:trPr>
        <w:tc>
          <w:tcPr>
            <w:tcW w:w="3660" w:type="dxa"/>
            <w:vAlign w:val="bottom"/>
            <w:shd w:val="clear" w:color="auto" w:fill="FCE9E8"/>
          </w:tcPr>
          <w:p>
            <w:pPr>
              <w:spacing w:after="0"/>
              <w:rPr>
                <w:sz w:val="20"/>
                <w:szCs w:val="20"/>
                <w:color w:val="auto"/>
              </w:rPr>
            </w:pPr>
            <w:r>
              <w:rPr>
                <w:rFonts w:ascii="Arial" w:cs="Arial" w:eastAsia="Arial" w:hAnsi="Arial"/>
                <w:sz w:val="16"/>
                <w:szCs w:val="16"/>
                <w:color w:val="auto"/>
              </w:rPr>
              <w:t>Donald L. Runkle</w:t>
            </w:r>
          </w:p>
        </w:tc>
        <w:tc>
          <w:tcPr>
            <w:tcW w:w="2360" w:type="dxa"/>
            <w:vAlign w:val="bottom"/>
            <w:shd w:val="clear" w:color="auto" w:fill="FCE9E8"/>
          </w:tcPr>
          <w:p>
            <w:pPr>
              <w:ind w:left="21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FCE9E8"/>
          </w:tcPr>
          <w:p>
            <w:pPr>
              <w:jc w:val="right"/>
              <w:ind w:right="381"/>
              <w:spacing w:after="0"/>
              <w:rPr>
                <w:sz w:val="20"/>
                <w:szCs w:val="20"/>
                <w:color w:val="auto"/>
              </w:rPr>
            </w:pPr>
            <w:r>
              <w:rPr>
                <w:rFonts w:ascii="Arial" w:cs="Arial" w:eastAsia="Arial" w:hAnsi="Arial"/>
                <w:sz w:val="16"/>
                <w:szCs w:val="16"/>
                <w:color w:val="auto"/>
              </w:rPr>
              <w:t>110,000</w:t>
            </w:r>
          </w:p>
        </w:tc>
        <w:tc>
          <w:tcPr>
            <w:tcW w:w="740" w:type="dxa"/>
            <w:vAlign w:val="bottom"/>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FCE9E8"/>
          </w:tcPr>
          <w:p>
            <w:pPr>
              <w:jc w:val="right"/>
              <w:ind w:right="361"/>
              <w:spacing w:after="0"/>
              <w:rPr>
                <w:sz w:val="20"/>
                <w:szCs w:val="20"/>
                <w:color w:val="auto"/>
              </w:rPr>
            </w:pPr>
            <w:r>
              <w:rPr>
                <w:rFonts w:ascii="Arial" w:cs="Arial" w:eastAsia="Arial" w:hAnsi="Arial"/>
                <w:sz w:val="16"/>
                <w:szCs w:val="16"/>
                <w:color w:val="auto"/>
              </w:rPr>
              <w:t>149,930</w:t>
            </w:r>
          </w:p>
        </w:tc>
        <w:tc>
          <w:tcPr>
            <w:tcW w:w="1740" w:type="dxa"/>
            <w:vAlign w:val="bottom"/>
            <w:shd w:val="clear" w:color="auto" w:fill="FCE9E8"/>
          </w:tcPr>
          <w:p>
            <w:pPr>
              <w:jc w:val="center"/>
              <w:ind w:right="60"/>
              <w:spacing w:after="0"/>
              <w:rPr>
                <w:sz w:val="20"/>
                <w:szCs w:val="20"/>
                <w:color w:val="auto"/>
              </w:rPr>
            </w:pPr>
            <w:r>
              <w:rPr>
                <w:rFonts w:ascii="Arial" w:cs="Arial" w:eastAsia="Arial" w:hAnsi="Arial"/>
                <w:sz w:val="16"/>
                <w:szCs w:val="16"/>
                <w:color w:val="auto"/>
              </w:rPr>
              <w:t>$259,930</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Gregory C. Smith</w:t>
            </w:r>
          </w:p>
        </w:tc>
        <w:tc>
          <w:tcPr>
            <w:tcW w:w="2360" w:type="dxa"/>
            <w:vAlign w:val="bottom"/>
          </w:tcPr>
          <w:p>
            <w:pPr>
              <w:ind w:left="21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81"/>
              <w:spacing w:after="0"/>
              <w:rPr>
                <w:sz w:val="20"/>
                <w:szCs w:val="20"/>
                <w:color w:val="auto"/>
              </w:rPr>
            </w:pPr>
            <w:r>
              <w:rPr>
                <w:rFonts w:ascii="Arial" w:cs="Arial" w:eastAsia="Arial" w:hAnsi="Arial"/>
                <w:sz w:val="16"/>
                <w:szCs w:val="16"/>
                <w:color w:val="auto"/>
              </w:rPr>
              <w:t>130,000</w:t>
            </w:r>
          </w:p>
        </w:tc>
        <w:tc>
          <w:tcPr>
            <w:tcW w:w="740" w:type="dxa"/>
            <w:vAlign w:val="bottom"/>
          </w:tcPr>
          <w:p>
            <w:pPr>
              <w:ind w:left="4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61"/>
              <w:spacing w:after="0"/>
              <w:rPr>
                <w:sz w:val="20"/>
                <w:szCs w:val="20"/>
                <w:color w:val="auto"/>
              </w:rPr>
            </w:pPr>
            <w:r>
              <w:rPr>
                <w:rFonts w:ascii="Arial" w:cs="Arial" w:eastAsia="Arial" w:hAnsi="Arial"/>
                <w:sz w:val="16"/>
                <w:szCs w:val="16"/>
                <w:color w:val="auto"/>
              </w:rPr>
              <w:t>149,930</w:t>
            </w:r>
          </w:p>
        </w:tc>
        <w:tc>
          <w:tcPr>
            <w:tcW w:w="1740" w:type="dxa"/>
            <w:vAlign w:val="bottom"/>
          </w:tcPr>
          <w:p>
            <w:pPr>
              <w:jc w:val="center"/>
              <w:ind w:right="60"/>
              <w:spacing w:after="0"/>
              <w:rPr>
                <w:sz w:val="20"/>
                <w:szCs w:val="20"/>
                <w:color w:val="auto"/>
              </w:rPr>
            </w:pPr>
            <w:r>
              <w:rPr>
                <w:rFonts w:ascii="Arial" w:cs="Arial" w:eastAsia="Arial" w:hAnsi="Arial"/>
                <w:sz w:val="16"/>
                <w:szCs w:val="16"/>
                <w:color w:val="auto"/>
              </w:rPr>
              <w:t>$279,930</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Henry D.G. Wallace</w:t>
            </w:r>
          </w:p>
        </w:tc>
        <w:tc>
          <w:tcPr>
            <w:tcW w:w="2360" w:type="dxa"/>
            <w:vAlign w:val="bottom"/>
            <w:tcBorders>
              <w:bottom w:val="single" w:sz="8" w:color="auto"/>
            </w:tcBorders>
            <w:shd w:val="clear" w:color="auto" w:fill="FCE9E8"/>
          </w:tcPr>
          <w:p>
            <w:pPr>
              <w:ind w:left="21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FCE9E8"/>
          </w:tcPr>
          <w:p>
            <w:pPr>
              <w:jc w:val="right"/>
              <w:ind w:right="381"/>
              <w:spacing w:after="0"/>
              <w:rPr>
                <w:sz w:val="20"/>
                <w:szCs w:val="20"/>
                <w:color w:val="auto"/>
              </w:rPr>
            </w:pPr>
            <w:r>
              <w:rPr>
                <w:rFonts w:ascii="Arial" w:cs="Arial" w:eastAsia="Arial" w:hAnsi="Arial"/>
                <w:sz w:val="16"/>
                <w:szCs w:val="16"/>
                <w:color w:val="auto"/>
              </w:rPr>
              <w:t>185,000</w:t>
            </w:r>
          </w:p>
        </w:tc>
        <w:tc>
          <w:tcPr>
            <w:tcW w:w="740" w:type="dxa"/>
            <w:vAlign w:val="bottom"/>
            <w:tcBorders>
              <w:bottom w:val="single" w:sz="8" w:color="auto"/>
            </w:tcBorders>
            <w:shd w:val="clear" w:color="auto" w:fill="FCE9E8"/>
          </w:tcPr>
          <w:p>
            <w:pPr>
              <w:ind w:left="4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FCE9E8"/>
          </w:tcPr>
          <w:p>
            <w:pPr>
              <w:jc w:val="right"/>
              <w:ind w:right="361"/>
              <w:spacing w:after="0"/>
              <w:rPr>
                <w:sz w:val="20"/>
                <w:szCs w:val="20"/>
                <w:color w:val="auto"/>
              </w:rPr>
            </w:pPr>
            <w:r>
              <w:rPr>
                <w:rFonts w:ascii="Arial" w:cs="Arial" w:eastAsia="Arial" w:hAnsi="Arial"/>
                <w:sz w:val="16"/>
                <w:szCs w:val="16"/>
                <w:color w:val="auto"/>
              </w:rPr>
              <w:t>259,985</w:t>
            </w:r>
          </w:p>
        </w:tc>
        <w:tc>
          <w:tcPr>
            <w:tcW w:w="1740" w:type="dxa"/>
            <w:vAlign w:val="bottom"/>
            <w:tcBorders>
              <w:bottom w:val="single" w:sz="8" w:color="auto"/>
            </w:tcBorders>
            <w:shd w:val="clear" w:color="auto" w:fill="FCE9E8"/>
          </w:tcPr>
          <w:p>
            <w:pPr>
              <w:jc w:val="center"/>
              <w:ind w:right="60"/>
              <w:spacing w:after="0"/>
              <w:rPr>
                <w:sz w:val="20"/>
                <w:szCs w:val="20"/>
                <w:color w:val="auto"/>
              </w:rPr>
            </w:pPr>
            <w:r>
              <w:rPr>
                <w:rFonts w:ascii="Arial" w:cs="Arial" w:eastAsia="Arial" w:hAnsi="Arial"/>
                <w:sz w:val="16"/>
                <w:szCs w:val="16"/>
                <w:color w:val="auto"/>
              </w:rPr>
              <w:t>$444,985</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340" w:right="40" w:hanging="332"/>
        <w:spacing w:after="0" w:line="199"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Includes cash retainer and other fees earned for service as directors in 2016. The base annual cash retainer is $110,000, and as described below, there is an additional cash retainer for the Non-Executive Chairman and the Chairman of each of the Audit Committee, Compensation Committee and the Nominating Committee. Our directors received no non-standing committee meeting fees in 2016.</w:t>
      </w:r>
    </w:p>
    <w:p>
      <w:pPr>
        <w:ind w:left="340" w:hanging="332"/>
        <w:spacing w:after="0" w:line="211"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Three of our directors deferred the following amounts from their 2016 retainer fees: Dr. Jepsen – $82,500; Ms. Ligocki – $110,000; and Mr. Wallace – $185,000.</w:t>
      </w:r>
    </w:p>
    <w:p>
      <w:pPr>
        <w:spacing w:after="0" w:line="71" w:lineRule="exact"/>
        <w:rPr>
          <w:rFonts w:ascii="Arial" w:cs="Arial" w:eastAsia="Arial" w:hAnsi="Arial"/>
          <w:sz w:val="24"/>
          <w:szCs w:val="24"/>
          <w:color w:val="auto"/>
          <w:vertAlign w:val="superscript"/>
        </w:rPr>
      </w:pPr>
    </w:p>
    <w:p>
      <w:pPr>
        <w:ind w:left="340" w:right="280" w:hanging="332"/>
        <w:spacing w:after="0" w:line="199"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For the annual grant of stock, the amounts reported in this column for each director reflect the aggregate grant date fair value determined in accordance with FASB Accounting Standards Codification™ (“ASC”) 718, “Compensation-Stock Compensation.” Messrs. Bott, Capo, Foster, Runkle and Wallace along with Ms. Ligocki deferred 100% of their 2016 annual stock grants into deferred stock units; Mr. Mallett deferred 93% of his 2016 annual stock grant into deferred stock units.</w:t>
      </w:r>
    </w:p>
    <w:p>
      <w:pPr>
        <w:spacing w:after="0" w:line="71" w:lineRule="exact"/>
        <w:rPr>
          <w:rFonts w:ascii="Arial" w:cs="Arial" w:eastAsia="Arial" w:hAnsi="Arial"/>
          <w:sz w:val="24"/>
          <w:szCs w:val="24"/>
          <w:color w:val="auto"/>
          <w:vertAlign w:val="superscript"/>
        </w:rPr>
      </w:pPr>
    </w:p>
    <w:p>
      <w:pPr>
        <w:ind w:left="340" w:right="60" w:hanging="332"/>
        <w:spacing w:after="0" w:line="183"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Dr. Jepsen received a pro rata stock grant based on the number of months of her service between the 2015 and 2016 annual meetings. In addition, she deferred 100% of her 2016 annual stock grant into deferred stock units.</w:t>
      </w:r>
    </w:p>
    <w:p>
      <w:pPr>
        <w:spacing w:after="0" w:line="1" w:lineRule="exact"/>
        <w:rPr>
          <w:rFonts w:ascii="Arial" w:cs="Arial" w:eastAsia="Arial" w:hAnsi="Arial"/>
          <w:sz w:val="24"/>
          <w:szCs w:val="24"/>
          <w:color w:val="auto"/>
          <w:vertAlign w:val="superscript"/>
        </w:rPr>
      </w:pPr>
    </w:p>
    <w:p>
      <w:pPr>
        <w:ind w:left="340" w:hanging="332"/>
        <w:spacing w:after="0" w:line="211"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Dr. Jepsen was appointed to the Board in March 2016.</w:t>
      </w: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color w:val="auto"/>
        </w:rPr>
        <w:t>Summary of 2016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order to attract and retain highly qualified directors to represent stockholders, our philosophy is to set compensation to be within a competitive range of non-employee director pay at comparable companies. At least every two years, the independent compensation consultant presents an analysis of director pay levels among our Comparator Group (described in “Compensation Discussion and Analysis — Benchmarking” below) and a broader set of large companies. The most recent competitive pay study was completed in November 2015.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noted below and as previously disclosed, changes, effective for 2016, were made to the director pay program based on consideration of the pay philosophy, results of the recent market pay analysis, recognition that the last time pay was changed was effective for 2014 and other factors. Based on the most recent benchmarking analysis, the director compensation is near the market median level within the Comparator Group.</w:t>
      </w:r>
    </w:p>
    <w:p>
      <w:pPr>
        <w:spacing w:after="0" w:line="575" w:lineRule="exact"/>
        <w:rPr>
          <w:sz w:val="20"/>
          <w:szCs w:val="20"/>
          <w:color w:val="auto"/>
        </w:rPr>
      </w:pPr>
    </w:p>
    <w:p>
      <w:pPr>
        <w:sectPr>
          <w:pgSz w:w="11900" w:h="16838" w:orient="portrait"/>
          <w:cols w:equalWidth="0" w:num="2">
            <w:col w:w="5480" w:space="340"/>
            <w:col w:w="5600"/>
          </w:cols>
          <w:pgMar w:left="240" w:top="267" w:right="23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base annual cash retainer for each non-employee director under the Outside Directors Compensation Plan is $110,000. The additional cash retainer for the chairs of the Compensation Committee and the Audit Committee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$20,000, the additional cash retainer for the chair of the Nominating Committee is $15,000 and the additional cash retainer for the Presiding Director, if any, is $10,000. The annual cash retainer for each non-employee director is paid in</w:t>
      </w:r>
    </w:p>
    <w:p>
      <w:pPr>
        <w:spacing w:after="0" w:line="259" w:lineRule="exact"/>
        <w:rPr>
          <w:sz w:val="20"/>
          <w:szCs w:val="20"/>
          <w:color w:val="auto"/>
        </w:rPr>
      </w:pPr>
    </w:p>
    <w:p>
      <w:pPr>
        <w:jc w:val="right"/>
        <w:ind w:right="100"/>
        <w:spacing w:after="0"/>
        <w:tabs>
          <w:tab w:leader="none" w:pos="400" w:val="left"/>
          <w:tab w:leader="none" w:pos="1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23</w:t>
      </w:r>
    </w:p>
    <w:p>
      <w:pPr>
        <w:sectPr>
          <w:pgSz w:w="11900" w:h="16838" w:orient="portrait"/>
          <w:cols w:equalWidth="0" w:num="2">
            <w:col w:w="5220" w:space="600"/>
            <w:col w:w="5600"/>
          </w:cols>
          <w:pgMar w:left="240" w:top="267"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5"/>
          <w:szCs w:val="15"/>
          <w:b w:val="1"/>
          <w:bCs w:val="1"/>
          <w:u w:val="single" w:color="auto"/>
          <w:color w:val="E2231A"/>
        </w:rPr>
        <w:t>DIRECTORS AND CORPORATE GOVERNANCE</w:t>
      </w:r>
    </w:p>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advance in equal installments on the last business day of the month. Because the Company has an independent Non-Executive Chairman, there currently is no Presiding Director.</w:t>
      </w:r>
    </w:p>
    <w:p>
      <w:pPr>
        <w:spacing w:after="0" w:line="9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Non-employee directors generally do not receive Board or standing committee meeting fees; however, each non-employee director is eligible to receive $1,500 for each</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9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Pursuant to the Outside Directors Compensation Plan, each non-employee director received a base annual unrestricted grant of Lear common stock approximately equal in value to $150,000 and subject to the stock ownership guidelines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19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additional compensation for our Non-Executive Chairman, currently Mr. Wallace, in 2016 was an additional annual cash retainer in the amount of $75,000 and an additional annual</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Deferrals</w:t>
      </w:r>
    </w:p>
    <w:p>
      <w:pPr>
        <w:spacing w:after="0" w:line="19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stock retainer into deferred stock units.</w:t>
      </w:r>
    </w:p>
    <w:p>
      <w:pPr>
        <w:spacing w:after="0" w:line="10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general, amounts deferred are paid to a non-employee director as of the earliest of:</w:t>
      </w:r>
    </w:p>
    <w:p>
      <w:pPr>
        <w:spacing w:after="0" w:line="101"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tab/>
        <w:t>the date elected by such director;</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Each non-employee director must achieve a stock ownership level of a number of shares with a value equal to five times the base annual cash retainer and, beginning in 2014, must hold 50% of the net shares from their annual stock grants received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96"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Directors who are also our employees receive no compensation for their services as directors except</w:t>
      </w:r>
    </w:p>
    <w:p>
      <w:pPr>
        <w:spacing w:after="0" w:line="252" w:lineRule="exact"/>
        <w:rPr>
          <w:sz w:val="20"/>
          <w:szCs w:val="20"/>
          <w:color w:val="auto"/>
        </w:rPr>
      </w:pPr>
    </w:p>
    <w:p>
      <w:pPr>
        <w:ind w:left="460" w:hanging="349"/>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Board meeting in excess of twelve that he/she attends in a calendar year. Meeting fees for a special committee of the Board are set by the Board at the time of the formation of the special committee and usually are set at the rate of $1,000 per meeting. Meeting fees, if any, are paid on the last business day of the month (for that month’s meeting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-934720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described below. Stock grants are made on the date of the annual meeting of stockholders at which a director is elected or re-elected to serve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grant of Lear common stock equal in value to $110,000. The payment schedule for this additional annual compensation is the same as that described above.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date the director ceases to be a director; or</w:t>
      </w:r>
    </w:p>
    <w:p>
      <w:pPr>
        <w:spacing w:after="0" w:line="126" w:lineRule="exact"/>
        <w:rPr>
          <w:rFonts w:ascii="Arial" w:cs="Arial" w:eastAsia="Arial" w:hAnsi="Arial"/>
          <w:sz w:val="16"/>
          <w:szCs w:val="16"/>
          <w:color w:val="auto"/>
        </w:rPr>
      </w:pPr>
    </w:p>
    <w:p>
      <w:pPr>
        <w:ind w:left="220" w:right="600" w:hanging="212"/>
        <w:spacing w:after="0" w:line="260" w:lineRule="auto"/>
        <w:tabs>
          <w:tab w:leader="none" w:pos="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date a change of control (as defined in the Outside Directors Compensation Plan) occurs.</w:t>
      </w:r>
    </w:p>
    <w:p>
      <w:pPr>
        <w:spacing w:after="0" w:line="8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Retainer, meeting fees and restricted cash amounts that are deferred are paid in cash in a single sum payment or, at the director’s election, in installments. Amounts of the stock grant that are deferred are paid in the form of shares of common stock in a lump sum or installments in accordance with the director’s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until they are in compliance with these guidelines. As of our latest measurement date (December 31, 2016), all of our non-employee directors (other than Dr. Jepsen, who joined the Board in March 2016 and is in compliance with the 50% hold requirement) have met the required ownership guideline level.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reimbursement of expenses incurred in attending meetings of our Board or Board committees.</w:t>
      </w:r>
    </w:p>
    <w:p>
      <w:pPr>
        <w:sectPr>
          <w:pgSz w:w="11900" w:h="16838" w:orient="portrait"/>
          <w:cols w:equalWidth="0" w:num="2">
            <w:col w:w="5440" w:space="380"/>
            <w:col w:w="5400"/>
          </w:cols>
          <w:pgMar w:left="240" w:top="267" w:right="439" w:bottom="1440" w:gutter="0" w:footer="0" w:header="0"/>
        </w:sectPr>
      </w:pPr>
    </w:p>
    <w:bookmarkStart w:id="30" w:name="page31"/>
    <w:bookmarkEnd w:id="30"/>
    <w:p>
      <w:pPr>
        <w:ind w:left="8000"/>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following table sets forth, as of March 23, 2017 (except as indicated below), beneficial ownership, as defined by SEC rules, of our common stock and ownership of RSUs by the persons or groups specified. Each of the persons listed below has sole voting and investment power with respect to the beneficially owned shares listed unless otherwise indicated. The percentage calculations set forth in the table are based on 68,697,937 shares of common stock outstanding on March 23, 2017 rather than based on the percentages set forth in stockholders’ Schedules 13G or 13D, as applicable, filed with the SEC.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300" w:type="dxa"/>
            <w:vAlign w:val="bottom"/>
          </w:tcPr>
          <w:p>
            <w:pPr>
              <w:jc w:val="center"/>
              <w:ind w:left="581"/>
              <w:spacing w:after="0"/>
              <w:rPr>
                <w:sz w:val="20"/>
                <w:szCs w:val="20"/>
                <w:color w:val="auto"/>
              </w:rPr>
            </w:pPr>
            <w:r>
              <w:rPr>
                <w:rFonts w:ascii="Arial" w:cs="Arial" w:eastAsia="Arial" w:hAnsi="Arial"/>
                <w:sz w:val="14"/>
                <w:szCs w:val="14"/>
                <w:b w:val="1"/>
                <w:bCs w:val="1"/>
                <w:color w:val="E2231A"/>
              </w:rPr>
              <w:t>Number of</w:t>
            </w:r>
          </w:p>
        </w:tc>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2300" w:type="dxa"/>
            <w:vAlign w:val="bottom"/>
          </w:tcPr>
          <w:p>
            <w:pPr>
              <w:jc w:val="center"/>
              <w:ind w:left="561"/>
              <w:spacing w:after="0"/>
              <w:rPr>
                <w:sz w:val="20"/>
                <w:szCs w:val="20"/>
                <w:color w:val="auto"/>
              </w:rPr>
            </w:pPr>
            <w:r>
              <w:rPr>
                <w:rFonts w:ascii="Arial" w:cs="Arial" w:eastAsia="Arial" w:hAnsi="Arial"/>
                <w:sz w:val="14"/>
                <w:szCs w:val="14"/>
                <w:b w:val="1"/>
                <w:bCs w:val="1"/>
                <w:color w:val="E2231A"/>
              </w:rPr>
              <w:t>Shares of</w:t>
            </w:r>
          </w:p>
        </w:tc>
        <w:tc>
          <w:tcPr>
            <w:tcW w:w="1880" w:type="dxa"/>
            <w:vAlign w:val="bottom"/>
          </w:tcPr>
          <w:p>
            <w:pPr>
              <w:jc w:val="center"/>
              <w:ind w:right="1"/>
              <w:spacing w:after="0"/>
              <w:rPr>
                <w:sz w:val="20"/>
                <w:szCs w:val="20"/>
                <w:color w:val="auto"/>
              </w:rPr>
            </w:pPr>
            <w:r>
              <w:rPr>
                <w:rFonts w:ascii="Arial" w:cs="Arial" w:eastAsia="Arial" w:hAnsi="Arial"/>
                <w:sz w:val="14"/>
                <w:szCs w:val="14"/>
                <w:b w:val="1"/>
                <w:bCs w:val="1"/>
                <w:color w:val="E2231A"/>
              </w:rPr>
              <w:t>Percentage of</w:t>
            </w:r>
          </w:p>
        </w:tc>
        <w:tc>
          <w:tcPr>
            <w:tcW w:w="148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2300" w:type="dxa"/>
            <w:vAlign w:val="bottom"/>
          </w:tcPr>
          <w:p>
            <w:pPr>
              <w:jc w:val="center"/>
              <w:ind w:left="561"/>
              <w:spacing w:after="0"/>
              <w:rPr>
                <w:sz w:val="20"/>
                <w:szCs w:val="20"/>
                <w:color w:val="auto"/>
              </w:rPr>
            </w:pPr>
            <w:r>
              <w:rPr>
                <w:rFonts w:ascii="Arial" w:cs="Arial" w:eastAsia="Arial" w:hAnsi="Arial"/>
                <w:sz w:val="14"/>
                <w:szCs w:val="14"/>
                <w:b w:val="1"/>
                <w:bCs w:val="1"/>
                <w:color w:val="E2231A"/>
              </w:rPr>
              <w:t>Common</w:t>
            </w:r>
          </w:p>
        </w:tc>
        <w:tc>
          <w:tcPr>
            <w:tcW w:w="1880" w:type="dxa"/>
            <w:vAlign w:val="bottom"/>
          </w:tcPr>
          <w:p>
            <w:pPr>
              <w:jc w:val="center"/>
              <w:ind w:right="21"/>
              <w:spacing w:after="0"/>
              <w:rPr>
                <w:sz w:val="20"/>
                <w:szCs w:val="20"/>
                <w:color w:val="auto"/>
              </w:rPr>
            </w:pPr>
            <w:r>
              <w:rPr>
                <w:rFonts w:ascii="Arial" w:cs="Arial" w:eastAsia="Arial" w:hAnsi="Arial"/>
                <w:sz w:val="14"/>
                <w:szCs w:val="14"/>
                <w:b w:val="1"/>
                <w:bCs w:val="1"/>
                <w:color w:val="E2231A"/>
              </w:rPr>
              <w:t>Common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r>
      <w:tr>
        <w:trPr>
          <w:trHeight w:val="162"/>
        </w:trPr>
        <w:tc>
          <w:tcPr>
            <w:tcW w:w="5760" w:type="dxa"/>
            <w:vAlign w:val="bottom"/>
          </w:tcPr>
          <w:p>
            <w:pPr>
              <w:spacing w:after="0"/>
              <w:rPr>
                <w:sz w:val="14"/>
                <w:szCs w:val="14"/>
                <w:color w:val="auto"/>
              </w:rPr>
            </w:pPr>
          </w:p>
        </w:tc>
        <w:tc>
          <w:tcPr>
            <w:tcW w:w="2300" w:type="dxa"/>
            <w:vAlign w:val="bottom"/>
          </w:tcPr>
          <w:p>
            <w:pPr>
              <w:jc w:val="center"/>
              <w:ind w:left="561"/>
              <w:spacing w:after="0"/>
              <w:rPr>
                <w:sz w:val="20"/>
                <w:szCs w:val="20"/>
                <w:color w:val="auto"/>
              </w:rPr>
            </w:pPr>
            <w:r>
              <w:rPr>
                <w:rFonts w:ascii="Arial" w:cs="Arial" w:eastAsia="Arial" w:hAnsi="Arial"/>
                <w:sz w:val="14"/>
                <w:szCs w:val="14"/>
                <w:b w:val="1"/>
                <w:bCs w:val="1"/>
                <w:color w:val="E2231A"/>
                <w:w w:val="99"/>
              </w:rPr>
              <w:t>Stock</w:t>
            </w:r>
          </w:p>
        </w:tc>
        <w:tc>
          <w:tcPr>
            <w:tcW w:w="1880" w:type="dxa"/>
            <w:vAlign w:val="bottom"/>
          </w:tcPr>
          <w:p>
            <w:pPr>
              <w:jc w:val="center"/>
              <w:ind w:right="1"/>
              <w:spacing w:after="0"/>
              <w:rPr>
                <w:sz w:val="20"/>
                <w:szCs w:val="20"/>
                <w:color w:val="auto"/>
              </w:rPr>
            </w:pPr>
            <w:r>
              <w:rPr>
                <w:rFonts w:ascii="Arial" w:cs="Arial" w:eastAsia="Arial" w:hAnsi="Arial"/>
                <w:sz w:val="14"/>
                <w:szCs w:val="14"/>
                <w:b w:val="1"/>
                <w:bCs w:val="1"/>
                <w:color w:val="E2231A"/>
              </w:rPr>
              <w:t>Stock</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E2231A"/>
              </w:rPr>
              <w:t>of</w:t>
            </w:r>
          </w:p>
        </w:tc>
      </w:tr>
      <w:tr>
        <w:trPr>
          <w:trHeight w:val="159"/>
        </w:trPr>
        <w:tc>
          <w:tcPr>
            <w:tcW w:w="5760" w:type="dxa"/>
            <w:vAlign w:val="bottom"/>
          </w:tcPr>
          <w:p>
            <w:pPr>
              <w:spacing w:after="0"/>
              <w:rPr>
                <w:sz w:val="13"/>
                <w:szCs w:val="13"/>
                <w:color w:val="auto"/>
              </w:rPr>
            </w:pPr>
          </w:p>
        </w:tc>
        <w:tc>
          <w:tcPr>
            <w:tcW w:w="2300" w:type="dxa"/>
            <w:vAlign w:val="bottom"/>
          </w:tcPr>
          <w:p>
            <w:pPr>
              <w:jc w:val="center"/>
              <w:ind w:left="581"/>
              <w:spacing w:after="0" w:line="159" w:lineRule="exact"/>
              <w:rPr>
                <w:sz w:val="20"/>
                <w:szCs w:val="20"/>
                <w:color w:val="auto"/>
              </w:rPr>
            </w:pPr>
            <w:r>
              <w:rPr>
                <w:rFonts w:ascii="Arial" w:cs="Arial" w:eastAsia="Arial" w:hAnsi="Arial"/>
                <w:sz w:val="14"/>
                <w:szCs w:val="14"/>
                <w:b w:val="1"/>
                <w:bCs w:val="1"/>
                <w:color w:val="E2231A"/>
              </w:rPr>
              <w:t>Owned</w:t>
            </w:r>
          </w:p>
        </w:tc>
        <w:tc>
          <w:tcPr>
            <w:tcW w:w="1880" w:type="dxa"/>
            <w:vAlign w:val="bottom"/>
          </w:tcPr>
          <w:p>
            <w:pPr>
              <w:jc w:val="center"/>
              <w:ind w:right="1"/>
              <w:spacing w:after="0" w:line="159" w:lineRule="exact"/>
              <w:rPr>
                <w:sz w:val="20"/>
                <w:szCs w:val="20"/>
                <w:color w:val="auto"/>
              </w:rPr>
            </w:pPr>
            <w:r>
              <w:rPr>
                <w:rFonts w:ascii="Arial" w:cs="Arial" w:eastAsia="Arial" w:hAnsi="Arial"/>
                <w:sz w:val="14"/>
                <w:szCs w:val="14"/>
                <w:b w:val="1"/>
                <w:bCs w:val="1"/>
                <w:color w:val="E2231A"/>
              </w:rPr>
              <w:t>Owned</w:t>
            </w:r>
          </w:p>
        </w:tc>
        <w:tc>
          <w:tcPr>
            <w:tcW w:w="148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RSUs</w:t>
            </w:r>
          </w:p>
        </w:tc>
      </w:tr>
      <w:tr>
        <w:trPr>
          <w:trHeight w:val="179"/>
        </w:trPr>
        <w:tc>
          <w:tcPr>
            <w:tcW w:w="57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center"/>
              <w:ind w:left="581"/>
              <w:spacing w:after="0"/>
              <w:rPr>
                <w:sz w:val="20"/>
                <w:szCs w:val="20"/>
                <w:color w:val="auto"/>
              </w:rPr>
            </w:pPr>
            <w:r>
              <w:rPr>
                <w:rFonts w:ascii="Arial" w:cs="Arial" w:eastAsia="Arial" w:hAnsi="Arial"/>
                <w:sz w:val="14"/>
                <w:szCs w:val="14"/>
                <w:b w:val="1"/>
                <w:bCs w:val="1"/>
                <w:color w:val="E2231A"/>
              </w:rPr>
              <w:t>Beneficially</w:t>
            </w:r>
          </w:p>
        </w:tc>
        <w:tc>
          <w:tcPr>
            <w:tcW w:w="18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E2231A"/>
              </w:rPr>
              <w:t>Beneficially</w:t>
            </w:r>
          </w:p>
        </w:tc>
        <w:tc>
          <w:tcPr>
            <w:tcW w:w="148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E2231A"/>
              </w:rPr>
              <w:t>Owned</w:t>
            </w:r>
            <w:r>
              <w:rPr>
                <w:rFonts w:ascii="Arial" w:cs="Arial" w:eastAsia="Arial" w:hAnsi="Arial"/>
                <w:sz w:val="20"/>
                <w:szCs w:val="20"/>
                <w:b w:val="1"/>
                <w:bCs w:val="1"/>
                <w:color w:val="E2231A"/>
                <w:vertAlign w:val="superscript"/>
              </w:rPr>
              <w:t>(17)</w:t>
            </w:r>
          </w:p>
        </w:tc>
      </w:tr>
      <w:tr>
        <w:trPr>
          <w:trHeight w:val="183"/>
        </w:trPr>
        <w:tc>
          <w:tcPr>
            <w:tcW w:w="5760" w:type="dxa"/>
            <w:vAlign w:val="bottom"/>
            <w:shd w:val="clear" w:color="auto" w:fill="FCE9E8"/>
          </w:tcPr>
          <w:p>
            <w:pPr>
              <w:spacing w:after="0" w:line="183" w:lineRule="exact"/>
              <w:rPr>
                <w:sz w:val="20"/>
                <w:szCs w:val="20"/>
                <w:color w:val="auto"/>
              </w:rPr>
            </w:pPr>
            <w:r>
              <w:rPr>
                <w:rFonts w:ascii="Arial" w:cs="Arial" w:eastAsia="Arial" w:hAnsi="Arial"/>
                <w:sz w:val="16"/>
                <w:szCs w:val="16"/>
                <w:b w:val="1"/>
                <w:bCs w:val="1"/>
                <w:color w:val="auto"/>
              </w:rPr>
              <w:t>5% Beneficial Owners:</w:t>
            </w:r>
          </w:p>
        </w:tc>
        <w:tc>
          <w:tcPr>
            <w:tcW w:w="2300" w:type="dxa"/>
            <w:vAlign w:val="bottom"/>
            <w:shd w:val="clear" w:color="auto" w:fill="FCE9E8"/>
          </w:tcPr>
          <w:p>
            <w:pPr>
              <w:spacing w:after="0"/>
              <w:rPr>
                <w:sz w:val="15"/>
                <w:szCs w:val="15"/>
                <w:color w:val="auto"/>
              </w:rPr>
            </w:pPr>
          </w:p>
        </w:tc>
        <w:tc>
          <w:tcPr>
            <w:tcW w:w="1880" w:type="dxa"/>
            <w:vAlign w:val="bottom"/>
            <w:shd w:val="clear" w:color="auto" w:fill="FCE9E8"/>
          </w:tcPr>
          <w:p>
            <w:pPr>
              <w:spacing w:after="0"/>
              <w:rPr>
                <w:sz w:val="15"/>
                <w:szCs w:val="15"/>
                <w:color w:val="auto"/>
              </w:rPr>
            </w:pPr>
          </w:p>
        </w:tc>
        <w:tc>
          <w:tcPr>
            <w:tcW w:w="1480" w:type="dxa"/>
            <w:vAlign w:val="bottom"/>
            <w:shd w:val="clear" w:color="auto" w:fill="FCE9E8"/>
          </w:tcPr>
          <w:p>
            <w:pPr>
              <w:spacing w:after="0"/>
              <w:rPr>
                <w:sz w:val="15"/>
                <w:szCs w:val="15"/>
                <w:color w:val="auto"/>
              </w:rPr>
            </w:pP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3"/>
                <w:szCs w:val="13"/>
                <w:color w:val="auto"/>
              </w:rPr>
              <w:t>BlackRock, Inc.</w:t>
            </w:r>
            <w:r>
              <w:rPr>
                <w:rFonts w:ascii="Arial" w:cs="Arial" w:eastAsia="Arial" w:hAnsi="Arial"/>
                <w:sz w:val="21"/>
                <w:szCs w:val="21"/>
                <w:color w:val="auto"/>
                <w:vertAlign w:val="superscript"/>
              </w:rPr>
              <w:t>(1)</w:t>
            </w:r>
          </w:p>
        </w:tc>
        <w:tc>
          <w:tcPr>
            <w:tcW w:w="2300" w:type="dxa"/>
            <w:vAlign w:val="bottom"/>
          </w:tcPr>
          <w:p>
            <w:pPr>
              <w:jc w:val="right"/>
              <w:ind w:right="341"/>
              <w:spacing w:after="0"/>
              <w:rPr>
                <w:sz w:val="20"/>
                <w:szCs w:val="20"/>
                <w:color w:val="auto"/>
              </w:rPr>
            </w:pPr>
            <w:r>
              <w:rPr>
                <w:rFonts w:ascii="Arial" w:cs="Arial" w:eastAsia="Arial" w:hAnsi="Arial"/>
                <w:sz w:val="16"/>
                <w:szCs w:val="16"/>
                <w:color w:val="auto"/>
              </w:rPr>
              <w:t>7,419,830</w:t>
            </w:r>
          </w:p>
        </w:tc>
        <w:tc>
          <w:tcPr>
            <w:tcW w:w="1880" w:type="dxa"/>
            <w:vAlign w:val="bottom"/>
          </w:tcPr>
          <w:p>
            <w:pPr>
              <w:jc w:val="right"/>
              <w:ind w:right="281"/>
              <w:spacing w:after="0"/>
              <w:rPr>
                <w:sz w:val="20"/>
                <w:szCs w:val="20"/>
                <w:color w:val="auto"/>
              </w:rPr>
            </w:pPr>
            <w:r>
              <w:rPr>
                <w:rFonts w:ascii="Arial" w:cs="Arial" w:eastAsia="Arial" w:hAnsi="Arial"/>
                <w:sz w:val="16"/>
                <w:szCs w:val="16"/>
                <w:color w:val="auto"/>
              </w:rPr>
              <w:t>10.8%</w:t>
            </w:r>
          </w:p>
        </w:tc>
        <w:tc>
          <w:tcPr>
            <w:tcW w:w="1480" w:type="dxa"/>
            <w:vAlign w:val="bottom"/>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The Vanguard Group</w:t>
            </w:r>
            <w:r>
              <w:rPr>
                <w:rFonts w:ascii="Arial" w:cs="Arial" w:eastAsia="Arial" w:hAnsi="Arial"/>
                <w:sz w:val="21"/>
                <w:szCs w:val="21"/>
                <w:color w:val="auto"/>
                <w:vertAlign w:val="superscript"/>
              </w:rPr>
              <w:t>(2)</w:t>
            </w:r>
          </w:p>
        </w:tc>
        <w:tc>
          <w:tcPr>
            <w:tcW w:w="230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6,077,526</w:t>
            </w:r>
          </w:p>
        </w:tc>
        <w:tc>
          <w:tcPr>
            <w:tcW w:w="1880" w:type="dxa"/>
            <w:vAlign w:val="bottom"/>
            <w:shd w:val="clear" w:color="auto" w:fill="FCE9E8"/>
          </w:tcPr>
          <w:p>
            <w:pPr>
              <w:jc w:val="right"/>
              <w:ind w:right="281"/>
              <w:spacing w:after="0"/>
              <w:rPr>
                <w:sz w:val="20"/>
                <w:szCs w:val="20"/>
                <w:color w:val="auto"/>
              </w:rPr>
            </w:pPr>
            <w:r>
              <w:rPr>
                <w:rFonts w:ascii="Arial" w:cs="Arial" w:eastAsia="Arial" w:hAnsi="Arial"/>
                <w:sz w:val="16"/>
                <w:szCs w:val="16"/>
                <w:color w:val="auto"/>
              </w:rPr>
              <w:t>8.8%</w:t>
            </w:r>
          </w:p>
        </w:tc>
        <w:tc>
          <w:tcPr>
            <w:tcW w:w="148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tcPr>
          <w:p>
            <w:pPr>
              <w:spacing w:after="0"/>
              <w:rPr>
                <w:sz w:val="20"/>
                <w:szCs w:val="20"/>
                <w:color w:val="auto"/>
              </w:rPr>
            </w:pPr>
            <w:r>
              <w:rPr>
                <w:rFonts w:ascii="Arial" w:cs="Arial" w:eastAsia="Arial" w:hAnsi="Arial"/>
                <w:sz w:val="16"/>
                <w:szCs w:val="16"/>
                <w:b w:val="1"/>
                <w:bCs w:val="1"/>
                <w:color w:val="auto"/>
              </w:rPr>
              <w:t>Executive Officers and Directors:</w:t>
            </w:r>
          </w:p>
        </w:tc>
        <w:tc>
          <w:tcPr>
            <w:tcW w:w="2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9"/>
        </w:trPr>
        <w:tc>
          <w:tcPr>
            <w:tcW w:w="576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Matthew J. Simoncini</w:t>
            </w:r>
            <w:r>
              <w:rPr>
                <w:rFonts w:ascii="Arial" w:cs="Arial" w:eastAsia="Arial" w:hAnsi="Arial"/>
                <w:sz w:val="21"/>
                <w:szCs w:val="21"/>
                <w:color w:val="auto"/>
                <w:vertAlign w:val="superscript"/>
              </w:rPr>
              <w:t>(3)(4)(5)</w:t>
            </w:r>
          </w:p>
        </w:tc>
        <w:tc>
          <w:tcPr>
            <w:tcW w:w="230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90,824</w:t>
            </w:r>
          </w:p>
        </w:tc>
        <w:tc>
          <w:tcPr>
            <w:tcW w:w="1880" w:type="dxa"/>
            <w:vAlign w:val="bottom"/>
            <w:shd w:val="clear" w:color="auto" w:fill="FCE9E8"/>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21,739</w:t>
            </w: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3"/>
                <w:szCs w:val="13"/>
                <w:color w:val="auto"/>
              </w:rPr>
              <w:t>Jeffrey H. Vanneste</w:t>
            </w:r>
            <w:r>
              <w:rPr>
                <w:rFonts w:ascii="Arial" w:cs="Arial" w:eastAsia="Arial" w:hAnsi="Arial"/>
                <w:sz w:val="21"/>
                <w:szCs w:val="21"/>
                <w:color w:val="auto"/>
                <w:vertAlign w:val="superscript"/>
              </w:rPr>
              <w:t>(3)(6)</w:t>
            </w:r>
          </w:p>
        </w:tc>
        <w:tc>
          <w:tcPr>
            <w:tcW w:w="2300" w:type="dxa"/>
            <w:vAlign w:val="bottom"/>
          </w:tcPr>
          <w:p>
            <w:pPr>
              <w:jc w:val="right"/>
              <w:ind w:right="341"/>
              <w:spacing w:after="0"/>
              <w:rPr>
                <w:sz w:val="20"/>
                <w:szCs w:val="20"/>
                <w:color w:val="auto"/>
              </w:rPr>
            </w:pPr>
            <w:r>
              <w:rPr>
                <w:rFonts w:ascii="Arial" w:cs="Arial" w:eastAsia="Arial" w:hAnsi="Arial"/>
                <w:sz w:val="16"/>
                <w:szCs w:val="16"/>
                <w:color w:val="auto"/>
              </w:rPr>
              <w:t>26,748</w:t>
            </w:r>
          </w:p>
        </w:tc>
        <w:tc>
          <w:tcPr>
            <w:tcW w:w="18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41"/>
              <w:spacing w:after="0"/>
              <w:rPr>
                <w:sz w:val="20"/>
                <w:szCs w:val="20"/>
                <w:color w:val="auto"/>
              </w:rPr>
            </w:pPr>
            <w:r>
              <w:rPr>
                <w:rFonts w:ascii="Arial" w:cs="Arial" w:eastAsia="Arial" w:hAnsi="Arial"/>
                <w:sz w:val="16"/>
                <w:szCs w:val="16"/>
                <w:color w:val="auto"/>
              </w:rPr>
              <w:t>6,089</w:t>
            </w:r>
          </w:p>
        </w:tc>
      </w:tr>
      <w:tr>
        <w:trPr>
          <w:trHeight w:val="189"/>
        </w:trPr>
        <w:tc>
          <w:tcPr>
            <w:tcW w:w="576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Raymond E. Scott</w:t>
            </w:r>
            <w:r>
              <w:rPr>
                <w:rFonts w:ascii="Arial" w:cs="Arial" w:eastAsia="Arial" w:hAnsi="Arial"/>
                <w:sz w:val="21"/>
                <w:szCs w:val="21"/>
                <w:color w:val="auto"/>
                <w:vertAlign w:val="superscript"/>
              </w:rPr>
              <w:t>(3)(7)</w:t>
            </w:r>
          </w:p>
        </w:tc>
        <w:tc>
          <w:tcPr>
            <w:tcW w:w="230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14,133</w:t>
            </w:r>
          </w:p>
        </w:tc>
        <w:tc>
          <w:tcPr>
            <w:tcW w:w="1880" w:type="dxa"/>
            <w:vAlign w:val="bottom"/>
            <w:shd w:val="clear" w:color="auto" w:fill="FCE9E8"/>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28,231</w:t>
            </w: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3"/>
                <w:szCs w:val="13"/>
                <w:color w:val="auto"/>
              </w:rPr>
              <w:t>Terrence B. Larkin</w:t>
            </w:r>
            <w:r>
              <w:rPr>
                <w:rFonts w:ascii="Arial" w:cs="Arial" w:eastAsia="Arial" w:hAnsi="Arial"/>
                <w:sz w:val="21"/>
                <w:szCs w:val="21"/>
                <w:color w:val="auto"/>
                <w:vertAlign w:val="superscript"/>
              </w:rPr>
              <w:t>(3)(8)</w:t>
            </w:r>
          </w:p>
        </w:tc>
        <w:tc>
          <w:tcPr>
            <w:tcW w:w="2300" w:type="dxa"/>
            <w:vAlign w:val="bottom"/>
          </w:tcPr>
          <w:p>
            <w:pPr>
              <w:jc w:val="right"/>
              <w:ind w:right="341"/>
              <w:spacing w:after="0"/>
              <w:rPr>
                <w:sz w:val="20"/>
                <w:szCs w:val="20"/>
                <w:color w:val="auto"/>
              </w:rPr>
            </w:pPr>
            <w:r>
              <w:rPr>
                <w:rFonts w:ascii="Arial" w:cs="Arial" w:eastAsia="Arial" w:hAnsi="Arial"/>
                <w:sz w:val="16"/>
                <w:szCs w:val="16"/>
                <w:color w:val="auto"/>
              </w:rPr>
              <w:t>18,889</w:t>
            </w:r>
          </w:p>
        </w:tc>
        <w:tc>
          <w:tcPr>
            <w:tcW w:w="18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41"/>
              <w:spacing w:after="0"/>
              <w:rPr>
                <w:sz w:val="20"/>
                <w:szCs w:val="20"/>
                <w:color w:val="auto"/>
              </w:rPr>
            </w:pPr>
            <w:r>
              <w:rPr>
                <w:rFonts w:ascii="Arial" w:cs="Arial" w:eastAsia="Arial" w:hAnsi="Arial"/>
                <w:sz w:val="16"/>
                <w:szCs w:val="16"/>
                <w:color w:val="auto"/>
              </w:rPr>
              <w:t>6,442</w:t>
            </w:r>
          </w:p>
        </w:tc>
      </w:tr>
      <w:tr>
        <w:trPr>
          <w:trHeight w:val="189"/>
        </w:trPr>
        <w:tc>
          <w:tcPr>
            <w:tcW w:w="576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Frank Orsini</w:t>
            </w:r>
            <w:r>
              <w:rPr>
                <w:rFonts w:ascii="Arial" w:cs="Arial" w:eastAsia="Arial" w:hAnsi="Arial"/>
                <w:sz w:val="21"/>
                <w:szCs w:val="21"/>
                <w:color w:val="auto"/>
                <w:vertAlign w:val="superscript"/>
              </w:rPr>
              <w:t>(3)(7)</w:t>
            </w:r>
          </w:p>
        </w:tc>
        <w:tc>
          <w:tcPr>
            <w:tcW w:w="230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12,785</w:t>
            </w:r>
          </w:p>
        </w:tc>
        <w:tc>
          <w:tcPr>
            <w:tcW w:w="1880" w:type="dxa"/>
            <w:vAlign w:val="bottom"/>
            <w:shd w:val="clear" w:color="auto" w:fill="FCE9E8"/>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20,530</w:t>
            </w: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3"/>
                <w:szCs w:val="13"/>
                <w:color w:val="auto"/>
              </w:rPr>
              <w:t>Richard H. Bott</w:t>
            </w:r>
            <w:r>
              <w:rPr>
                <w:rFonts w:ascii="Arial" w:cs="Arial" w:eastAsia="Arial" w:hAnsi="Arial"/>
                <w:sz w:val="21"/>
                <w:szCs w:val="21"/>
                <w:color w:val="auto"/>
                <w:vertAlign w:val="superscript"/>
              </w:rPr>
              <w:t>(4)(9)</w:t>
            </w:r>
          </w:p>
        </w:tc>
        <w:tc>
          <w:tcPr>
            <w:tcW w:w="2300" w:type="dxa"/>
            <w:vAlign w:val="bottom"/>
          </w:tcPr>
          <w:p>
            <w:pPr>
              <w:jc w:val="right"/>
              <w:ind w:right="341"/>
              <w:spacing w:after="0"/>
              <w:rPr>
                <w:sz w:val="20"/>
                <w:szCs w:val="20"/>
                <w:color w:val="auto"/>
              </w:rPr>
            </w:pPr>
            <w:r>
              <w:rPr>
                <w:rFonts w:ascii="Arial" w:cs="Arial" w:eastAsia="Arial" w:hAnsi="Arial"/>
                <w:sz w:val="16"/>
                <w:szCs w:val="16"/>
                <w:color w:val="auto"/>
              </w:rPr>
              <w:t>5,394</w:t>
            </w:r>
          </w:p>
        </w:tc>
        <w:tc>
          <w:tcPr>
            <w:tcW w:w="18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Thomas P. Capo</w:t>
            </w:r>
            <w:r>
              <w:rPr>
                <w:rFonts w:ascii="Arial" w:cs="Arial" w:eastAsia="Arial" w:hAnsi="Arial"/>
                <w:sz w:val="21"/>
                <w:szCs w:val="21"/>
                <w:color w:val="auto"/>
                <w:vertAlign w:val="superscript"/>
              </w:rPr>
              <w:t>(4)(10)</w:t>
            </w:r>
          </w:p>
        </w:tc>
        <w:tc>
          <w:tcPr>
            <w:tcW w:w="230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9,915</w:t>
            </w:r>
          </w:p>
        </w:tc>
        <w:tc>
          <w:tcPr>
            <w:tcW w:w="1880" w:type="dxa"/>
            <w:vAlign w:val="bottom"/>
            <w:shd w:val="clear" w:color="auto" w:fill="FCE9E8"/>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3"/>
                <w:szCs w:val="13"/>
                <w:color w:val="auto"/>
              </w:rPr>
              <w:t>Jonathan F. Foster</w:t>
            </w:r>
            <w:r>
              <w:rPr>
                <w:rFonts w:ascii="Arial" w:cs="Arial" w:eastAsia="Arial" w:hAnsi="Arial"/>
                <w:sz w:val="21"/>
                <w:szCs w:val="21"/>
                <w:color w:val="auto"/>
                <w:vertAlign w:val="superscript"/>
              </w:rPr>
              <w:t>(4)(11)</w:t>
            </w:r>
          </w:p>
        </w:tc>
        <w:tc>
          <w:tcPr>
            <w:tcW w:w="2300" w:type="dxa"/>
            <w:vAlign w:val="bottom"/>
          </w:tcPr>
          <w:p>
            <w:pPr>
              <w:jc w:val="right"/>
              <w:ind w:right="341"/>
              <w:spacing w:after="0"/>
              <w:rPr>
                <w:sz w:val="20"/>
                <w:szCs w:val="20"/>
                <w:color w:val="auto"/>
              </w:rPr>
            </w:pPr>
            <w:r>
              <w:rPr>
                <w:rFonts w:ascii="Arial" w:cs="Arial" w:eastAsia="Arial" w:hAnsi="Arial"/>
                <w:sz w:val="16"/>
                <w:szCs w:val="16"/>
                <w:color w:val="auto"/>
              </w:rPr>
              <w:t>11,946</w:t>
            </w:r>
          </w:p>
        </w:tc>
        <w:tc>
          <w:tcPr>
            <w:tcW w:w="18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Mary Lou Jepsen</w:t>
            </w:r>
            <w:r>
              <w:rPr>
                <w:rFonts w:ascii="Arial" w:cs="Arial" w:eastAsia="Arial" w:hAnsi="Arial"/>
                <w:sz w:val="21"/>
                <w:szCs w:val="21"/>
                <w:color w:val="auto"/>
                <w:vertAlign w:val="superscript"/>
              </w:rPr>
              <w:t>(4)(12)</w:t>
            </w:r>
          </w:p>
        </w:tc>
        <w:tc>
          <w:tcPr>
            <w:tcW w:w="230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1,544</w:t>
            </w:r>
          </w:p>
        </w:tc>
        <w:tc>
          <w:tcPr>
            <w:tcW w:w="1880" w:type="dxa"/>
            <w:vAlign w:val="bottom"/>
            <w:shd w:val="clear" w:color="auto" w:fill="FCE9E8"/>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3"/>
                <w:szCs w:val="13"/>
                <w:color w:val="auto"/>
              </w:rPr>
              <w:t>Kathleen A. Ligocki</w:t>
            </w:r>
            <w:r>
              <w:rPr>
                <w:rFonts w:ascii="Arial" w:cs="Arial" w:eastAsia="Arial" w:hAnsi="Arial"/>
                <w:sz w:val="21"/>
                <w:szCs w:val="21"/>
                <w:color w:val="auto"/>
                <w:vertAlign w:val="superscript"/>
              </w:rPr>
              <w:t>(4)(13)</w:t>
            </w:r>
          </w:p>
        </w:tc>
        <w:tc>
          <w:tcPr>
            <w:tcW w:w="2300" w:type="dxa"/>
            <w:vAlign w:val="bottom"/>
          </w:tcPr>
          <w:p>
            <w:pPr>
              <w:jc w:val="right"/>
              <w:ind w:right="341"/>
              <w:spacing w:after="0"/>
              <w:rPr>
                <w:sz w:val="20"/>
                <w:szCs w:val="20"/>
                <w:color w:val="auto"/>
              </w:rPr>
            </w:pPr>
            <w:r>
              <w:rPr>
                <w:rFonts w:ascii="Arial" w:cs="Arial" w:eastAsia="Arial" w:hAnsi="Arial"/>
                <w:sz w:val="16"/>
                <w:szCs w:val="16"/>
                <w:color w:val="auto"/>
              </w:rPr>
              <w:t>11,004</w:t>
            </w:r>
          </w:p>
        </w:tc>
        <w:tc>
          <w:tcPr>
            <w:tcW w:w="18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Conrad L. Mallett, Jr.</w:t>
            </w:r>
            <w:r>
              <w:rPr>
                <w:rFonts w:ascii="Arial" w:cs="Arial" w:eastAsia="Arial" w:hAnsi="Arial"/>
                <w:sz w:val="21"/>
                <w:szCs w:val="21"/>
                <w:color w:val="auto"/>
                <w:vertAlign w:val="superscript"/>
              </w:rPr>
              <w:t>(4)(14)</w:t>
            </w:r>
          </w:p>
        </w:tc>
        <w:tc>
          <w:tcPr>
            <w:tcW w:w="230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6,164</w:t>
            </w:r>
          </w:p>
        </w:tc>
        <w:tc>
          <w:tcPr>
            <w:tcW w:w="1880" w:type="dxa"/>
            <w:vAlign w:val="bottom"/>
            <w:shd w:val="clear" w:color="auto" w:fill="FCE9E8"/>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3"/>
                <w:szCs w:val="13"/>
                <w:color w:val="auto"/>
              </w:rPr>
              <w:t>Donald L. Runkle</w:t>
            </w:r>
            <w:r>
              <w:rPr>
                <w:rFonts w:ascii="Arial" w:cs="Arial" w:eastAsia="Arial" w:hAnsi="Arial"/>
                <w:sz w:val="21"/>
                <w:szCs w:val="21"/>
                <w:color w:val="auto"/>
                <w:vertAlign w:val="superscript"/>
              </w:rPr>
              <w:t>(4)(15)</w:t>
            </w:r>
          </w:p>
        </w:tc>
        <w:tc>
          <w:tcPr>
            <w:tcW w:w="2300" w:type="dxa"/>
            <w:vAlign w:val="bottom"/>
          </w:tcPr>
          <w:p>
            <w:pPr>
              <w:jc w:val="right"/>
              <w:ind w:right="341"/>
              <w:spacing w:after="0"/>
              <w:rPr>
                <w:sz w:val="20"/>
                <w:szCs w:val="20"/>
                <w:color w:val="auto"/>
              </w:rPr>
            </w:pPr>
            <w:r>
              <w:rPr>
                <w:rFonts w:ascii="Arial" w:cs="Arial" w:eastAsia="Arial" w:hAnsi="Arial"/>
                <w:sz w:val="16"/>
                <w:szCs w:val="16"/>
                <w:color w:val="auto"/>
              </w:rPr>
              <w:t>10,316</w:t>
            </w:r>
          </w:p>
        </w:tc>
        <w:tc>
          <w:tcPr>
            <w:tcW w:w="18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shd w:val="clear" w:color="auto" w:fill="FCE9E8"/>
          </w:tcPr>
          <w:p>
            <w:pPr>
              <w:spacing w:after="0" w:line="189" w:lineRule="exact"/>
              <w:rPr>
                <w:sz w:val="20"/>
                <w:szCs w:val="20"/>
                <w:color w:val="auto"/>
              </w:rPr>
            </w:pPr>
            <w:r>
              <w:rPr>
                <w:rFonts w:ascii="Arial" w:cs="Arial" w:eastAsia="Arial" w:hAnsi="Arial"/>
                <w:sz w:val="13"/>
                <w:szCs w:val="13"/>
                <w:color w:val="auto"/>
              </w:rPr>
              <w:t>Gregory C. Smith</w:t>
            </w:r>
            <w:r>
              <w:rPr>
                <w:rFonts w:ascii="Arial" w:cs="Arial" w:eastAsia="Arial" w:hAnsi="Arial"/>
                <w:sz w:val="21"/>
                <w:szCs w:val="21"/>
                <w:color w:val="auto"/>
                <w:vertAlign w:val="superscript"/>
              </w:rPr>
              <w:t>(4)</w:t>
            </w:r>
          </w:p>
        </w:tc>
        <w:tc>
          <w:tcPr>
            <w:tcW w:w="230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12,822</w:t>
            </w:r>
          </w:p>
        </w:tc>
        <w:tc>
          <w:tcPr>
            <w:tcW w:w="1880" w:type="dxa"/>
            <w:vAlign w:val="bottom"/>
            <w:shd w:val="clear" w:color="auto" w:fill="FCE9E8"/>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tcPr>
          <w:p>
            <w:pPr>
              <w:spacing w:after="0" w:line="189" w:lineRule="exact"/>
              <w:rPr>
                <w:sz w:val="20"/>
                <w:szCs w:val="20"/>
                <w:color w:val="auto"/>
              </w:rPr>
            </w:pPr>
            <w:r>
              <w:rPr>
                <w:rFonts w:ascii="Arial" w:cs="Arial" w:eastAsia="Arial" w:hAnsi="Arial"/>
                <w:sz w:val="13"/>
                <w:szCs w:val="13"/>
                <w:color w:val="auto"/>
              </w:rPr>
              <w:t>Henry D.G. Wallace</w:t>
            </w:r>
            <w:r>
              <w:rPr>
                <w:rFonts w:ascii="Arial" w:cs="Arial" w:eastAsia="Arial" w:hAnsi="Arial"/>
                <w:sz w:val="21"/>
                <w:szCs w:val="21"/>
                <w:color w:val="auto"/>
                <w:vertAlign w:val="superscript"/>
              </w:rPr>
              <w:t>(4)(16)</w:t>
            </w:r>
          </w:p>
        </w:tc>
        <w:tc>
          <w:tcPr>
            <w:tcW w:w="2300" w:type="dxa"/>
            <w:vAlign w:val="bottom"/>
          </w:tcPr>
          <w:p>
            <w:pPr>
              <w:jc w:val="right"/>
              <w:ind w:right="341"/>
              <w:spacing w:after="0"/>
              <w:rPr>
                <w:sz w:val="20"/>
                <w:szCs w:val="20"/>
                <w:color w:val="auto"/>
              </w:rPr>
            </w:pPr>
            <w:r>
              <w:rPr>
                <w:rFonts w:ascii="Arial" w:cs="Arial" w:eastAsia="Arial" w:hAnsi="Arial"/>
                <w:sz w:val="16"/>
                <w:szCs w:val="16"/>
                <w:color w:val="auto"/>
              </w:rPr>
              <w:t>20,144</w:t>
            </w:r>
          </w:p>
        </w:tc>
        <w:tc>
          <w:tcPr>
            <w:tcW w:w="188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41"/>
              <w:spacing w:after="0"/>
              <w:rPr>
                <w:sz w:val="20"/>
                <w:szCs w:val="20"/>
                <w:color w:val="auto"/>
              </w:rPr>
            </w:pPr>
            <w:r>
              <w:rPr>
                <w:rFonts w:ascii="Arial" w:cs="Arial" w:eastAsia="Arial" w:hAnsi="Arial"/>
                <w:sz w:val="16"/>
                <w:szCs w:val="16"/>
                <w:color w:val="auto"/>
              </w:rPr>
              <w:t>—</w:t>
            </w:r>
          </w:p>
        </w:tc>
      </w:tr>
      <w:tr>
        <w:trPr>
          <w:trHeight w:val="189"/>
        </w:trPr>
        <w:tc>
          <w:tcPr>
            <w:tcW w:w="576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Total Executive Officers and Directors as a Group (19 individuals)</w:t>
            </w:r>
          </w:p>
        </w:tc>
        <w:tc>
          <w:tcPr>
            <w:tcW w:w="2300" w:type="dxa"/>
            <w:vAlign w:val="bottom"/>
            <w:tcBorders>
              <w:bottom w:val="single" w:sz="8" w:color="auto"/>
            </w:tcBorders>
            <w:shd w:val="clear" w:color="auto" w:fill="FCE9E8"/>
          </w:tcPr>
          <w:p>
            <w:pPr>
              <w:jc w:val="right"/>
              <w:ind w:right="341"/>
              <w:spacing w:after="0"/>
              <w:rPr>
                <w:sz w:val="20"/>
                <w:szCs w:val="20"/>
                <w:color w:val="auto"/>
              </w:rPr>
            </w:pPr>
            <w:r>
              <w:rPr>
                <w:rFonts w:ascii="Arial" w:cs="Arial" w:eastAsia="Arial" w:hAnsi="Arial"/>
                <w:sz w:val="16"/>
                <w:szCs w:val="16"/>
                <w:color w:val="auto"/>
              </w:rPr>
              <w:t>336,079</w:t>
            </w:r>
          </w:p>
        </w:tc>
        <w:tc>
          <w:tcPr>
            <w:tcW w:w="1880" w:type="dxa"/>
            <w:vAlign w:val="bottom"/>
            <w:tcBorders>
              <w:bottom w:val="single" w:sz="8" w:color="auto"/>
            </w:tcBorders>
            <w:shd w:val="clear" w:color="auto" w:fill="FCE9E8"/>
          </w:tcPr>
          <w:p>
            <w:pPr>
              <w:jc w:val="right"/>
              <w:ind w:right="42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FCE9E8"/>
          </w:tcPr>
          <w:p>
            <w:pPr>
              <w:jc w:val="right"/>
              <w:ind w:right="341"/>
              <w:spacing w:after="0"/>
              <w:rPr>
                <w:sz w:val="20"/>
                <w:szCs w:val="20"/>
                <w:color w:val="auto"/>
              </w:rPr>
            </w:pPr>
            <w:r>
              <w:rPr>
                <w:rFonts w:ascii="Arial" w:cs="Arial" w:eastAsia="Arial" w:hAnsi="Arial"/>
                <w:sz w:val="16"/>
                <w:szCs w:val="16"/>
                <w:color w:val="auto"/>
              </w:rPr>
              <w:t>128,631</w:t>
            </w:r>
          </w:p>
        </w:tc>
      </w:tr>
    </w:tbl>
    <w:p>
      <w:pPr>
        <w:spacing w:after="0" w:line="86"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340" w:right="80" w:hanging="332"/>
        <w:spacing w:after="0"/>
        <w:tabs>
          <w:tab w:leader="none" w:pos="3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January 12, 2017 by BlackRock, Inc. (“BlackRock”). BlackRock is the beneficial owner of 7,419,830 shares, with sole dispositive power as to all such shares and sole voting power as to 6,542,819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55 East 52nd Street, New York, New York 10055.</w:t>
      </w:r>
    </w:p>
    <w:p>
      <w:pPr>
        <w:spacing w:after="0" w:line="132" w:lineRule="exact"/>
        <w:rPr>
          <w:rFonts w:ascii="Arial" w:cs="Arial" w:eastAsia="Arial" w:hAnsi="Arial"/>
          <w:sz w:val="24"/>
          <w:szCs w:val="24"/>
          <w:color w:val="auto"/>
          <w:vertAlign w:val="superscript"/>
        </w:rPr>
      </w:pPr>
    </w:p>
    <w:p>
      <w:pPr>
        <w:ind w:left="340" w:right="440" w:hanging="332"/>
        <w:spacing w:after="0" w:line="208" w:lineRule="auto"/>
        <w:tabs>
          <w:tab w:leader="none" w:pos="3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10, 2017 by The Vanguard Group (“Vanguard”). Vanguard is the beneficial owner 6,077,526 shares, with sole voting power as to 58,669 such shares, sole dispositive power as to 6,008,000 such shares, shared voting power as to 13,532 such shares and shared dispositive power as to 69,516 such shares. Vanguard’s principal place of business is 100 Vanguard Blvd., Malvern, PA 19355.</w:t>
      </w:r>
    </w:p>
    <w:p>
      <w:pPr>
        <w:ind w:left="340" w:hanging="332"/>
        <w:spacing w:after="0" w:line="211" w:lineRule="auto"/>
        <w:tabs>
          <w:tab w:leader="none" w:pos="3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The individual is a Named Executive Officer.</w:t>
      </w:r>
    </w:p>
    <w:p>
      <w:pPr>
        <w:spacing w:after="0" w:line="71" w:lineRule="exact"/>
        <w:rPr>
          <w:rFonts w:ascii="Arial" w:cs="Arial" w:eastAsia="Arial" w:hAnsi="Arial"/>
          <w:sz w:val="24"/>
          <w:szCs w:val="24"/>
          <w:color w:val="auto"/>
          <w:vertAlign w:val="superscript"/>
        </w:rPr>
      </w:pPr>
    </w:p>
    <w:p>
      <w:pPr>
        <w:ind w:left="340" w:hanging="332"/>
        <w:spacing w:after="0" w:line="189" w:lineRule="auto"/>
        <w:tabs>
          <w:tab w:leader="none" w:pos="340" w:val="left"/>
        </w:tabs>
        <w:numPr>
          <w:ilvl w:val="0"/>
          <w:numId w:val="48"/>
        </w:numPr>
        <w:rPr>
          <w:rFonts w:ascii="Arial" w:cs="Arial" w:eastAsia="Arial" w:hAnsi="Arial"/>
          <w:sz w:val="19"/>
          <w:szCs w:val="19"/>
          <w:color w:val="auto"/>
          <w:vertAlign w:val="superscript"/>
        </w:rPr>
      </w:pPr>
      <w:r>
        <w:rPr>
          <w:rFonts w:ascii="Arial" w:cs="Arial" w:eastAsia="Arial" w:hAnsi="Arial"/>
          <w:sz w:val="12"/>
          <w:szCs w:val="12"/>
          <w:color w:val="auto"/>
        </w:rPr>
        <w:t>The individual is a director.</w:t>
      </w:r>
    </w:p>
    <w:p>
      <w:pPr>
        <w:spacing w:after="0" w:line="71" w:lineRule="exact"/>
        <w:rPr>
          <w:rFonts w:ascii="Arial" w:cs="Arial" w:eastAsia="Arial" w:hAnsi="Arial"/>
          <w:sz w:val="19"/>
          <w:szCs w:val="19"/>
          <w:color w:val="auto"/>
          <w:vertAlign w:val="superscript"/>
        </w:rPr>
      </w:pPr>
    </w:p>
    <w:p>
      <w:pPr>
        <w:ind w:left="340" w:right="200" w:hanging="332"/>
        <w:spacing w:after="0" w:line="208" w:lineRule="auto"/>
        <w:tabs>
          <w:tab w:leader="none" w:pos="3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Mr. Simoncini is retirement-eligible and therefore qualifies for accelerated vesting of all of his Career Shares and RSUs that would have vested if the date of retirement had been 24 months later than it actually occurred. As a result, Mr. Simoncini’s share ownership includes 29,212 Career Shares and 35,461 unvested RSUs (all RSUs awarded more than one year prior to the record date). Such Career Shares and unvested RSUs would be forfeited only if Mr. Simoncini were terminated for “cause” pursuant to the terms of his employment agreement.</w:t>
      </w:r>
    </w:p>
    <w:p>
      <w:pPr>
        <w:spacing w:after="0" w:line="111"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25</w:t>
      </w:r>
    </w:p>
    <w:p>
      <w:pPr>
        <w:sectPr>
          <w:pgSz w:w="11900" w:h="16838" w:orient="portrait"/>
          <w:cols w:equalWidth="0" w:num="1">
            <w:col w:w="11420"/>
          </w:cols>
          <w:pgMar w:left="240" w:top="267" w:right="2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AND CORPORATE GOVERNANCE</w:t>
      </w:r>
    </w:p>
    <w:p>
      <w:pPr>
        <w:spacing w:after="0" w:line="245" w:lineRule="exact"/>
        <w:rPr>
          <w:sz w:val="20"/>
          <w:szCs w:val="20"/>
          <w:color w:val="auto"/>
        </w:rPr>
      </w:pPr>
    </w:p>
    <w:p>
      <w:pPr>
        <w:ind w:left="340" w:right="140" w:hanging="332"/>
        <w:spacing w:after="0" w:line="208"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Mr. Vanneste is retirement-eligible and therefore qualifies for accelerated vesting of all of his Career Shares and RSUs that would have vested if the date of retirement had been 24 months later than it actually occurred. As a result, Mr. Vanneste’s share ownership includes 10,562 Career Shares and 8,714 unvested RSUs (all RSUs awarded more than one year prior to the record date). Such Career Shares and unvested RSUs would be forfeited only if Mr. Vanneste were terminated for “cause” pursuant to the terms of his employment agreement.</w:t>
      </w:r>
    </w:p>
    <w:p>
      <w:pPr>
        <w:spacing w:after="0" w:line="71" w:lineRule="exact"/>
        <w:rPr>
          <w:rFonts w:ascii="Arial" w:cs="Arial" w:eastAsia="Arial" w:hAnsi="Arial"/>
          <w:sz w:val="24"/>
          <w:szCs w:val="24"/>
          <w:color w:val="auto"/>
          <w:vertAlign w:val="superscript"/>
        </w:rPr>
      </w:pPr>
    </w:p>
    <w:p>
      <w:pPr>
        <w:ind w:left="340" w:right="60" w:hanging="332"/>
        <w:spacing w:after="0" w:line="18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Messrs. Scott and Orsini are not yet retirement-eligible, and thus, their share ownership does not include any unvested Career Shares or RSUs. If they remain employed by the Company, Messrs. Scott and Orsini will become retirement-eligible on August 2, 2020 and April 2, 2027, respectively.</w:t>
      </w:r>
    </w:p>
    <w:p>
      <w:pPr>
        <w:spacing w:after="0" w:line="7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Mr. Larkin is retirement-eligible and therefore qualifies for accelerated vesting of all of his Career Shares and RSUs that would have vested if the date of retirement had been 24 months later than it actually occurred. As a result, Mr. Larkin’s share ownership includes 4,331 Career Shares and 9,760 unvested RSUs (all RSUs awarded more than one year prior to the record date). Such Career Shares and unvested RSUs would be forfeited only if Mr. Larkin were terminated for “cause” pursuant to the terms of his employment agreement.</w:t>
      </w:r>
    </w:p>
    <w:p>
      <w:pPr>
        <w:spacing w:after="0" w:line="71" w:lineRule="exact"/>
        <w:rPr>
          <w:rFonts w:ascii="Arial" w:cs="Arial" w:eastAsia="Arial" w:hAnsi="Arial"/>
          <w:sz w:val="24"/>
          <w:szCs w:val="24"/>
          <w:color w:val="auto"/>
          <w:vertAlign w:val="superscript"/>
        </w:rPr>
      </w:pPr>
    </w:p>
    <w:p>
      <w:pPr>
        <w:ind w:left="340" w:right="100" w:hanging="332"/>
        <w:spacing w:after="0" w:line="18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5,394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340" w:right="100" w:hanging="332"/>
        <w:spacing w:after="0" w:line="18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9,570 deferred stock units, which are fully vested and convert into shares of common stock on a 1-for-1 basis upon the earliest of the director’s departure from the Board, a change in control or the pre-established date elected by the director.</w:t>
      </w:r>
    </w:p>
    <w:p>
      <w:pPr>
        <w:spacing w:after="0" w:line="112" w:lineRule="exact"/>
        <w:rPr>
          <w:rFonts w:ascii="Arial" w:cs="Arial" w:eastAsia="Arial" w:hAnsi="Arial"/>
          <w:sz w:val="24"/>
          <w:szCs w:val="24"/>
          <w:color w:val="auto"/>
          <w:vertAlign w:val="superscript"/>
        </w:rPr>
      </w:pPr>
    </w:p>
    <w:p>
      <w:pPr>
        <w:ind w:left="340" w:right="100" w:hanging="332"/>
        <w:spacing w:after="0" w:line="18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7,921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340" w:right="100" w:hanging="332"/>
        <w:spacing w:after="0" w:line="18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1,331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340" w:right="100" w:hanging="332"/>
        <w:spacing w:after="0" w:line="18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8,504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340" w:right="100" w:hanging="332"/>
        <w:spacing w:after="0" w:line="18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6,161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340" w:right="100" w:hanging="332"/>
        <w:spacing w:after="0" w:line="18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6,372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340" w:right="20" w:hanging="332"/>
        <w:spacing w:after="0" w:line="183"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16,005 deferred stock units, which are fully vested and convert into shares of common stock on a 1-for-1 basis upon the earliest of the director’s departure from the Board, a change in control or the pre-established date elected by the director.</w:t>
      </w:r>
    </w:p>
    <w:p>
      <w:pPr>
        <w:spacing w:after="0" w:line="71" w:lineRule="exact"/>
        <w:rPr>
          <w:rFonts w:ascii="Arial" w:cs="Arial" w:eastAsia="Arial" w:hAnsi="Arial"/>
          <w:sz w:val="24"/>
          <w:szCs w:val="24"/>
          <w:color w:val="auto"/>
          <w:vertAlign w:val="superscript"/>
        </w:rPr>
      </w:pPr>
    </w:p>
    <w:p>
      <w:pPr>
        <w:ind w:left="340" w:right="40" w:hanging="332"/>
        <w:spacing w:after="0" w:line="199" w:lineRule="auto"/>
        <w:tabs>
          <w:tab w:leader="none" w:pos="3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Includes, as of March 23, 2017, (i) Career Shares and unvested RSUs owned by our retirement-eligible executive officers that have been outstanding for less than one year, and (ii) Career Shares and unvested RSUs owned by our non-retirement-eligible executive officers. These Career Shares and unvested RSUs are subject to all of the economic risks of stock ownership but may not be voted or sold and are subject to vesting provisions as set forth in the respective grant agreements.</w:t>
      </w:r>
    </w:p>
    <w:p>
      <w:pPr>
        <w:spacing w:after="0" w:line="206" w:lineRule="exact"/>
        <w:rPr>
          <w:sz w:val="20"/>
          <w:szCs w:val="20"/>
          <w:color w:val="auto"/>
        </w:rPr>
      </w:pPr>
    </w:p>
    <w:p>
      <w:pPr>
        <w:spacing w:after="0"/>
        <w:rPr>
          <w:sz w:val="20"/>
          <w:szCs w:val="20"/>
          <w:color w:val="auto"/>
        </w:rPr>
      </w:pPr>
      <w:r>
        <w:rPr>
          <w:rFonts w:ascii="Arial" w:cs="Arial" w:eastAsia="Arial" w:hAnsi="Arial"/>
          <w:sz w:val="23"/>
          <w:szCs w:val="23"/>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67" w:right="339" w:bottom="1440" w:gutter="0" w:footer="0" w:header="0"/>
        </w:sectPr>
      </w:pPr>
    </w:p>
    <w:p>
      <w:pPr>
        <w:spacing w:after="0" w:line="3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Based upon our review of reports filed with the SEC and written representations that no other reports were required, we believe that all of our directors and executive officers complied with the reporting requirements of Section 16(a) of the Exchange Act during 2016, except that on March 16, 2017,</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Mr. Mallett filed a Form 4 disclosing the disposition of an aggregate of 4,236 shares of our common stock in a series of transactions from November 9, 2009 through October 28, 2014 previously unreported on Form 4.</w:t>
      </w:r>
    </w:p>
    <w:p>
      <w:pPr>
        <w:spacing w:after="0" w:line="576" w:lineRule="exact"/>
        <w:rPr>
          <w:sz w:val="20"/>
          <w:szCs w:val="20"/>
          <w:color w:val="auto"/>
        </w:rPr>
      </w:pPr>
    </w:p>
    <w:p>
      <w:pPr>
        <w:sectPr>
          <w:pgSz w:w="11900" w:h="16838" w:orient="portrait"/>
          <w:cols w:equalWidth="0" w:num="2">
            <w:col w:w="5420" w:space="400"/>
            <w:col w:w="5500"/>
          </w:cols>
          <w:pgMar w:left="240" w:top="267" w:right="339" w:bottom="1440" w:gutter="0" w:footer="0" w:header="0"/>
          <w:type w:val="continuous"/>
        </w:sectPr>
      </w:pPr>
    </w:p>
    <w:p>
      <w:pPr>
        <w:spacing w:after="0" w:line="59" w:lineRule="exact"/>
        <w:rPr>
          <w:sz w:val="20"/>
          <w:szCs w:val="20"/>
          <w:color w:val="auto"/>
        </w:rPr>
      </w:pPr>
    </w:p>
    <w:p>
      <w:pPr>
        <w:ind w:left="460" w:hanging="349"/>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20"/>
          </w:cols>
          <w:pgMar w:left="240" w:top="26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40"/>
          <w:szCs w:val="40"/>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26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following discusses the material elements of the compensation for our Chief Executive Officer (CEO), Chief Financial Officer (CFO) and each of the other executive officers listed in the “2016 Summary Compensation Table” (collectively, the “Named Executive Officers”) during the year ended December 31, 2016. To assist in understanding compensation for 2016, we have included a discussion of our compensation policies and practices for periods before and after 2016 where relevant. To avoid repetition, in the discussion that follows we make cross-references to specific compensation data and terms for our Named Executive Officers contained in “Executive Compensation.” In addition, because we have a global team of managers in 37 countries, our compensation program is designed to provide some common standards throughout the Company and, therefore, much of what is discussed below applies to executives in general and is not limited specifically to our Named Executive Officers.</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20"/>
                <w:szCs w:val="20"/>
                <w:color w:val="auto"/>
              </w:rPr>
            </w:pPr>
            <w:r>
              <w:rPr>
                <w:rFonts w:ascii="Arial" w:cs="Arial" w:eastAsia="Arial" w:hAnsi="Arial"/>
                <w:sz w:val="16"/>
                <w:szCs w:val="16"/>
                <w:color w:val="auto"/>
              </w:rPr>
              <w:t>Our Named Executive Officers for 2016 are:</w:t>
            </w:r>
          </w:p>
        </w:tc>
        <w:tc>
          <w:tcPr>
            <w:tcW w:w="5460" w:type="dxa"/>
            <w:vAlign w:val="bottom"/>
          </w:tcPr>
          <w:p>
            <w:pPr>
              <w:ind w:left="380"/>
              <w:spacing w:after="0"/>
              <w:rPr>
                <w:sz w:val="20"/>
                <w:szCs w:val="20"/>
                <w:color w:val="auto"/>
              </w:rPr>
            </w:pPr>
            <w:r>
              <w:rPr>
                <w:rFonts w:ascii="Arial" w:cs="Arial" w:eastAsia="Arial" w:hAnsi="Arial"/>
                <w:sz w:val="16"/>
                <w:szCs w:val="16"/>
                <w:b w:val="1"/>
                <w:bCs w:val="1"/>
                <w:color w:val="auto"/>
              </w:rPr>
              <w:t xml:space="preserve">Raymond E. Scott, </w:t>
            </w:r>
            <w:r>
              <w:rPr>
                <w:rFonts w:ascii="Arial" w:cs="Arial" w:eastAsia="Arial" w:hAnsi="Arial"/>
                <w:sz w:val="16"/>
                <w:szCs w:val="16"/>
                <w:color w:val="auto"/>
              </w:rPr>
              <w:t>Executive Vice President and President, Seating</w:t>
            </w:r>
          </w:p>
        </w:tc>
        <w:tc>
          <w:tcPr>
            <w:tcW w:w="0" w:type="dxa"/>
            <w:vAlign w:val="bottom"/>
          </w:tcPr>
          <w:p>
            <w:pPr>
              <w:spacing w:after="0"/>
              <w:rPr>
                <w:sz w:val="1"/>
                <w:szCs w:val="1"/>
                <w:color w:val="auto"/>
              </w:rPr>
            </w:pPr>
          </w:p>
        </w:tc>
      </w:tr>
      <w:tr>
        <w:trPr>
          <w:trHeight w:val="292"/>
        </w:trPr>
        <w:tc>
          <w:tcPr>
            <w:tcW w:w="5780" w:type="dxa"/>
            <w:vAlign w:val="bottom"/>
          </w:tcPr>
          <w:p>
            <w:pPr>
              <w:ind w:left="340"/>
              <w:spacing w:after="0"/>
              <w:rPr>
                <w:sz w:val="20"/>
                <w:szCs w:val="20"/>
                <w:color w:val="auto"/>
              </w:rPr>
            </w:pPr>
            <w:r>
              <w:rPr>
                <w:rFonts w:ascii="Arial" w:cs="Arial" w:eastAsia="Arial" w:hAnsi="Arial"/>
                <w:sz w:val="16"/>
                <w:szCs w:val="16"/>
                <w:b w:val="1"/>
                <w:bCs w:val="1"/>
                <w:color w:val="auto"/>
              </w:rPr>
              <w:t xml:space="preserve">Matthew J. Simoncini, </w:t>
            </w:r>
            <w:r>
              <w:rPr>
                <w:rFonts w:ascii="Arial" w:cs="Arial" w:eastAsia="Arial" w:hAnsi="Arial"/>
                <w:sz w:val="16"/>
                <w:szCs w:val="16"/>
                <w:color w:val="auto"/>
              </w:rPr>
              <w:t>President and Chief Executive Officer</w:t>
            </w:r>
          </w:p>
        </w:tc>
        <w:tc>
          <w:tcPr>
            <w:tcW w:w="5460" w:type="dxa"/>
            <w:vAlign w:val="bottom"/>
          </w:tcPr>
          <w:p>
            <w:pPr>
              <w:ind w:left="380"/>
              <w:spacing w:after="0"/>
              <w:rPr>
                <w:sz w:val="20"/>
                <w:szCs w:val="20"/>
                <w:color w:val="auto"/>
              </w:rPr>
            </w:pPr>
            <w:r>
              <w:rPr>
                <w:rFonts w:ascii="Arial" w:cs="Arial" w:eastAsia="Arial" w:hAnsi="Arial"/>
                <w:sz w:val="16"/>
                <w:szCs w:val="16"/>
                <w:b w:val="1"/>
                <w:bCs w:val="1"/>
                <w:color w:val="auto"/>
              </w:rPr>
              <w:t xml:space="preserve">Terrence B. Larkin, </w:t>
            </w:r>
            <w:r>
              <w:rPr>
                <w:rFonts w:ascii="Arial" w:cs="Arial" w:eastAsia="Arial" w:hAnsi="Arial"/>
                <w:sz w:val="16"/>
                <w:szCs w:val="16"/>
                <w:color w:val="auto"/>
              </w:rPr>
              <w:t>Executive Vice President, Business Development,</w:t>
            </w:r>
          </w:p>
        </w:tc>
        <w:tc>
          <w:tcPr>
            <w:tcW w:w="0" w:type="dxa"/>
            <w:vAlign w:val="bottom"/>
          </w:tcPr>
          <w:p>
            <w:pPr>
              <w:spacing w:after="0"/>
              <w:rPr>
                <w:sz w:val="1"/>
                <w:szCs w:val="1"/>
                <w:color w:val="auto"/>
              </w:rPr>
            </w:pPr>
          </w:p>
        </w:tc>
      </w:tr>
      <w:tr>
        <w:trPr>
          <w:trHeight w:val="195"/>
        </w:trPr>
        <w:tc>
          <w:tcPr>
            <w:tcW w:w="578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 xml:space="preserve">Jeffrey H. Vanneste, </w:t>
            </w:r>
            <w:r>
              <w:rPr>
                <w:rFonts w:ascii="Arial" w:cs="Arial" w:eastAsia="Arial" w:hAnsi="Arial"/>
                <w:sz w:val="16"/>
                <w:szCs w:val="16"/>
                <w:color w:val="auto"/>
              </w:rPr>
              <w:t>Senior Vice President and Chief Financial Officer</w:t>
            </w:r>
          </w:p>
        </w:tc>
        <w:tc>
          <w:tcPr>
            <w:tcW w:w="5460" w:type="dxa"/>
            <w:vAlign w:val="bottom"/>
          </w:tcPr>
          <w:p>
            <w:pPr>
              <w:ind w:left="380"/>
              <w:spacing w:after="0"/>
              <w:rPr>
                <w:sz w:val="20"/>
                <w:szCs w:val="20"/>
                <w:color w:val="auto"/>
              </w:rPr>
            </w:pPr>
            <w:r>
              <w:rPr>
                <w:rFonts w:ascii="Arial" w:cs="Arial" w:eastAsia="Arial" w:hAnsi="Arial"/>
                <w:sz w:val="16"/>
                <w:szCs w:val="16"/>
                <w:color w:val="auto"/>
              </w:rPr>
              <w:t>General Counsel and Corporate Secretary</w:t>
            </w:r>
          </w:p>
        </w:tc>
        <w:tc>
          <w:tcPr>
            <w:tcW w:w="0" w:type="dxa"/>
            <w:vAlign w:val="bottom"/>
          </w:tcPr>
          <w:p>
            <w:pPr>
              <w:spacing w:after="0"/>
              <w:rPr>
                <w:sz w:val="1"/>
                <w:szCs w:val="1"/>
                <w:color w:val="auto"/>
              </w:rPr>
            </w:pPr>
          </w:p>
        </w:tc>
      </w:tr>
      <w:tr>
        <w:trPr>
          <w:trHeight w:val="108"/>
        </w:trPr>
        <w:tc>
          <w:tcPr>
            <w:tcW w:w="5780" w:type="dxa"/>
            <w:vAlign w:val="bottom"/>
            <w:vMerge w:val="continue"/>
          </w:tcPr>
          <w:p>
            <w:pPr>
              <w:spacing w:after="0"/>
              <w:rPr>
                <w:sz w:val="9"/>
                <w:szCs w:val="9"/>
                <w:color w:val="auto"/>
              </w:rPr>
            </w:pPr>
          </w:p>
        </w:tc>
        <w:tc>
          <w:tcPr>
            <w:tcW w:w="546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 xml:space="preserve">Frank C. Orsini, </w:t>
            </w:r>
            <w:r>
              <w:rPr>
                <w:rFonts w:ascii="Arial" w:cs="Arial" w:eastAsia="Arial" w:hAnsi="Arial"/>
                <w:sz w:val="16"/>
                <w:szCs w:val="16"/>
                <w:color w:val="auto"/>
              </w:rPr>
              <w:t>Senior Vice President and President, E-Systems</w:t>
            </w: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5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23"/>
          <w:szCs w:val="23"/>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93" w:right="259" w:bottom="1440" w:gutter="0" w:footer="0" w:header="0"/>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are a leading Tier 1 supplier to the global automotive industry that operates in two business segments: Seating and E-Systems. We supply seating, electrical distribution systems and electronic modules, as well as related sub-systems, components and software, to virtually every major automotive manufacturer in the world. Our manufacturing, engineering and administrative footprint covers 37 countries and 243 locations with approximately 148,400 employees worldwide. We are continuing to grow our business in all automotive producing regions of the world, both organically and through complementary acquisitions. We have an executive compensation program that is, on average, market-median based, and which is closely linked to our Company’s performance.</w:t>
      </w:r>
    </w:p>
    <w:p>
      <w:pPr>
        <w:spacing w:after="0" w:line="20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overarching objective is to maximize shareholder value by delivering profitable sales growth while balancing risk and returns, maintaining a strong balance sheet with investment grade credit metrics and consistently returning cash to our shareholders.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Highlights of our 2016 performance and recent significant events include the following:</w:t>
      </w:r>
    </w:p>
    <w:p>
      <w:pPr>
        <w:spacing w:after="0" w:line="101" w:lineRule="exact"/>
        <w:rPr>
          <w:sz w:val="20"/>
          <w:szCs w:val="20"/>
          <w:color w:val="auto"/>
        </w:rPr>
      </w:pPr>
    </w:p>
    <w:p>
      <w:pPr>
        <w:ind w:left="220" w:right="160" w:hanging="212"/>
        <w:spacing w:after="0" w:line="260" w:lineRule="auto"/>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delivered record sales of $18.6 billion, up 5% excluding the impact of foreign exchange and commodity prices.</w:t>
      </w:r>
    </w:p>
    <w:p>
      <w:pPr>
        <w:spacing w:after="0" w:line="101" w:lineRule="exact"/>
        <w:rPr>
          <w:rFonts w:ascii="Arial" w:cs="Arial" w:eastAsia="Arial" w:hAnsi="Arial"/>
          <w:sz w:val="16"/>
          <w:szCs w:val="16"/>
          <w:color w:val="auto"/>
        </w:rPr>
      </w:pPr>
    </w:p>
    <w:p>
      <w:pPr>
        <w:ind w:left="220" w:right="260" w:hanging="212"/>
        <w:spacing w:after="0" w:line="260" w:lineRule="auto"/>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achieved record core operating earnings of $1.5 billion, an increase of 17% (see discussion of Adjusted Operating Income below).*</w:t>
      </w:r>
    </w:p>
    <w:p>
      <w:pPr>
        <w:spacing w:after="0" w:line="101" w:lineRule="exact"/>
        <w:rPr>
          <w:rFonts w:ascii="Arial" w:cs="Arial" w:eastAsia="Arial" w:hAnsi="Arial"/>
          <w:sz w:val="16"/>
          <w:szCs w:val="16"/>
          <w:color w:val="auto"/>
        </w:rPr>
      </w:pPr>
    </w:p>
    <w:p>
      <w:pPr>
        <w:ind w:left="220" w:right="220" w:hanging="212"/>
        <w:spacing w:after="0" w:line="260" w:lineRule="auto"/>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achieved record adjusted earnings per share of $14.03, an increase of 29%.*</w:t>
      </w:r>
    </w:p>
    <w:p>
      <w:pPr>
        <w:spacing w:after="0" w:line="101" w:lineRule="exact"/>
        <w:rPr>
          <w:rFonts w:ascii="Arial" w:cs="Arial" w:eastAsia="Arial" w:hAnsi="Arial"/>
          <w:sz w:val="16"/>
          <w:szCs w:val="16"/>
          <w:color w:val="auto"/>
        </w:rPr>
      </w:pPr>
    </w:p>
    <w:p>
      <w:pPr>
        <w:ind w:left="220" w:right="500" w:hanging="212"/>
        <w:spacing w:after="0" w:line="260" w:lineRule="auto"/>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delivered improved operating margins compared to 2015 in both business segments.</w:t>
      </w:r>
    </w:p>
    <w:p>
      <w:pPr>
        <w:spacing w:after="0" w:line="96" w:lineRule="exact"/>
        <w:rPr>
          <w:rFonts w:ascii="Arial" w:cs="Arial" w:eastAsia="Arial" w:hAnsi="Arial"/>
          <w:sz w:val="16"/>
          <w:szCs w:val="16"/>
          <w:color w:val="auto"/>
        </w:rPr>
      </w:pPr>
    </w:p>
    <w:p>
      <w:pPr>
        <w:ind w:left="220" w:right="460" w:hanging="212"/>
        <w:spacing w:after="0" w:line="188" w:lineRule="auto"/>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achieved a 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consecutive year of increased sales and adjusted earnings per share.*</w:t>
      </w:r>
    </w:p>
    <w:p>
      <w:pPr>
        <w:spacing w:after="0" w:line="117" w:lineRule="exact"/>
        <w:rPr>
          <w:rFonts w:ascii="Arial" w:cs="Arial" w:eastAsia="Arial" w:hAnsi="Arial"/>
          <w:sz w:val="16"/>
          <w:szCs w:val="16"/>
          <w:color w:val="auto"/>
        </w:rPr>
      </w:pPr>
    </w:p>
    <w:p>
      <w:pPr>
        <w:ind w:left="220" w:hanging="212"/>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generated record free cash flow of $1.1 billion in 2016.*</w:t>
      </w:r>
    </w:p>
    <w:p>
      <w:pPr>
        <w:spacing w:after="0" w:line="127" w:lineRule="exact"/>
        <w:rPr>
          <w:sz w:val="20"/>
          <w:szCs w:val="20"/>
          <w:color w:val="auto"/>
        </w:rPr>
      </w:pPr>
    </w:p>
    <w:p>
      <w:pPr>
        <w:sectPr>
          <w:pgSz w:w="11900" w:h="16838" w:orient="portrait"/>
          <w:cols w:equalWidth="0" w:num="2">
            <w:col w:w="5420" w:space="400"/>
            <w:col w:w="5580"/>
          </w:cols>
          <w:pgMar w:left="240" w:top="393" w:right="259" w:bottom="1440" w:gutter="0" w:footer="0" w:header="0"/>
          <w:type w:val="continuous"/>
        </w:sectPr>
      </w:pPr>
    </w:p>
    <w:p>
      <w:pPr>
        <w:ind w:left="5820"/>
        <w:spacing w:after="0"/>
        <w:tabs>
          <w:tab w:leader="none" w:pos="6020" w:val="left"/>
        </w:tabs>
        <w:rPr>
          <w:sz w:val="20"/>
          <w:szCs w:val="20"/>
          <w:color w:val="auto"/>
        </w:rPr>
      </w:pPr>
      <w:r>
        <w:rPr>
          <w:rFonts w:ascii="Arial" w:cs="Arial" w:eastAsia="Arial" w:hAnsi="Arial"/>
          <w:sz w:val="16"/>
          <w:szCs w:val="16"/>
          <w:color w:val="auto"/>
        </w:rPr>
        <w:t>•</w:t>
        <w:tab/>
        <w:t>In 2016, we continued to invest in our business by entering into a</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strategic partnership with Tempronics for seat heating and cooling and</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acquiring AccuMED, a specialty fabric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40" w:right="40" w:hanging="332"/>
        <w:spacing w:after="0" w:line="253"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Core operating earnings, adjusted earnings per share and free cash flow are non-GAAP financial measures, and we are including our 2016 results for these measures to show an aspect of our performance. Appendix A to this proxy statement contains reconciliations of these measures to the most directly comparable GAAP financial measures.</w:t>
      </w:r>
    </w:p>
    <w:p>
      <w:pPr>
        <w:spacing w:after="0" w:line="109"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27</w:t>
      </w:r>
    </w:p>
    <w:p>
      <w:pPr>
        <w:sectPr>
          <w:pgSz w:w="11900" w:h="16838" w:orient="portrait"/>
          <w:cols w:equalWidth="0" w:num="1">
            <w:col w:w="11400"/>
          </w:cols>
          <w:pgMar w:left="240" w:top="393" w:right="2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337" w:lineRule="exact"/>
        <w:rPr>
          <w:sz w:val="20"/>
          <w:szCs w:val="20"/>
          <w:color w:val="auto"/>
        </w:rPr>
      </w:pPr>
    </w:p>
    <w:p>
      <w:pPr>
        <w:ind w:left="220" w:right="100" w:hanging="212"/>
        <w:spacing w:after="0" w:line="253" w:lineRule="auto"/>
        <w:tabs>
          <w:tab w:leader="none" w:pos="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Over the past five years, we have invested nearly three-quarters of a billion dollars in our manufacturing footprint, significantly expanding our component capabilities to 143 facilities in 22 low-cost countries.</w:t>
      </w:r>
    </w:p>
    <w:p>
      <w:pPr>
        <w:spacing w:after="0" w:line="106" w:lineRule="exact"/>
        <w:rPr>
          <w:rFonts w:ascii="Arial" w:cs="Arial" w:eastAsia="Arial" w:hAnsi="Arial"/>
          <w:sz w:val="16"/>
          <w:szCs w:val="16"/>
          <w:color w:val="auto"/>
        </w:rPr>
      </w:pPr>
    </w:p>
    <w:p>
      <w:pPr>
        <w:ind w:left="220" w:right="320" w:hanging="212"/>
        <w:spacing w:after="0" w:line="253" w:lineRule="auto"/>
        <w:tabs>
          <w:tab w:leader="none" w:pos="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continued to win new business in both product segments and diversify our sales, with a 2017 to 2019 sales backlog of $2.8 billion, which is 40% higher than last year’s backlog.</w:t>
      </w:r>
    </w:p>
    <w:p>
      <w:pPr>
        <w:spacing w:after="0" w:line="106" w:lineRule="exact"/>
        <w:rPr>
          <w:rFonts w:ascii="Arial" w:cs="Arial" w:eastAsia="Arial" w:hAnsi="Arial"/>
          <w:sz w:val="16"/>
          <w:szCs w:val="16"/>
          <w:color w:val="auto"/>
        </w:rPr>
      </w:pPr>
    </w:p>
    <w:p>
      <w:pPr>
        <w:ind w:left="220" w:hanging="212"/>
        <w:spacing w:after="0" w:line="250" w:lineRule="auto"/>
        <w:tabs>
          <w:tab w:leader="none" w:pos="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returned $748 million to stockholders in 2016 through its share repurchase and dividend programs. Since these programs were initiated in 2011, the Company has returned $3.5 billion to stockholders, including the repurchase of 39% of total shares outstanding. In February 2017, the Company’s share repurchase authorization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52" w:right="380"/>
        <w:spacing w:after="0" w:line="260" w:lineRule="auto"/>
        <w:rPr>
          <w:sz w:val="20"/>
          <w:szCs w:val="20"/>
          <w:color w:val="auto"/>
        </w:rPr>
      </w:pPr>
      <w:r>
        <w:rPr>
          <w:rFonts w:ascii="Arial" w:cs="Arial" w:eastAsia="Arial" w:hAnsi="Arial"/>
          <w:sz w:val="16"/>
          <w:szCs w:val="16"/>
          <w:color w:val="auto"/>
        </w:rPr>
        <w:t>increased to $1 billion and the authorization period was extended to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-656590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1" w:lineRule="exact"/>
        <w:rPr>
          <w:sz w:val="20"/>
          <w:szCs w:val="20"/>
          <w:color w:val="auto"/>
        </w:rPr>
      </w:pPr>
    </w:p>
    <w:p>
      <w:pPr>
        <w:ind w:left="212" w:right="200" w:hanging="212"/>
        <w:spacing w:after="0" w:line="202" w:lineRule="auto"/>
        <w:tabs>
          <w:tab w:leader="none" w:pos="2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February 2017, our quarterly cash dividend was increased by 67%, representing the 6</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consecutive annual increase since the dividend program was initiated.</w:t>
      </w:r>
    </w:p>
    <w:p>
      <w:pPr>
        <w:spacing w:after="0" w:line="117" w:lineRule="exact"/>
        <w:rPr>
          <w:rFonts w:ascii="Arial" w:cs="Arial" w:eastAsia="Arial" w:hAnsi="Arial"/>
          <w:sz w:val="16"/>
          <w:szCs w:val="16"/>
          <w:color w:val="auto"/>
        </w:rPr>
      </w:pPr>
    </w:p>
    <w:p>
      <w:pPr>
        <w:ind w:left="212" w:right="220" w:hanging="212"/>
        <w:spacing w:after="0" w:line="253" w:lineRule="auto"/>
        <w:tabs>
          <w:tab w:leader="none" w:pos="2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Company’s total return to stockholders in 2016 was 9%. The Company’s total return to stockholders for the five-year period ended December 31, 2016 was 250%, compared with 98% for the S&amp;P 500.</w:t>
      </w:r>
    </w:p>
    <w:p>
      <w:pPr>
        <w:spacing w:after="0" w:line="106" w:lineRule="exact"/>
        <w:rPr>
          <w:rFonts w:ascii="Arial" w:cs="Arial" w:eastAsia="Arial" w:hAnsi="Arial"/>
          <w:sz w:val="16"/>
          <w:szCs w:val="16"/>
          <w:color w:val="auto"/>
        </w:rPr>
      </w:pPr>
    </w:p>
    <w:p>
      <w:pPr>
        <w:ind w:left="212" w:hanging="212"/>
        <w:spacing w:after="0" w:line="253" w:lineRule="auto"/>
        <w:tabs>
          <w:tab w:leader="none" w:pos="2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Commensurate with our above target performance on the four incentive plan financial measures, incentive awards for the periods ending in 2016 were earned at above target levels, as illustrated below:</w:t>
      </w:r>
    </w:p>
    <w:p>
      <w:pPr>
        <w:spacing w:after="0" w:line="200" w:lineRule="exact"/>
        <w:rPr>
          <w:sz w:val="20"/>
          <w:szCs w:val="20"/>
          <w:color w:val="auto"/>
        </w:rPr>
      </w:pPr>
    </w:p>
    <w:p>
      <w:pPr>
        <w:sectPr>
          <w:pgSz w:w="11900" w:h="16838" w:orient="portrait"/>
          <w:cols w:equalWidth="0" w:num="2">
            <w:col w:w="5400" w:space="428"/>
            <w:col w:w="5392"/>
          </w:cols>
          <w:pgMar w:left="240" w:top="267" w:right="439" w:bottom="1440" w:gutter="0" w:footer="0" w:header="0"/>
        </w:sectPr>
      </w:pP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FFFFFF"/>
        </w:rPr>
        <w:t>2016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818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FFFFFF"/>
        </w:rPr>
        <w:t>2014-2016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818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818005"/>
                    </a:xfrm>
                    <a:prstGeom prst="rect">
                      <a:avLst/>
                    </a:prstGeom>
                    <a:noFill/>
                  </pic:spPr>
                </pic:pic>
              </a:graphicData>
            </a:graphic>
          </wp:anchor>
        </w:drawing>
      </w:r>
    </w:p>
    <w:p>
      <w:pPr>
        <w:sectPr>
          <w:pgSz w:w="11900" w:h="16838" w:orient="portrait"/>
          <w:cols w:equalWidth="0" w:num="1">
            <w:col w:w="11220"/>
          </w:cols>
          <w:pgMar w:left="240" w:top="26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(see “— 2016 Incentive Programs — Pay for Performance,” “— 2016 Incentive Programs — Annual Incentives” and “—2016 Incentive Programs</w:t>
      </w:r>
    </w:p>
    <w:p>
      <w:pPr>
        <w:spacing w:after="0" w:line="1"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 Long-Term Incentives” below for more information regarding these financial measures).</w:t>
      </w:r>
    </w:p>
    <w:p>
      <w:pPr>
        <w:spacing w:after="0" w:line="360" w:lineRule="exact"/>
        <w:rPr>
          <w:sz w:val="20"/>
          <w:szCs w:val="20"/>
          <w:color w:val="auto"/>
        </w:rPr>
      </w:pPr>
    </w:p>
    <w:p>
      <w:pPr>
        <w:ind w:left="460" w:hanging="349"/>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highlights of our 2016 executive compensation program resulting from our 2016 Company financial performance were as follows:</w:t>
      </w:r>
    </w:p>
    <w:p>
      <w:pPr>
        <w:spacing w:after="0" w:line="101" w:lineRule="exact"/>
        <w:rPr>
          <w:sz w:val="20"/>
          <w:szCs w:val="20"/>
          <w:color w:val="auto"/>
        </w:rPr>
      </w:pPr>
    </w:p>
    <w:p>
      <w:pPr>
        <w:ind w:left="220" w:right="40" w:hanging="212"/>
        <w:spacing w:after="0" w:line="260" w:lineRule="auto"/>
        <w:tabs>
          <w:tab w:leader="none" w:pos="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Incentive payouts were commensurate with our financial results. Annual incentive awards were earned at 189% of</w:t>
      </w:r>
    </w:p>
    <w:p>
      <w:pPr>
        <w:sectPr>
          <w:pgSz w:w="11900" w:h="16838" w:orient="portrait"/>
          <w:cols w:equalWidth="0" w:num="2">
            <w:col w:w="5360" w:space="460"/>
            <w:col w:w="5400"/>
          </w:cols>
          <w:pgMar w:left="240" w:top="267" w:right="439" w:bottom="1440" w:gutter="0" w:footer="0" w:header="0"/>
          <w:type w:val="continuous"/>
        </w:sectPr>
      </w:pPr>
    </w:p>
    <w:bookmarkStart w:id="34" w:name="page35"/>
    <w:bookmarkEnd w:id="34"/>
    <w:p>
      <w:pPr>
        <w:ind w:left="8020"/>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ectPr>
          <w:pgSz w:w="11900" w:h="16838" w:orient="portrait"/>
          <w:cols w:equalWidth="0" w:num="1">
            <w:col w:w="11420"/>
          </w:cols>
          <w:pgMar w:left="240" w:top="267" w:right="239" w:bottom="1440" w:gutter="0" w:footer="0" w:header="0"/>
        </w:sectPr>
      </w:pPr>
    </w:p>
    <w:p>
      <w:pPr>
        <w:spacing w:after="0" w:line="215" w:lineRule="exact"/>
        <w:rPr>
          <w:sz w:val="20"/>
          <w:szCs w:val="20"/>
          <w:color w:val="auto"/>
        </w:rPr>
      </w:pPr>
    </w:p>
    <w:p>
      <w:pPr>
        <w:ind w:left="180" w:right="20"/>
        <w:spacing w:after="0" w:line="253" w:lineRule="auto"/>
        <w:rPr>
          <w:sz w:val="20"/>
          <w:szCs w:val="20"/>
          <w:color w:val="auto"/>
        </w:rPr>
      </w:pPr>
      <w:r>
        <w:rPr>
          <w:rFonts w:ascii="Arial" w:cs="Arial" w:eastAsia="Arial" w:hAnsi="Arial"/>
          <w:sz w:val="16"/>
          <w:szCs w:val="16"/>
          <w:color w:val="auto"/>
        </w:rPr>
        <w:t>the targeted level and the 2014-2016 cycle of long-term Performance Shares was earned at 193% of the targeted level based on achievement of the financial goals outlined above.</w:t>
      </w:r>
    </w:p>
    <w:p>
      <w:pPr>
        <w:spacing w:after="0" w:line="107" w:lineRule="exact"/>
        <w:rPr>
          <w:sz w:val="20"/>
          <w:szCs w:val="20"/>
          <w:color w:val="auto"/>
        </w:rPr>
      </w:pPr>
    </w:p>
    <w:p>
      <w:pPr>
        <w:ind w:left="220" w:hanging="212"/>
        <w:spacing w:after="0" w:line="253" w:lineRule="auto"/>
        <w:tabs>
          <w:tab w:leader="none" w:pos="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2016, long-term incentive awards granted in January 2016 to our Named Executive Officers were solely in the form of equity to further link the interests of our executives with</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those of our stockholders. We awarded Performance Shares to represent 75% of the value of these long-term incentive awards and service-based restricted stock units (“RSUs”) to represent 25%. We place the greatest weighting on Performance Shares in order to directly link our executives’ interests with those of our stockholders while also rewarding executives based on our three-year financial performance.</w:t>
      </w:r>
    </w:p>
    <w:p>
      <w:pPr>
        <w:spacing w:after="0" w:line="325" w:lineRule="exact"/>
        <w:rPr>
          <w:sz w:val="20"/>
          <w:szCs w:val="20"/>
          <w:color w:val="auto"/>
        </w:rPr>
      </w:pPr>
    </w:p>
    <w:p>
      <w:pPr>
        <w:sectPr>
          <w:pgSz w:w="11900" w:h="16838" w:orient="portrait"/>
          <w:cols w:equalWidth="0" w:num="2">
            <w:col w:w="5380" w:space="600"/>
            <w:col w:w="5440"/>
          </w:cols>
          <w:pgMar w:left="240" w:top="267" w:right="239" w:bottom="1440" w:gutter="0" w:footer="0" w:header="0"/>
          <w:type w:val="continuous"/>
        </w:sectPr>
      </w:pPr>
    </w:p>
    <w:p>
      <w:pPr>
        <w:spacing w:after="0" w:line="55" w:lineRule="exact"/>
        <w:rPr>
          <w:sz w:val="20"/>
          <w:szCs w:val="20"/>
          <w:color w:val="auto"/>
        </w:rPr>
      </w:pPr>
    </w:p>
    <w:p>
      <w:pPr>
        <w:ind w:right="880"/>
        <w:spacing w:after="0" w:line="260" w:lineRule="auto"/>
        <w:rPr>
          <w:sz w:val="20"/>
          <w:szCs w:val="20"/>
          <w:color w:val="auto"/>
        </w:rPr>
      </w:pPr>
      <w:r>
        <w:rPr>
          <w:rFonts w:ascii="Arial" w:cs="Arial" w:eastAsia="Arial" w:hAnsi="Arial"/>
          <w:sz w:val="16"/>
          <w:szCs w:val="16"/>
          <w:color w:val="auto"/>
        </w:rPr>
        <w:t>We maintain several compensation program features and corporate governance practices to ensure a strong link between executive pay, Company performance and stockholder interests and to ensure that we have a fully competitive executive compensation program:</w:t>
      </w:r>
    </w:p>
    <w:p>
      <w:pPr>
        <w:spacing w:after="0" w:line="207" w:lineRule="exact"/>
        <w:rPr>
          <w:sz w:val="20"/>
          <w:szCs w:val="20"/>
          <w:color w:val="auto"/>
        </w:rPr>
      </w:pPr>
    </w:p>
    <w:p>
      <w:pPr>
        <w:ind w:left="2440"/>
        <w:spacing w:after="0"/>
        <w:tabs>
          <w:tab w:leader="none" w:pos="8000" w:val="left"/>
        </w:tabs>
        <w:rPr>
          <w:sz w:val="20"/>
          <w:szCs w:val="20"/>
          <w:color w:val="auto"/>
        </w:rPr>
      </w:pPr>
      <w:r>
        <w:rPr>
          <w:rFonts w:ascii="Arial" w:cs="Arial" w:eastAsia="Arial" w:hAnsi="Arial"/>
          <w:sz w:val="14"/>
          <w:szCs w:val="14"/>
          <w:b w:val="1"/>
          <w:bCs w:val="1"/>
          <w:color w:val="E2231A"/>
        </w:rPr>
        <w:t>WHAT WE DO</w:t>
      </w:r>
      <w:r>
        <w:rPr>
          <w:sz w:val="20"/>
          <w:szCs w:val="20"/>
          <w:color w:val="auto"/>
        </w:rPr>
        <w:tab/>
      </w:r>
      <w:r>
        <w:rPr>
          <w:rFonts w:ascii="Arial" w:cs="Arial" w:eastAsia="Arial" w:hAnsi="Arial"/>
          <w:sz w:val="14"/>
          <w:szCs w:val="14"/>
          <w:b w:val="1"/>
          <w:bCs w:val="1"/>
          <w:color w:val="E2231A"/>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Pay Program Aligned with Business Strategy </w:t>
      </w:r>
      <w:r>
        <w:rPr>
          <w:rFonts w:ascii="Arial" w:cs="Arial" w:eastAsia="Arial" w:hAnsi="Arial"/>
          <w:sz w:val="16"/>
          <w:szCs w:val="16"/>
          <w:color w:val="auto"/>
        </w:rPr>
        <w:t>(see pages 30, 34 to 36)</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Balanced Mix of Performance Measures </w:t>
      </w:r>
      <w:r>
        <w:rPr>
          <w:rFonts w:ascii="Arial" w:cs="Arial" w:eastAsia="Arial" w:hAnsi="Arial"/>
          <w:sz w:val="16"/>
          <w:szCs w:val="16"/>
          <w:color w:val="auto"/>
        </w:rPr>
        <w:t>(see page 34)</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High Percentage of Performance-Based Pay </w:t>
      </w:r>
      <w:r>
        <w:rPr>
          <w:rFonts w:ascii="Arial" w:cs="Arial" w:eastAsia="Arial" w:hAnsi="Arial"/>
          <w:sz w:val="16"/>
          <w:szCs w:val="16"/>
          <w:color w:val="auto"/>
        </w:rPr>
        <w:t>(see the charts below and pages</w:t>
      </w:r>
      <w:r>
        <w:rPr>
          <w:rFonts w:ascii="Arial" w:cs="Arial" w:eastAsia="Arial" w:hAnsi="Arial"/>
          <w:sz w:val="16"/>
          <w:szCs w:val="16"/>
          <w:b w:val="1"/>
          <w:bCs w:val="1"/>
          <w:color w:val="auto"/>
        </w:rPr>
        <w:t xml:space="preserve"> </w:t>
      </w:r>
      <w:r>
        <w:rPr>
          <w:rFonts w:ascii="Arial" w:cs="Arial" w:eastAsia="Arial" w:hAnsi="Arial"/>
          <w:sz w:val="16"/>
          <w:szCs w:val="16"/>
          <w:color w:val="auto"/>
        </w:rPr>
        <w:t>30, 32 and 34)</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Robust Stock Ownership Guidelines </w:t>
      </w:r>
      <w:r>
        <w:rPr>
          <w:rFonts w:ascii="Arial" w:cs="Arial" w:eastAsia="Arial" w:hAnsi="Arial"/>
          <w:sz w:val="16"/>
          <w:szCs w:val="16"/>
          <w:color w:val="auto"/>
        </w:rPr>
        <w:t>(see page 37)</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Equity Retention Requirement </w:t>
      </w:r>
      <w:r>
        <w:rPr>
          <w:rFonts w:ascii="Arial" w:cs="Arial" w:eastAsia="Arial" w:hAnsi="Arial"/>
          <w:sz w:val="16"/>
          <w:szCs w:val="16"/>
          <w:color w:val="auto"/>
        </w:rPr>
        <w:t>(see page 37)</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Annual Market Practices and Compensation Risk Review </w:t>
      </w:r>
      <w:r>
        <w:rPr>
          <w:rFonts w:ascii="Arial" w:cs="Arial" w:eastAsia="Arial" w:hAnsi="Arial"/>
          <w:sz w:val="16"/>
          <w:szCs w:val="16"/>
          <w:color w:val="auto"/>
        </w:rPr>
        <w:t>(see pages 31 and</w:t>
      </w:r>
      <w:r>
        <w:rPr>
          <w:rFonts w:ascii="Arial" w:cs="Arial" w:eastAsia="Arial" w:hAnsi="Arial"/>
          <w:sz w:val="16"/>
          <w:szCs w:val="16"/>
          <w:b w:val="1"/>
          <w:bCs w:val="1"/>
          <w:color w:val="auto"/>
        </w:rPr>
        <w:t xml:space="preserve"> </w:t>
      </w:r>
      <w:r>
        <w:rPr>
          <w:rFonts w:ascii="Arial" w:cs="Arial" w:eastAsia="Arial" w:hAnsi="Arial"/>
          <w:sz w:val="16"/>
          <w:szCs w:val="16"/>
          <w:color w:val="auto"/>
        </w:rPr>
        <w:t>54)</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Clawback of Incentive Compensation </w:t>
      </w:r>
      <w:r>
        <w:rPr>
          <w:rFonts w:ascii="Arial" w:cs="Arial" w:eastAsia="Arial" w:hAnsi="Arial"/>
          <w:sz w:val="16"/>
          <w:szCs w:val="16"/>
          <w:color w:val="auto"/>
        </w:rPr>
        <w:t>(see page 39)</w:t>
      </w:r>
    </w:p>
    <w:p>
      <w:pPr>
        <w:spacing w:after="0" w:line="12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 xml:space="preserve">Independent Compensation Consultant for Compensation Committee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pages 21 and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Excise Tax Gross-Ups </w:t>
      </w:r>
      <w:r>
        <w:rPr>
          <w:rFonts w:ascii="Arial" w:cs="Arial" w:eastAsia="Arial" w:hAnsi="Arial"/>
          <w:sz w:val="16"/>
          <w:szCs w:val="16"/>
          <w:color w:val="auto"/>
        </w:rPr>
        <w:t>(see page 39)</w:t>
      </w:r>
    </w:p>
    <w:p>
      <w:pPr>
        <w:spacing w:after="0" w:line="10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 xml:space="preserve">No Single-Trigger Change in Control Severance Benefits </w:t>
      </w:r>
      <w:r>
        <w:rPr>
          <w:rFonts w:ascii="Arial" w:cs="Arial" w:eastAsia="Arial" w:hAnsi="Arial"/>
          <w:sz w:val="16"/>
          <w:szCs w:val="16"/>
          <w:color w:val="auto"/>
        </w:rPr>
        <w:t>(see pages</w:t>
      </w:r>
      <w:r>
        <w:rPr>
          <w:rFonts w:ascii="Arial" w:cs="Arial" w:eastAsia="Arial" w:hAnsi="Arial"/>
          <w:sz w:val="16"/>
          <w:szCs w:val="16"/>
          <w:b w:val="1"/>
          <w:bCs w:val="1"/>
          <w:color w:val="auto"/>
        </w:rPr>
        <w:t xml:space="preserve"> </w:t>
      </w:r>
      <w:r>
        <w:rPr>
          <w:rFonts w:ascii="Arial" w:cs="Arial" w:eastAsia="Arial" w:hAnsi="Arial"/>
          <w:sz w:val="16"/>
          <w:szCs w:val="16"/>
          <w:color w:val="auto"/>
        </w:rPr>
        <w:t>38 to 39, 50 to 53)</w:t>
      </w:r>
    </w:p>
    <w:p>
      <w:pPr>
        <w:spacing w:after="0" w:line="6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 xml:space="preserve">No Single-Trigger Change in Control Vesting of Equity Awards </w:t>
      </w:r>
      <w:r>
        <w:rPr>
          <w:rFonts w:ascii="Arial" w:cs="Arial" w:eastAsia="Arial" w:hAnsi="Arial"/>
          <w:sz w:val="16"/>
          <w:szCs w:val="16"/>
          <w:color w:val="auto"/>
        </w:rPr>
        <w:t>(see</w:t>
      </w:r>
      <w:r>
        <w:rPr>
          <w:rFonts w:ascii="Arial" w:cs="Arial" w:eastAsia="Arial" w:hAnsi="Arial"/>
          <w:sz w:val="16"/>
          <w:szCs w:val="16"/>
          <w:b w:val="1"/>
          <w:bCs w:val="1"/>
          <w:color w:val="auto"/>
        </w:rPr>
        <w:t xml:space="preserve"> </w:t>
      </w:r>
      <w:r>
        <w:rPr>
          <w:rFonts w:ascii="Arial" w:cs="Arial" w:eastAsia="Arial" w:hAnsi="Arial"/>
          <w:sz w:val="16"/>
          <w:szCs w:val="16"/>
          <w:color w:val="auto"/>
        </w:rPr>
        <w:t>pages 38 to 39, 50 to 53)</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 Hedging or Pledging of Company Stock </w:t>
      </w:r>
      <w:r>
        <w:rPr>
          <w:rFonts w:ascii="Arial" w:cs="Arial" w:eastAsia="Arial" w:hAnsi="Arial"/>
          <w:sz w:val="16"/>
          <w:szCs w:val="16"/>
          <w:color w:val="auto"/>
        </w:rPr>
        <w:t>(see page 39)</w:t>
      </w:r>
    </w:p>
    <w:p>
      <w:pPr>
        <w:spacing w:after="0" w:line="1696" w:lineRule="exact"/>
        <w:rPr>
          <w:sz w:val="20"/>
          <w:szCs w:val="20"/>
          <w:color w:val="auto"/>
        </w:rPr>
      </w:pPr>
    </w:p>
    <w:p>
      <w:pPr>
        <w:sectPr>
          <w:pgSz w:w="11900" w:h="16838" w:orient="portrait"/>
          <w:cols w:equalWidth="0" w:num="2">
            <w:col w:w="5780" w:space="280"/>
            <w:col w:w="5360"/>
          </w:cols>
          <w:pgMar w:left="240" w:top="267" w:right="239" w:bottom="1440" w:gutter="0" w:footer="0" w:header="0"/>
          <w:type w:val="continuous"/>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2016 Target Total Direct Compensation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91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(Assuming Performance-Based Components at Target and not including Career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160655</wp:posOffset>
            </wp:positionV>
            <wp:extent cx="5651500" cy="2872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150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00"/>
        <w:spacing w:after="0"/>
        <w:tabs>
          <w:tab w:leader="none" w:pos="400" w:val="left"/>
          <w:tab w:leader="none" w:pos="1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29</w:t>
      </w:r>
    </w:p>
    <w:p>
      <w:pPr>
        <w:sectPr>
          <w:pgSz w:w="11900" w:h="16838" w:orient="portrait"/>
          <w:cols w:equalWidth="0" w:num="1">
            <w:col w:w="11420"/>
          </w:cols>
          <w:pgMar w:left="240" w:top="267"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00" w:lineRule="exact"/>
        <w:rPr>
          <w:sz w:val="20"/>
          <w:szCs w:val="20"/>
          <w:color w:val="auto"/>
        </w:rPr>
      </w:pPr>
    </w:p>
    <w:p>
      <w:pPr>
        <w:spacing w:after="0" w:line="25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will continue to monitor our executive compensation programs and consider appropriate modifications that will allow us to drive achievement of our business strategy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targeted financial results, meet our talent needs and maintain fully-competitive compensation programs and practices to maximize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-850265</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00"/>
            <w:col w:w="5460"/>
          </w:cols>
          <w:pgMar w:left="240" w:top="267" w:right="37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color w:val="auto"/>
        </w:rPr>
        <w:t>Pay-Performance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type w:val="continuous"/>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executive compensation program is designed to strongly align pay opportunities with performance outcomes. The Compensation Committee considers multiple perspectives in assessing the achievement of this critical objective. Specifically, the Compensation Committee reviews incentive payouts as a percentage of target, financial and total shareholder return (TSR) results, and the CEO’s three-year pay relative to the Comparator Group (as defined below). These analyses found that relative to the Comparator Group:</w:t>
      </w:r>
    </w:p>
    <w:p>
      <w:pPr>
        <w:spacing w:after="0" w:line="113" w:lineRule="exact"/>
        <w:rPr>
          <w:sz w:val="20"/>
          <w:szCs w:val="20"/>
          <w:color w:val="auto"/>
        </w:rPr>
      </w:pPr>
    </w:p>
    <w:p>
      <w:pPr>
        <w:ind w:left="340" w:right="40" w:hanging="332"/>
        <w:spacing w:after="0" w:line="253"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Named Executive Officers’ target pay levels are in the competitive range of market median, on average, with an emphasis on performance-based pay opportunities.</w:t>
      </w:r>
    </w:p>
    <w:p>
      <w:pPr>
        <w:spacing w:after="0" w:line="106" w:lineRule="exact"/>
        <w:rPr>
          <w:rFonts w:ascii="Arial" w:cs="Arial" w:eastAsia="Arial" w:hAnsi="Arial"/>
          <w:sz w:val="16"/>
          <w:szCs w:val="16"/>
          <w:color w:val="auto"/>
        </w:rPr>
      </w:pPr>
    </w:p>
    <w:p>
      <w:pPr>
        <w:ind w:left="340" w:right="320" w:hanging="332"/>
        <w:spacing w:after="0" w:line="260"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Lear’s incentive plan performance measures are well-aligned to its business strategy, correlative to TSR and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332" w:right="280"/>
        <w:spacing w:after="0" w:line="260" w:lineRule="auto"/>
        <w:rPr>
          <w:sz w:val="20"/>
          <w:szCs w:val="20"/>
          <w:color w:val="auto"/>
        </w:rPr>
      </w:pPr>
      <w:r>
        <w:rPr>
          <w:rFonts w:ascii="Arial" w:cs="Arial" w:eastAsia="Arial" w:hAnsi="Arial"/>
          <w:sz w:val="16"/>
          <w:szCs w:val="16"/>
          <w:color w:val="auto"/>
        </w:rPr>
        <w:t>are generally consistent with the measures used by the Comparator Group (and the broader industrial market).</w:t>
      </w:r>
    </w:p>
    <w:p>
      <w:pPr>
        <w:spacing w:after="0" w:line="101" w:lineRule="exact"/>
        <w:rPr>
          <w:sz w:val="20"/>
          <w:szCs w:val="20"/>
          <w:color w:val="auto"/>
        </w:rPr>
      </w:pPr>
    </w:p>
    <w:p>
      <w:pPr>
        <w:ind w:left="332" w:right="280" w:hanging="332"/>
        <w:spacing w:after="0" w:line="260" w:lineRule="auto"/>
        <w:tabs>
          <w:tab w:leader="none" w:pos="3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Lear’s annual incentive and performance share payouts are aligned with performance relative to the Comparator Group.</w:t>
      </w:r>
    </w:p>
    <w:p>
      <w:pPr>
        <w:spacing w:after="0" w:line="101" w:lineRule="exact"/>
        <w:rPr>
          <w:rFonts w:ascii="Arial" w:cs="Arial" w:eastAsia="Arial" w:hAnsi="Arial"/>
          <w:sz w:val="16"/>
          <w:szCs w:val="16"/>
          <w:color w:val="auto"/>
        </w:rPr>
      </w:pPr>
    </w:p>
    <w:p>
      <w:pPr>
        <w:ind w:left="332" w:right="40" w:hanging="332"/>
        <w:spacing w:after="0" w:line="249" w:lineRule="auto"/>
        <w:tabs>
          <w:tab w:leader="none" w:pos="3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CEO’s 2013 to 2015 aggregate “realizable pay” is well aligned with the Company’s relative TSR performance for the three years, 2013 to 2015 (which were the three most recent years of Comparator Group pay data that were publicly-disclosed at the time). This analysis considers pay granted during the three-year period and values equity awards using the stock price at the end of the period.</w:t>
      </w:r>
    </w:p>
    <w:p>
      <w:pPr>
        <w:spacing w:after="0" w:line="776" w:lineRule="exact"/>
        <w:rPr>
          <w:sz w:val="20"/>
          <w:szCs w:val="20"/>
          <w:color w:val="auto"/>
        </w:rPr>
      </w:pPr>
    </w:p>
    <w:p>
      <w:pPr>
        <w:sectPr>
          <w:pgSz w:w="11900" w:h="16838" w:orient="portrait"/>
          <w:cols w:equalWidth="0" w:num="2">
            <w:col w:w="5420" w:space="408"/>
            <w:col w:w="5452"/>
          </w:cols>
          <w:pgMar w:left="240" w:top="267" w:right="37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color w:val="auto"/>
        </w:rPr>
        <w:t>2016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type w:val="continuous"/>
        </w:sectPr>
      </w:pPr>
    </w:p>
    <w:p>
      <w:pPr>
        <w:spacing w:after="0" w:line="3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Compensation Committee reviewed the results of the 2016 stockholder advisory vote on Named Executive Officer compensation and incorporated the results as one of the many factors considered in connection with the discharge of its responsibilities. Since a substantial majority (over 98%) of</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our stockholders voting at the annual meeting approved the compensation program described in our 2016 Proxy Statement, the Compensation Committee did not implement changes to our executive compensation program as a direct result of the stockholders’ advisory vote.</w:t>
      </w:r>
    </w:p>
    <w:p>
      <w:pPr>
        <w:spacing w:after="0" w:line="200" w:lineRule="exact"/>
        <w:rPr>
          <w:sz w:val="20"/>
          <w:szCs w:val="20"/>
          <w:color w:val="auto"/>
        </w:rPr>
      </w:pPr>
    </w:p>
    <w:p>
      <w:pPr>
        <w:sectPr>
          <w:pgSz w:w="11900" w:h="16838" w:orient="portrait"/>
          <w:cols w:equalWidth="0" w:num="2">
            <w:col w:w="5420" w:space="400"/>
            <w:col w:w="5460"/>
          </w:cols>
          <w:pgMar w:left="240" w:top="267" w:right="37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color w:val="auto"/>
        </w:rPr>
        <w:t>Executive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The objectives of our compensation policies are to:</w:t>
      </w:r>
    </w:p>
    <w:p>
      <w:pPr>
        <w:spacing w:after="0" w:line="127" w:lineRule="exact"/>
        <w:rPr>
          <w:sz w:val="20"/>
          <w:szCs w:val="20"/>
          <w:color w:val="auto"/>
        </w:rPr>
      </w:pPr>
    </w:p>
    <w:p>
      <w:pPr>
        <w:ind w:left="100" w:hanging="92"/>
        <w:spacing w:after="0"/>
        <w:tabs>
          <w:tab w:leader="none" w:pos="1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link executive pay to Company performance;</w:t>
      </w:r>
    </w:p>
    <w:p>
      <w:pPr>
        <w:spacing w:after="0" w:line="126" w:lineRule="exact"/>
        <w:rPr>
          <w:rFonts w:ascii="Arial" w:cs="Arial" w:eastAsia="Arial" w:hAnsi="Arial"/>
          <w:sz w:val="16"/>
          <w:szCs w:val="16"/>
          <w:color w:val="auto"/>
        </w:rPr>
      </w:pPr>
    </w:p>
    <w:p>
      <w:pPr>
        <w:ind w:left="100" w:hanging="92"/>
        <w:spacing w:after="0"/>
        <w:tabs>
          <w:tab w:leader="none" w:pos="1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optimize profitability, cash flow and revenue growth, and return on investment;</w:t>
      </w:r>
    </w:p>
    <w:p>
      <w:pPr>
        <w:spacing w:after="0" w:line="126" w:lineRule="exact"/>
        <w:rPr>
          <w:rFonts w:ascii="Arial" w:cs="Arial" w:eastAsia="Arial" w:hAnsi="Arial"/>
          <w:sz w:val="16"/>
          <w:szCs w:val="16"/>
          <w:color w:val="auto"/>
        </w:rPr>
      </w:pPr>
    </w:p>
    <w:p>
      <w:pPr>
        <w:ind w:left="100" w:hanging="92"/>
        <w:spacing w:after="0"/>
        <w:tabs>
          <w:tab w:leader="none" w:pos="1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link the interests of management with those of stockholders;</w:t>
      </w:r>
    </w:p>
    <w:p>
      <w:pPr>
        <w:spacing w:after="0" w:line="126" w:lineRule="exact"/>
        <w:rPr>
          <w:rFonts w:ascii="Arial" w:cs="Arial" w:eastAsia="Arial" w:hAnsi="Arial"/>
          <w:sz w:val="16"/>
          <w:szCs w:val="16"/>
          <w:color w:val="auto"/>
        </w:rPr>
      </w:pPr>
    </w:p>
    <w:p>
      <w:pPr>
        <w:ind w:left="180" w:right="860" w:hanging="172"/>
        <w:spacing w:after="0" w:line="260" w:lineRule="auto"/>
        <w:tabs>
          <w:tab w:leader="none" w:pos="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align management’s compensation with our business strategy and compensation philosophy;</w:t>
      </w:r>
    </w:p>
    <w:p>
      <w:pPr>
        <w:spacing w:after="0" w:line="101" w:lineRule="exact"/>
        <w:rPr>
          <w:rFonts w:ascii="Arial" w:cs="Arial" w:eastAsia="Arial" w:hAnsi="Arial"/>
          <w:sz w:val="16"/>
          <w:szCs w:val="16"/>
          <w:color w:val="auto"/>
        </w:rPr>
      </w:pPr>
    </w:p>
    <w:p>
      <w:pPr>
        <w:ind w:left="180" w:right="460" w:hanging="172"/>
        <w:spacing w:after="0" w:line="260" w:lineRule="auto"/>
        <w:tabs>
          <w:tab w:leader="none" w:pos="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promote teamwork within our group of global managers (our “One Lear” concept); and</w:t>
      </w:r>
    </w:p>
    <w:p>
      <w:pPr>
        <w:spacing w:after="0" w:line="101" w:lineRule="exact"/>
        <w:rPr>
          <w:rFonts w:ascii="Arial" w:cs="Arial" w:eastAsia="Arial" w:hAnsi="Arial"/>
          <w:sz w:val="16"/>
          <w:szCs w:val="16"/>
          <w:color w:val="auto"/>
        </w:rPr>
      </w:pPr>
    </w:p>
    <w:p>
      <w:pPr>
        <w:ind w:left="100" w:hanging="92"/>
        <w:spacing w:after="0"/>
        <w:tabs>
          <w:tab w:leader="none" w:pos="1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attract, reward and retain the best executive talent.</w:t>
      </w:r>
    </w:p>
    <w:p>
      <w:pPr>
        <w:spacing w:after="0" w:line="316"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The Compensation Committee routinely reviews the elements noted above. In general, the Compensation Committee monitors compensation levels to ensure that a higher proportion of an executive’s total compensation is awarded in</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left="240" w:right="400"/>
        <w:spacing w:after="0" w:line="260" w:lineRule="auto"/>
        <w:rPr>
          <w:sz w:val="20"/>
          <w:szCs w:val="20"/>
          <w:color w:val="auto"/>
        </w:rPr>
      </w:pPr>
      <w:r>
        <w:rPr>
          <w:rFonts w:ascii="Arial" w:cs="Arial" w:eastAsia="Arial" w:hAnsi="Arial"/>
          <w:sz w:val="16"/>
          <w:szCs w:val="16"/>
          <w:color w:val="auto"/>
        </w:rPr>
        <w:t>To achieve these objectives, we believe that the total compensation program for executive officers should consist of the following:</w:t>
      </w:r>
    </w:p>
    <w:p>
      <w:pPr>
        <w:spacing w:after="0" w:line="101" w:lineRule="exact"/>
        <w:rPr>
          <w:sz w:val="20"/>
          <w:szCs w:val="20"/>
          <w:color w:val="auto"/>
        </w:rPr>
      </w:pPr>
    </w:p>
    <w:p>
      <w:pPr>
        <w:ind w:left="340" w:hanging="10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auto"/>
        </w:rPr>
      </w:pPr>
    </w:p>
    <w:p>
      <w:pPr>
        <w:ind w:left="340" w:hanging="10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annual incentives;</w:t>
      </w:r>
    </w:p>
    <w:p>
      <w:pPr>
        <w:spacing w:after="0" w:line="126" w:lineRule="exact"/>
        <w:rPr>
          <w:rFonts w:ascii="Arial" w:cs="Arial" w:eastAsia="Arial" w:hAnsi="Arial"/>
          <w:sz w:val="16"/>
          <w:szCs w:val="16"/>
          <w:color w:val="auto"/>
        </w:rPr>
      </w:pPr>
    </w:p>
    <w:p>
      <w:pPr>
        <w:ind w:left="340" w:hanging="10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long-term incentives;</w:t>
      </w:r>
    </w:p>
    <w:p>
      <w:pPr>
        <w:spacing w:after="0" w:line="126" w:lineRule="exact"/>
        <w:rPr>
          <w:rFonts w:ascii="Arial" w:cs="Arial" w:eastAsia="Arial" w:hAnsi="Arial"/>
          <w:sz w:val="16"/>
          <w:szCs w:val="16"/>
          <w:color w:val="auto"/>
        </w:rPr>
      </w:pPr>
    </w:p>
    <w:p>
      <w:pPr>
        <w:ind w:left="340" w:hanging="10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retirement plan benefits;</w:t>
      </w:r>
    </w:p>
    <w:p>
      <w:pPr>
        <w:spacing w:after="0" w:line="126" w:lineRule="exact"/>
        <w:rPr>
          <w:rFonts w:ascii="Arial" w:cs="Arial" w:eastAsia="Arial" w:hAnsi="Arial"/>
          <w:sz w:val="16"/>
          <w:szCs w:val="16"/>
          <w:color w:val="auto"/>
        </w:rPr>
      </w:pPr>
    </w:p>
    <w:p>
      <w:pPr>
        <w:ind w:left="340" w:hanging="10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health, welfare and other benefits; and</w:t>
      </w:r>
    </w:p>
    <w:p>
      <w:pPr>
        <w:spacing w:after="0" w:line="126" w:lineRule="exact"/>
        <w:rPr>
          <w:rFonts w:ascii="Arial" w:cs="Arial" w:eastAsia="Arial" w:hAnsi="Arial"/>
          <w:sz w:val="16"/>
          <w:szCs w:val="16"/>
          <w:color w:val="auto"/>
        </w:rPr>
      </w:pPr>
    </w:p>
    <w:p>
      <w:pPr>
        <w:ind w:left="340" w:hanging="102"/>
        <w:spacing w:after="0"/>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termination/change in control benefits.</w:t>
      </w:r>
    </w:p>
    <w:p>
      <w:pPr>
        <w:spacing w:after="0" w:line="200" w:lineRule="exact"/>
        <w:rPr>
          <w:sz w:val="20"/>
          <w:szCs w:val="20"/>
          <w:color w:val="auto"/>
        </w:rPr>
      </w:pPr>
    </w:p>
    <w:p>
      <w:pPr>
        <w:spacing w:after="0" w:line="305"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form of variable and performance-based components (dependent on Company performance) as the executive’s responsibilities increase.</w:t>
      </w:r>
    </w:p>
    <w:p>
      <w:pPr>
        <w:spacing w:after="0" w:line="571" w:lineRule="exact"/>
        <w:rPr>
          <w:sz w:val="20"/>
          <w:szCs w:val="20"/>
          <w:color w:val="auto"/>
        </w:rPr>
      </w:pPr>
    </w:p>
    <w:p>
      <w:pPr>
        <w:sectPr>
          <w:pgSz w:w="11900" w:h="16838" w:orient="portrait"/>
          <w:cols w:equalWidth="0" w:num="2">
            <w:col w:w="5700" w:space="120"/>
            <w:col w:w="5460"/>
          </w:cols>
          <w:pgMar w:left="240" w:top="267" w:right="37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color w:val="auto"/>
        </w:rPr>
        <w:t>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67" w:right="379" w:bottom="1440" w:gutter="0" w:footer="0" w:header="0"/>
          <w:type w:val="continuous"/>
        </w:sectPr>
      </w:pPr>
    </w:p>
    <w:p>
      <w:pPr>
        <w:spacing w:after="0" w:line="31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Compensation Committee targets base salaries, annual incentive awards, long-term incentive awards and total direct</w:t>
      </w:r>
    </w:p>
    <w:p>
      <w:pPr>
        <w:spacing w:after="0" w:line="238" w:lineRule="exact"/>
        <w:rPr>
          <w:sz w:val="20"/>
          <w:szCs w:val="20"/>
          <w:color w:val="auto"/>
        </w:rPr>
      </w:pPr>
    </w:p>
    <w:p>
      <w:pPr>
        <w:ind w:left="460" w:hanging="349"/>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compensation of our executives on average to be within a competitive range (i.e., +/- 10%) of the median of the</w:t>
      </w:r>
    </w:p>
    <w:p>
      <w:pPr>
        <w:sectPr>
          <w:pgSz w:w="11900" w:h="16838" w:orient="portrait"/>
          <w:cols w:equalWidth="0" w:num="2">
            <w:col w:w="5100" w:space="720"/>
            <w:col w:w="5460"/>
          </w:cols>
          <w:pgMar w:left="240" w:top="267" w:right="379" w:bottom="1440" w:gutter="0" w:footer="0" w:header="0"/>
          <w:type w:val="continuous"/>
        </w:sectPr>
      </w:pPr>
    </w:p>
    <w:bookmarkStart w:id="36" w:name="page37"/>
    <w:bookmarkEnd w:id="36"/>
    <w:p>
      <w:pPr>
        <w:ind w:left="8020"/>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ectPr>
          <w:pgSz w:w="11900" w:h="16838" w:orient="portrait"/>
          <w:cols w:equalWidth="0" w:num="1">
            <w:col w:w="11420"/>
          </w:cols>
          <w:pgMar w:left="240" w:top="267" w:right="239" w:bottom="1440" w:gutter="0" w:footer="0" w:header="0"/>
        </w:sectPr>
      </w:pPr>
    </w:p>
    <w:p>
      <w:pPr>
        <w:spacing w:after="0" w:line="21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Company’s comparator group (the “Comparator Group”). In addition to pay benchmarking, other factors (including our business strategy, talent needs, executives’ experience levels and cost) are considered in setting target pay. Actual compensation will vary based on such factors as external business conditions, the Company’s actual financial performance, an executive’s performance and achievement of specified management objectives. For 2016, the base salaries, targeted annual incentive awards, targeted long-term incentive awards and targeted total direct compensation for our Named Executive Officers were, on average, within the competitive range of market median for comparable positions within our Comparator Group.</w:t>
      </w:r>
    </w:p>
    <w:p>
      <w:pPr>
        <w:spacing w:after="0" w:line="9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companies in our Comparator Group are listed below. The criteria used to select the 21 peer companies focused 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automotive parts and equipment, industrial machinery, heavy trucks and other durable goods manufacturing companies, generally with the following specifics: (i) annual revenues typically ranging from 0.5 times to 2.0 times the Company’s revenues (with a median near the Company’s revenues);</w:t>
      </w:r>
    </w:p>
    <w:p>
      <w:pPr>
        <w:spacing w:after="0" w:line="2" w:lineRule="exact"/>
        <w:rPr>
          <w:sz w:val="20"/>
          <w:szCs w:val="20"/>
          <w:color w:val="auto"/>
        </w:rPr>
      </w:pPr>
    </w:p>
    <w:p>
      <w:pPr>
        <w:ind w:right="300" w:firstLine="8"/>
        <w:spacing w:after="0" w:line="248" w:lineRule="auto"/>
        <w:tabs>
          <w:tab w:leader="none" w:pos="225" w:val="left"/>
        </w:tabs>
        <w:numPr>
          <w:ilvl w:val="0"/>
          <w:numId w:val="64"/>
        </w:numPr>
        <w:rPr>
          <w:rFonts w:ascii="Arial" w:cs="Arial" w:eastAsia="Arial" w:hAnsi="Arial"/>
          <w:sz w:val="16"/>
          <w:szCs w:val="16"/>
          <w:color w:val="auto"/>
        </w:rPr>
      </w:pPr>
      <w:r>
        <w:rPr>
          <w:rFonts w:ascii="Arial" w:cs="Arial" w:eastAsia="Arial" w:hAnsi="Arial"/>
          <w:sz w:val="16"/>
          <w:szCs w:val="16"/>
          <w:color w:val="auto"/>
        </w:rPr>
        <w:t>global companies typically with U.S. headquarters; (iii) market capitalization typically ranging from 0.2 times to 5.0 times the Company’s market capitalization; and (iv) companies that are considered by independent proxy advisors to be the Company’s proxy peers. The Company supplements its review of the Comparator Group with a broader survey of general industrial companies (not individually selected or identified) for benchmarking of executive compensation levels and, as appropriate, compensation design practices.</w:t>
      </w:r>
    </w:p>
    <w:p>
      <w:pPr>
        <w:spacing w:after="0" w:line="320" w:lineRule="exact"/>
        <w:rPr>
          <w:sz w:val="20"/>
          <w:szCs w:val="20"/>
          <w:color w:val="auto"/>
        </w:rPr>
      </w:pPr>
    </w:p>
    <w:p>
      <w:pPr>
        <w:sectPr>
          <w:pgSz w:w="11900" w:h="16838" w:orient="portrait"/>
          <w:cols w:equalWidth="0" w:num="2">
            <w:col w:w="5460" w:space="360"/>
            <w:col w:w="5600"/>
          </w:cols>
          <w:pgMar w:left="240" w:top="267" w:right="239" w:bottom="1440" w:gutter="0" w:footer="0" w:header="0"/>
          <w:type w:val="continuous"/>
        </w:sectPr>
      </w:pPr>
    </w:p>
    <w:p>
      <w:pPr>
        <w:spacing w:after="0" w:line="50"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companies in the Comparator Group for 2016 (which did not change from 2015) are shown below. The revenues for this group in their most recently reported fiscal year ranged from $3.2 billion to $37.7 billion, with a median of $13.7 billion. Lear’s revenues for 2016 were $18.6 billion.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2016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shd w:val="clear" w:color="auto" w:fill="FCE9E8"/>
          </w:tcPr>
          <w:p>
            <w:pPr>
              <w:ind w:left="80"/>
              <w:spacing w:after="0"/>
              <w:rPr>
                <w:sz w:val="20"/>
                <w:szCs w:val="20"/>
                <w:color w:val="auto"/>
              </w:rPr>
            </w:pPr>
            <w:r>
              <w:rPr>
                <w:rFonts w:ascii="Arial" w:cs="Arial" w:eastAsia="Arial" w:hAnsi="Arial"/>
                <w:sz w:val="14"/>
                <w:szCs w:val="14"/>
                <w:color w:val="auto"/>
              </w:rPr>
              <w:t>BorgWarner Inc.</w:t>
            </w:r>
          </w:p>
        </w:tc>
        <w:tc>
          <w:tcPr>
            <w:tcW w:w="3080" w:type="dxa"/>
            <w:vAlign w:val="bottom"/>
            <w:shd w:val="clear" w:color="auto" w:fill="FCE9E8"/>
          </w:tcPr>
          <w:p>
            <w:pPr>
              <w:ind w:left="420"/>
              <w:spacing w:after="0"/>
              <w:rPr>
                <w:sz w:val="20"/>
                <w:szCs w:val="20"/>
                <w:color w:val="auto"/>
              </w:rPr>
            </w:pPr>
            <w:r>
              <w:rPr>
                <w:rFonts w:ascii="Arial" w:cs="Arial" w:eastAsia="Arial" w:hAnsi="Arial"/>
                <w:sz w:val="14"/>
                <w:szCs w:val="14"/>
                <w:color w:val="auto"/>
              </w:rPr>
              <w:t>Eaton Corporation plc</w:t>
            </w:r>
          </w:p>
        </w:tc>
        <w:tc>
          <w:tcPr>
            <w:tcW w:w="3040" w:type="dxa"/>
            <w:vAlign w:val="bottom"/>
            <w:shd w:val="clear" w:color="auto" w:fill="FCE9E8"/>
          </w:tcPr>
          <w:p>
            <w:pPr>
              <w:ind w:left="420"/>
              <w:spacing w:after="0"/>
              <w:rPr>
                <w:sz w:val="20"/>
                <w:szCs w:val="20"/>
                <w:color w:val="auto"/>
              </w:rPr>
            </w:pPr>
            <w:r>
              <w:rPr>
                <w:rFonts w:ascii="Arial" w:cs="Arial" w:eastAsia="Arial" w:hAnsi="Arial"/>
                <w:sz w:val="14"/>
                <w:szCs w:val="14"/>
                <w:color w:val="auto"/>
              </w:rPr>
              <w:t>Johnson Controls International plc</w:t>
            </w:r>
          </w:p>
        </w:tc>
        <w:tc>
          <w:tcPr>
            <w:tcW w:w="3300" w:type="dxa"/>
            <w:vAlign w:val="bottom"/>
            <w:shd w:val="clear" w:color="auto" w:fill="FCE9E8"/>
          </w:tcPr>
          <w:p>
            <w:pPr>
              <w:ind w:left="460"/>
              <w:spacing w:after="0"/>
              <w:rPr>
                <w:sz w:val="20"/>
                <w:szCs w:val="20"/>
                <w:color w:val="auto"/>
              </w:rPr>
            </w:pPr>
            <w:r>
              <w:rPr>
                <w:rFonts w:ascii="Arial" w:cs="Arial" w:eastAsia="Arial" w:hAnsi="Arial"/>
                <w:sz w:val="14"/>
                <w:szCs w:val="14"/>
                <w:color w:val="auto"/>
              </w:rPr>
              <w:t>Tenneco Inc.</w:t>
            </w:r>
          </w:p>
        </w:tc>
      </w:tr>
      <w:tr>
        <w:trPr>
          <w:trHeight w:val="162"/>
        </w:trPr>
        <w:tc>
          <w:tcPr>
            <w:tcW w:w="2000" w:type="dxa"/>
            <w:vAlign w:val="bottom"/>
          </w:tcPr>
          <w:p>
            <w:pPr>
              <w:ind w:left="80"/>
              <w:spacing w:after="0"/>
              <w:rPr>
                <w:sz w:val="20"/>
                <w:szCs w:val="20"/>
                <w:color w:val="auto"/>
              </w:rPr>
            </w:pPr>
            <w:r>
              <w:rPr>
                <w:rFonts w:ascii="Arial" w:cs="Arial" w:eastAsia="Arial" w:hAnsi="Arial"/>
                <w:sz w:val="14"/>
                <w:szCs w:val="14"/>
                <w:color w:val="auto"/>
              </w:rPr>
              <w:t>Cummins Inc.</w:t>
            </w:r>
          </w:p>
        </w:tc>
        <w:tc>
          <w:tcPr>
            <w:tcW w:w="3080" w:type="dxa"/>
            <w:vAlign w:val="bottom"/>
          </w:tcPr>
          <w:p>
            <w:pPr>
              <w:ind w:left="420"/>
              <w:spacing w:after="0"/>
              <w:rPr>
                <w:sz w:val="20"/>
                <w:szCs w:val="20"/>
                <w:color w:val="auto"/>
              </w:rPr>
            </w:pPr>
            <w:r>
              <w:rPr>
                <w:rFonts w:ascii="Arial" w:cs="Arial" w:eastAsia="Arial" w:hAnsi="Arial"/>
                <w:sz w:val="14"/>
                <w:szCs w:val="14"/>
                <w:color w:val="auto"/>
              </w:rPr>
              <w:t>Emerson Electric Co.</w:t>
            </w:r>
          </w:p>
        </w:tc>
        <w:tc>
          <w:tcPr>
            <w:tcW w:w="3040" w:type="dxa"/>
            <w:vAlign w:val="bottom"/>
          </w:tcPr>
          <w:p>
            <w:pPr>
              <w:ind w:left="420"/>
              <w:spacing w:after="0"/>
              <w:rPr>
                <w:sz w:val="20"/>
                <w:szCs w:val="20"/>
                <w:color w:val="auto"/>
              </w:rPr>
            </w:pPr>
            <w:r>
              <w:rPr>
                <w:rFonts w:ascii="Arial" w:cs="Arial" w:eastAsia="Arial" w:hAnsi="Arial"/>
                <w:sz w:val="14"/>
                <w:szCs w:val="14"/>
                <w:color w:val="auto"/>
              </w:rPr>
              <w:t>L-3 Technologies, Inc.</w:t>
            </w:r>
          </w:p>
        </w:tc>
        <w:tc>
          <w:tcPr>
            <w:tcW w:w="3300" w:type="dxa"/>
            <w:vAlign w:val="bottom"/>
          </w:tcPr>
          <w:p>
            <w:pPr>
              <w:ind w:left="460"/>
              <w:spacing w:after="0"/>
              <w:rPr>
                <w:sz w:val="20"/>
                <w:szCs w:val="20"/>
                <w:color w:val="auto"/>
              </w:rPr>
            </w:pPr>
            <w:r>
              <w:rPr>
                <w:rFonts w:ascii="Arial" w:cs="Arial" w:eastAsia="Arial" w:hAnsi="Arial"/>
                <w:sz w:val="14"/>
                <w:szCs w:val="14"/>
                <w:color w:val="auto"/>
              </w:rPr>
              <w:t>Textron Inc.</w:t>
            </w:r>
          </w:p>
        </w:tc>
      </w:tr>
      <w:tr>
        <w:trPr>
          <w:trHeight w:val="162"/>
        </w:trPr>
        <w:tc>
          <w:tcPr>
            <w:tcW w:w="2000" w:type="dxa"/>
            <w:vAlign w:val="bottom"/>
            <w:shd w:val="clear" w:color="auto" w:fill="FCE9E8"/>
          </w:tcPr>
          <w:p>
            <w:pPr>
              <w:ind w:left="80"/>
              <w:spacing w:after="0"/>
              <w:rPr>
                <w:sz w:val="20"/>
                <w:szCs w:val="20"/>
                <w:color w:val="auto"/>
              </w:rPr>
            </w:pPr>
            <w:r>
              <w:rPr>
                <w:rFonts w:ascii="Arial" w:cs="Arial" w:eastAsia="Arial" w:hAnsi="Arial"/>
                <w:sz w:val="14"/>
                <w:szCs w:val="14"/>
                <w:color w:val="auto"/>
              </w:rPr>
              <w:t>Dana, Inc.</w:t>
            </w:r>
          </w:p>
        </w:tc>
        <w:tc>
          <w:tcPr>
            <w:tcW w:w="3080" w:type="dxa"/>
            <w:vAlign w:val="bottom"/>
            <w:shd w:val="clear" w:color="auto" w:fill="FCE9E8"/>
          </w:tcPr>
          <w:p>
            <w:pPr>
              <w:ind w:left="420"/>
              <w:spacing w:after="0"/>
              <w:rPr>
                <w:sz w:val="20"/>
                <w:szCs w:val="20"/>
                <w:color w:val="auto"/>
              </w:rPr>
            </w:pPr>
            <w:r>
              <w:rPr>
                <w:rFonts w:ascii="Arial" w:cs="Arial" w:eastAsia="Arial" w:hAnsi="Arial"/>
                <w:sz w:val="14"/>
                <w:szCs w:val="14"/>
                <w:color w:val="auto"/>
              </w:rPr>
              <w:t>Goodyear Tire &amp; Rubber Company</w:t>
            </w:r>
          </w:p>
        </w:tc>
        <w:tc>
          <w:tcPr>
            <w:tcW w:w="3040" w:type="dxa"/>
            <w:vAlign w:val="bottom"/>
            <w:shd w:val="clear" w:color="auto" w:fill="FCE9E8"/>
          </w:tcPr>
          <w:p>
            <w:pPr>
              <w:ind w:left="420"/>
              <w:spacing w:after="0"/>
              <w:rPr>
                <w:sz w:val="20"/>
                <w:szCs w:val="20"/>
                <w:color w:val="auto"/>
              </w:rPr>
            </w:pPr>
            <w:r>
              <w:rPr>
                <w:rFonts w:ascii="Arial" w:cs="Arial" w:eastAsia="Arial" w:hAnsi="Arial"/>
                <w:sz w:val="14"/>
                <w:szCs w:val="14"/>
                <w:color w:val="auto"/>
              </w:rPr>
              <w:t>Navistar International Corporation</w:t>
            </w:r>
          </w:p>
        </w:tc>
        <w:tc>
          <w:tcPr>
            <w:tcW w:w="3300" w:type="dxa"/>
            <w:vAlign w:val="bottom"/>
            <w:shd w:val="clear" w:color="auto" w:fill="FCE9E8"/>
          </w:tcPr>
          <w:p>
            <w:pPr>
              <w:ind w:left="460"/>
              <w:spacing w:after="0"/>
              <w:rPr>
                <w:sz w:val="20"/>
                <w:szCs w:val="20"/>
                <w:color w:val="auto"/>
              </w:rPr>
            </w:pPr>
            <w:r>
              <w:rPr>
                <w:rFonts w:ascii="Arial" w:cs="Arial" w:eastAsia="Arial" w:hAnsi="Arial"/>
                <w:sz w:val="14"/>
                <w:szCs w:val="14"/>
                <w:color w:val="auto"/>
              </w:rPr>
              <w:t>ZF TRW Automotive Holdings Corp.</w:t>
            </w:r>
          </w:p>
        </w:tc>
      </w:tr>
      <w:tr>
        <w:trPr>
          <w:trHeight w:val="162"/>
        </w:trPr>
        <w:tc>
          <w:tcPr>
            <w:tcW w:w="2000" w:type="dxa"/>
            <w:vAlign w:val="bottom"/>
          </w:tcPr>
          <w:p>
            <w:pPr>
              <w:ind w:left="80"/>
              <w:spacing w:after="0"/>
              <w:rPr>
                <w:sz w:val="20"/>
                <w:szCs w:val="20"/>
                <w:color w:val="auto"/>
              </w:rPr>
            </w:pPr>
            <w:r>
              <w:rPr>
                <w:rFonts w:ascii="Arial" w:cs="Arial" w:eastAsia="Arial" w:hAnsi="Arial"/>
                <w:sz w:val="14"/>
                <w:szCs w:val="14"/>
                <w:color w:val="auto"/>
              </w:rPr>
              <w:t>Deere &amp; Company</w:t>
            </w:r>
          </w:p>
        </w:tc>
        <w:tc>
          <w:tcPr>
            <w:tcW w:w="3080" w:type="dxa"/>
            <w:vAlign w:val="bottom"/>
          </w:tcPr>
          <w:p>
            <w:pPr>
              <w:ind w:left="420"/>
              <w:spacing w:after="0"/>
              <w:rPr>
                <w:sz w:val="20"/>
                <w:szCs w:val="20"/>
                <w:color w:val="auto"/>
              </w:rPr>
            </w:pPr>
            <w:r>
              <w:rPr>
                <w:rFonts w:ascii="Arial" w:cs="Arial" w:eastAsia="Arial" w:hAnsi="Arial"/>
                <w:sz w:val="14"/>
                <w:szCs w:val="14"/>
                <w:color w:val="auto"/>
              </w:rPr>
              <w:t>Illinois Tool Works Inc.</w:t>
            </w:r>
          </w:p>
        </w:tc>
        <w:tc>
          <w:tcPr>
            <w:tcW w:w="3040" w:type="dxa"/>
            <w:vAlign w:val="bottom"/>
          </w:tcPr>
          <w:p>
            <w:pPr>
              <w:ind w:left="420"/>
              <w:spacing w:after="0"/>
              <w:rPr>
                <w:sz w:val="20"/>
                <w:szCs w:val="20"/>
                <w:color w:val="auto"/>
              </w:rPr>
            </w:pPr>
            <w:r>
              <w:rPr>
                <w:rFonts w:ascii="Arial" w:cs="Arial" w:eastAsia="Arial" w:hAnsi="Arial"/>
                <w:sz w:val="14"/>
                <w:szCs w:val="14"/>
                <w:color w:val="auto"/>
              </w:rPr>
              <w:t>PACCAR Inc.</w:t>
            </w:r>
          </w:p>
        </w:tc>
        <w:tc>
          <w:tcPr>
            <w:tcW w:w="3300" w:type="dxa"/>
            <w:vAlign w:val="bottom"/>
          </w:tcPr>
          <w:p>
            <w:pPr>
              <w:ind w:left="460"/>
              <w:spacing w:after="0"/>
              <w:rPr>
                <w:sz w:val="20"/>
                <w:szCs w:val="20"/>
                <w:color w:val="auto"/>
              </w:rPr>
            </w:pPr>
            <w:r>
              <w:rPr>
                <w:rFonts w:ascii="Arial" w:cs="Arial" w:eastAsia="Arial" w:hAnsi="Arial"/>
                <w:sz w:val="14"/>
                <w:szCs w:val="14"/>
                <w:color w:val="auto"/>
              </w:rPr>
              <w:t>Visteon Corporation</w:t>
            </w:r>
          </w:p>
        </w:tc>
      </w:tr>
      <w:tr>
        <w:trPr>
          <w:trHeight w:val="162"/>
        </w:trPr>
        <w:tc>
          <w:tcPr>
            <w:tcW w:w="2000" w:type="dxa"/>
            <w:vAlign w:val="bottom"/>
            <w:shd w:val="clear" w:color="auto" w:fill="FCE9E8"/>
          </w:tcPr>
          <w:p>
            <w:pPr>
              <w:ind w:left="80"/>
              <w:spacing w:after="0"/>
              <w:rPr>
                <w:sz w:val="20"/>
                <w:szCs w:val="20"/>
                <w:color w:val="auto"/>
              </w:rPr>
            </w:pPr>
            <w:r>
              <w:rPr>
                <w:rFonts w:ascii="Arial" w:cs="Arial" w:eastAsia="Arial" w:hAnsi="Arial"/>
                <w:sz w:val="14"/>
                <w:szCs w:val="14"/>
                <w:color w:val="auto"/>
              </w:rPr>
              <w:t>Delphi Automotive PLC</w:t>
            </w:r>
          </w:p>
        </w:tc>
        <w:tc>
          <w:tcPr>
            <w:tcW w:w="3080" w:type="dxa"/>
            <w:vAlign w:val="bottom"/>
            <w:shd w:val="clear" w:color="auto" w:fill="FCE9E8"/>
          </w:tcPr>
          <w:p>
            <w:pPr>
              <w:ind w:left="420"/>
              <w:spacing w:after="0"/>
              <w:rPr>
                <w:sz w:val="20"/>
                <w:szCs w:val="20"/>
                <w:color w:val="auto"/>
              </w:rPr>
            </w:pPr>
            <w:r>
              <w:rPr>
                <w:rFonts w:ascii="Arial" w:cs="Arial" w:eastAsia="Arial" w:hAnsi="Arial"/>
                <w:sz w:val="14"/>
                <w:szCs w:val="14"/>
                <w:color w:val="auto"/>
              </w:rPr>
              <w:t>Ingersoll-Rand Plc</w:t>
            </w:r>
          </w:p>
        </w:tc>
        <w:tc>
          <w:tcPr>
            <w:tcW w:w="3040" w:type="dxa"/>
            <w:vAlign w:val="bottom"/>
            <w:shd w:val="clear" w:color="auto" w:fill="FCE9E8"/>
          </w:tcPr>
          <w:p>
            <w:pPr>
              <w:ind w:left="420"/>
              <w:spacing w:after="0"/>
              <w:rPr>
                <w:sz w:val="20"/>
                <w:szCs w:val="20"/>
                <w:color w:val="auto"/>
              </w:rPr>
            </w:pPr>
            <w:r>
              <w:rPr>
                <w:rFonts w:ascii="Arial" w:cs="Arial" w:eastAsia="Arial" w:hAnsi="Arial"/>
                <w:sz w:val="14"/>
                <w:szCs w:val="14"/>
                <w:color w:val="auto"/>
              </w:rPr>
              <w:t>Parker-Hannifin Corporation</w:t>
            </w:r>
          </w:p>
        </w:tc>
        <w:tc>
          <w:tcPr>
            <w:tcW w:w="3300" w:type="dxa"/>
            <w:vAlign w:val="bottom"/>
            <w:shd w:val="clear" w:color="auto" w:fill="FCE9E8"/>
          </w:tcPr>
          <w:p>
            <w:pPr>
              <w:ind w:left="460"/>
              <w:spacing w:after="0"/>
              <w:rPr>
                <w:sz w:val="20"/>
                <w:szCs w:val="20"/>
                <w:color w:val="auto"/>
              </w:rPr>
            </w:pPr>
            <w:r>
              <w:rPr>
                <w:rFonts w:ascii="Arial" w:cs="Arial" w:eastAsia="Arial" w:hAnsi="Arial"/>
                <w:sz w:val="14"/>
                <w:szCs w:val="14"/>
                <w:color w:val="auto"/>
              </w:rPr>
              <w:t>Whirlpool Corporation</w:t>
            </w:r>
          </w:p>
        </w:tc>
      </w:tr>
      <w:tr>
        <w:trPr>
          <w:trHeight w:val="162"/>
        </w:trPr>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Dover Corporation</w:t>
            </w:r>
          </w:p>
        </w:tc>
        <w:tc>
          <w:tcPr>
            <w:tcW w:w="30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20"/>
          </w:cols>
          <w:pgMar w:left="240" w:top="267" w:right="239" w:bottom="1440" w:gutter="0" w:footer="0" w:header="0"/>
          <w:type w:val="continuous"/>
        </w:sectPr>
      </w:pP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2017, the Compensation Committee approved the following changes to the Comparator Group, which now includes a total of 19 companies: (i) the removal of three companies (Dana, Inc., Dover Corporation and Visteon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Corporation), due to their relatively smaller size, (ii) the removal of ZF TRW Automotive Holdings Corp., which was acquired in 2015, and (iii) the addition of two direct peers (Adient plc and Magna International Inc.).</w:t>
      </w:r>
    </w:p>
    <w:p>
      <w:pPr>
        <w:spacing w:after="0" w:line="200" w:lineRule="exact"/>
        <w:rPr>
          <w:sz w:val="20"/>
          <w:szCs w:val="20"/>
          <w:color w:val="auto"/>
        </w:rPr>
      </w:pPr>
    </w:p>
    <w:p>
      <w:pPr>
        <w:sectPr>
          <w:pgSz w:w="11900" w:h="16838" w:orient="portrait"/>
          <w:cols w:equalWidth="0" w:num="2">
            <w:col w:w="5400" w:space="420"/>
            <w:col w:w="5600"/>
          </w:cols>
          <w:pgMar w:left="240" w:top="267" w:right="2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color w:val="auto"/>
        </w:rPr>
        <w:t>Total Compensation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Compensation Committee annually reviews key elements of our executive compensation program, including materials setting forth the various components of compensation for our Named Executive Officers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including an analysis of the resulting impact created by a change in control of the Company. The Compensation Committee reviews total</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compensation summaries or tally sheets for our Named Executive Officers on an annual basis. Tally sheets provide for an overall assessment of our compensation program while ensuring the proper linkage to financial performance and stockholder interests. In addition, although each component is assessed independently, the total complement of the components must work in harmony to achieve a proper balance, which, in turn, helps manage compensation risk. We also annually complete a comprehensive compensation risk assessment with assistance from our outside legal counsel and Pay Governance.</w:t>
      </w:r>
    </w:p>
    <w:p>
      <w:pPr>
        <w:spacing w:after="0" w:line="390" w:lineRule="exact"/>
        <w:rPr>
          <w:sz w:val="20"/>
          <w:szCs w:val="20"/>
          <w:color w:val="auto"/>
        </w:rPr>
      </w:pPr>
    </w:p>
    <w:p>
      <w:pPr>
        <w:sectPr>
          <w:pgSz w:w="11900" w:h="16838" w:orient="portrait"/>
          <w:cols w:equalWidth="0" w:num="2">
            <w:col w:w="5480" w:space="340"/>
            <w:col w:w="5600"/>
          </w:cols>
          <w:pgMar w:left="240" w:top="267" w:right="2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color w:val="auto"/>
        </w:rPr>
        <w:t>Role of Management in Setting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human resources staff supports the Compensation Committee in its work. They also work with compensation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180"/>
        <w:spacing w:after="0" w:line="260" w:lineRule="auto"/>
        <w:rPr>
          <w:sz w:val="20"/>
          <w:szCs w:val="20"/>
          <w:color w:val="auto"/>
        </w:rPr>
      </w:pPr>
      <w:r>
        <w:rPr>
          <w:rFonts w:ascii="Arial" w:cs="Arial" w:eastAsia="Arial" w:hAnsi="Arial"/>
          <w:sz w:val="16"/>
          <w:szCs w:val="16"/>
          <w:color w:val="auto"/>
        </w:rPr>
        <w:t>consultants, whose engagements have been approved by the Compensation Committee, and with accountants, legal</w:t>
      </w:r>
    </w:p>
    <w:p>
      <w:pPr>
        <w:spacing w:after="0" w:line="200" w:lineRule="exact"/>
        <w:rPr>
          <w:sz w:val="20"/>
          <w:szCs w:val="20"/>
          <w:color w:val="auto"/>
        </w:rPr>
      </w:pPr>
    </w:p>
    <w:p>
      <w:pPr>
        <w:sectPr>
          <w:pgSz w:w="11900" w:h="16838" w:orient="portrait"/>
          <w:cols w:equalWidth="0" w:num="2">
            <w:col w:w="5160" w:space="660"/>
            <w:col w:w="5600"/>
          </w:cols>
          <w:pgMar w:left="240" w:top="267" w:right="239" w:bottom="1440" w:gutter="0" w:footer="0" w:header="0"/>
          <w:type w:val="continuous"/>
        </w:sectPr>
      </w:pPr>
    </w:p>
    <w:p>
      <w:pPr>
        <w:spacing w:after="0" w:line="52"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31</w:t>
      </w:r>
    </w:p>
    <w:p>
      <w:pPr>
        <w:sectPr>
          <w:pgSz w:w="11900" w:h="16838" w:orient="portrait"/>
          <w:cols w:equalWidth="0" w:num="1">
            <w:col w:w="11420"/>
          </w:cols>
          <w:pgMar w:left="240" w:top="267"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1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counsel and other advisors, as necessary, to implement the Compensation Committee’s decisions, to monitor evolving competitive practices and to make compensation recommendations to the Compensation Committee. The Compensation Committee has engaged Pay Governance as its independent compensation consultant to assist with the ongoing review of our executive and director compensation programs and to ensure that our programs are competitive and appropriate given the Company’s objectives and prevailing market practices, and, for most compensation topics for which the Compensation Committee is responsible, it has directed Pay Governance to work with management to develop recommendations that reflect the Compensation Committee’s objectives for the compensation program. Pay Governance performs no other services for the Company. The Compensation Committee has final authority to approve,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modify or reject these recommendations and to make its decisions in executive session. Our President and CEO provides input with respect to compensation of the executive officers (other than himself) but is otherwise not involved in decisions of the Compensation Committee affecting the compensation of our executive officers. While our CFO, General Counsel, Senior Vice President of Human Resources and other members of our human resources management attend such meetings to provide information, present materials to the Compensation Committee and answer related questions, they are not involved in decisions of the Compensation Committee affecting the compensation of our executive officers. The Compensation Committee typically meets in executive session after each of its regularly scheduled meetings to discuss executive compensation and make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-1769110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5480" w:space="340"/>
            <w:col w:w="5600"/>
          </w:cols>
          <w:pgMar w:left="240" w:top="267"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23"/>
          <w:szCs w:val="23"/>
          <w:color w:val="auto"/>
        </w:rPr>
        <w:t>Discretion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Compensation Committee generally has the discretion to make awards under our incentive plans to our executive officers, including the Named Executive Officers. The Compensation Committee did not exercise discretion in 2016</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to increase or reduce the size of any outstanding award or to award compensation when a performance goal was not achieved.</w:t>
      </w:r>
    </w:p>
    <w:p>
      <w:pPr>
        <w:spacing w:after="0" w:line="571" w:lineRule="exact"/>
        <w:rPr>
          <w:sz w:val="20"/>
          <w:szCs w:val="20"/>
          <w:color w:val="auto"/>
        </w:rPr>
      </w:pPr>
    </w:p>
    <w:p>
      <w:pPr>
        <w:sectPr>
          <w:pgSz w:w="11900" w:h="16838" w:orient="portrait"/>
          <w:cols w:equalWidth="0" w:num="2">
            <w:col w:w="5420" w:space="400"/>
            <w:col w:w="5600"/>
          </w:cols>
          <w:pgMar w:left="240" w:top="267" w:right="239"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Arial" w:cs="Arial" w:eastAsia="Arial" w:hAnsi="Arial"/>
          <w:sz w:val="23"/>
          <w:szCs w:val="23"/>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Our compensation program is designed to attract, motivate and retain executives through a mix of short-term and long-term compensation, fixed and variable pay and cash and equity-based compensation, while emphasizing our philosophy of pay for performance. A summary of the core total direct compensation elements (base salary, annual incentives and long-term incentives) follows below. Retirement plan benefits, termination/change in control benefits, and certain health, welfare and other benefits are not included in this table, but additional information about these programs can be found on pages 38 to 39:</w:t>
      </w: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60" w:type="dxa"/>
            <w:vAlign w:val="bottom"/>
          </w:tcPr>
          <w:p>
            <w:pPr>
              <w:jc w:val="center"/>
              <w:ind w:left="168"/>
              <w:spacing w:after="0"/>
              <w:rPr>
                <w:sz w:val="20"/>
                <w:szCs w:val="20"/>
                <w:color w:val="auto"/>
              </w:rPr>
            </w:pPr>
            <w:r>
              <w:rPr>
                <w:rFonts w:ascii="Arial" w:cs="Arial" w:eastAsia="Arial" w:hAnsi="Arial"/>
                <w:sz w:val="14"/>
                <w:szCs w:val="14"/>
                <w:b w:val="1"/>
                <w:bCs w:val="1"/>
                <w:color w:val="E2231A"/>
              </w:rPr>
              <w:t>Fixed vs.</w:t>
            </w:r>
          </w:p>
        </w:tc>
        <w:tc>
          <w:tcPr>
            <w:tcW w:w="980" w:type="dxa"/>
            <w:vAlign w:val="bottom"/>
          </w:tcPr>
          <w:p>
            <w:pPr>
              <w:jc w:val="center"/>
              <w:ind w:right="148"/>
              <w:spacing w:after="0"/>
              <w:rPr>
                <w:sz w:val="20"/>
                <w:szCs w:val="20"/>
                <w:color w:val="auto"/>
              </w:rPr>
            </w:pPr>
            <w:r>
              <w:rPr>
                <w:rFonts w:ascii="Arial" w:cs="Arial" w:eastAsia="Arial" w:hAnsi="Arial"/>
                <w:sz w:val="14"/>
                <w:szCs w:val="14"/>
                <w:b w:val="1"/>
                <w:bCs w:val="1"/>
                <w:color w:val="E2231A"/>
              </w:rPr>
              <w:t>Cash vs.</w:t>
            </w:r>
          </w:p>
        </w:tc>
        <w:tc>
          <w:tcPr>
            <w:tcW w:w="800" w:type="dxa"/>
            <w:vAlign w:val="bottom"/>
          </w:tcPr>
          <w:p>
            <w:pPr>
              <w:ind w:left="320"/>
              <w:spacing w:after="0"/>
              <w:rPr>
                <w:sz w:val="20"/>
                <w:szCs w:val="20"/>
                <w:color w:val="auto"/>
              </w:rPr>
            </w:pPr>
            <w:r>
              <w:rPr>
                <w:rFonts w:ascii="Arial" w:cs="Arial" w:eastAsia="Arial" w:hAnsi="Arial"/>
                <w:sz w:val="14"/>
                <w:szCs w:val="14"/>
                <w:b w:val="1"/>
                <w:bCs w:val="1"/>
                <w:color w:val="E2231A"/>
                <w:w w:val="98"/>
              </w:rPr>
              <w:t>Payout</w:t>
            </w:r>
          </w:p>
        </w:tc>
      </w:tr>
      <w:tr>
        <w:trPr>
          <w:trHeight w:val="204"/>
        </w:trPr>
        <w:tc>
          <w:tcPr>
            <w:tcW w:w="2100" w:type="dxa"/>
            <w:vAlign w:val="bottom"/>
          </w:tcPr>
          <w:p>
            <w:pPr>
              <w:spacing w:after="0"/>
              <w:rPr>
                <w:sz w:val="20"/>
                <w:szCs w:val="20"/>
                <w:color w:val="auto"/>
              </w:rPr>
            </w:pPr>
            <w:r>
              <w:rPr>
                <w:rFonts w:ascii="Arial" w:cs="Arial" w:eastAsia="Arial" w:hAnsi="Arial"/>
                <w:sz w:val="14"/>
                <w:szCs w:val="14"/>
                <w:b w:val="1"/>
                <w:bCs w:val="1"/>
                <w:color w:val="E2231A"/>
              </w:rPr>
              <w:t>Element</w:t>
            </w:r>
          </w:p>
        </w:tc>
        <w:tc>
          <w:tcPr>
            <w:tcW w:w="2980" w:type="dxa"/>
            <w:vAlign w:val="bottom"/>
          </w:tcPr>
          <w:p>
            <w:pPr>
              <w:ind w:left="1520"/>
              <w:spacing w:after="0"/>
              <w:rPr>
                <w:sz w:val="20"/>
                <w:szCs w:val="20"/>
                <w:color w:val="auto"/>
              </w:rPr>
            </w:pPr>
            <w:r>
              <w:rPr>
                <w:rFonts w:ascii="Arial" w:cs="Arial" w:eastAsia="Arial" w:hAnsi="Arial"/>
                <w:sz w:val="14"/>
                <w:szCs w:val="14"/>
                <w:b w:val="1"/>
                <w:bCs w:val="1"/>
                <w:color w:val="E2231A"/>
              </w:rPr>
              <w:t>Purpose</w:t>
            </w:r>
          </w:p>
        </w:tc>
        <w:tc>
          <w:tcPr>
            <w:tcW w:w="2920" w:type="dxa"/>
            <w:vAlign w:val="bottom"/>
          </w:tcPr>
          <w:p>
            <w:pPr>
              <w:ind w:left="880"/>
              <w:spacing w:after="0"/>
              <w:rPr>
                <w:sz w:val="20"/>
                <w:szCs w:val="20"/>
                <w:color w:val="auto"/>
              </w:rPr>
            </w:pPr>
            <w:r>
              <w:rPr>
                <w:rFonts w:ascii="Arial" w:cs="Arial" w:eastAsia="Arial" w:hAnsi="Arial"/>
                <w:sz w:val="14"/>
                <w:szCs w:val="14"/>
                <w:b w:val="1"/>
                <w:bCs w:val="1"/>
                <w:color w:val="E2231A"/>
              </w:rPr>
              <w:t>Performance Measure(s)</w:t>
            </w:r>
          </w:p>
        </w:tc>
        <w:tc>
          <w:tcPr>
            <w:tcW w:w="1060" w:type="dxa"/>
            <w:vAlign w:val="bottom"/>
          </w:tcPr>
          <w:p>
            <w:pPr>
              <w:jc w:val="center"/>
              <w:ind w:left="168"/>
              <w:spacing w:after="0"/>
              <w:rPr>
                <w:sz w:val="20"/>
                <w:szCs w:val="20"/>
                <w:color w:val="auto"/>
              </w:rPr>
            </w:pPr>
            <w:r>
              <w:rPr>
                <w:rFonts w:ascii="Arial" w:cs="Arial" w:eastAsia="Arial" w:hAnsi="Arial"/>
                <w:sz w:val="14"/>
                <w:szCs w:val="14"/>
                <w:b w:val="1"/>
                <w:bCs w:val="1"/>
                <w:color w:val="E2231A"/>
                <w:w w:val="99"/>
              </w:rPr>
              <w:t>Variable</w:t>
            </w:r>
          </w:p>
        </w:tc>
        <w:tc>
          <w:tcPr>
            <w:tcW w:w="980" w:type="dxa"/>
            <w:vAlign w:val="bottom"/>
          </w:tcPr>
          <w:p>
            <w:pPr>
              <w:jc w:val="center"/>
              <w:ind w:right="148"/>
              <w:spacing w:after="0"/>
              <w:rPr>
                <w:sz w:val="20"/>
                <w:szCs w:val="20"/>
                <w:color w:val="auto"/>
              </w:rPr>
            </w:pPr>
            <w:r>
              <w:rPr>
                <w:rFonts w:ascii="Arial" w:cs="Arial" w:eastAsia="Arial" w:hAnsi="Arial"/>
                <w:sz w:val="14"/>
                <w:szCs w:val="14"/>
                <w:b w:val="1"/>
                <w:bCs w:val="1"/>
                <w:color w:val="E2231A"/>
              </w:rPr>
              <w:t>Equity</w:t>
            </w:r>
          </w:p>
        </w:tc>
        <w:tc>
          <w:tcPr>
            <w:tcW w:w="800" w:type="dxa"/>
            <w:vAlign w:val="bottom"/>
          </w:tcPr>
          <w:p>
            <w:pPr>
              <w:ind w:left="340"/>
              <w:spacing w:after="0"/>
              <w:rPr>
                <w:sz w:val="20"/>
                <w:szCs w:val="20"/>
                <w:color w:val="auto"/>
              </w:rPr>
            </w:pPr>
            <w:r>
              <w:rPr>
                <w:rFonts w:ascii="Arial" w:cs="Arial" w:eastAsia="Arial" w:hAnsi="Arial"/>
                <w:sz w:val="14"/>
                <w:szCs w:val="14"/>
                <w:b w:val="1"/>
                <w:bCs w:val="1"/>
                <w:color w:val="E2231A"/>
              </w:rPr>
              <w:t>Range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3689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68935"/>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ind w:left="100"/>
        <w:spacing w:after="0"/>
        <w:tabs>
          <w:tab w:leader="none" w:pos="254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Provide a competitive rate</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of pay to attract, motivate and retain</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executive officers of the Company</w:t>
      </w:r>
    </w:p>
    <w:p>
      <w:pPr>
        <w:spacing w:after="0" w:line="5" w:lineRule="exact"/>
        <w:rPr>
          <w:sz w:val="20"/>
          <w:szCs w:val="20"/>
          <w:color w:val="auto"/>
        </w:rPr>
      </w:pPr>
    </w:p>
    <w:p>
      <w:pPr>
        <w:ind w:left="80"/>
        <w:spacing w:after="0"/>
        <w:tabs>
          <w:tab w:leader="none" w:pos="2540" w:val="left"/>
        </w:tabs>
        <w:rPr>
          <w:sz w:val="20"/>
          <w:szCs w:val="20"/>
          <w:color w:val="auto"/>
        </w:rPr>
      </w:pPr>
      <w:r>
        <w:rPr>
          <w:rFonts w:ascii="Arial" w:cs="Arial" w:eastAsia="Arial" w:hAnsi="Arial"/>
          <w:sz w:val="16"/>
          <w:szCs w:val="16"/>
          <w:color w:val="auto"/>
        </w:rPr>
        <w:t>Annual Incentive</w:t>
      </w:r>
      <w:r>
        <w:rPr>
          <w:sz w:val="20"/>
          <w:szCs w:val="20"/>
          <w:color w:val="auto"/>
        </w:rPr>
        <w:tab/>
      </w:r>
      <w:r>
        <w:rPr>
          <w:rFonts w:ascii="Arial" w:cs="Arial" w:eastAsia="Arial" w:hAnsi="Arial"/>
          <w:sz w:val="16"/>
          <w:szCs w:val="16"/>
          <w:color w:val="auto"/>
        </w:rPr>
        <w:t>Align a portion of annual pay to</w:t>
      </w:r>
    </w:p>
    <w:p>
      <w:pPr>
        <w:spacing w:after="0" w:line="5"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6"/>
          <w:szCs w:val="16"/>
          <w:color w:val="auto"/>
        </w:rPr>
        <w:t>Plan (AIP)</w:t>
      </w:r>
      <w:r>
        <w:rPr>
          <w:sz w:val="20"/>
          <w:szCs w:val="20"/>
          <w:color w:val="auto"/>
        </w:rPr>
        <w:tab/>
      </w:r>
      <w:r>
        <w:rPr>
          <w:rFonts w:ascii="Arial" w:cs="Arial" w:eastAsia="Arial" w:hAnsi="Arial"/>
          <w:sz w:val="16"/>
          <w:szCs w:val="16"/>
          <w:color w:val="auto"/>
        </w:rPr>
        <w:t>performance against key goals and</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objectives for the year</w:t>
      </w:r>
    </w:p>
    <w:p>
      <w:pPr>
        <w:spacing w:after="0" w:line="5"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6"/>
          <w:szCs w:val="16"/>
          <w:color w:val="auto"/>
        </w:rPr>
        <w:t>Performance</w:t>
      </w:r>
      <w:r>
        <w:rPr>
          <w:sz w:val="20"/>
          <w:szCs w:val="20"/>
          <w:color w:val="auto"/>
        </w:rPr>
        <w:tab/>
      </w:r>
      <w:r>
        <w:rPr>
          <w:rFonts w:ascii="Arial" w:cs="Arial" w:eastAsia="Arial" w:hAnsi="Arial"/>
          <w:sz w:val="16"/>
          <w:szCs w:val="16"/>
          <w:color w:val="auto"/>
        </w:rPr>
        <w:t>Align executive pay with long-term</w:t>
      </w:r>
    </w:p>
    <w:p>
      <w:pPr>
        <w:spacing w:after="0" w:line="5"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6"/>
          <w:szCs w:val="16"/>
          <w:color w:val="auto"/>
        </w:rPr>
        <w:t>Shares under</w:t>
      </w:r>
      <w:r>
        <w:rPr>
          <w:sz w:val="20"/>
          <w:szCs w:val="20"/>
          <w:color w:val="auto"/>
        </w:rPr>
        <w:tab/>
      </w:r>
      <w:r>
        <w:rPr>
          <w:rFonts w:ascii="Arial" w:cs="Arial" w:eastAsia="Arial" w:hAnsi="Arial"/>
          <w:sz w:val="16"/>
          <w:szCs w:val="16"/>
          <w:color w:val="auto"/>
        </w:rPr>
        <w:t>stockholder interests through equity-</w:t>
      </w:r>
    </w:p>
    <w:p>
      <w:pPr>
        <w:spacing w:after="0" w:line="5" w:lineRule="exact"/>
        <w:rPr>
          <w:sz w:val="20"/>
          <w:szCs w:val="20"/>
          <w:color w:val="auto"/>
        </w:rPr>
      </w:pPr>
    </w:p>
    <w:p>
      <w:pPr>
        <w:ind w:left="100"/>
        <w:spacing w:after="0"/>
        <w:tabs>
          <w:tab w:leader="none" w:pos="1440" w:val="left"/>
        </w:tabs>
        <w:rPr>
          <w:sz w:val="20"/>
          <w:szCs w:val="20"/>
          <w:color w:val="auto"/>
        </w:rPr>
      </w:pPr>
      <w:r>
        <w:rPr>
          <w:rFonts w:ascii="Arial" w:cs="Arial" w:eastAsia="Arial" w:hAnsi="Arial"/>
          <w:sz w:val="16"/>
          <w:szCs w:val="16"/>
          <w:color w:val="auto"/>
        </w:rPr>
        <w:t>Long-Term Stock</w:t>
        <w:tab/>
        <w:t>Incentive Plan based compensation tied to key</w:t>
      </w:r>
    </w:p>
    <w:p>
      <w:pPr>
        <w:spacing w:after="0" w:line="5"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6"/>
          <w:szCs w:val="16"/>
          <w:color w:val="auto"/>
        </w:rPr>
        <w:t>(LTSIP)</w:t>
      </w:r>
      <w:r>
        <w:rPr>
          <w:sz w:val="20"/>
          <w:szCs w:val="20"/>
          <w:color w:val="auto"/>
        </w:rPr>
        <w:tab/>
      </w:r>
      <w:r>
        <w:rPr>
          <w:rFonts w:ascii="Arial" w:cs="Arial" w:eastAsia="Arial" w:hAnsi="Arial"/>
          <w:sz w:val="16"/>
          <w:szCs w:val="16"/>
          <w:color w:val="auto"/>
        </w:rPr>
        <w:t>performance metrics of the Company</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over a three-year period</w:t>
      </w:r>
    </w:p>
    <w:p>
      <w:pPr>
        <w:spacing w:after="0" w:line="194"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6"/>
          <w:szCs w:val="16"/>
          <w:color w:val="auto"/>
        </w:rPr>
        <w:t>Restricted Stock</w:t>
      </w:r>
      <w:r>
        <w:rPr>
          <w:sz w:val="20"/>
          <w:szCs w:val="20"/>
          <w:color w:val="auto"/>
        </w:rPr>
        <w:tab/>
      </w:r>
      <w:r>
        <w:rPr>
          <w:rFonts w:ascii="Arial" w:cs="Arial" w:eastAsia="Arial" w:hAnsi="Arial"/>
          <w:sz w:val="16"/>
          <w:szCs w:val="16"/>
          <w:color w:val="auto"/>
        </w:rPr>
        <w:t>Align executive pay with long-term</w:t>
      </w:r>
    </w:p>
    <w:p>
      <w:pPr>
        <w:spacing w:after="0" w:line="5"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6"/>
          <w:szCs w:val="16"/>
          <w:color w:val="auto"/>
        </w:rPr>
        <w:t>Units (RSUs)</w:t>
      </w:r>
      <w:r>
        <w:rPr>
          <w:sz w:val="20"/>
          <w:szCs w:val="20"/>
          <w:color w:val="auto"/>
        </w:rPr>
        <w:tab/>
      </w:r>
      <w:r>
        <w:rPr>
          <w:rFonts w:ascii="Arial" w:cs="Arial" w:eastAsia="Arial" w:hAnsi="Arial"/>
          <w:sz w:val="16"/>
          <w:szCs w:val="16"/>
          <w:color w:val="auto"/>
        </w:rPr>
        <w:t>stockholder interests through equity-</w:t>
      </w:r>
    </w:p>
    <w:p>
      <w:pPr>
        <w:spacing w:after="0" w:line="5"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6"/>
          <w:szCs w:val="16"/>
          <w:color w:val="auto"/>
        </w:rPr>
        <w:t>under LTSIP</w:t>
      </w:r>
      <w:r>
        <w:rPr>
          <w:sz w:val="20"/>
          <w:szCs w:val="20"/>
          <w:color w:val="auto"/>
        </w:rPr>
        <w:tab/>
      </w:r>
      <w:r>
        <w:rPr>
          <w:rFonts w:ascii="Arial" w:cs="Arial" w:eastAsia="Arial" w:hAnsi="Arial"/>
          <w:sz w:val="16"/>
          <w:szCs w:val="16"/>
          <w:color w:val="auto"/>
        </w:rPr>
        <w:t>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spacing w:after="0"/>
              <w:rPr>
                <w:sz w:val="20"/>
                <w:szCs w:val="20"/>
                <w:color w:val="auto"/>
              </w:rPr>
            </w:pPr>
            <w:r>
              <w:rPr>
                <w:rFonts w:ascii="Arial" w:cs="Arial" w:eastAsia="Arial" w:hAnsi="Arial"/>
                <w:sz w:val="16"/>
                <w:szCs w:val="16"/>
                <w:color w:val="auto"/>
              </w:rPr>
              <w:t>Individual performance,</w:t>
            </w:r>
          </w:p>
        </w:tc>
        <w:tc>
          <w:tcPr>
            <w:tcW w:w="880" w:type="dxa"/>
            <w:vAlign w:val="bottom"/>
          </w:tcPr>
          <w:p>
            <w:pPr>
              <w:jc w:val="center"/>
              <w:spacing w:after="0"/>
              <w:rPr>
                <w:sz w:val="20"/>
                <w:szCs w:val="20"/>
                <w:color w:val="auto"/>
              </w:rPr>
            </w:pPr>
            <w:r>
              <w:rPr>
                <w:rFonts w:ascii="Arial" w:cs="Arial" w:eastAsia="Arial" w:hAnsi="Arial"/>
                <w:sz w:val="16"/>
                <w:szCs w:val="16"/>
                <w:color w:val="auto"/>
              </w:rPr>
              <w:t>Fixed</w:t>
            </w:r>
          </w:p>
        </w:tc>
        <w:tc>
          <w:tcPr>
            <w:tcW w:w="680" w:type="dxa"/>
            <w:vAlign w:val="bottom"/>
          </w:tcPr>
          <w:p>
            <w:pPr>
              <w:jc w:val="center"/>
              <w:spacing w:after="0"/>
              <w:rPr>
                <w:sz w:val="20"/>
                <w:szCs w:val="20"/>
                <w:color w:val="auto"/>
              </w:rPr>
            </w:pPr>
            <w:r>
              <w:rPr>
                <w:rFonts w:ascii="Arial" w:cs="Arial" w:eastAsia="Arial" w:hAnsi="Arial"/>
                <w:sz w:val="16"/>
                <w:szCs w:val="16"/>
                <w:color w:val="auto"/>
              </w:rPr>
              <w:t>Cash</w:t>
            </w:r>
          </w:p>
        </w:tc>
        <w:tc>
          <w:tcPr>
            <w:tcW w:w="1580" w:type="dxa"/>
            <w:vAlign w:val="bottom"/>
          </w:tcPr>
          <w:p>
            <w:pPr>
              <w:jc w:val="center"/>
              <w:ind w:left="39"/>
              <w:spacing w:after="0"/>
              <w:rPr>
                <w:sz w:val="20"/>
                <w:szCs w:val="20"/>
                <w:color w:val="auto"/>
              </w:rPr>
            </w:pPr>
            <w:r>
              <w:rPr>
                <w:rFonts w:ascii="Arial" w:cs="Arial" w:eastAsia="Arial" w:hAnsi="Arial"/>
                <w:sz w:val="16"/>
                <w:szCs w:val="16"/>
                <w:color w:val="auto"/>
                <w:w w:val="98"/>
              </w:rPr>
              <w:t>n/a</w:t>
            </w:r>
          </w:p>
        </w:tc>
      </w:tr>
      <w:tr>
        <w:trPr>
          <w:trHeight w:val="189"/>
        </w:trPr>
        <w:tc>
          <w:tcPr>
            <w:tcW w:w="2820" w:type="dxa"/>
            <w:vAlign w:val="bottom"/>
          </w:tcPr>
          <w:p>
            <w:pPr>
              <w:spacing w:after="0"/>
              <w:rPr>
                <w:sz w:val="20"/>
                <w:szCs w:val="20"/>
                <w:color w:val="auto"/>
              </w:rPr>
            </w:pPr>
            <w:r>
              <w:rPr>
                <w:rFonts w:ascii="Arial" w:cs="Arial" w:eastAsia="Arial" w:hAnsi="Arial"/>
                <w:sz w:val="16"/>
                <w:szCs w:val="16"/>
                <w:color w:val="auto"/>
              </w:rPr>
              <w:t>responsibilities, experience, time in</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2820" w:type="dxa"/>
            <w:vAlign w:val="bottom"/>
          </w:tcPr>
          <w:p>
            <w:pPr>
              <w:spacing w:after="0"/>
              <w:rPr>
                <w:sz w:val="20"/>
                <w:szCs w:val="20"/>
                <w:color w:val="auto"/>
              </w:rPr>
            </w:pPr>
            <w:r>
              <w:rPr>
                <w:rFonts w:ascii="Arial" w:cs="Arial" w:eastAsia="Arial" w:hAnsi="Arial"/>
                <w:sz w:val="16"/>
                <w:szCs w:val="16"/>
                <w:color w:val="auto"/>
              </w:rPr>
              <w:t>position and critical skills</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9"/>
        </w:trPr>
        <w:tc>
          <w:tcPr>
            <w:tcW w:w="2820" w:type="dxa"/>
            <w:vAlign w:val="bottom"/>
          </w:tcPr>
          <w:p>
            <w:pPr>
              <w:spacing w:after="0"/>
              <w:rPr>
                <w:sz w:val="20"/>
                <w:szCs w:val="20"/>
                <w:color w:val="auto"/>
              </w:rPr>
            </w:pPr>
            <w:r>
              <w:rPr>
                <w:rFonts w:ascii="Arial" w:cs="Arial" w:eastAsia="Arial" w:hAnsi="Arial"/>
                <w:sz w:val="16"/>
                <w:szCs w:val="16"/>
                <w:color w:val="auto"/>
              </w:rPr>
              <w:t>Adjusted Operating Income (50%)</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680" w:type="dxa"/>
            <w:vAlign w:val="bottom"/>
          </w:tcPr>
          <w:p>
            <w:pPr>
              <w:jc w:val="center"/>
              <w:spacing w:after="0"/>
              <w:rPr>
                <w:sz w:val="20"/>
                <w:szCs w:val="20"/>
                <w:color w:val="auto"/>
              </w:rPr>
            </w:pPr>
            <w:r>
              <w:rPr>
                <w:rFonts w:ascii="Arial" w:cs="Arial" w:eastAsia="Arial" w:hAnsi="Arial"/>
                <w:sz w:val="16"/>
                <w:szCs w:val="16"/>
                <w:color w:val="auto"/>
              </w:rPr>
              <w:t>Cash</w:t>
            </w:r>
          </w:p>
        </w:tc>
        <w:tc>
          <w:tcPr>
            <w:tcW w:w="1580" w:type="dxa"/>
            <w:vAlign w:val="bottom"/>
          </w:tcPr>
          <w:p>
            <w:pPr>
              <w:jc w:val="center"/>
              <w:ind w:left="19"/>
              <w:spacing w:after="0"/>
              <w:rPr>
                <w:sz w:val="20"/>
                <w:szCs w:val="20"/>
                <w:color w:val="auto"/>
              </w:rPr>
            </w:pPr>
            <w:r>
              <w:rPr>
                <w:rFonts w:ascii="Arial" w:cs="Arial" w:eastAsia="Arial" w:hAnsi="Arial"/>
                <w:sz w:val="16"/>
                <w:szCs w:val="16"/>
                <w:color w:val="auto"/>
              </w:rPr>
              <w:t>0-200% of target</w:t>
            </w:r>
          </w:p>
        </w:tc>
      </w:tr>
      <w:tr>
        <w:trPr>
          <w:trHeight w:val="195"/>
        </w:trPr>
        <w:tc>
          <w:tcPr>
            <w:tcW w:w="2820" w:type="dxa"/>
            <w:vAlign w:val="bottom"/>
          </w:tcPr>
          <w:p>
            <w:pPr>
              <w:spacing w:after="0"/>
              <w:rPr>
                <w:sz w:val="20"/>
                <w:szCs w:val="20"/>
                <w:color w:val="auto"/>
              </w:rPr>
            </w:pPr>
            <w:r>
              <w:rPr>
                <w:rFonts w:ascii="Arial" w:cs="Arial" w:eastAsia="Arial" w:hAnsi="Arial"/>
                <w:sz w:val="16"/>
                <w:szCs w:val="16"/>
                <w:color w:val="auto"/>
              </w:rPr>
              <w:t>Free Cash Flow (50%)</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73"/>
        </w:trPr>
        <w:tc>
          <w:tcPr>
            <w:tcW w:w="2820" w:type="dxa"/>
            <w:vAlign w:val="bottom"/>
          </w:tcPr>
          <w:p>
            <w:pPr>
              <w:spacing w:after="0"/>
              <w:rPr>
                <w:sz w:val="20"/>
                <w:szCs w:val="20"/>
                <w:color w:val="auto"/>
              </w:rPr>
            </w:pPr>
            <w:r>
              <w:rPr>
                <w:rFonts w:ascii="Arial" w:cs="Arial" w:eastAsia="Arial" w:hAnsi="Arial"/>
                <w:sz w:val="16"/>
                <w:szCs w:val="16"/>
                <w:color w:val="auto"/>
              </w:rPr>
              <w:t>Adjusted Return on Invested Capital</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580" w:type="dxa"/>
            <w:vAlign w:val="bottom"/>
          </w:tcPr>
          <w:p>
            <w:pPr>
              <w:jc w:val="center"/>
              <w:ind w:left="19"/>
              <w:spacing w:after="0"/>
              <w:rPr>
                <w:sz w:val="20"/>
                <w:szCs w:val="20"/>
                <w:color w:val="auto"/>
              </w:rPr>
            </w:pPr>
            <w:r>
              <w:rPr>
                <w:rFonts w:ascii="Arial" w:cs="Arial" w:eastAsia="Arial" w:hAnsi="Arial"/>
                <w:sz w:val="16"/>
                <w:szCs w:val="16"/>
                <w:color w:val="auto"/>
              </w:rPr>
              <w:t>0-200% of target</w:t>
            </w:r>
          </w:p>
        </w:tc>
      </w:tr>
      <w:tr>
        <w:trPr>
          <w:trHeight w:val="189"/>
        </w:trPr>
        <w:tc>
          <w:tcPr>
            <w:tcW w:w="2820" w:type="dxa"/>
            <w:vAlign w:val="bottom"/>
          </w:tcPr>
          <w:p>
            <w:pPr>
              <w:spacing w:after="0"/>
              <w:rPr>
                <w:sz w:val="20"/>
                <w:szCs w:val="20"/>
                <w:color w:val="auto"/>
              </w:rPr>
            </w:pPr>
            <w:r>
              <w:rPr>
                <w:rFonts w:ascii="Arial" w:cs="Arial" w:eastAsia="Arial" w:hAnsi="Arial"/>
                <w:sz w:val="16"/>
                <w:szCs w:val="16"/>
                <w:color w:val="auto"/>
              </w:rPr>
              <w:t>(ROIC) (66 2/3%)</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number of shares;</w:t>
            </w:r>
          </w:p>
        </w:tc>
      </w:tr>
      <w:tr>
        <w:trPr>
          <w:trHeight w:val="189"/>
        </w:trPr>
        <w:tc>
          <w:tcPr>
            <w:tcW w:w="2820" w:type="dxa"/>
            <w:vAlign w:val="bottom"/>
          </w:tcPr>
          <w:p>
            <w:pPr>
              <w:spacing w:after="0"/>
              <w:rPr>
                <w:sz w:val="20"/>
                <w:szCs w:val="20"/>
                <w:color w:val="auto"/>
              </w:rPr>
            </w:pPr>
            <w:r>
              <w:rPr>
                <w:rFonts w:ascii="Arial" w:cs="Arial" w:eastAsia="Arial" w:hAnsi="Arial"/>
                <w:sz w:val="16"/>
                <w:szCs w:val="16"/>
                <w:color w:val="auto"/>
              </w:rPr>
              <w:t>Cumulative Adjusted Pre-Tax Income</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jc w:val="center"/>
              <w:ind w:left="19"/>
              <w:spacing w:after="0"/>
              <w:rPr>
                <w:sz w:val="20"/>
                <w:szCs w:val="20"/>
                <w:color w:val="auto"/>
              </w:rPr>
            </w:pPr>
            <w:r>
              <w:rPr>
                <w:rFonts w:ascii="Arial" w:cs="Arial" w:eastAsia="Arial" w:hAnsi="Arial"/>
                <w:sz w:val="16"/>
                <w:szCs w:val="16"/>
                <w:color w:val="auto"/>
              </w:rPr>
              <w:t>Performance Share</w:t>
            </w:r>
          </w:p>
        </w:tc>
      </w:tr>
      <w:tr>
        <w:trPr>
          <w:trHeight w:val="189"/>
        </w:trPr>
        <w:tc>
          <w:tcPr>
            <w:tcW w:w="2820" w:type="dxa"/>
            <w:vAlign w:val="bottom"/>
          </w:tcPr>
          <w:p>
            <w:pPr>
              <w:spacing w:after="0"/>
              <w:rPr>
                <w:sz w:val="20"/>
                <w:szCs w:val="20"/>
                <w:color w:val="auto"/>
              </w:rPr>
            </w:pPr>
            <w:r>
              <w:rPr>
                <w:rFonts w:ascii="Arial" w:cs="Arial" w:eastAsia="Arial" w:hAnsi="Arial"/>
                <w:sz w:val="16"/>
                <w:szCs w:val="16"/>
                <w:color w:val="auto"/>
              </w:rPr>
              <w:t>(33 1/3%)</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value fluctuates with</w:t>
            </w:r>
          </w:p>
        </w:tc>
      </w:tr>
      <w:tr>
        <w:trPr>
          <w:trHeight w:val="189"/>
        </w:trPr>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stock price</w:t>
            </w:r>
          </w:p>
        </w:tc>
      </w:tr>
      <w:tr>
        <w:trPr>
          <w:trHeight w:val="189"/>
        </w:trPr>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jc w:val="center"/>
              <w:ind w:left="19"/>
              <w:spacing w:after="0"/>
              <w:rPr>
                <w:sz w:val="20"/>
                <w:szCs w:val="20"/>
                <w:color w:val="auto"/>
              </w:rPr>
            </w:pPr>
            <w:r>
              <w:rPr>
                <w:rFonts w:ascii="Arial" w:cs="Arial" w:eastAsia="Arial" w:hAnsi="Arial"/>
                <w:sz w:val="16"/>
                <w:szCs w:val="16"/>
                <w:color w:val="auto"/>
              </w:rPr>
              <w:t>movement</w:t>
            </w:r>
          </w:p>
        </w:tc>
      </w:tr>
      <w:tr>
        <w:trPr>
          <w:trHeight w:val="189"/>
        </w:trPr>
        <w:tc>
          <w:tcPr>
            <w:tcW w:w="2820" w:type="dxa"/>
            <w:vAlign w:val="bottom"/>
          </w:tcPr>
          <w:p>
            <w:pPr>
              <w:spacing w:after="0"/>
              <w:rPr>
                <w:sz w:val="20"/>
                <w:szCs w:val="20"/>
                <w:color w:val="auto"/>
              </w:rPr>
            </w:pPr>
            <w:r>
              <w:rPr>
                <w:rFonts w:ascii="Arial" w:cs="Arial" w:eastAsia="Arial" w:hAnsi="Arial"/>
                <w:sz w:val="16"/>
                <w:szCs w:val="16"/>
                <w:color w:val="auto"/>
              </w:rPr>
              <w:t>Stock price alignment</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Variable</w:t>
            </w:r>
          </w:p>
        </w:tc>
        <w:tc>
          <w:tcPr>
            <w:tcW w:w="680" w:type="dxa"/>
            <w:vAlign w:val="bottom"/>
          </w:tcPr>
          <w:p>
            <w:pPr>
              <w:jc w:val="center"/>
              <w:spacing w:after="0"/>
              <w:rPr>
                <w:sz w:val="20"/>
                <w:szCs w:val="20"/>
                <w:color w:val="auto"/>
              </w:rPr>
            </w:pPr>
            <w:r>
              <w:rPr>
                <w:rFonts w:ascii="Arial" w:cs="Arial" w:eastAsia="Arial" w:hAnsi="Arial"/>
                <w:sz w:val="16"/>
                <w:szCs w:val="16"/>
                <w:color w:val="auto"/>
                <w:w w:val="98"/>
              </w:rPr>
              <w:t>Equity</w:t>
            </w:r>
          </w:p>
        </w:tc>
        <w:tc>
          <w:tcPr>
            <w:tcW w:w="1580" w:type="dxa"/>
            <w:vAlign w:val="bottom"/>
          </w:tcPr>
          <w:p>
            <w:pPr>
              <w:jc w:val="center"/>
              <w:ind w:left="19"/>
              <w:spacing w:after="0"/>
              <w:rPr>
                <w:sz w:val="20"/>
                <w:szCs w:val="20"/>
                <w:color w:val="auto"/>
              </w:rPr>
            </w:pPr>
            <w:r>
              <w:rPr>
                <w:rFonts w:ascii="Arial" w:cs="Arial" w:eastAsia="Arial" w:hAnsi="Arial"/>
                <w:sz w:val="16"/>
                <w:szCs w:val="16"/>
                <w:color w:val="auto"/>
              </w:rPr>
              <w:t>Fluctuates with</w:t>
            </w:r>
          </w:p>
        </w:tc>
      </w:tr>
      <w:tr>
        <w:trPr>
          <w:trHeight w:val="189"/>
        </w:trPr>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stock price</w:t>
            </w:r>
          </w:p>
        </w:tc>
      </w:tr>
      <w:tr>
        <w:trPr>
          <w:trHeight w:val="195"/>
        </w:trPr>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jc w:val="center"/>
              <w:ind w:left="19"/>
              <w:spacing w:after="0"/>
              <w:rPr>
                <w:sz w:val="20"/>
                <w:szCs w:val="20"/>
                <w:color w:val="auto"/>
              </w:rPr>
            </w:pPr>
            <w:r>
              <w:rPr>
                <w:rFonts w:ascii="Arial" w:cs="Arial" w:eastAsia="Arial" w:hAnsi="Arial"/>
                <w:sz w:val="16"/>
                <w:szCs w:val="16"/>
                <w:color w:val="auto"/>
              </w:rPr>
              <w:t>movement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-1084580</wp:posOffset>
            </wp:positionV>
            <wp:extent cx="7246620" cy="7200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72009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3810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5220" w:space="240"/>
            <w:col w:w="5960"/>
          </w:cols>
          <w:pgMar w:left="240" w:top="267" w:right="239" w:bottom="1440" w:gutter="0" w:footer="0" w:header="0"/>
          <w:type w:val="continuous"/>
        </w:sectPr>
      </w:pPr>
    </w:p>
    <w:p>
      <w:pPr>
        <w:ind w:left="460" w:hanging="349"/>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20"/>
          </w:cols>
          <w:pgMar w:left="240" w:top="267" w:right="2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Narrative descriptions of the individual elements of compensation are set forth below.</w:t>
      </w:r>
    </w:p>
    <w:p>
      <w:pPr>
        <w:sectPr>
          <w:pgSz w:w="11900" w:h="16838" w:orient="portrait"/>
          <w:cols w:equalWidth="0" w:num="1">
            <w:col w:w="11420"/>
          </w:cols>
          <w:pgMar w:left="240" w:top="267" w:right="2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Base salary is used as an input for other elements of our compensation program. For example, annual incentive targets in 2016 were set as a percentage of base salary. Because the amount of base salary can establish the range of potential compensation for other elements, we take special care in establishing base salary levels.</w:t>
      </w:r>
    </w:p>
    <w:p>
      <w:pPr>
        <w:spacing w:after="0" w:line="95"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Base salaries for our Named Executive Officers are targeted, on average, around the median level for comparable positions within the Comparator Group and broader industrial survey, as appropriate. On an annual basis, we review respective responsibilities, individual performance, the Company’s business performance and base salary levels for senior executives at companies within the Comparator Group and broader industrial survey. Base salaries for our executive officers are established at levels considered appropriate in light of the duties and scope of responsibilities of each officer’s position and considering internal pay equity and their experience relative to industry peers. In this regard, the Compensation Committee also considers the compensation practices and financial performance of companies within the Comparator Group. Merit increases in base salary for our senior executives are also determined by the results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Board’s annual leadership review. At this review, our CEO assesses the performance of our top executives and presents his perspectives to our Board. Our CEO’s base salary and total compensation are reviewed by the Compensation Committee following the annual CEO performance review. Generally in February of each year, the CEO and Compensation Committee reach agreement on his goals and objectives for the upcoming year, and the Compensation Committee evaluates his performance for the prior year against the prior year’s agreed goals and objectives. Based on the 2016 review, only Mr. Vanneste’s base salary was increased, effective October 1, 2016, from $774,000 to $827,750, to remain competitive within the Comparator Group and to recognize his contributions within his role; the base salaries of the other Named Executive Officers did not change.</w:t>
      </w:r>
    </w:p>
    <w:p>
      <w:pPr>
        <w:spacing w:after="0" w:line="105"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Mr. Simoncini’s base salary is currently $1,354,500 (with an incentive-eligible salary of $1,260,000). Our CEO has traditionally received a lower percentage of his total compensation in the form of fixed amounts like base salary relative to our other executives in order to link more closely his compensation to the performance of the Company.</w:t>
      </w:r>
    </w:p>
    <w:p>
      <w:pPr>
        <w:spacing w:after="0" w:line="569" w:lineRule="exact"/>
        <w:rPr>
          <w:sz w:val="20"/>
          <w:szCs w:val="20"/>
          <w:color w:val="auto"/>
        </w:rPr>
      </w:pPr>
    </w:p>
    <w:p>
      <w:pPr>
        <w:sectPr>
          <w:pgSz w:w="11900" w:h="16838" w:orient="portrait"/>
          <w:cols w:equalWidth="0" w:num="2">
            <w:col w:w="5480" w:space="340"/>
            <w:col w:w="5600"/>
          </w:cols>
          <w:pgMar w:left="240" w:top="267" w:right="239" w:bottom="1440" w:gutter="0" w:footer="0" w:header="0"/>
          <w:type w:val="continuous"/>
        </w:sectPr>
      </w:pPr>
    </w:p>
    <w:p>
      <w:pPr>
        <w:spacing w:after="0" w:line="68"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33</w:t>
      </w:r>
    </w:p>
    <w:p>
      <w:pPr>
        <w:sectPr>
          <w:pgSz w:w="11900" w:h="16838" w:orient="portrait"/>
          <w:cols w:equalWidth="0" w:num="1">
            <w:col w:w="11420"/>
          </w:cols>
          <w:pgMar w:left="240" w:top="267"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Incentive Programs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for Performance</w:t>
      </w:r>
    </w:p>
    <w:p>
      <w:pPr>
        <w:spacing w:after="0" w:line="12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All of the annual incentive opportunity and the majority (75%) of the long-term incentive opportunity are determined based on specific performance measures that drive achievement of our business strategy while ensuring sharp focus on critical results. Time-based RSUs make up the remaining portion (25%) of our 2016 long-term incentive awards and derive their value from our stock price and dividends. In order to drive profitable growth with efficient capital management, we selected four complementary performance measures (which assess earnings, cash flow and capital management over annual or three-year periods) to use in our incentive plans for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Measure</w:t>
            </w:r>
          </w:p>
        </w:tc>
        <w:tc>
          <w:tcPr>
            <w:tcW w:w="940" w:type="dxa"/>
            <w:vAlign w:val="bottom"/>
            <w:tcBorders>
              <w:bottom w:val="single" w:sz="8" w:color="auto"/>
            </w:tcBorders>
          </w:tcPr>
          <w:p>
            <w:pPr>
              <w:jc w:val="center"/>
              <w:ind w:left="241"/>
              <w:spacing w:after="0"/>
              <w:rPr>
                <w:sz w:val="20"/>
                <w:szCs w:val="20"/>
                <w:color w:val="auto"/>
              </w:rPr>
            </w:pPr>
            <w:r>
              <w:rPr>
                <w:rFonts w:ascii="Arial" w:cs="Arial" w:eastAsia="Arial" w:hAnsi="Arial"/>
                <w:sz w:val="14"/>
                <w:szCs w:val="14"/>
                <w:b w:val="1"/>
                <w:bCs w:val="1"/>
                <w:color w:val="E2231A"/>
              </w:rPr>
              <w:t>Plan</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E2231A"/>
              </w:rPr>
              <w:t>Weighting</w:t>
            </w:r>
          </w:p>
        </w:tc>
        <w:tc>
          <w:tcPr>
            <w:tcW w:w="7100" w:type="dxa"/>
            <w:vAlign w:val="bottom"/>
            <w:tcBorders>
              <w:bottom w:val="single" w:sz="8" w:color="auto"/>
            </w:tcBorders>
          </w:tcPr>
          <w:p>
            <w:pPr>
              <w:ind w:left="3200"/>
              <w:spacing w:after="0"/>
              <w:rPr>
                <w:sz w:val="20"/>
                <w:szCs w:val="20"/>
                <w:color w:val="auto"/>
              </w:rPr>
            </w:pPr>
            <w:r>
              <w:rPr>
                <w:rFonts w:ascii="Arial" w:cs="Arial" w:eastAsia="Arial" w:hAnsi="Arial"/>
                <w:sz w:val="14"/>
                <w:szCs w:val="14"/>
                <w:b w:val="1"/>
                <w:bCs w:val="1"/>
                <w:color w:val="E2231A"/>
              </w:rPr>
              <w:t>Background</w:t>
            </w:r>
          </w:p>
        </w:tc>
      </w:tr>
      <w:tr>
        <w:trPr>
          <w:trHeight w:val="184"/>
        </w:trPr>
        <w:tc>
          <w:tcPr>
            <w:tcW w:w="2460" w:type="dxa"/>
            <w:vAlign w:val="bottom"/>
            <w:shd w:val="clear" w:color="auto" w:fill="FCE9E8"/>
          </w:tcPr>
          <w:p>
            <w:pPr>
              <w:ind w:left="80"/>
              <w:spacing w:after="0"/>
              <w:rPr>
                <w:sz w:val="20"/>
                <w:szCs w:val="20"/>
                <w:color w:val="auto"/>
              </w:rPr>
            </w:pPr>
            <w:r>
              <w:rPr>
                <w:rFonts w:ascii="Arial" w:cs="Arial" w:eastAsia="Arial" w:hAnsi="Arial"/>
                <w:sz w:val="16"/>
                <w:szCs w:val="16"/>
                <w:color w:val="auto"/>
              </w:rPr>
              <w:t>Adjusted Operating Income</w:t>
            </w:r>
          </w:p>
        </w:tc>
        <w:tc>
          <w:tcPr>
            <w:tcW w:w="940" w:type="dxa"/>
            <w:vAlign w:val="bottom"/>
            <w:shd w:val="clear" w:color="auto" w:fill="FCE9E8"/>
          </w:tcPr>
          <w:p>
            <w:pPr>
              <w:jc w:val="center"/>
              <w:ind w:left="241"/>
              <w:spacing w:after="0"/>
              <w:rPr>
                <w:sz w:val="20"/>
                <w:szCs w:val="20"/>
                <w:color w:val="auto"/>
              </w:rPr>
            </w:pPr>
            <w:r>
              <w:rPr>
                <w:rFonts w:ascii="Arial" w:cs="Arial" w:eastAsia="Arial" w:hAnsi="Arial"/>
                <w:sz w:val="16"/>
                <w:szCs w:val="16"/>
                <w:color w:val="auto"/>
              </w:rPr>
              <w:t>AIP</w:t>
            </w:r>
          </w:p>
        </w:tc>
        <w:tc>
          <w:tcPr>
            <w:tcW w:w="9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9"/>
              </w:rPr>
              <w:t>50%</w:t>
            </w:r>
          </w:p>
        </w:tc>
        <w:tc>
          <w:tcPr>
            <w:tcW w:w="7100" w:type="dxa"/>
            <w:vAlign w:val="bottom"/>
            <w:shd w:val="clear" w:color="auto" w:fill="FCE9E8"/>
          </w:tcPr>
          <w:p>
            <w:pPr>
              <w:ind w:left="140"/>
              <w:spacing w:after="0"/>
              <w:rPr>
                <w:sz w:val="20"/>
                <w:szCs w:val="20"/>
                <w:color w:val="auto"/>
              </w:rPr>
            </w:pPr>
            <w:r>
              <w:rPr>
                <w:rFonts w:ascii="Arial" w:cs="Arial" w:eastAsia="Arial" w:hAnsi="Arial"/>
                <w:sz w:val="16"/>
                <w:szCs w:val="16"/>
                <w:color w:val="auto"/>
              </w:rPr>
              <w:t>• Pre-tax income before equity income, interest, other expense, restructuring costs and other</w:t>
            </w:r>
          </w:p>
        </w:tc>
      </w:tr>
      <w:tr>
        <w:trPr>
          <w:trHeight w:val="195"/>
        </w:trPr>
        <w:tc>
          <w:tcPr>
            <w:tcW w:w="2460" w:type="dxa"/>
            <w:vAlign w:val="bottom"/>
            <w:shd w:val="clear" w:color="auto" w:fill="FCE9E8"/>
          </w:tcPr>
          <w:p>
            <w:pPr>
              <w:spacing w:after="0"/>
              <w:rPr>
                <w:sz w:val="16"/>
                <w:szCs w:val="16"/>
                <w:color w:val="auto"/>
              </w:rPr>
            </w:pPr>
          </w:p>
        </w:tc>
        <w:tc>
          <w:tcPr>
            <w:tcW w:w="94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7100" w:type="dxa"/>
            <w:vAlign w:val="bottom"/>
            <w:shd w:val="clear" w:color="auto" w:fill="FCE9E8"/>
          </w:tcPr>
          <w:p>
            <w:pPr>
              <w:ind w:left="300"/>
              <w:spacing w:after="0"/>
              <w:rPr>
                <w:sz w:val="20"/>
                <w:szCs w:val="20"/>
                <w:color w:val="auto"/>
              </w:rPr>
            </w:pPr>
            <w:r>
              <w:rPr>
                <w:rFonts w:ascii="Arial" w:cs="Arial" w:eastAsia="Arial" w:hAnsi="Arial"/>
                <w:sz w:val="16"/>
                <w:szCs w:val="16"/>
                <w:color w:val="auto"/>
              </w:rPr>
              <w:t>special items.</w:t>
            </w:r>
          </w:p>
        </w:tc>
      </w:tr>
      <w:tr>
        <w:trPr>
          <w:trHeight w:val="305"/>
        </w:trPr>
        <w:tc>
          <w:tcPr>
            <w:tcW w:w="2460" w:type="dxa"/>
            <w:vAlign w:val="bottom"/>
            <w:shd w:val="clear" w:color="auto" w:fill="FCE9E8"/>
          </w:tcPr>
          <w:p>
            <w:pPr>
              <w:spacing w:after="0"/>
              <w:rPr>
                <w:sz w:val="24"/>
                <w:szCs w:val="24"/>
                <w:color w:val="auto"/>
              </w:rPr>
            </w:pPr>
          </w:p>
        </w:tc>
        <w:tc>
          <w:tcPr>
            <w:tcW w:w="94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7100" w:type="dxa"/>
            <w:vAlign w:val="bottom"/>
            <w:shd w:val="clear" w:color="auto" w:fill="FCE9E8"/>
          </w:tcPr>
          <w:p>
            <w:pPr>
              <w:ind w:left="140"/>
              <w:spacing w:after="0"/>
              <w:rPr>
                <w:sz w:val="20"/>
                <w:szCs w:val="20"/>
                <w:color w:val="auto"/>
              </w:rPr>
            </w:pPr>
            <w:r>
              <w:rPr>
                <w:rFonts w:ascii="Arial" w:cs="Arial" w:eastAsia="Arial" w:hAnsi="Arial"/>
                <w:sz w:val="16"/>
                <w:szCs w:val="16"/>
                <w:color w:val="auto"/>
              </w:rPr>
              <w:t>• Adjusted Operating Income is a well understood operating metric that can be influenced by all</w:t>
            </w:r>
          </w:p>
        </w:tc>
      </w:tr>
      <w:tr>
        <w:trPr>
          <w:trHeight w:val="195"/>
        </w:trPr>
        <w:tc>
          <w:tcPr>
            <w:tcW w:w="2460" w:type="dxa"/>
            <w:vAlign w:val="bottom"/>
            <w:shd w:val="clear" w:color="auto" w:fill="FCE9E8"/>
          </w:tcPr>
          <w:p>
            <w:pPr>
              <w:spacing w:after="0"/>
              <w:rPr>
                <w:sz w:val="16"/>
                <w:szCs w:val="16"/>
                <w:color w:val="auto"/>
              </w:rPr>
            </w:pPr>
          </w:p>
        </w:tc>
        <w:tc>
          <w:tcPr>
            <w:tcW w:w="94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7100" w:type="dxa"/>
            <w:vAlign w:val="bottom"/>
            <w:shd w:val="clear" w:color="auto" w:fill="FCE9E8"/>
          </w:tcPr>
          <w:p>
            <w:pPr>
              <w:ind w:left="300"/>
              <w:spacing w:after="0"/>
              <w:rPr>
                <w:sz w:val="20"/>
                <w:szCs w:val="20"/>
                <w:color w:val="auto"/>
              </w:rPr>
            </w:pPr>
            <w:r>
              <w:rPr>
                <w:rFonts w:ascii="Arial" w:cs="Arial" w:eastAsia="Arial" w:hAnsi="Arial"/>
                <w:sz w:val="16"/>
                <w:szCs w:val="16"/>
                <w:color w:val="auto"/>
              </w:rPr>
              <w:t>levels of employees of the Company.</w:t>
            </w:r>
          </w:p>
        </w:tc>
      </w:tr>
      <w:tr>
        <w:trPr>
          <w:trHeight w:val="311"/>
        </w:trPr>
        <w:tc>
          <w:tcPr>
            <w:tcW w:w="2460" w:type="dxa"/>
            <w:vAlign w:val="bottom"/>
            <w:shd w:val="clear" w:color="auto" w:fill="FCE9E8"/>
          </w:tcPr>
          <w:p>
            <w:pPr>
              <w:spacing w:after="0"/>
              <w:rPr>
                <w:sz w:val="24"/>
                <w:szCs w:val="24"/>
                <w:color w:val="auto"/>
              </w:rPr>
            </w:pPr>
          </w:p>
        </w:tc>
        <w:tc>
          <w:tcPr>
            <w:tcW w:w="94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7100" w:type="dxa"/>
            <w:vAlign w:val="bottom"/>
            <w:shd w:val="clear" w:color="auto" w:fill="FCE9E8"/>
          </w:tcPr>
          <w:p>
            <w:pPr>
              <w:ind w:left="140"/>
              <w:spacing w:after="0"/>
              <w:rPr>
                <w:sz w:val="20"/>
                <w:szCs w:val="20"/>
                <w:color w:val="auto"/>
              </w:rPr>
            </w:pPr>
            <w:r>
              <w:rPr>
                <w:rFonts w:ascii="Arial" w:cs="Arial" w:eastAsia="Arial" w:hAnsi="Arial"/>
                <w:sz w:val="16"/>
                <w:szCs w:val="16"/>
                <w:color w:val="auto"/>
              </w:rPr>
              <w:t>• Provides motivation to maximize earnings from current operations.</w:t>
            </w:r>
          </w:p>
        </w:tc>
      </w:tr>
      <w:tr>
        <w:trPr>
          <w:trHeight w:val="128"/>
        </w:trPr>
        <w:tc>
          <w:tcPr>
            <w:tcW w:w="2460" w:type="dxa"/>
            <w:vAlign w:val="bottom"/>
            <w:shd w:val="clear" w:color="auto" w:fill="FCE9E8"/>
          </w:tcPr>
          <w:p>
            <w:pPr>
              <w:spacing w:after="0"/>
              <w:rPr>
                <w:sz w:val="11"/>
                <w:szCs w:val="11"/>
                <w:color w:val="auto"/>
              </w:rPr>
            </w:pPr>
          </w:p>
        </w:tc>
        <w:tc>
          <w:tcPr>
            <w:tcW w:w="940" w:type="dxa"/>
            <w:vAlign w:val="bottom"/>
            <w:shd w:val="clear" w:color="auto" w:fill="FCE9E8"/>
          </w:tcPr>
          <w:p>
            <w:pPr>
              <w:spacing w:after="0"/>
              <w:rPr>
                <w:sz w:val="11"/>
                <w:szCs w:val="11"/>
                <w:color w:val="auto"/>
              </w:rPr>
            </w:pPr>
          </w:p>
        </w:tc>
        <w:tc>
          <w:tcPr>
            <w:tcW w:w="920" w:type="dxa"/>
            <w:vAlign w:val="bottom"/>
            <w:shd w:val="clear" w:color="auto" w:fill="FCE9E8"/>
          </w:tcPr>
          <w:p>
            <w:pPr>
              <w:spacing w:after="0"/>
              <w:rPr>
                <w:sz w:val="11"/>
                <w:szCs w:val="11"/>
                <w:color w:val="auto"/>
              </w:rPr>
            </w:pPr>
          </w:p>
        </w:tc>
        <w:tc>
          <w:tcPr>
            <w:tcW w:w="7100" w:type="dxa"/>
            <w:vAlign w:val="bottom"/>
            <w:shd w:val="clear" w:color="auto" w:fill="FCE9E8"/>
          </w:tcPr>
          <w:p>
            <w:pPr>
              <w:spacing w:after="0"/>
              <w:rPr>
                <w:sz w:val="11"/>
                <w:szCs w:val="11"/>
                <w:color w:val="auto"/>
              </w:rPr>
            </w:pPr>
          </w:p>
        </w:tc>
      </w:tr>
      <w:tr>
        <w:trPr>
          <w:trHeight w:val="191"/>
        </w:trPr>
        <w:tc>
          <w:tcPr>
            <w:tcW w:w="2460" w:type="dxa"/>
            <w:vAlign w:val="bottom"/>
          </w:tcPr>
          <w:p>
            <w:pPr>
              <w:ind w:left="100"/>
              <w:spacing w:after="0"/>
              <w:rPr>
                <w:sz w:val="20"/>
                <w:szCs w:val="20"/>
                <w:color w:val="auto"/>
              </w:rPr>
            </w:pPr>
            <w:r>
              <w:rPr>
                <w:rFonts w:ascii="Arial" w:cs="Arial" w:eastAsia="Arial" w:hAnsi="Arial"/>
                <w:sz w:val="16"/>
                <w:szCs w:val="16"/>
                <w:color w:val="auto"/>
              </w:rPr>
              <w:t>Free Cash Flow</w:t>
            </w:r>
          </w:p>
        </w:tc>
        <w:tc>
          <w:tcPr>
            <w:tcW w:w="940" w:type="dxa"/>
            <w:vAlign w:val="bottom"/>
          </w:tcPr>
          <w:p>
            <w:pPr>
              <w:jc w:val="center"/>
              <w:ind w:left="241"/>
              <w:spacing w:after="0"/>
              <w:rPr>
                <w:sz w:val="20"/>
                <w:szCs w:val="20"/>
                <w:color w:val="auto"/>
              </w:rPr>
            </w:pPr>
            <w:r>
              <w:rPr>
                <w:rFonts w:ascii="Arial" w:cs="Arial" w:eastAsia="Arial" w:hAnsi="Arial"/>
                <w:sz w:val="16"/>
                <w:szCs w:val="16"/>
                <w:color w:val="auto"/>
              </w:rPr>
              <w:t>AIP</w:t>
            </w: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7100" w:type="dxa"/>
            <w:vAlign w:val="bottom"/>
          </w:tcPr>
          <w:p>
            <w:pPr>
              <w:ind w:left="140"/>
              <w:spacing w:after="0"/>
              <w:rPr>
                <w:sz w:val="20"/>
                <w:szCs w:val="20"/>
                <w:color w:val="auto"/>
              </w:rPr>
            </w:pPr>
            <w:r>
              <w:rPr>
                <w:rFonts w:ascii="Arial" w:cs="Arial" w:eastAsia="Arial" w:hAnsi="Arial"/>
                <w:sz w:val="16"/>
                <w:szCs w:val="16"/>
                <w:color w:val="auto"/>
              </w:rPr>
              <w:t>• Net cash provided by operating activities, less capital expenditures, excluding certain</w:t>
            </w:r>
          </w:p>
        </w:tc>
      </w:tr>
      <w:tr>
        <w:trPr>
          <w:trHeight w:val="195"/>
        </w:trPr>
        <w:tc>
          <w:tcPr>
            <w:tcW w:w="2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100" w:type="dxa"/>
            <w:vAlign w:val="bottom"/>
          </w:tcPr>
          <w:p>
            <w:pPr>
              <w:ind w:left="300"/>
              <w:spacing w:after="0"/>
              <w:rPr>
                <w:sz w:val="20"/>
                <w:szCs w:val="20"/>
                <w:color w:val="auto"/>
              </w:rPr>
            </w:pPr>
            <w:r>
              <w:rPr>
                <w:rFonts w:ascii="Arial" w:cs="Arial" w:eastAsia="Arial" w:hAnsi="Arial"/>
                <w:sz w:val="16"/>
                <w:szCs w:val="16"/>
                <w:color w:val="auto"/>
              </w:rPr>
              <w:t>transactions.</w:t>
            </w:r>
          </w:p>
        </w:tc>
      </w:tr>
      <w:tr>
        <w:trPr>
          <w:trHeight w:val="305"/>
        </w:trPr>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100" w:type="dxa"/>
            <w:vAlign w:val="bottom"/>
          </w:tcPr>
          <w:p>
            <w:pPr>
              <w:ind w:left="140"/>
              <w:spacing w:after="0"/>
              <w:rPr>
                <w:sz w:val="20"/>
                <w:szCs w:val="20"/>
                <w:color w:val="auto"/>
              </w:rPr>
            </w:pPr>
            <w:r>
              <w:rPr>
                <w:rFonts w:ascii="Arial" w:cs="Arial" w:eastAsia="Arial" w:hAnsi="Arial"/>
                <w:sz w:val="16"/>
                <w:szCs w:val="16"/>
                <w:color w:val="auto"/>
              </w:rPr>
              <w:t>• Free Cash Flow is a well understood operating metric that can be influenced by all levels of</w:t>
            </w:r>
          </w:p>
        </w:tc>
      </w:tr>
      <w:tr>
        <w:trPr>
          <w:trHeight w:val="195"/>
        </w:trPr>
        <w:tc>
          <w:tcPr>
            <w:tcW w:w="2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100" w:type="dxa"/>
            <w:vAlign w:val="bottom"/>
          </w:tcPr>
          <w:p>
            <w:pPr>
              <w:ind w:left="300"/>
              <w:spacing w:after="0"/>
              <w:rPr>
                <w:sz w:val="20"/>
                <w:szCs w:val="20"/>
                <w:color w:val="auto"/>
              </w:rPr>
            </w:pPr>
            <w:r>
              <w:rPr>
                <w:rFonts w:ascii="Arial" w:cs="Arial" w:eastAsia="Arial" w:hAnsi="Arial"/>
                <w:sz w:val="16"/>
                <w:szCs w:val="16"/>
                <w:color w:val="auto"/>
              </w:rPr>
              <w:t>employees of the Company.</w:t>
            </w:r>
          </w:p>
        </w:tc>
      </w:tr>
      <w:tr>
        <w:trPr>
          <w:trHeight w:val="305"/>
        </w:trPr>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100" w:type="dxa"/>
            <w:vAlign w:val="bottom"/>
          </w:tcPr>
          <w:p>
            <w:pPr>
              <w:ind w:left="140"/>
              <w:spacing w:after="0"/>
              <w:rPr>
                <w:sz w:val="20"/>
                <w:szCs w:val="20"/>
                <w:color w:val="auto"/>
              </w:rPr>
            </w:pPr>
            <w:r>
              <w:rPr>
                <w:rFonts w:ascii="Arial" w:cs="Arial" w:eastAsia="Arial" w:hAnsi="Arial"/>
                <w:sz w:val="16"/>
                <w:szCs w:val="16"/>
                <w:color w:val="auto"/>
              </w:rPr>
              <w:t>• Provides motivation to maximize cash flow through earnings and appropriate management of</w:t>
            </w:r>
          </w:p>
        </w:tc>
      </w:tr>
      <w:tr>
        <w:trPr>
          <w:trHeight w:val="195"/>
        </w:trPr>
        <w:tc>
          <w:tcPr>
            <w:tcW w:w="2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100" w:type="dxa"/>
            <w:vAlign w:val="bottom"/>
          </w:tcPr>
          <w:p>
            <w:pPr>
              <w:ind w:left="300"/>
              <w:spacing w:after="0"/>
              <w:rPr>
                <w:sz w:val="20"/>
                <w:szCs w:val="20"/>
                <w:color w:val="auto"/>
              </w:rPr>
            </w:pPr>
            <w:r>
              <w:rPr>
                <w:rFonts w:ascii="Arial" w:cs="Arial" w:eastAsia="Arial" w:hAnsi="Arial"/>
                <w:sz w:val="16"/>
                <w:szCs w:val="16"/>
                <w:color w:val="auto"/>
              </w:rPr>
              <w:t>working capital and investments.</w:t>
            </w:r>
          </w:p>
        </w:tc>
      </w:tr>
      <w:tr>
        <w:trPr>
          <w:trHeight w:val="128"/>
        </w:trPr>
        <w:tc>
          <w:tcPr>
            <w:tcW w:w="2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100" w:type="dxa"/>
            <w:vAlign w:val="bottom"/>
          </w:tcPr>
          <w:p>
            <w:pPr>
              <w:spacing w:after="0"/>
              <w:rPr>
                <w:sz w:val="11"/>
                <w:szCs w:val="11"/>
                <w:color w:val="auto"/>
              </w:rPr>
            </w:pPr>
          </w:p>
        </w:tc>
      </w:tr>
      <w:tr>
        <w:trPr>
          <w:trHeight w:val="191"/>
        </w:trPr>
        <w:tc>
          <w:tcPr>
            <w:tcW w:w="2460" w:type="dxa"/>
            <w:vAlign w:val="bottom"/>
            <w:shd w:val="clear" w:color="auto" w:fill="FCE9E8"/>
          </w:tcPr>
          <w:p>
            <w:pPr>
              <w:ind w:left="80"/>
              <w:spacing w:after="0"/>
              <w:rPr>
                <w:sz w:val="20"/>
                <w:szCs w:val="20"/>
                <w:color w:val="auto"/>
              </w:rPr>
            </w:pPr>
            <w:r>
              <w:rPr>
                <w:rFonts w:ascii="Arial" w:cs="Arial" w:eastAsia="Arial" w:hAnsi="Arial"/>
                <w:sz w:val="16"/>
                <w:szCs w:val="16"/>
                <w:color w:val="auto"/>
              </w:rPr>
              <w:t>Adjusted Return on</w:t>
            </w:r>
          </w:p>
        </w:tc>
        <w:tc>
          <w:tcPr>
            <w:tcW w:w="940" w:type="dxa"/>
            <w:vAlign w:val="bottom"/>
            <w:shd w:val="clear" w:color="auto" w:fill="FCE9E8"/>
          </w:tcPr>
          <w:p>
            <w:pPr>
              <w:jc w:val="center"/>
              <w:ind w:left="221"/>
              <w:spacing w:after="0"/>
              <w:rPr>
                <w:sz w:val="20"/>
                <w:szCs w:val="20"/>
                <w:color w:val="auto"/>
              </w:rPr>
            </w:pPr>
            <w:r>
              <w:rPr>
                <w:rFonts w:ascii="Arial" w:cs="Arial" w:eastAsia="Arial" w:hAnsi="Arial"/>
                <w:sz w:val="16"/>
                <w:szCs w:val="16"/>
                <w:color w:val="auto"/>
                <w:w w:val="98"/>
              </w:rPr>
              <w:t>LTSIP</w:t>
            </w:r>
          </w:p>
        </w:tc>
        <w:tc>
          <w:tcPr>
            <w:tcW w:w="92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66 2/3%</w:t>
            </w:r>
          </w:p>
        </w:tc>
        <w:tc>
          <w:tcPr>
            <w:tcW w:w="7100" w:type="dxa"/>
            <w:vAlign w:val="bottom"/>
            <w:shd w:val="clear" w:color="auto" w:fill="FCE9E8"/>
          </w:tcPr>
          <w:p>
            <w:pPr>
              <w:ind w:left="140"/>
              <w:spacing w:after="0"/>
              <w:rPr>
                <w:sz w:val="20"/>
                <w:szCs w:val="20"/>
                <w:color w:val="auto"/>
              </w:rPr>
            </w:pPr>
            <w:r>
              <w:rPr>
                <w:rFonts w:ascii="Arial" w:cs="Arial" w:eastAsia="Arial" w:hAnsi="Arial"/>
                <w:sz w:val="16"/>
                <w:szCs w:val="16"/>
                <w:color w:val="auto"/>
              </w:rPr>
              <w:t>• Based on Adjusted Operating Income and average invested capital for performance increments</w:t>
            </w:r>
          </w:p>
        </w:tc>
      </w:tr>
      <w:tr>
        <w:trPr>
          <w:trHeight w:val="195"/>
        </w:trPr>
        <w:tc>
          <w:tcPr>
            <w:tcW w:w="24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Invested Capital (ROIC)</w:t>
            </w:r>
          </w:p>
        </w:tc>
        <w:tc>
          <w:tcPr>
            <w:tcW w:w="94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7100" w:type="dxa"/>
            <w:vAlign w:val="bottom"/>
            <w:shd w:val="clear" w:color="auto" w:fill="FCE9E8"/>
          </w:tcPr>
          <w:p>
            <w:pPr>
              <w:ind w:left="300"/>
              <w:spacing w:after="0"/>
              <w:rPr>
                <w:sz w:val="20"/>
                <w:szCs w:val="20"/>
                <w:color w:val="auto"/>
              </w:rPr>
            </w:pPr>
            <w:r>
              <w:rPr>
                <w:rFonts w:ascii="Arial" w:cs="Arial" w:eastAsia="Arial" w:hAnsi="Arial"/>
                <w:sz w:val="16"/>
                <w:szCs w:val="16"/>
                <w:color w:val="auto"/>
              </w:rPr>
              <w:t>over the three-year performance period (2016-2018).</w:t>
            </w:r>
          </w:p>
        </w:tc>
      </w:tr>
      <w:tr>
        <w:trPr>
          <w:trHeight w:val="305"/>
        </w:trPr>
        <w:tc>
          <w:tcPr>
            <w:tcW w:w="2460" w:type="dxa"/>
            <w:vAlign w:val="bottom"/>
            <w:shd w:val="clear" w:color="auto" w:fill="FCE9E8"/>
          </w:tcPr>
          <w:p>
            <w:pPr>
              <w:spacing w:after="0"/>
              <w:rPr>
                <w:sz w:val="24"/>
                <w:szCs w:val="24"/>
                <w:color w:val="auto"/>
              </w:rPr>
            </w:pPr>
          </w:p>
        </w:tc>
        <w:tc>
          <w:tcPr>
            <w:tcW w:w="94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7100" w:type="dxa"/>
            <w:vAlign w:val="bottom"/>
            <w:shd w:val="clear" w:color="auto" w:fill="FCE9E8"/>
          </w:tcPr>
          <w:p>
            <w:pPr>
              <w:ind w:left="140"/>
              <w:spacing w:after="0"/>
              <w:rPr>
                <w:sz w:val="20"/>
                <w:szCs w:val="20"/>
                <w:color w:val="auto"/>
              </w:rPr>
            </w:pPr>
            <w:r>
              <w:rPr>
                <w:rFonts w:ascii="Arial" w:cs="Arial" w:eastAsia="Arial" w:hAnsi="Arial"/>
                <w:sz w:val="16"/>
                <w:szCs w:val="16"/>
                <w:color w:val="auto"/>
              </w:rPr>
              <w:t>• Adjusted ROIC is a well understood operating metric that focuses on the quality of earnings as</w:t>
            </w:r>
          </w:p>
        </w:tc>
      </w:tr>
      <w:tr>
        <w:trPr>
          <w:trHeight w:val="195"/>
        </w:trPr>
        <w:tc>
          <w:tcPr>
            <w:tcW w:w="2460" w:type="dxa"/>
            <w:vAlign w:val="bottom"/>
            <w:shd w:val="clear" w:color="auto" w:fill="FCE9E8"/>
          </w:tcPr>
          <w:p>
            <w:pPr>
              <w:spacing w:after="0"/>
              <w:rPr>
                <w:sz w:val="16"/>
                <w:szCs w:val="16"/>
                <w:color w:val="auto"/>
              </w:rPr>
            </w:pPr>
          </w:p>
        </w:tc>
        <w:tc>
          <w:tcPr>
            <w:tcW w:w="94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7100" w:type="dxa"/>
            <w:vAlign w:val="bottom"/>
            <w:shd w:val="clear" w:color="auto" w:fill="FCE9E8"/>
          </w:tcPr>
          <w:p>
            <w:pPr>
              <w:ind w:left="300"/>
              <w:spacing w:after="0"/>
              <w:rPr>
                <w:sz w:val="20"/>
                <w:szCs w:val="20"/>
                <w:color w:val="auto"/>
              </w:rPr>
            </w:pPr>
            <w:r>
              <w:rPr>
                <w:rFonts w:ascii="Arial" w:cs="Arial" w:eastAsia="Arial" w:hAnsi="Arial"/>
                <w:sz w:val="16"/>
                <w:szCs w:val="16"/>
                <w:color w:val="auto"/>
              </w:rPr>
              <w:t>measured by return on total capital invested in the business.</w:t>
            </w:r>
          </w:p>
        </w:tc>
      </w:tr>
      <w:tr>
        <w:trPr>
          <w:trHeight w:val="305"/>
        </w:trPr>
        <w:tc>
          <w:tcPr>
            <w:tcW w:w="2460" w:type="dxa"/>
            <w:vAlign w:val="bottom"/>
            <w:shd w:val="clear" w:color="auto" w:fill="FCE9E8"/>
          </w:tcPr>
          <w:p>
            <w:pPr>
              <w:spacing w:after="0"/>
              <w:rPr>
                <w:sz w:val="24"/>
                <w:szCs w:val="24"/>
                <w:color w:val="auto"/>
              </w:rPr>
            </w:pPr>
          </w:p>
        </w:tc>
        <w:tc>
          <w:tcPr>
            <w:tcW w:w="94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7100" w:type="dxa"/>
            <w:vAlign w:val="bottom"/>
            <w:shd w:val="clear" w:color="auto" w:fill="FCE9E8"/>
          </w:tcPr>
          <w:p>
            <w:pPr>
              <w:ind w:left="140"/>
              <w:spacing w:after="0"/>
              <w:rPr>
                <w:sz w:val="20"/>
                <w:szCs w:val="20"/>
                <w:color w:val="auto"/>
              </w:rPr>
            </w:pPr>
            <w:r>
              <w:rPr>
                <w:rFonts w:ascii="Arial" w:cs="Arial" w:eastAsia="Arial" w:hAnsi="Arial"/>
                <w:sz w:val="16"/>
                <w:szCs w:val="16"/>
                <w:color w:val="auto"/>
              </w:rPr>
              <w:t>• Provides long-term focus on generating adequate returns on capital balanced by the goal of</w:t>
            </w:r>
          </w:p>
        </w:tc>
      </w:tr>
      <w:tr>
        <w:trPr>
          <w:trHeight w:val="195"/>
        </w:trPr>
        <w:tc>
          <w:tcPr>
            <w:tcW w:w="2460" w:type="dxa"/>
            <w:vAlign w:val="bottom"/>
            <w:shd w:val="clear" w:color="auto" w:fill="FCE9E8"/>
          </w:tcPr>
          <w:p>
            <w:pPr>
              <w:spacing w:after="0"/>
              <w:rPr>
                <w:sz w:val="16"/>
                <w:szCs w:val="16"/>
                <w:color w:val="auto"/>
              </w:rPr>
            </w:pPr>
          </w:p>
        </w:tc>
        <w:tc>
          <w:tcPr>
            <w:tcW w:w="940" w:type="dxa"/>
            <w:vAlign w:val="bottom"/>
            <w:shd w:val="clear" w:color="auto" w:fill="FCE9E8"/>
          </w:tcPr>
          <w:p>
            <w:pPr>
              <w:spacing w:after="0"/>
              <w:rPr>
                <w:sz w:val="16"/>
                <w:szCs w:val="16"/>
                <w:color w:val="auto"/>
              </w:rPr>
            </w:pPr>
          </w:p>
        </w:tc>
        <w:tc>
          <w:tcPr>
            <w:tcW w:w="920" w:type="dxa"/>
            <w:vAlign w:val="bottom"/>
            <w:shd w:val="clear" w:color="auto" w:fill="FCE9E8"/>
          </w:tcPr>
          <w:p>
            <w:pPr>
              <w:spacing w:after="0"/>
              <w:rPr>
                <w:sz w:val="16"/>
                <w:szCs w:val="16"/>
                <w:color w:val="auto"/>
              </w:rPr>
            </w:pPr>
          </w:p>
        </w:tc>
        <w:tc>
          <w:tcPr>
            <w:tcW w:w="7100" w:type="dxa"/>
            <w:vAlign w:val="bottom"/>
            <w:shd w:val="clear" w:color="auto" w:fill="FCE9E8"/>
          </w:tcPr>
          <w:p>
            <w:pPr>
              <w:ind w:left="300"/>
              <w:spacing w:after="0"/>
              <w:rPr>
                <w:sz w:val="20"/>
                <w:szCs w:val="20"/>
                <w:color w:val="auto"/>
              </w:rPr>
            </w:pPr>
            <w:r>
              <w:rPr>
                <w:rFonts w:ascii="Arial" w:cs="Arial" w:eastAsia="Arial" w:hAnsi="Arial"/>
                <w:sz w:val="16"/>
                <w:szCs w:val="16"/>
                <w:color w:val="auto"/>
              </w:rPr>
              <w:t>profitable growth embedded in the annual incentive performance measures.</w:t>
            </w:r>
          </w:p>
        </w:tc>
      </w:tr>
      <w:tr>
        <w:trPr>
          <w:trHeight w:val="311"/>
        </w:trPr>
        <w:tc>
          <w:tcPr>
            <w:tcW w:w="2460" w:type="dxa"/>
            <w:vAlign w:val="bottom"/>
            <w:shd w:val="clear" w:color="auto" w:fill="FCE9E8"/>
          </w:tcPr>
          <w:p>
            <w:pPr>
              <w:spacing w:after="0"/>
              <w:rPr>
                <w:sz w:val="24"/>
                <w:szCs w:val="24"/>
                <w:color w:val="auto"/>
              </w:rPr>
            </w:pPr>
          </w:p>
        </w:tc>
        <w:tc>
          <w:tcPr>
            <w:tcW w:w="940" w:type="dxa"/>
            <w:vAlign w:val="bottom"/>
            <w:shd w:val="clear" w:color="auto" w:fill="FCE9E8"/>
          </w:tcPr>
          <w:p>
            <w:pPr>
              <w:spacing w:after="0"/>
              <w:rPr>
                <w:sz w:val="24"/>
                <w:szCs w:val="24"/>
                <w:color w:val="auto"/>
              </w:rPr>
            </w:pPr>
          </w:p>
        </w:tc>
        <w:tc>
          <w:tcPr>
            <w:tcW w:w="920" w:type="dxa"/>
            <w:vAlign w:val="bottom"/>
            <w:shd w:val="clear" w:color="auto" w:fill="FCE9E8"/>
          </w:tcPr>
          <w:p>
            <w:pPr>
              <w:spacing w:after="0"/>
              <w:rPr>
                <w:sz w:val="24"/>
                <w:szCs w:val="24"/>
                <w:color w:val="auto"/>
              </w:rPr>
            </w:pPr>
          </w:p>
        </w:tc>
        <w:tc>
          <w:tcPr>
            <w:tcW w:w="7100" w:type="dxa"/>
            <w:vAlign w:val="bottom"/>
            <w:shd w:val="clear" w:color="auto" w:fill="FCE9E8"/>
          </w:tcPr>
          <w:p>
            <w:pPr>
              <w:ind w:left="140"/>
              <w:spacing w:after="0"/>
              <w:rPr>
                <w:sz w:val="20"/>
                <w:szCs w:val="20"/>
                <w:color w:val="auto"/>
              </w:rPr>
            </w:pPr>
            <w:r>
              <w:rPr>
                <w:rFonts w:ascii="Arial" w:cs="Arial" w:eastAsia="Arial" w:hAnsi="Arial"/>
                <w:sz w:val="16"/>
                <w:szCs w:val="16"/>
                <w:color w:val="auto"/>
              </w:rPr>
              <w:t>• Desired goal is to generate returns in excess of the Company’s cost of capital.</w:t>
            </w:r>
          </w:p>
        </w:tc>
      </w:tr>
      <w:tr>
        <w:trPr>
          <w:trHeight w:val="128"/>
        </w:trPr>
        <w:tc>
          <w:tcPr>
            <w:tcW w:w="2460" w:type="dxa"/>
            <w:vAlign w:val="bottom"/>
            <w:shd w:val="clear" w:color="auto" w:fill="FCE9E8"/>
          </w:tcPr>
          <w:p>
            <w:pPr>
              <w:spacing w:after="0"/>
              <w:rPr>
                <w:sz w:val="11"/>
                <w:szCs w:val="11"/>
                <w:color w:val="auto"/>
              </w:rPr>
            </w:pPr>
          </w:p>
        </w:tc>
        <w:tc>
          <w:tcPr>
            <w:tcW w:w="940" w:type="dxa"/>
            <w:vAlign w:val="bottom"/>
            <w:shd w:val="clear" w:color="auto" w:fill="FCE9E8"/>
          </w:tcPr>
          <w:p>
            <w:pPr>
              <w:spacing w:after="0"/>
              <w:rPr>
                <w:sz w:val="11"/>
                <w:szCs w:val="11"/>
                <w:color w:val="auto"/>
              </w:rPr>
            </w:pPr>
          </w:p>
        </w:tc>
        <w:tc>
          <w:tcPr>
            <w:tcW w:w="920" w:type="dxa"/>
            <w:vAlign w:val="bottom"/>
            <w:shd w:val="clear" w:color="auto" w:fill="FCE9E8"/>
          </w:tcPr>
          <w:p>
            <w:pPr>
              <w:spacing w:after="0"/>
              <w:rPr>
                <w:sz w:val="11"/>
                <w:szCs w:val="11"/>
                <w:color w:val="auto"/>
              </w:rPr>
            </w:pPr>
          </w:p>
        </w:tc>
        <w:tc>
          <w:tcPr>
            <w:tcW w:w="7100" w:type="dxa"/>
            <w:vAlign w:val="bottom"/>
            <w:shd w:val="clear" w:color="auto" w:fill="FCE9E8"/>
          </w:tcPr>
          <w:p>
            <w:pPr>
              <w:spacing w:after="0"/>
              <w:rPr>
                <w:sz w:val="11"/>
                <w:szCs w:val="11"/>
                <w:color w:val="auto"/>
              </w:rPr>
            </w:pPr>
          </w:p>
        </w:tc>
      </w:tr>
      <w:tr>
        <w:trPr>
          <w:trHeight w:val="191"/>
        </w:trPr>
        <w:tc>
          <w:tcPr>
            <w:tcW w:w="2460" w:type="dxa"/>
            <w:vAlign w:val="bottom"/>
          </w:tcPr>
          <w:p>
            <w:pPr>
              <w:ind w:left="100"/>
              <w:spacing w:after="0"/>
              <w:rPr>
                <w:sz w:val="20"/>
                <w:szCs w:val="20"/>
                <w:color w:val="auto"/>
              </w:rPr>
            </w:pPr>
            <w:r>
              <w:rPr>
                <w:rFonts w:ascii="Arial" w:cs="Arial" w:eastAsia="Arial" w:hAnsi="Arial"/>
                <w:sz w:val="16"/>
                <w:szCs w:val="16"/>
                <w:color w:val="auto"/>
              </w:rPr>
              <w:t>Cumulative Adjusted</w:t>
            </w:r>
          </w:p>
        </w:tc>
        <w:tc>
          <w:tcPr>
            <w:tcW w:w="940" w:type="dxa"/>
            <w:vAlign w:val="bottom"/>
          </w:tcPr>
          <w:p>
            <w:pPr>
              <w:jc w:val="center"/>
              <w:ind w:left="221"/>
              <w:spacing w:after="0"/>
              <w:rPr>
                <w:sz w:val="20"/>
                <w:szCs w:val="20"/>
                <w:color w:val="auto"/>
              </w:rPr>
            </w:pPr>
            <w:r>
              <w:rPr>
                <w:rFonts w:ascii="Arial" w:cs="Arial" w:eastAsia="Arial" w:hAnsi="Arial"/>
                <w:sz w:val="16"/>
                <w:szCs w:val="16"/>
                <w:color w:val="auto"/>
                <w:w w:val="98"/>
              </w:rPr>
              <w:t>LTSIP</w:t>
            </w:r>
          </w:p>
        </w:tc>
        <w:tc>
          <w:tcPr>
            <w:tcW w:w="920" w:type="dxa"/>
            <w:vAlign w:val="bottom"/>
          </w:tcPr>
          <w:p>
            <w:pPr>
              <w:jc w:val="center"/>
              <w:spacing w:after="0"/>
              <w:rPr>
                <w:sz w:val="20"/>
                <w:szCs w:val="20"/>
                <w:color w:val="auto"/>
              </w:rPr>
            </w:pPr>
            <w:r>
              <w:rPr>
                <w:rFonts w:ascii="Arial" w:cs="Arial" w:eastAsia="Arial" w:hAnsi="Arial"/>
                <w:sz w:val="16"/>
                <w:szCs w:val="16"/>
                <w:color w:val="auto"/>
              </w:rPr>
              <w:t>33 1/3%</w:t>
            </w:r>
          </w:p>
        </w:tc>
        <w:tc>
          <w:tcPr>
            <w:tcW w:w="7100" w:type="dxa"/>
            <w:vAlign w:val="bottom"/>
          </w:tcPr>
          <w:p>
            <w:pPr>
              <w:ind w:left="140"/>
              <w:spacing w:after="0"/>
              <w:rPr>
                <w:sz w:val="20"/>
                <w:szCs w:val="20"/>
                <w:color w:val="auto"/>
              </w:rPr>
            </w:pPr>
            <w:r>
              <w:rPr>
                <w:rFonts w:ascii="Arial" w:cs="Arial" w:eastAsia="Arial" w:hAnsi="Arial"/>
                <w:sz w:val="16"/>
                <w:szCs w:val="16"/>
                <w:color w:val="auto"/>
              </w:rPr>
              <w:t>• Cumulative consolidated adjusted net income for the three-year performance period (2016-</w:t>
            </w:r>
          </w:p>
        </w:tc>
      </w:tr>
      <w:tr>
        <w:trPr>
          <w:trHeight w:val="195"/>
        </w:trPr>
        <w:tc>
          <w:tcPr>
            <w:tcW w:w="2460" w:type="dxa"/>
            <w:vAlign w:val="bottom"/>
          </w:tcPr>
          <w:p>
            <w:pPr>
              <w:ind w:left="100"/>
              <w:spacing w:after="0"/>
              <w:rPr>
                <w:sz w:val="20"/>
                <w:szCs w:val="20"/>
                <w:color w:val="auto"/>
              </w:rPr>
            </w:pPr>
            <w:r>
              <w:rPr>
                <w:rFonts w:ascii="Arial" w:cs="Arial" w:eastAsia="Arial" w:hAnsi="Arial"/>
                <w:sz w:val="16"/>
                <w:szCs w:val="16"/>
                <w:color w:val="auto"/>
              </w:rPr>
              <w:t>Pre-Tax Income</w:t>
            </w: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100" w:type="dxa"/>
            <w:vAlign w:val="bottom"/>
          </w:tcPr>
          <w:p>
            <w:pPr>
              <w:ind w:left="300"/>
              <w:spacing w:after="0"/>
              <w:rPr>
                <w:sz w:val="20"/>
                <w:szCs w:val="20"/>
                <w:color w:val="auto"/>
              </w:rPr>
            </w:pPr>
            <w:r>
              <w:rPr>
                <w:rFonts w:ascii="Arial" w:cs="Arial" w:eastAsia="Arial" w:hAnsi="Arial"/>
                <w:sz w:val="16"/>
                <w:szCs w:val="16"/>
                <w:color w:val="auto"/>
              </w:rPr>
              <w:t>2018) before a provision for income taxes, excluding certain transactions.</w:t>
            </w:r>
          </w:p>
        </w:tc>
      </w:tr>
    </w:tbl>
    <w:p>
      <w:pPr>
        <w:spacing w:after="0" w:line="116" w:lineRule="exact"/>
        <w:rPr>
          <w:sz w:val="20"/>
          <w:szCs w:val="20"/>
          <w:color w:val="auto"/>
        </w:rPr>
      </w:pPr>
    </w:p>
    <w:p>
      <w:pPr>
        <w:ind w:left="4620" w:right="20" w:hanging="161"/>
        <w:spacing w:after="0" w:line="260" w:lineRule="auto"/>
        <w:rPr>
          <w:sz w:val="20"/>
          <w:szCs w:val="20"/>
          <w:color w:val="auto"/>
        </w:rPr>
      </w:pPr>
      <w:r>
        <w:rPr>
          <w:rFonts w:ascii="Arial" w:cs="Arial" w:eastAsia="Arial" w:hAnsi="Arial"/>
          <w:sz w:val="16"/>
          <w:szCs w:val="16"/>
          <w:color w:val="auto"/>
        </w:rPr>
        <w:t>• Focuses on earnings generated from products sold, encouraging profitable revenue growth and efficient management of costs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Incentives</w:t>
      </w:r>
    </w:p>
    <w:p>
      <w:pPr>
        <w:spacing w:after="0" w:line="19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executive officers participate in the Annual Incentive Plan (“AIP”). Under the AIP, the Compensation Committee provides annual cash incentive award opportunities for the achievement of financial performance goals considered important to the</w:t>
      </w:r>
    </w:p>
    <w:p>
      <w:pPr>
        <w:spacing w:after="0" w:line="259" w:lineRule="exact"/>
        <w:rPr>
          <w:sz w:val="20"/>
          <w:szCs w:val="20"/>
          <w:color w:val="auto"/>
        </w:rPr>
      </w:pPr>
    </w:p>
    <w:p>
      <w:pPr>
        <w:ind w:left="460" w:hanging="349"/>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Company’s future success. Awards, if earned, are typically paid early in the following year based on our performance achieved in the prior fiscal year.</w:t>
      </w:r>
    </w:p>
    <w:p>
      <w:pPr>
        <w:sectPr>
          <w:pgSz w:w="11900" w:h="16838" w:orient="portrait"/>
          <w:cols w:equalWidth="0" w:num="2">
            <w:col w:w="5480" w:space="340"/>
            <w:col w:w="5600"/>
          </w:cols>
          <w:pgMar w:left="240" w:top="267" w:right="239" w:bottom="1440" w:gutter="0" w:footer="0" w:header="0"/>
          <w:type w:val="continuous"/>
        </w:sectPr>
      </w:pPr>
    </w:p>
    <w:bookmarkStart w:id="40" w:name="page41"/>
    <w:bookmarkEnd w:id="40"/>
    <w:p>
      <w:pPr>
        <w:ind w:left="8020"/>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ectPr>
          <w:pgSz w:w="11900" w:h="16838" w:orient="portrait"/>
          <w:cols w:equalWidth="0" w:num="1">
            <w:col w:w="11420"/>
          </w:cols>
          <w:pgMar w:left="240" w:top="267" w:right="239" w:bottom="1440" w:gutter="0" w:footer="0" w:header="0"/>
        </w:sectPr>
      </w:pPr>
    </w:p>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Named Executive Officer is assigned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target opportunity under the AIP expressed as a percentage of such officer’s base salary. An executive’s target annual incentive percentage generally increases as his or her ability to affect the Company’s performance increases. Consequently, as an executive’s responsibilities increase, his variable compensation in the form of an annual incentive, which is dependent on Company performance, generally makes up a larger portion of the executive’s total compensation. The target opportunity for Mr. Simoncini in 2016 was 160% of his incentive-eligible base salary, based on his strong leadership of the Company and market median compensation levels. For each of Messrs. Vanneste, Scott, Larkin and Orsini the target opportunity was 80% of their incentive-eligible base salaries. Beginning in 2017, the target opportunities for Messrs. Scott and Orsini were increased, respectively, to 100% and 90% of their incentive-eligible base salaries, and the opportunities for Messrs. Simoncini, Vanneste and Larkin were unchanged.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Adjusted Operating Income and Free 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were used because they are highly visible and important measures of operating performance that are relied upon by investors. The target goals of Adjusted Operating Income and Free Cash Flow were set based on the budget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 200% target award was warranted. If threshold, target or maximum Adjusted Operating Income and Free Cash Flow goals (described above in “— Executive Summary — 2016 Annual Incentive Program”) were attained in 2016, 50%, 100% or 200% of the target incentive amount for each executive, respectively, would be earned.</w:t>
      </w:r>
    </w:p>
    <w:p>
      <w:pPr>
        <w:spacing w:after="0" w:line="378" w:lineRule="exact"/>
        <w:rPr>
          <w:sz w:val="20"/>
          <w:szCs w:val="20"/>
          <w:color w:val="auto"/>
        </w:rPr>
      </w:pPr>
    </w:p>
    <w:p>
      <w:pPr>
        <w:sectPr>
          <w:pgSz w:w="11900" w:h="16838" w:orient="portrait"/>
          <w:cols w:equalWidth="0" w:num="2">
            <w:col w:w="5420" w:space="400"/>
            <w:col w:w="5600"/>
          </w:cols>
          <w:pgMar w:left="240" w:top="267" w:right="239" w:bottom="1440" w:gutter="0" w:footer="0" w:header="0"/>
          <w:type w:val="continuous"/>
        </w:sectPr>
      </w:pPr>
    </w:p>
    <w:p>
      <w:pPr>
        <w:spacing w:after="0" w:line="175"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i w:val="1"/>
          <w:iCs w:val="1"/>
          <w:color w:val="auto"/>
        </w:rPr>
        <w:t xml:space="preserve">Results. </w:t>
      </w:r>
      <w:r>
        <w:rPr>
          <w:rFonts w:ascii="Arial" w:cs="Arial" w:eastAsia="Arial" w:hAnsi="Arial"/>
          <w:sz w:val="16"/>
          <w:szCs w:val="16"/>
          <w:color w:val="auto"/>
        </w:rPr>
        <w:t>Our 2016 Adjusted Operating Income ($1,535 million) exceeded the target performance level and our Free Cash Flow ($1,091 million) was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performance level, which resulted in annual incentive awards being earned at 189% of target. Adjusted Operating Income and Free Cash Flow are described above in “— 2016 Incentive Programs — Pay for Performance.” The resulting annual incentive amounts earned by our Named Executive Officers were as follows:</w:t>
      </w:r>
    </w:p>
    <w:p>
      <w:pPr>
        <w:spacing w:after="0" w:line="196"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FFFFFF"/>
        </w:rPr>
        <w:t>2016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660" w:type="dxa"/>
            <w:vAlign w:val="bottom"/>
          </w:tcPr>
          <w:p>
            <w:pPr>
              <w:jc w:val="right"/>
              <w:ind w:right="483"/>
              <w:spacing w:after="0"/>
              <w:rPr>
                <w:sz w:val="20"/>
                <w:szCs w:val="20"/>
                <w:color w:val="auto"/>
              </w:rPr>
            </w:pPr>
            <w:r>
              <w:rPr>
                <w:rFonts w:ascii="Arial" w:cs="Arial" w:eastAsia="Arial" w:hAnsi="Arial"/>
                <w:sz w:val="14"/>
                <w:szCs w:val="14"/>
                <w:b w:val="1"/>
                <w:bCs w:val="1"/>
                <w:color w:val="E2231A"/>
              </w:rPr>
              <w:t>Target Opportunity</w:t>
            </w: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E2231A"/>
              </w:rPr>
              <w:t>2016 Incentive</w:t>
            </w:r>
          </w:p>
        </w:tc>
      </w:tr>
      <w:tr>
        <w:trPr>
          <w:trHeight w:val="179"/>
        </w:trPr>
        <w:tc>
          <w:tcPr>
            <w:tcW w:w="23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jc w:val="right"/>
              <w:ind w:right="563"/>
              <w:spacing w:after="0" w:line="179" w:lineRule="exact"/>
              <w:rPr>
                <w:sz w:val="20"/>
                <w:szCs w:val="20"/>
                <w:color w:val="auto"/>
              </w:rPr>
            </w:pPr>
            <w:r>
              <w:rPr>
                <w:rFonts w:ascii="Arial" w:cs="Arial" w:eastAsia="Arial" w:hAnsi="Arial"/>
                <w:sz w:val="12"/>
                <w:szCs w:val="12"/>
                <w:b w:val="1"/>
                <w:bCs w:val="1"/>
                <w:color w:val="E2231A"/>
              </w:rPr>
              <w:t>(as % of Base)</w:t>
            </w:r>
            <w:r>
              <w:rPr>
                <w:rFonts w:ascii="Arial" w:cs="Arial" w:eastAsia="Arial" w:hAnsi="Arial"/>
                <w:sz w:val="20"/>
                <w:szCs w:val="20"/>
                <w:b w:val="1"/>
                <w:bCs w:val="1"/>
                <w:color w:val="E2231A"/>
                <w:vertAlign w:val="superscript"/>
              </w:rPr>
              <w:t>(1)</w:t>
            </w:r>
          </w:p>
        </w:tc>
        <w:tc>
          <w:tcPr>
            <w:tcW w:w="2020" w:type="dxa"/>
            <w:vAlign w:val="bottom"/>
            <w:tcBorders>
              <w:bottom w:val="single" w:sz="8" w:color="auto"/>
            </w:tcBorders>
            <w:gridSpan w:val="2"/>
          </w:tcPr>
          <w:p>
            <w:pPr>
              <w:ind w:left="440"/>
              <w:spacing w:after="0" w:line="179" w:lineRule="exact"/>
              <w:rPr>
                <w:sz w:val="20"/>
                <w:szCs w:val="20"/>
                <w:color w:val="auto"/>
              </w:rPr>
            </w:pPr>
            <w:r>
              <w:rPr>
                <w:rFonts w:ascii="Arial" w:cs="Arial" w:eastAsia="Arial" w:hAnsi="Arial"/>
                <w:sz w:val="12"/>
                <w:szCs w:val="12"/>
                <w:b w:val="1"/>
                <w:bCs w:val="1"/>
                <w:color w:val="E2231A"/>
              </w:rPr>
              <w:t>Target Amount</w:t>
            </w:r>
            <w:r>
              <w:rPr>
                <w:rFonts w:ascii="Arial" w:cs="Arial" w:eastAsia="Arial" w:hAnsi="Arial"/>
                <w:sz w:val="20"/>
                <w:szCs w:val="20"/>
                <w:b w:val="1"/>
                <w:bCs w:val="1"/>
                <w:color w:val="E2231A"/>
                <w:vertAlign w:val="superscript"/>
              </w:rPr>
              <w:t>(1)</w:t>
            </w:r>
          </w:p>
        </w:tc>
        <w:tc>
          <w:tcPr>
            <w:tcW w:w="24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E2231A"/>
              </w:rPr>
              <w:t>Actual Performance</w:t>
            </w:r>
          </w:p>
        </w:tc>
        <w:tc>
          <w:tcPr>
            <w:tcW w:w="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02"/>
              <w:spacing w:after="0" w:line="179" w:lineRule="exact"/>
              <w:rPr>
                <w:sz w:val="20"/>
                <w:szCs w:val="20"/>
                <w:color w:val="auto"/>
              </w:rPr>
            </w:pPr>
            <w:r>
              <w:rPr>
                <w:rFonts w:ascii="Arial" w:cs="Arial" w:eastAsia="Arial" w:hAnsi="Arial"/>
                <w:sz w:val="12"/>
                <w:szCs w:val="12"/>
                <w:b w:val="1"/>
                <w:bCs w:val="1"/>
                <w:color w:val="E2231A"/>
              </w:rPr>
              <w:t xml:space="preserve">Amount </w:t>
            </w:r>
            <w:r>
              <w:rPr>
                <w:rFonts w:ascii="Arial" w:cs="Arial" w:eastAsia="Arial" w:hAnsi="Arial"/>
                <w:sz w:val="20"/>
                <w:szCs w:val="20"/>
                <w:b w:val="1"/>
                <w:bCs w:val="1"/>
                <w:color w:val="E2231A"/>
                <w:vertAlign w:val="superscript"/>
              </w:rPr>
              <w:t>(1)</w:t>
            </w:r>
          </w:p>
        </w:tc>
      </w:tr>
      <w:tr>
        <w:trPr>
          <w:trHeight w:val="183"/>
        </w:trPr>
        <w:tc>
          <w:tcPr>
            <w:tcW w:w="236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Matthew J. Simoncini</w:t>
            </w:r>
          </w:p>
        </w:tc>
        <w:tc>
          <w:tcPr>
            <w:tcW w:w="2660" w:type="dxa"/>
            <w:vAlign w:val="bottom"/>
            <w:shd w:val="clear" w:color="auto" w:fill="FCE9E8"/>
          </w:tcPr>
          <w:p>
            <w:pPr>
              <w:jc w:val="right"/>
              <w:ind w:right="343"/>
              <w:spacing w:after="0" w:line="183" w:lineRule="exact"/>
              <w:rPr>
                <w:sz w:val="20"/>
                <w:szCs w:val="20"/>
                <w:color w:val="auto"/>
              </w:rPr>
            </w:pPr>
            <w:r>
              <w:rPr>
                <w:rFonts w:ascii="Arial" w:cs="Arial" w:eastAsia="Arial" w:hAnsi="Arial"/>
                <w:sz w:val="16"/>
                <w:szCs w:val="16"/>
                <w:color w:val="auto"/>
              </w:rPr>
              <w:t>160%</w:t>
            </w:r>
          </w:p>
        </w:tc>
        <w:tc>
          <w:tcPr>
            <w:tcW w:w="700" w:type="dxa"/>
            <w:vAlign w:val="bottom"/>
            <w:shd w:val="clear" w:color="auto" w:fill="FCE9E8"/>
          </w:tcPr>
          <w:p>
            <w:pPr>
              <w:ind w:left="4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39"/>
              <w:spacing w:after="0" w:line="183" w:lineRule="exact"/>
              <w:rPr>
                <w:sz w:val="20"/>
                <w:szCs w:val="20"/>
                <w:color w:val="auto"/>
              </w:rPr>
            </w:pPr>
            <w:r>
              <w:rPr>
                <w:rFonts w:ascii="Arial" w:cs="Arial" w:eastAsia="Arial" w:hAnsi="Arial"/>
                <w:sz w:val="16"/>
                <w:szCs w:val="16"/>
                <w:color w:val="auto"/>
              </w:rPr>
              <w:t>2,016,000</w:t>
            </w:r>
          </w:p>
        </w:tc>
        <w:tc>
          <w:tcPr>
            <w:tcW w:w="2440" w:type="dxa"/>
            <w:vAlign w:val="bottom"/>
            <w:shd w:val="clear" w:color="auto" w:fill="FCE9E8"/>
          </w:tcPr>
          <w:p>
            <w:pPr>
              <w:jc w:val="right"/>
              <w:ind w:right="420"/>
              <w:spacing w:after="0" w:line="183" w:lineRule="exact"/>
              <w:rPr>
                <w:sz w:val="20"/>
                <w:szCs w:val="20"/>
                <w:color w:val="auto"/>
              </w:rPr>
            </w:pPr>
            <w:r>
              <w:rPr>
                <w:rFonts w:ascii="Arial" w:cs="Arial" w:eastAsia="Arial" w:hAnsi="Arial"/>
                <w:sz w:val="16"/>
                <w:szCs w:val="16"/>
                <w:color w:val="auto"/>
              </w:rPr>
              <w:t>189%</w:t>
            </w:r>
          </w:p>
        </w:tc>
        <w:tc>
          <w:tcPr>
            <w:tcW w:w="600" w:type="dxa"/>
            <w:vAlign w:val="bottom"/>
            <w:shd w:val="clear" w:color="auto" w:fill="FCE9E8"/>
          </w:tcPr>
          <w:p>
            <w:pPr>
              <w:ind w:left="500"/>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FCE9E8"/>
          </w:tcPr>
          <w:p>
            <w:pPr>
              <w:jc w:val="right"/>
              <w:ind w:right="382"/>
              <w:spacing w:after="0" w:line="183" w:lineRule="exact"/>
              <w:rPr>
                <w:sz w:val="20"/>
                <w:szCs w:val="20"/>
                <w:color w:val="auto"/>
              </w:rPr>
            </w:pPr>
            <w:r>
              <w:rPr>
                <w:rFonts w:ascii="Arial" w:cs="Arial" w:eastAsia="Arial" w:hAnsi="Arial"/>
                <w:sz w:val="16"/>
                <w:szCs w:val="16"/>
                <w:color w:val="auto"/>
              </w:rPr>
              <w:t>3,810,240</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Jeffrey H. Vanneste</w:t>
            </w:r>
          </w:p>
        </w:tc>
        <w:tc>
          <w:tcPr>
            <w:tcW w:w="2660" w:type="dxa"/>
            <w:vAlign w:val="bottom"/>
          </w:tcPr>
          <w:p>
            <w:pPr>
              <w:jc w:val="right"/>
              <w:ind w:right="343"/>
              <w:spacing w:after="0"/>
              <w:rPr>
                <w:sz w:val="20"/>
                <w:szCs w:val="20"/>
                <w:color w:val="auto"/>
              </w:rPr>
            </w:pPr>
            <w:r>
              <w:rPr>
                <w:rFonts w:ascii="Arial" w:cs="Arial" w:eastAsia="Arial" w:hAnsi="Arial"/>
                <w:sz w:val="16"/>
                <w:szCs w:val="16"/>
                <w:color w:val="auto"/>
              </w:rPr>
              <w:t>80%</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616,000</w:t>
            </w:r>
          </w:p>
        </w:tc>
        <w:tc>
          <w:tcPr>
            <w:tcW w:w="2440" w:type="dxa"/>
            <w:vAlign w:val="bottom"/>
          </w:tcPr>
          <w:p>
            <w:pPr>
              <w:jc w:val="right"/>
              <w:ind w:right="420"/>
              <w:spacing w:after="0"/>
              <w:rPr>
                <w:sz w:val="20"/>
                <w:szCs w:val="20"/>
                <w:color w:val="auto"/>
              </w:rPr>
            </w:pPr>
            <w:r>
              <w:rPr>
                <w:rFonts w:ascii="Arial" w:cs="Arial" w:eastAsia="Arial" w:hAnsi="Arial"/>
                <w:sz w:val="16"/>
                <w:szCs w:val="16"/>
                <w:color w:val="auto"/>
              </w:rPr>
              <w:t>189%</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82"/>
              <w:spacing w:after="0"/>
              <w:rPr>
                <w:sz w:val="20"/>
                <w:szCs w:val="20"/>
                <w:color w:val="auto"/>
              </w:rPr>
            </w:pPr>
            <w:r>
              <w:rPr>
                <w:rFonts w:ascii="Arial" w:cs="Arial" w:eastAsia="Arial" w:hAnsi="Arial"/>
                <w:sz w:val="16"/>
                <w:szCs w:val="16"/>
                <w:color w:val="auto"/>
              </w:rPr>
              <w:t>1,164,240</w:t>
            </w:r>
          </w:p>
        </w:tc>
      </w:tr>
      <w:tr>
        <w:trPr>
          <w:trHeight w:val="189"/>
        </w:trPr>
        <w:tc>
          <w:tcPr>
            <w:tcW w:w="2360" w:type="dxa"/>
            <w:vAlign w:val="bottom"/>
            <w:shd w:val="clear" w:color="auto" w:fill="FCE9E8"/>
          </w:tcPr>
          <w:p>
            <w:pPr>
              <w:spacing w:after="0"/>
              <w:rPr>
                <w:sz w:val="20"/>
                <w:szCs w:val="20"/>
                <w:color w:val="auto"/>
              </w:rPr>
            </w:pPr>
            <w:r>
              <w:rPr>
                <w:rFonts w:ascii="Arial" w:cs="Arial" w:eastAsia="Arial" w:hAnsi="Arial"/>
                <w:sz w:val="16"/>
                <w:szCs w:val="16"/>
                <w:color w:val="auto"/>
              </w:rPr>
              <w:t>Raymond E. Scott</w:t>
            </w:r>
          </w:p>
        </w:tc>
        <w:tc>
          <w:tcPr>
            <w:tcW w:w="2660" w:type="dxa"/>
            <w:vAlign w:val="bottom"/>
            <w:shd w:val="clear" w:color="auto" w:fill="FCE9E8"/>
          </w:tcPr>
          <w:p>
            <w:pPr>
              <w:jc w:val="right"/>
              <w:ind w:right="343"/>
              <w:spacing w:after="0"/>
              <w:rPr>
                <w:sz w:val="20"/>
                <w:szCs w:val="20"/>
                <w:color w:val="auto"/>
              </w:rPr>
            </w:pPr>
            <w:r>
              <w:rPr>
                <w:rFonts w:ascii="Arial" w:cs="Arial" w:eastAsia="Arial" w:hAnsi="Arial"/>
                <w:sz w:val="16"/>
                <w:szCs w:val="16"/>
                <w:color w:val="auto"/>
              </w:rPr>
              <w:t>80%</w:t>
            </w:r>
          </w:p>
        </w:tc>
        <w:tc>
          <w:tcPr>
            <w:tcW w:w="700" w:type="dxa"/>
            <w:vAlign w:val="bottom"/>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39"/>
              <w:spacing w:after="0"/>
              <w:rPr>
                <w:sz w:val="20"/>
                <w:szCs w:val="20"/>
                <w:color w:val="auto"/>
              </w:rPr>
            </w:pPr>
            <w:r>
              <w:rPr>
                <w:rFonts w:ascii="Arial" w:cs="Arial" w:eastAsia="Arial" w:hAnsi="Arial"/>
                <w:sz w:val="16"/>
                <w:szCs w:val="16"/>
                <w:color w:val="auto"/>
              </w:rPr>
              <w:t>636,352</w:t>
            </w:r>
          </w:p>
        </w:tc>
        <w:tc>
          <w:tcPr>
            <w:tcW w:w="244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189%</w:t>
            </w:r>
          </w:p>
        </w:tc>
        <w:tc>
          <w:tcPr>
            <w:tcW w:w="600" w:type="dxa"/>
            <w:vAlign w:val="bottom"/>
            <w:shd w:val="clear" w:color="auto" w:fill="FCE9E8"/>
          </w:tcPr>
          <w:p>
            <w:pPr>
              <w:ind w:left="50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FCE9E8"/>
          </w:tcPr>
          <w:p>
            <w:pPr>
              <w:jc w:val="right"/>
              <w:ind w:right="382"/>
              <w:spacing w:after="0"/>
              <w:rPr>
                <w:sz w:val="20"/>
                <w:szCs w:val="20"/>
                <w:color w:val="auto"/>
              </w:rPr>
            </w:pPr>
            <w:r>
              <w:rPr>
                <w:rFonts w:ascii="Arial" w:cs="Arial" w:eastAsia="Arial" w:hAnsi="Arial"/>
                <w:sz w:val="16"/>
                <w:szCs w:val="16"/>
                <w:color w:val="auto"/>
              </w:rPr>
              <w:t>1,202,705</w:t>
            </w:r>
          </w:p>
        </w:tc>
      </w:tr>
      <w:tr>
        <w:trPr>
          <w:trHeight w:val="189"/>
        </w:trPr>
        <w:tc>
          <w:tcPr>
            <w:tcW w:w="2360" w:type="dxa"/>
            <w:vAlign w:val="bottom"/>
          </w:tcPr>
          <w:p>
            <w:pPr>
              <w:spacing w:after="0"/>
              <w:rPr>
                <w:sz w:val="20"/>
                <w:szCs w:val="20"/>
                <w:color w:val="auto"/>
              </w:rPr>
            </w:pPr>
            <w:r>
              <w:rPr>
                <w:rFonts w:ascii="Arial" w:cs="Arial" w:eastAsia="Arial" w:hAnsi="Arial"/>
                <w:sz w:val="16"/>
                <w:szCs w:val="16"/>
                <w:color w:val="auto"/>
              </w:rPr>
              <w:t>Terrence B. Larkin</w:t>
            </w:r>
          </w:p>
        </w:tc>
        <w:tc>
          <w:tcPr>
            <w:tcW w:w="2660" w:type="dxa"/>
            <w:vAlign w:val="bottom"/>
          </w:tcPr>
          <w:p>
            <w:pPr>
              <w:jc w:val="right"/>
              <w:ind w:right="343"/>
              <w:spacing w:after="0"/>
              <w:rPr>
                <w:sz w:val="20"/>
                <w:szCs w:val="20"/>
                <w:color w:val="auto"/>
              </w:rPr>
            </w:pPr>
            <w:r>
              <w:rPr>
                <w:rFonts w:ascii="Arial" w:cs="Arial" w:eastAsia="Arial" w:hAnsi="Arial"/>
                <w:sz w:val="16"/>
                <w:szCs w:val="16"/>
                <w:color w:val="auto"/>
              </w:rPr>
              <w:t>80%</w:t>
            </w: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636,352</w:t>
            </w:r>
          </w:p>
        </w:tc>
        <w:tc>
          <w:tcPr>
            <w:tcW w:w="2440" w:type="dxa"/>
            <w:vAlign w:val="bottom"/>
          </w:tcPr>
          <w:p>
            <w:pPr>
              <w:jc w:val="right"/>
              <w:ind w:right="420"/>
              <w:spacing w:after="0"/>
              <w:rPr>
                <w:sz w:val="20"/>
                <w:szCs w:val="20"/>
                <w:color w:val="auto"/>
              </w:rPr>
            </w:pPr>
            <w:r>
              <w:rPr>
                <w:rFonts w:ascii="Arial" w:cs="Arial" w:eastAsia="Arial" w:hAnsi="Arial"/>
                <w:sz w:val="16"/>
                <w:szCs w:val="16"/>
                <w:color w:val="auto"/>
              </w:rPr>
              <w:t>189%</w:t>
            </w:r>
          </w:p>
        </w:tc>
        <w:tc>
          <w:tcPr>
            <w:tcW w:w="600" w:type="dxa"/>
            <w:vAlign w:val="bottom"/>
          </w:tcPr>
          <w:p>
            <w:pPr>
              <w:ind w:left="50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82"/>
              <w:spacing w:after="0"/>
              <w:rPr>
                <w:sz w:val="20"/>
                <w:szCs w:val="20"/>
                <w:color w:val="auto"/>
              </w:rPr>
            </w:pPr>
            <w:r>
              <w:rPr>
                <w:rFonts w:ascii="Arial" w:cs="Arial" w:eastAsia="Arial" w:hAnsi="Arial"/>
                <w:sz w:val="16"/>
                <w:szCs w:val="16"/>
                <w:color w:val="auto"/>
              </w:rPr>
              <w:t>1,202,705</w:t>
            </w:r>
          </w:p>
        </w:tc>
      </w:tr>
      <w:tr>
        <w:trPr>
          <w:trHeight w:val="189"/>
        </w:trPr>
        <w:tc>
          <w:tcPr>
            <w:tcW w:w="2360" w:type="dxa"/>
            <w:vAlign w:val="bottom"/>
            <w:shd w:val="clear" w:color="auto" w:fill="FCE9E8"/>
          </w:tcPr>
          <w:p>
            <w:pPr>
              <w:spacing w:after="0"/>
              <w:rPr>
                <w:sz w:val="20"/>
                <w:szCs w:val="20"/>
                <w:color w:val="auto"/>
              </w:rPr>
            </w:pPr>
            <w:r>
              <w:rPr>
                <w:rFonts w:ascii="Arial" w:cs="Arial" w:eastAsia="Arial" w:hAnsi="Arial"/>
                <w:sz w:val="16"/>
                <w:szCs w:val="16"/>
                <w:color w:val="auto"/>
              </w:rPr>
              <w:t>Frank C. Orsini</w:t>
            </w:r>
          </w:p>
        </w:tc>
        <w:tc>
          <w:tcPr>
            <w:tcW w:w="2660" w:type="dxa"/>
            <w:vAlign w:val="bottom"/>
            <w:shd w:val="clear" w:color="auto" w:fill="FCE9E8"/>
          </w:tcPr>
          <w:p>
            <w:pPr>
              <w:jc w:val="right"/>
              <w:ind w:right="343"/>
              <w:spacing w:after="0"/>
              <w:rPr>
                <w:sz w:val="20"/>
                <w:szCs w:val="20"/>
                <w:color w:val="auto"/>
              </w:rPr>
            </w:pPr>
            <w:r>
              <w:rPr>
                <w:rFonts w:ascii="Arial" w:cs="Arial" w:eastAsia="Arial" w:hAnsi="Arial"/>
                <w:sz w:val="16"/>
                <w:szCs w:val="16"/>
                <w:color w:val="auto"/>
              </w:rPr>
              <w:t>80%</w:t>
            </w:r>
          </w:p>
        </w:tc>
        <w:tc>
          <w:tcPr>
            <w:tcW w:w="700" w:type="dxa"/>
            <w:vAlign w:val="bottom"/>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FCE9E8"/>
          </w:tcPr>
          <w:p>
            <w:pPr>
              <w:jc w:val="right"/>
              <w:ind w:right="339"/>
              <w:spacing w:after="0"/>
              <w:rPr>
                <w:sz w:val="20"/>
                <w:szCs w:val="20"/>
                <w:color w:val="auto"/>
              </w:rPr>
            </w:pPr>
            <w:r>
              <w:rPr>
                <w:rFonts w:ascii="Arial" w:cs="Arial" w:eastAsia="Arial" w:hAnsi="Arial"/>
                <w:sz w:val="16"/>
                <w:szCs w:val="16"/>
                <w:color w:val="auto"/>
              </w:rPr>
              <w:t>548,000</w:t>
            </w:r>
          </w:p>
        </w:tc>
        <w:tc>
          <w:tcPr>
            <w:tcW w:w="244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189%</w:t>
            </w:r>
          </w:p>
        </w:tc>
        <w:tc>
          <w:tcPr>
            <w:tcW w:w="600" w:type="dxa"/>
            <w:vAlign w:val="bottom"/>
            <w:shd w:val="clear" w:color="auto" w:fill="FCE9E8"/>
          </w:tcPr>
          <w:p>
            <w:pPr>
              <w:ind w:left="50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FCE9E8"/>
          </w:tcPr>
          <w:p>
            <w:pPr>
              <w:jc w:val="right"/>
              <w:ind w:right="382"/>
              <w:spacing w:after="0"/>
              <w:rPr>
                <w:sz w:val="20"/>
                <w:szCs w:val="20"/>
                <w:color w:val="auto"/>
              </w:rPr>
            </w:pPr>
            <w:r>
              <w:rPr>
                <w:rFonts w:ascii="Arial" w:cs="Arial" w:eastAsia="Arial" w:hAnsi="Arial"/>
                <w:sz w:val="16"/>
                <w:szCs w:val="16"/>
                <w:color w:val="auto"/>
              </w:rPr>
              <w:t>1,035,720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320" w:hanging="332"/>
        <w:spacing w:after="0" w:line="208"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The incentive-eligible base salary amounts for the Named Executive Officers were as follows: Mr. Simoncini — $1,260,000; Mr. Vanneste — $770,000; Messrs. Scott and Larkin — $795,440; and Mr. Orsini — $685,000. The Target Amount for each Named Executive Officer is the respective incentive-eligible base salary multiplied by the respective Target Opportunity. The Target Amount multiplied by the Actual Performance (189%) represents the amount actually earned, as shown in the 2016 Incentive Amount column for each Named Executive Officer.</w:t>
      </w:r>
    </w:p>
    <w:p>
      <w:pPr>
        <w:sectPr>
          <w:pgSz w:w="11900" w:h="16838" w:orient="portrait"/>
          <w:cols w:equalWidth="0" w:num="1">
            <w:col w:w="11420"/>
          </w:cols>
          <w:pgMar w:left="240" w:top="267" w:right="2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85"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i w:val="1"/>
          <w:iCs w:val="1"/>
          <w:color w:val="auto"/>
        </w:rPr>
        <w:t xml:space="preserve">2016 Awards. </w:t>
      </w:r>
      <w:r>
        <w:rPr>
          <w:rFonts w:ascii="Arial" w:cs="Arial" w:eastAsia="Arial" w:hAnsi="Arial"/>
          <w:sz w:val="16"/>
          <w:szCs w:val="16"/>
          <w:color w:val="auto"/>
        </w:rPr>
        <w:t>The Compensation Committee approved the 2016 long-term incentive program, which consisted of RSUs and equity-based Performance Shares granted under the 2009 Long-Term Stock Incentive Plan (“LTSIP”) to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officers and key employees, including to the Named Executive Officers. These awards generally were structured, consistent with market practices and the 2015 grants, such that recipients received 75% of the total target award value in the form of Performance Shares and the remaining 25% in service-based RSUs. Expressed as a percentage of their respective incentive-eligible base salaries, the target values of the 2016 long-term incentive opportunities for each of our Named Executive Officers were as follows: Mr. Simoncini — 625%; Messrs. Vanneste, Scott, Larkin and Orsini</w:t>
      </w:r>
    </w:p>
    <w:p>
      <w:pPr>
        <w:spacing w:after="0" w:line="4" w:lineRule="exact"/>
        <w:rPr>
          <w:sz w:val="20"/>
          <w:szCs w:val="20"/>
          <w:color w:val="auto"/>
        </w:rPr>
      </w:pPr>
    </w:p>
    <w:p>
      <w:pPr>
        <w:ind w:right="1080"/>
        <w:spacing w:after="0" w:line="260" w:lineRule="auto"/>
        <w:rPr>
          <w:sz w:val="20"/>
          <w:szCs w:val="20"/>
          <w:color w:val="auto"/>
        </w:rPr>
      </w:pPr>
      <w:r>
        <w:rPr>
          <w:rFonts w:ascii="Arial" w:cs="Arial" w:eastAsia="Arial" w:hAnsi="Arial"/>
          <w:sz w:val="16"/>
          <w:szCs w:val="16"/>
          <w:color w:val="auto"/>
        </w:rPr>
        <w:t>— 270%. For 2017, the target values of the long-term incentive opportunities for Messrs. Simoncini, Scott, Larkin and Orsini</w:t>
      </w:r>
    </w:p>
    <w:p>
      <w:pPr>
        <w:spacing w:after="0" w:line="495" w:lineRule="exact"/>
        <w:rPr>
          <w:sz w:val="20"/>
          <w:szCs w:val="20"/>
          <w:color w:val="auto"/>
        </w:rPr>
      </w:pPr>
    </w:p>
    <w:p>
      <w:pPr>
        <w:sectPr>
          <w:pgSz w:w="11900" w:h="16838" w:orient="portrait"/>
          <w:cols w:equalWidth="0" w:num="2">
            <w:col w:w="5440" w:space="380"/>
            <w:col w:w="5600"/>
          </w:cols>
          <w:pgMar w:left="240" w:top="267" w:right="239" w:bottom="1440" w:gutter="0" w:footer="0" w:header="0"/>
          <w:type w:val="continuous"/>
        </w:sectPr>
      </w:pPr>
    </w:p>
    <w:p>
      <w:pPr>
        <w:spacing w:after="0" w:line="40"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35</w:t>
      </w:r>
    </w:p>
    <w:p>
      <w:pPr>
        <w:sectPr>
          <w:pgSz w:w="11900" w:h="16838" w:orient="portrait"/>
          <w:cols w:equalWidth="0" w:num="1">
            <w:col w:w="11420"/>
          </w:cols>
          <w:pgMar w:left="240" w:top="267"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15"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were increased to 700%, 300%, 285% and 285%, respectively, of their respective incentive-eligible base salaries, and the target value of Mr. Vanneste’s long-term incentive opportunity was unchanged.</w:t>
      </w:r>
    </w:p>
    <w:p>
      <w:pPr>
        <w:spacing w:after="0" w:line="9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specific amounts and terms of these awards are shown in and following the “2016 Grants of Plan-Based Awards” table below. The target levels of Adjusted ROIC and Cumulative Adjusted Pre-Tax Income performance for the Performance Shares were set based on the forecast for the period reflecting a level of performance which at the time was anticipated to be challenging, but achievable. The threshold level was set to be reflective of performance at which the Compensation Committee believed a portion of the award opportunity should be earned. The maximum level was set significantly above the target, requiring significant achievements and reflecting performance at which the Compensation Committee believed a 200% target award was warranted.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i w:val="1"/>
          <w:iCs w:val="1"/>
          <w:color w:val="auto"/>
        </w:rPr>
        <w:t>Vesting of 2014 Performance Share Awards</w:t>
      </w:r>
      <w:r>
        <w:rPr>
          <w:rFonts w:ascii="Arial" w:cs="Arial" w:eastAsia="Arial" w:hAnsi="Arial"/>
          <w:sz w:val="16"/>
          <w:szCs w:val="16"/>
          <w:color w:val="auto"/>
        </w:rPr>
        <w:t>. In 2014, each of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received grants of Performance Shares for the 2014-2016 performance period, with terms similar to those of the 2016 awards described above. The RSUs that were granted at the same time as the 2014 Performance Shares (and represented 25% of the total equity award value at target) vested in February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-1055370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threshold, target, maximum and actual Adjusted ROIC and Cumulative Pre-Tax Income levels for the 2014-2016 performance period are set forth above under the heading “Compensation Discussion and Analysis — Executive Summary — 2014-2016 Performance Shares.” If threshold, target or maximum were attained on these measures during the performance period, 50%, 100% or 200% of the target performance shares for each executive, respectively, would be earned.</w:t>
      </w:r>
    </w:p>
    <w:p>
      <w:pPr>
        <w:spacing w:after="0" w:line="393" w:lineRule="exact"/>
        <w:rPr>
          <w:sz w:val="20"/>
          <w:szCs w:val="20"/>
          <w:color w:val="auto"/>
        </w:rPr>
      </w:pPr>
    </w:p>
    <w:p>
      <w:pPr>
        <w:sectPr>
          <w:pgSz w:w="11900" w:h="16838" w:orient="portrait"/>
          <w:cols w:equalWidth="0" w:num="2">
            <w:col w:w="5440" w:space="380"/>
            <w:col w:w="5600"/>
          </w:cols>
          <w:pgMar w:left="240" w:top="267" w:right="239" w:bottom="1440" w:gutter="0" w:footer="0" w:header="0"/>
        </w:sectPr>
      </w:pPr>
    </w:p>
    <w:p>
      <w:pPr>
        <w:spacing w:after="0" w:line="5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Adjusted ROIC (15.9%) was achieved at the maximum level and Cumulative Pre-Tax Income ($3,163 million) exceeded the target performance level, with the total award earned at 193% of target. Adjusted ROIC and Cumulative Pre-Tax Income are non-GAAP measures. Adjusted ROIC consists of Adjusted Operating Income (as defined in “— 2016 Incentive Programs — Annual Incentives” above) after taxes (assuming the highest U.S. Federal corporate income tax rate of 35%) divided by average invested capital for each fiscal year, excluding the Eagle Ottawa acquisition. Average invested capital consists of total assets plus the present value of operating leases, less accounts payable and drafts and accrued liabilities, and investments in unconsolidated entities, and certain other adjustments. Cumulative Pre-Tax Income is Lear’s cumulative net income for the performance period before a provision for income taxes, excluding the Eagle Ottawa acquisition. The resulting share amounts earned by our Named Executive Officers are shown below:</w:t>
      </w:r>
    </w:p>
    <w:p>
      <w:pPr>
        <w:spacing w:after="0" w:line="208"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FFFFFF"/>
        </w:rPr>
        <w:t>2014-2016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0" w:type="dxa"/>
            <w:vAlign w:val="bottom"/>
          </w:tcPr>
          <w:p>
            <w:pPr>
              <w:jc w:val="center"/>
              <w:ind w:right="82"/>
              <w:spacing w:after="0"/>
              <w:rPr>
                <w:sz w:val="20"/>
                <w:szCs w:val="20"/>
                <w:color w:val="auto"/>
              </w:rPr>
            </w:pPr>
            <w:r>
              <w:rPr>
                <w:rFonts w:ascii="Arial" w:cs="Arial" w:eastAsia="Arial" w:hAnsi="Arial"/>
                <w:sz w:val="14"/>
                <w:szCs w:val="14"/>
                <w:b w:val="1"/>
                <w:bCs w:val="1"/>
                <w:color w:val="E2231A"/>
              </w:rPr>
              <w:t>Actual</w:t>
            </w:r>
          </w:p>
        </w:tc>
      </w:tr>
      <w:tr>
        <w:trPr>
          <w:trHeight w:val="162"/>
        </w:trPr>
        <w:tc>
          <w:tcPr>
            <w:tcW w:w="4160" w:type="dxa"/>
            <w:vAlign w:val="bottom"/>
          </w:tcPr>
          <w:p>
            <w:pPr>
              <w:spacing w:after="0"/>
              <w:rPr>
                <w:sz w:val="14"/>
                <w:szCs w:val="14"/>
                <w:color w:val="auto"/>
              </w:rPr>
            </w:pPr>
          </w:p>
        </w:tc>
        <w:tc>
          <w:tcPr>
            <w:tcW w:w="3800" w:type="dxa"/>
            <w:vAlign w:val="bottom"/>
          </w:tcPr>
          <w:p>
            <w:pPr>
              <w:jc w:val="right"/>
              <w:ind w:right="542"/>
              <w:spacing w:after="0"/>
              <w:rPr>
                <w:sz w:val="20"/>
                <w:szCs w:val="20"/>
                <w:color w:val="auto"/>
              </w:rPr>
            </w:pPr>
            <w:r>
              <w:rPr>
                <w:rFonts w:ascii="Arial" w:cs="Arial" w:eastAsia="Arial" w:hAnsi="Arial"/>
                <w:sz w:val="14"/>
                <w:szCs w:val="14"/>
                <w:b w:val="1"/>
                <w:bCs w:val="1"/>
                <w:color w:val="E2231A"/>
              </w:rPr>
              <w:t>Target</w:t>
            </w:r>
          </w:p>
        </w:tc>
        <w:tc>
          <w:tcPr>
            <w:tcW w:w="1860" w:type="dxa"/>
            <w:vAlign w:val="bottom"/>
          </w:tcPr>
          <w:p>
            <w:pPr>
              <w:jc w:val="right"/>
              <w:ind w:right="662"/>
              <w:spacing w:after="0"/>
              <w:rPr>
                <w:sz w:val="20"/>
                <w:szCs w:val="20"/>
                <w:color w:val="auto"/>
              </w:rPr>
            </w:pPr>
            <w:r>
              <w:rPr>
                <w:rFonts w:ascii="Arial" w:cs="Arial" w:eastAsia="Arial" w:hAnsi="Arial"/>
                <w:sz w:val="14"/>
                <w:szCs w:val="14"/>
                <w:b w:val="1"/>
                <w:bCs w:val="1"/>
                <w:color w:val="E2231A"/>
              </w:rPr>
              <w:t>Actual</w:t>
            </w:r>
          </w:p>
        </w:tc>
        <w:tc>
          <w:tcPr>
            <w:tcW w:w="1600" w:type="dxa"/>
            <w:vAlign w:val="bottom"/>
          </w:tcPr>
          <w:p>
            <w:pPr>
              <w:jc w:val="center"/>
              <w:ind w:right="82"/>
              <w:spacing w:after="0"/>
              <w:rPr>
                <w:sz w:val="20"/>
                <w:szCs w:val="20"/>
                <w:color w:val="auto"/>
              </w:rPr>
            </w:pPr>
            <w:r>
              <w:rPr>
                <w:rFonts w:ascii="Arial" w:cs="Arial" w:eastAsia="Arial" w:hAnsi="Arial"/>
                <w:sz w:val="14"/>
                <w:szCs w:val="14"/>
                <w:b w:val="1"/>
                <w:bCs w:val="1"/>
                <w:color w:val="E2231A"/>
              </w:rPr>
              <w:t>Shares</w:t>
            </w:r>
          </w:p>
        </w:tc>
      </w:tr>
      <w:tr>
        <w:trPr>
          <w:trHeight w:val="175"/>
        </w:trPr>
        <w:tc>
          <w:tcPr>
            <w:tcW w:w="416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E2231A"/>
              </w:rPr>
              <w:t>Shares (#)</w:t>
            </w:r>
          </w:p>
        </w:tc>
        <w:tc>
          <w:tcPr>
            <w:tcW w:w="18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E2231A"/>
              </w:rPr>
              <w:t>Performance</w:t>
            </w:r>
          </w:p>
        </w:tc>
        <w:tc>
          <w:tcPr>
            <w:tcW w:w="16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E2231A"/>
              </w:rPr>
              <w:t>Earned (#)</w:t>
            </w:r>
          </w:p>
        </w:tc>
      </w:tr>
      <w:tr>
        <w:trPr>
          <w:trHeight w:val="183"/>
        </w:trPr>
        <w:tc>
          <w:tcPr>
            <w:tcW w:w="416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Matthew J. Simoncini</w:t>
            </w:r>
          </w:p>
        </w:tc>
        <w:tc>
          <w:tcPr>
            <w:tcW w:w="3800" w:type="dxa"/>
            <w:vAlign w:val="bottom"/>
            <w:shd w:val="clear" w:color="auto" w:fill="FCE9E8"/>
          </w:tcPr>
          <w:p>
            <w:pPr>
              <w:jc w:val="right"/>
              <w:ind w:right="402"/>
              <w:spacing w:after="0" w:line="183" w:lineRule="exact"/>
              <w:rPr>
                <w:sz w:val="20"/>
                <w:szCs w:val="20"/>
                <w:color w:val="auto"/>
              </w:rPr>
            </w:pPr>
            <w:r>
              <w:rPr>
                <w:rFonts w:ascii="Arial" w:cs="Arial" w:eastAsia="Arial" w:hAnsi="Arial"/>
                <w:sz w:val="16"/>
                <w:szCs w:val="16"/>
                <w:color w:val="auto"/>
              </w:rPr>
              <w:t>67,144</w:t>
            </w:r>
          </w:p>
        </w:tc>
        <w:tc>
          <w:tcPr>
            <w:tcW w:w="1860" w:type="dxa"/>
            <w:vAlign w:val="bottom"/>
            <w:shd w:val="clear" w:color="auto" w:fill="FCE9E8"/>
          </w:tcPr>
          <w:p>
            <w:pPr>
              <w:jc w:val="right"/>
              <w:ind w:right="282"/>
              <w:spacing w:after="0" w:line="183" w:lineRule="exact"/>
              <w:rPr>
                <w:sz w:val="20"/>
                <w:szCs w:val="20"/>
                <w:color w:val="auto"/>
              </w:rPr>
            </w:pPr>
            <w:r>
              <w:rPr>
                <w:rFonts w:ascii="Arial" w:cs="Arial" w:eastAsia="Arial" w:hAnsi="Arial"/>
                <w:sz w:val="16"/>
                <w:szCs w:val="16"/>
                <w:color w:val="auto"/>
              </w:rPr>
              <w:t>193%</w:t>
            </w:r>
          </w:p>
        </w:tc>
        <w:tc>
          <w:tcPr>
            <w:tcW w:w="1600" w:type="dxa"/>
            <w:vAlign w:val="bottom"/>
            <w:shd w:val="clear" w:color="auto" w:fill="FCE9E8"/>
          </w:tcPr>
          <w:p>
            <w:pPr>
              <w:jc w:val="right"/>
              <w:ind w:right="442"/>
              <w:spacing w:after="0" w:line="183" w:lineRule="exact"/>
              <w:rPr>
                <w:sz w:val="20"/>
                <w:szCs w:val="20"/>
                <w:color w:val="auto"/>
              </w:rPr>
            </w:pPr>
            <w:r>
              <w:rPr>
                <w:rFonts w:ascii="Arial" w:cs="Arial" w:eastAsia="Arial" w:hAnsi="Arial"/>
                <w:sz w:val="16"/>
                <w:szCs w:val="16"/>
                <w:color w:val="auto"/>
              </w:rPr>
              <w:t>129,587</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Jeffrey H. Vanneste</w:t>
            </w:r>
          </w:p>
        </w:tc>
        <w:tc>
          <w:tcPr>
            <w:tcW w:w="3800" w:type="dxa"/>
            <w:vAlign w:val="bottom"/>
          </w:tcPr>
          <w:p>
            <w:pPr>
              <w:jc w:val="right"/>
              <w:ind w:right="402"/>
              <w:spacing w:after="0"/>
              <w:rPr>
                <w:sz w:val="20"/>
                <w:szCs w:val="20"/>
                <w:color w:val="auto"/>
              </w:rPr>
            </w:pPr>
            <w:r>
              <w:rPr>
                <w:rFonts w:ascii="Arial" w:cs="Arial" w:eastAsia="Arial" w:hAnsi="Arial"/>
                <w:sz w:val="16"/>
                <w:szCs w:val="16"/>
                <w:color w:val="auto"/>
              </w:rPr>
              <w:t>17,682</w:t>
            </w:r>
          </w:p>
        </w:tc>
        <w:tc>
          <w:tcPr>
            <w:tcW w:w="1860" w:type="dxa"/>
            <w:vAlign w:val="bottom"/>
          </w:tcPr>
          <w:p>
            <w:pPr>
              <w:jc w:val="right"/>
              <w:ind w:right="282"/>
              <w:spacing w:after="0"/>
              <w:rPr>
                <w:sz w:val="20"/>
                <w:szCs w:val="20"/>
                <w:color w:val="auto"/>
              </w:rPr>
            </w:pPr>
            <w:r>
              <w:rPr>
                <w:rFonts w:ascii="Arial" w:cs="Arial" w:eastAsia="Arial" w:hAnsi="Arial"/>
                <w:sz w:val="16"/>
                <w:szCs w:val="16"/>
                <w:color w:val="auto"/>
              </w:rPr>
              <w:t>193%</w:t>
            </w:r>
          </w:p>
        </w:tc>
        <w:tc>
          <w:tcPr>
            <w:tcW w:w="1600" w:type="dxa"/>
            <w:vAlign w:val="bottom"/>
          </w:tcPr>
          <w:p>
            <w:pPr>
              <w:jc w:val="right"/>
              <w:ind w:right="442"/>
              <w:spacing w:after="0"/>
              <w:rPr>
                <w:sz w:val="20"/>
                <w:szCs w:val="20"/>
                <w:color w:val="auto"/>
              </w:rPr>
            </w:pPr>
            <w:r>
              <w:rPr>
                <w:rFonts w:ascii="Arial" w:cs="Arial" w:eastAsia="Arial" w:hAnsi="Arial"/>
                <w:sz w:val="16"/>
                <w:szCs w:val="16"/>
                <w:color w:val="auto"/>
              </w:rPr>
              <w:t>34,126</w:t>
            </w:r>
          </w:p>
        </w:tc>
      </w:tr>
      <w:tr>
        <w:trPr>
          <w:trHeight w:val="189"/>
        </w:trPr>
        <w:tc>
          <w:tcPr>
            <w:tcW w:w="4160" w:type="dxa"/>
            <w:vAlign w:val="bottom"/>
            <w:shd w:val="clear" w:color="auto" w:fill="FCE9E8"/>
          </w:tcPr>
          <w:p>
            <w:pPr>
              <w:spacing w:after="0"/>
              <w:rPr>
                <w:sz w:val="20"/>
                <w:szCs w:val="20"/>
                <w:color w:val="auto"/>
              </w:rPr>
            </w:pPr>
            <w:r>
              <w:rPr>
                <w:rFonts w:ascii="Arial" w:cs="Arial" w:eastAsia="Arial" w:hAnsi="Arial"/>
                <w:sz w:val="16"/>
                <w:szCs w:val="16"/>
                <w:color w:val="auto"/>
              </w:rPr>
              <w:t>Raymond E. Scott</w:t>
            </w:r>
          </w:p>
        </w:tc>
        <w:tc>
          <w:tcPr>
            <w:tcW w:w="3800" w:type="dxa"/>
            <w:vAlign w:val="bottom"/>
            <w:shd w:val="clear" w:color="auto" w:fill="FCE9E8"/>
          </w:tcPr>
          <w:p>
            <w:pPr>
              <w:jc w:val="right"/>
              <w:ind w:right="402"/>
              <w:spacing w:after="0"/>
              <w:rPr>
                <w:sz w:val="20"/>
                <w:szCs w:val="20"/>
                <w:color w:val="auto"/>
              </w:rPr>
            </w:pPr>
            <w:r>
              <w:rPr>
                <w:rFonts w:ascii="Arial" w:cs="Arial" w:eastAsia="Arial" w:hAnsi="Arial"/>
                <w:sz w:val="16"/>
                <w:szCs w:val="16"/>
                <w:color w:val="auto"/>
              </w:rPr>
              <w:t>21,162</w:t>
            </w:r>
          </w:p>
        </w:tc>
        <w:tc>
          <w:tcPr>
            <w:tcW w:w="1860" w:type="dxa"/>
            <w:vAlign w:val="bottom"/>
            <w:shd w:val="clear" w:color="auto" w:fill="FCE9E8"/>
          </w:tcPr>
          <w:p>
            <w:pPr>
              <w:jc w:val="right"/>
              <w:ind w:right="282"/>
              <w:spacing w:after="0"/>
              <w:rPr>
                <w:sz w:val="20"/>
                <w:szCs w:val="20"/>
                <w:color w:val="auto"/>
              </w:rPr>
            </w:pPr>
            <w:r>
              <w:rPr>
                <w:rFonts w:ascii="Arial" w:cs="Arial" w:eastAsia="Arial" w:hAnsi="Arial"/>
                <w:sz w:val="16"/>
                <w:szCs w:val="16"/>
                <w:color w:val="auto"/>
              </w:rPr>
              <w:t>193%</w:t>
            </w:r>
          </w:p>
        </w:tc>
        <w:tc>
          <w:tcPr>
            <w:tcW w:w="1600" w:type="dxa"/>
            <w:vAlign w:val="bottom"/>
            <w:shd w:val="clear" w:color="auto" w:fill="FCE9E8"/>
          </w:tcPr>
          <w:p>
            <w:pPr>
              <w:jc w:val="right"/>
              <w:ind w:right="442"/>
              <w:spacing w:after="0"/>
              <w:rPr>
                <w:sz w:val="20"/>
                <w:szCs w:val="20"/>
                <w:color w:val="auto"/>
              </w:rPr>
            </w:pPr>
            <w:r>
              <w:rPr>
                <w:rFonts w:ascii="Arial" w:cs="Arial" w:eastAsia="Arial" w:hAnsi="Arial"/>
                <w:sz w:val="16"/>
                <w:szCs w:val="16"/>
                <w:color w:val="auto"/>
              </w:rPr>
              <w:t>40,842</w:t>
            </w:r>
          </w:p>
        </w:tc>
      </w:tr>
      <w:tr>
        <w:trPr>
          <w:trHeight w:val="189"/>
        </w:trPr>
        <w:tc>
          <w:tcPr>
            <w:tcW w:w="4160" w:type="dxa"/>
            <w:vAlign w:val="bottom"/>
          </w:tcPr>
          <w:p>
            <w:pPr>
              <w:spacing w:after="0"/>
              <w:rPr>
                <w:sz w:val="20"/>
                <w:szCs w:val="20"/>
                <w:color w:val="auto"/>
              </w:rPr>
            </w:pPr>
            <w:r>
              <w:rPr>
                <w:rFonts w:ascii="Arial" w:cs="Arial" w:eastAsia="Arial" w:hAnsi="Arial"/>
                <w:sz w:val="16"/>
                <w:szCs w:val="16"/>
                <w:color w:val="auto"/>
              </w:rPr>
              <w:t>Terrence B. Larkin</w:t>
            </w:r>
          </w:p>
        </w:tc>
        <w:tc>
          <w:tcPr>
            <w:tcW w:w="3800" w:type="dxa"/>
            <w:vAlign w:val="bottom"/>
          </w:tcPr>
          <w:p>
            <w:pPr>
              <w:jc w:val="right"/>
              <w:ind w:right="402"/>
              <w:spacing w:after="0"/>
              <w:rPr>
                <w:sz w:val="20"/>
                <w:szCs w:val="20"/>
                <w:color w:val="auto"/>
              </w:rPr>
            </w:pPr>
            <w:r>
              <w:rPr>
                <w:rFonts w:ascii="Arial" w:cs="Arial" w:eastAsia="Arial" w:hAnsi="Arial"/>
                <w:sz w:val="16"/>
                <w:szCs w:val="16"/>
                <w:color w:val="auto"/>
              </w:rPr>
              <w:t>21,162</w:t>
            </w:r>
          </w:p>
        </w:tc>
        <w:tc>
          <w:tcPr>
            <w:tcW w:w="1860" w:type="dxa"/>
            <w:vAlign w:val="bottom"/>
          </w:tcPr>
          <w:p>
            <w:pPr>
              <w:jc w:val="right"/>
              <w:ind w:right="282"/>
              <w:spacing w:after="0"/>
              <w:rPr>
                <w:sz w:val="20"/>
                <w:szCs w:val="20"/>
                <w:color w:val="auto"/>
              </w:rPr>
            </w:pPr>
            <w:r>
              <w:rPr>
                <w:rFonts w:ascii="Arial" w:cs="Arial" w:eastAsia="Arial" w:hAnsi="Arial"/>
                <w:sz w:val="16"/>
                <w:szCs w:val="16"/>
                <w:color w:val="auto"/>
              </w:rPr>
              <w:t>193%</w:t>
            </w:r>
          </w:p>
        </w:tc>
        <w:tc>
          <w:tcPr>
            <w:tcW w:w="1600" w:type="dxa"/>
            <w:vAlign w:val="bottom"/>
          </w:tcPr>
          <w:p>
            <w:pPr>
              <w:jc w:val="right"/>
              <w:ind w:right="442"/>
              <w:spacing w:after="0"/>
              <w:rPr>
                <w:sz w:val="20"/>
                <w:szCs w:val="20"/>
                <w:color w:val="auto"/>
              </w:rPr>
            </w:pPr>
            <w:r>
              <w:rPr>
                <w:rFonts w:ascii="Arial" w:cs="Arial" w:eastAsia="Arial" w:hAnsi="Arial"/>
                <w:sz w:val="16"/>
                <w:szCs w:val="16"/>
                <w:color w:val="auto"/>
              </w:rPr>
              <w:t>40,842</w:t>
            </w:r>
          </w:p>
        </w:tc>
      </w:tr>
      <w:tr>
        <w:trPr>
          <w:trHeight w:val="189"/>
        </w:trPr>
        <w:tc>
          <w:tcPr>
            <w:tcW w:w="416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Frank C. Orsini</w:t>
            </w:r>
          </w:p>
        </w:tc>
        <w:tc>
          <w:tcPr>
            <w:tcW w:w="3800" w:type="dxa"/>
            <w:vAlign w:val="bottom"/>
            <w:tcBorders>
              <w:bottom w:val="single" w:sz="8" w:color="auto"/>
            </w:tcBorders>
            <w:shd w:val="clear" w:color="auto" w:fill="FCE9E8"/>
          </w:tcPr>
          <w:p>
            <w:pPr>
              <w:jc w:val="right"/>
              <w:ind w:right="402"/>
              <w:spacing w:after="0"/>
              <w:rPr>
                <w:sz w:val="20"/>
                <w:szCs w:val="20"/>
                <w:color w:val="auto"/>
              </w:rPr>
            </w:pPr>
            <w:r>
              <w:rPr>
                <w:rFonts w:ascii="Arial" w:cs="Arial" w:eastAsia="Arial" w:hAnsi="Arial"/>
                <w:sz w:val="16"/>
                <w:szCs w:val="16"/>
                <w:color w:val="auto"/>
              </w:rPr>
              <w:t>17,167</w:t>
            </w:r>
          </w:p>
        </w:tc>
        <w:tc>
          <w:tcPr>
            <w:tcW w:w="1860" w:type="dxa"/>
            <w:vAlign w:val="bottom"/>
            <w:tcBorders>
              <w:bottom w:val="single" w:sz="8" w:color="auto"/>
            </w:tcBorders>
            <w:shd w:val="clear" w:color="auto" w:fill="FCE9E8"/>
          </w:tcPr>
          <w:p>
            <w:pPr>
              <w:jc w:val="right"/>
              <w:ind w:right="282"/>
              <w:spacing w:after="0"/>
              <w:rPr>
                <w:sz w:val="20"/>
                <w:szCs w:val="20"/>
                <w:color w:val="auto"/>
              </w:rPr>
            </w:pPr>
            <w:r>
              <w:rPr>
                <w:rFonts w:ascii="Arial" w:cs="Arial" w:eastAsia="Arial" w:hAnsi="Arial"/>
                <w:sz w:val="16"/>
                <w:szCs w:val="16"/>
                <w:color w:val="auto"/>
              </w:rPr>
              <w:t>193%</w:t>
            </w:r>
          </w:p>
        </w:tc>
        <w:tc>
          <w:tcPr>
            <w:tcW w:w="1600" w:type="dxa"/>
            <w:vAlign w:val="bottom"/>
            <w:tcBorders>
              <w:bottom w:val="single" w:sz="8" w:color="auto"/>
            </w:tcBorders>
            <w:shd w:val="clear" w:color="auto" w:fill="FCE9E8"/>
          </w:tcPr>
          <w:p>
            <w:pPr>
              <w:jc w:val="right"/>
              <w:ind w:right="442"/>
              <w:spacing w:after="0"/>
              <w:rPr>
                <w:sz w:val="20"/>
                <w:szCs w:val="20"/>
                <w:color w:val="auto"/>
              </w:rPr>
            </w:pPr>
            <w:r>
              <w:rPr>
                <w:rFonts w:ascii="Arial" w:cs="Arial" w:eastAsia="Arial" w:hAnsi="Arial"/>
                <w:sz w:val="16"/>
                <w:szCs w:val="16"/>
                <w:color w:val="auto"/>
              </w:rPr>
              <w:t>33,132</w:t>
            </w:r>
          </w:p>
        </w:tc>
      </w:tr>
    </w:tbl>
    <w:p>
      <w:pPr>
        <w:spacing w:after="0" w:line="126" w:lineRule="exact"/>
        <w:rPr>
          <w:sz w:val="20"/>
          <w:szCs w:val="20"/>
          <w:color w:val="auto"/>
        </w:rPr>
      </w:pPr>
    </w:p>
    <w:p>
      <w:pPr>
        <w:ind w:left="460" w:hanging="349"/>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20"/>
          </w:cols>
          <w:pgMar w:left="240" w:top="267"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Management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management stock ownership guidelines provide that our executive officers achieve specified stock ownership levels based on a multiple of each executive officer’s base salary. The stock ownership guidelines were intended to create a strong link between our long-term success and the ultimate compensation of our executive officers. Under the guidelines, unvested awards generally do not count towards the goal; however, once they are within 24 months of vesting, (i) for all executive officers, 60% of RSUs awarded count towards the goal, and (ii) for retirement-eligible executive officers only, 60% of Career Shares awarded count towards the goal. Until an executive meets the goal, he or she must hold 50% of the net shares acquired upon the vesting of equity awards. Share ownership targets for executives reaching age 60 are reduced by 10% annually up to a maximum reduction of 50%. The stock ownership levels which must be achieved by our executive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5980" w:type="dxa"/>
            <w:vAlign w:val="bottom"/>
          </w:tcPr>
          <w:p>
            <w:pPr>
              <w:jc w:val="center"/>
              <w:ind w:left="3283"/>
              <w:spacing w:after="0"/>
              <w:rPr>
                <w:sz w:val="20"/>
                <w:szCs w:val="20"/>
                <w:color w:val="auto"/>
              </w:rPr>
            </w:pPr>
            <w:r>
              <w:rPr>
                <w:rFonts w:ascii="Arial" w:cs="Arial" w:eastAsia="Arial" w:hAnsi="Arial"/>
                <w:sz w:val="14"/>
                <w:szCs w:val="14"/>
                <w:b w:val="1"/>
                <w:bCs w:val="1"/>
                <w:color w:val="E2231A"/>
              </w:rPr>
              <w:t>Required Share Ownership Level</w:t>
            </w:r>
          </w:p>
        </w:tc>
      </w:tr>
      <w:tr>
        <w:trPr>
          <w:trHeight w:val="162"/>
        </w:trPr>
        <w:tc>
          <w:tcPr>
            <w:tcW w:w="5440" w:type="dxa"/>
            <w:vAlign w:val="bottom"/>
          </w:tcPr>
          <w:p>
            <w:pPr>
              <w:spacing w:after="0"/>
              <w:rPr>
                <w:sz w:val="14"/>
                <w:szCs w:val="14"/>
                <w:color w:val="auto"/>
              </w:rPr>
            </w:pPr>
          </w:p>
        </w:tc>
        <w:tc>
          <w:tcPr>
            <w:tcW w:w="5980" w:type="dxa"/>
            <w:vAlign w:val="bottom"/>
          </w:tcPr>
          <w:p>
            <w:pPr>
              <w:jc w:val="center"/>
              <w:ind w:left="3283"/>
              <w:spacing w:after="0"/>
              <w:rPr>
                <w:sz w:val="20"/>
                <w:szCs w:val="20"/>
                <w:color w:val="auto"/>
              </w:rPr>
            </w:pPr>
            <w:r>
              <w:rPr>
                <w:rFonts w:ascii="Arial" w:cs="Arial" w:eastAsia="Arial" w:hAnsi="Arial"/>
                <w:sz w:val="14"/>
                <w:szCs w:val="14"/>
                <w:b w:val="1"/>
                <w:bCs w:val="1"/>
                <w:color w:val="E2231A"/>
              </w:rPr>
              <w:t>(multiple of incentive eligible</w:t>
            </w:r>
          </w:p>
        </w:tc>
      </w:tr>
      <w:tr>
        <w:trPr>
          <w:trHeight w:val="175"/>
        </w:trPr>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Position</w:t>
            </w:r>
          </w:p>
        </w:tc>
        <w:tc>
          <w:tcPr>
            <w:tcW w:w="5980" w:type="dxa"/>
            <w:vAlign w:val="bottom"/>
            <w:tcBorders>
              <w:bottom w:val="single" w:sz="8" w:color="auto"/>
            </w:tcBorders>
          </w:tcPr>
          <w:p>
            <w:pPr>
              <w:jc w:val="center"/>
              <w:ind w:left="3303"/>
              <w:spacing w:after="0"/>
              <w:rPr>
                <w:sz w:val="20"/>
                <w:szCs w:val="20"/>
                <w:color w:val="auto"/>
              </w:rPr>
            </w:pPr>
            <w:r>
              <w:rPr>
                <w:rFonts w:ascii="Arial" w:cs="Arial" w:eastAsia="Arial" w:hAnsi="Arial"/>
                <w:sz w:val="14"/>
                <w:szCs w:val="14"/>
                <w:b w:val="1"/>
                <w:bCs w:val="1"/>
                <w:color w:val="E2231A"/>
              </w:rPr>
              <w:t>base salary)</w:t>
            </w:r>
          </w:p>
        </w:tc>
      </w:tr>
      <w:tr>
        <w:trPr>
          <w:trHeight w:val="183"/>
        </w:trPr>
        <w:tc>
          <w:tcPr>
            <w:tcW w:w="544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Chief Executive Officer</w:t>
            </w:r>
          </w:p>
        </w:tc>
        <w:tc>
          <w:tcPr>
            <w:tcW w:w="5980" w:type="dxa"/>
            <w:vAlign w:val="bottom"/>
            <w:shd w:val="clear" w:color="auto" w:fill="FCE9E8"/>
          </w:tcPr>
          <w:p>
            <w:pPr>
              <w:jc w:val="right"/>
              <w:ind w:right="1023"/>
              <w:spacing w:after="0" w:line="183" w:lineRule="exact"/>
              <w:rPr>
                <w:sz w:val="20"/>
                <w:szCs w:val="20"/>
                <w:color w:val="auto"/>
              </w:rPr>
            </w:pPr>
            <w:r>
              <w:rPr>
                <w:rFonts w:ascii="Arial" w:cs="Arial" w:eastAsia="Arial" w:hAnsi="Arial"/>
                <w:sz w:val="16"/>
                <w:szCs w:val="16"/>
                <w:color w:val="auto"/>
              </w:rPr>
              <w:t>6X</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Executive Vice Presidents</w:t>
            </w:r>
          </w:p>
        </w:tc>
        <w:tc>
          <w:tcPr>
            <w:tcW w:w="5980" w:type="dxa"/>
            <w:vAlign w:val="bottom"/>
          </w:tcPr>
          <w:p>
            <w:pPr>
              <w:jc w:val="right"/>
              <w:ind w:right="1023"/>
              <w:spacing w:after="0"/>
              <w:rPr>
                <w:sz w:val="20"/>
                <w:szCs w:val="20"/>
                <w:color w:val="auto"/>
              </w:rPr>
            </w:pPr>
            <w:r>
              <w:rPr>
                <w:rFonts w:ascii="Arial" w:cs="Arial" w:eastAsia="Arial" w:hAnsi="Arial"/>
                <w:sz w:val="16"/>
                <w:szCs w:val="16"/>
                <w:color w:val="auto"/>
              </w:rPr>
              <w:t>3X</w:t>
            </w:r>
          </w:p>
        </w:tc>
      </w:tr>
      <w:tr>
        <w:trPr>
          <w:trHeight w:val="189"/>
        </w:trPr>
        <w:tc>
          <w:tcPr>
            <w:tcW w:w="5440" w:type="dxa"/>
            <w:vAlign w:val="bottom"/>
            <w:shd w:val="clear" w:color="auto" w:fill="FCE9E8"/>
          </w:tcPr>
          <w:p>
            <w:pPr>
              <w:spacing w:after="0"/>
              <w:rPr>
                <w:sz w:val="20"/>
                <w:szCs w:val="20"/>
                <w:color w:val="auto"/>
              </w:rPr>
            </w:pPr>
            <w:r>
              <w:rPr>
                <w:rFonts w:ascii="Arial" w:cs="Arial" w:eastAsia="Arial" w:hAnsi="Arial"/>
                <w:sz w:val="16"/>
                <w:szCs w:val="16"/>
                <w:color w:val="auto"/>
              </w:rPr>
              <w:t>Senior Vice Presidents</w:t>
            </w:r>
          </w:p>
        </w:tc>
        <w:tc>
          <w:tcPr>
            <w:tcW w:w="5980" w:type="dxa"/>
            <w:vAlign w:val="bottom"/>
            <w:shd w:val="clear" w:color="auto" w:fill="FCE9E8"/>
          </w:tcPr>
          <w:p>
            <w:pPr>
              <w:jc w:val="right"/>
              <w:ind w:right="1023"/>
              <w:spacing w:after="0"/>
              <w:rPr>
                <w:sz w:val="20"/>
                <w:szCs w:val="20"/>
                <w:color w:val="auto"/>
              </w:rPr>
            </w:pPr>
            <w:r>
              <w:rPr>
                <w:rFonts w:ascii="Arial" w:cs="Arial" w:eastAsia="Arial" w:hAnsi="Arial"/>
                <w:sz w:val="16"/>
                <w:szCs w:val="16"/>
                <w:color w:val="auto"/>
              </w:rPr>
              <w:t>3X</w:t>
            </w:r>
          </w:p>
        </w:tc>
      </w:tr>
      <w:tr>
        <w:trPr>
          <w:trHeight w:val="189"/>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Executive Officers</w:t>
            </w:r>
          </w:p>
        </w:tc>
        <w:tc>
          <w:tcPr>
            <w:tcW w:w="5980" w:type="dxa"/>
            <w:vAlign w:val="bottom"/>
            <w:tcBorders>
              <w:bottom w:val="single" w:sz="8" w:color="auto"/>
            </w:tcBorders>
          </w:tcPr>
          <w:p>
            <w:pPr>
              <w:jc w:val="right"/>
              <w:ind w:right="1023"/>
              <w:spacing w:after="0"/>
              <w:rPr>
                <w:sz w:val="20"/>
                <w:szCs w:val="20"/>
                <w:color w:val="auto"/>
              </w:rPr>
            </w:pPr>
            <w:r>
              <w:rPr>
                <w:rFonts w:ascii="Arial" w:cs="Arial" w:eastAsia="Arial" w:hAnsi="Arial"/>
                <w:sz w:val="16"/>
                <w:szCs w:val="16"/>
                <w:color w:val="auto"/>
              </w:rPr>
              <w:t>1.5X</w:t>
            </w:r>
          </w:p>
        </w:tc>
      </w:tr>
    </w:tbl>
    <w:p>
      <w:pPr>
        <w:spacing w:after="0" w:line="200" w:lineRule="exact"/>
        <w:rPr>
          <w:sz w:val="20"/>
          <w:szCs w:val="20"/>
          <w:color w:val="auto"/>
        </w:rPr>
      </w:pPr>
    </w:p>
    <w:p>
      <w:pPr>
        <w:sectPr>
          <w:pgSz w:w="11900" w:h="16838" w:orient="portrait"/>
          <w:cols w:equalWidth="0" w:num="1">
            <w:col w:w="11420"/>
          </w:cols>
          <w:pgMar w:left="240" w:top="267" w:right="239" w:bottom="1440" w:gutter="0" w:footer="0" w:header="0"/>
        </w:sectPr>
      </w:pP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stock ownership guidelines are reviewed periodically to ensure ongoing market competitiveness and reasonableness. As of our latest measurement date (December 31, 2016), all of</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our Named Executive Officers have met their respective ownership guideline levels.</w:t>
      </w:r>
    </w:p>
    <w:p>
      <w:pPr>
        <w:spacing w:after="0" w:line="383" w:lineRule="exact"/>
        <w:rPr>
          <w:sz w:val="20"/>
          <w:szCs w:val="20"/>
          <w:color w:val="auto"/>
        </w:rPr>
      </w:pPr>
    </w:p>
    <w:p>
      <w:pPr>
        <w:sectPr>
          <w:pgSz w:w="11900" w:h="16838" w:orient="portrait"/>
          <w:cols w:equalWidth="0" w:num="2">
            <w:col w:w="5440" w:space="380"/>
            <w:col w:w="5600"/>
          </w:cols>
          <w:pgMar w:left="240" w:top="267" w:right="2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color w:val="auto"/>
        </w:rPr>
        <w:t>Equity Award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on the dates of our regularly scheduled Compensation Committee meetings and are effective as of such dates or specified prospective dates. The Compensation Committee has approved and formalized our equity award policy. It provides that the effective grant date of equity awards must be either the date of Compensation Committee or other committee approval or some future date specifically identified in such approval. If such awards are granted, the exercise price of stock options and grant price of</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Stock Appreciation Rights shall be the closing market price of our common stock on the grant date. The Compensation Committee must approve all awards to our executive officers. The policy also allows the Compensation Committee to delegate to the CEO the ability to grant equity awards to non-executive officer employees who are newly hired or promoted or deemed to be deserving of special retention or recognition awards. In addition, the aggregate award pool to non-executive officers must be approved by the Compensation Committee but may be allocated to individual employees by the CEO.</w:t>
      </w:r>
    </w:p>
    <w:p>
      <w:pPr>
        <w:spacing w:after="0" w:line="200" w:lineRule="exact"/>
        <w:rPr>
          <w:sz w:val="20"/>
          <w:szCs w:val="20"/>
          <w:color w:val="auto"/>
        </w:rPr>
      </w:pPr>
    </w:p>
    <w:p>
      <w:pPr>
        <w:sectPr>
          <w:pgSz w:w="11900" w:h="16838" w:orient="portrait"/>
          <w:cols w:equalWidth="0" w:num="2">
            <w:col w:w="5460" w:space="360"/>
            <w:col w:w="5600"/>
          </w:cols>
          <w:pgMar w:left="240" w:top="267" w:right="239" w:bottom="1440" w:gutter="0" w:footer="0" w:header="0"/>
          <w:type w:val="continuous"/>
        </w:sectPr>
      </w:pPr>
    </w:p>
    <w:p>
      <w:pPr>
        <w:spacing w:after="0" w:line="63"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37</w:t>
      </w:r>
    </w:p>
    <w:p>
      <w:pPr>
        <w:sectPr>
          <w:pgSz w:w="11900" w:h="16838" w:orient="portrait"/>
          <w:cols w:equalWidth="0" w:num="1">
            <w:col w:w="11420"/>
          </w:cols>
          <w:pgMar w:left="240" w:top="267"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Retirement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6"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Our Named Executive Officers participate in our retirement savings plan, qualified pension plan, pension equalization plan and supplemental savings plan, as eligible. The general terms of these plans and formulas for calculating benefits are summarized following the 2016 Summary Compensation Table, 2016 Pension Benefits table and 2016 Nonqualified Deferred Compensation table, respectively, in “Executive Compensation.” These benefits provide rewards for long-term service to the Company and an income source in an executive’s post-employment years. The various components of our retirement benefit program (including our frozen defined benefit pension plans) disclosed in this proxy statement are summarized in the table below.</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Summary of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180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E2231A"/>
              </w:rPr>
              <w:t>Pages for</w:t>
            </w:r>
          </w:p>
        </w:tc>
        <w:tc>
          <w:tcPr>
            <w:tcW w:w="0" w:type="dxa"/>
            <w:vAlign w:val="bottom"/>
          </w:tcPr>
          <w:p>
            <w:pPr>
              <w:spacing w:after="0"/>
              <w:rPr>
                <w:sz w:val="1"/>
                <w:szCs w:val="1"/>
                <w:color w:val="auto"/>
              </w:rPr>
            </w:pPr>
          </w:p>
        </w:tc>
      </w:tr>
      <w:tr>
        <w:trPr>
          <w:trHeight w:val="162"/>
        </w:trPr>
        <w:tc>
          <w:tcPr>
            <w:tcW w:w="180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tcBorders>
              <w:right w:val="single" w:sz="8" w:color="auto"/>
            </w:tcBorders>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E2231A"/>
              </w:rPr>
              <w:t>Further</w:t>
            </w:r>
          </w:p>
        </w:tc>
        <w:tc>
          <w:tcPr>
            <w:tcW w:w="0" w:type="dxa"/>
            <w:vAlign w:val="bottom"/>
          </w:tcPr>
          <w:p>
            <w:pPr>
              <w:spacing w:after="0"/>
              <w:rPr>
                <w:sz w:val="1"/>
                <w:szCs w:val="1"/>
                <w:color w:val="auto"/>
              </w:rPr>
            </w:pPr>
          </w:p>
        </w:tc>
      </w:tr>
      <w:tr>
        <w:trPr>
          <w:trHeight w:val="189"/>
        </w:trPr>
        <w:tc>
          <w:tcPr>
            <w:tcW w:w="180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4"/>
                <w:szCs w:val="14"/>
                <w:b w:val="1"/>
                <w:bCs w:val="1"/>
                <w:color w:val="E2231A"/>
              </w:rPr>
              <w:t>Type</w:t>
            </w:r>
          </w:p>
        </w:tc>
        <w:tc>
          <w:tcPr>
            <w:tcW w:w="80" w:type="dxa"/>
            <w:vAlign w:val="bottom"/>
            <w:tcBorders>
              <w:bottom w:val="single" w:sz="8" w:color="auto"/>
            </w:tcBorders>
          </w:tcPr>
          <w:p>
            <w:pPr>
              <w:spacing w:after="0"/>
              <w:rPr>
                <w:sz w:val="16"/>
                <w:szCs w:val="16"/>
                <w:color w:val="auto"/>
              </w:rPr>
            </w:pPr>
          </w:p>
        </w:tc>
        <w:tc>
          <w:tcPr>
            <w:tcW w:w="3480" w:type="dxa"/>
            <w:vAlign w:val="bottom"/>
            <w:tcBorders>
              <w:bottom w:val="single" w:sz="8" w:color="auto"/>
              <w:right w:val="single" w:sz="8" w:color="auto"/>
            </w:tcBorders>
          </w:tcPr>
          <w:p>
            <w:pPr>
              <w:ind w:left="1260"/>
              <w:spacing w:after="0"/>
              <w:rPr>
                <w:sz w:val="20"/>
                <w:szCs w:val="20"/>
                <w:color w:val="auto"/>
              </w:rPr>
            </w:pPr>
            <w:r>
              <w:rPr>
                <w:rFonts w:ascii="Arial" w:cs="Arial" w:eastAsia="Arial" w:hAnsi="Arial"/>
                <w:sz w:val="14"/>
                <w:szCs w:val="14"/>
                <w:b w:val="1"/>
                <w:bCs w:val="1"/>
                <w:color w:val="E2231A"/>
              </w:rPr>
              <w:t>Plan/Program</w:t>
            </w:r>
          </w:p>
        </w:tc>
        <w:tc>
          <w:tcPr>
            <w:tcW w:w="23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4"/>
                <w:szCs w:val="14"/>
                <w:b w:val="1"/>
                <w:bCs w:val="1"/>
                <w:color w:val="E2231A"/>
              </w:rPr>
              <w:t>Component/Feature</w:t>
            </w:r>
          </w:p>
        </w:tc>
        <w:tc>
          <w:tcPr>
            <w:tcW w:w="8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E2231A"/>
              </w:rPr>
              <w:t>Purpose</w:t>
            </w: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E2231A"/>
              </w:rPr>
              <w:t>Details</w:t>
            </w: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bottom w:val="single" w:sz="8" w:color="FCE9E8"/>
              <w:right w:val="single" w:sz="8" w:color="auto"/>
            </w:tcBorders>
            <w:shd w:val="clear" w:color="auto" w:fill="FCE9E8"/>
          </w:tcPr>
          <w:p>
            <w:pPr>
              <w:ind w:left="260"/>
              <w:spacing w:after="0" w:line="183" w:lineRule="exact"/>
              <w:rPr>
                <w:sz w:val="20"/>
                <w:szCs w:val="20"/>
                <w:color w:val="auto"/>
              </w:rPr>
            </w:pPr>
            <w:r>
              <w:rPr>
                <w:rFonts w:ascii="Arial" w:cs="Arial" w:eastAsia="Arial" w:hAnsi="Arial"/>
                <w:sz w:val="16"/>
                <w:szCs w:val="16"/>
                <w:b w:val="1"/>
                <w:bCs w:val="1"/>
                <w:color w:val="auto"/>
              </w:rPr>
              <w:t>Defined</w:t>
            </w:r>
          </w:p>
        </w:tc>
        <w:tc>
          <w:tcPr>
            <w:tcW w:w="80" w:type="dxa"/>
            <w:vAlign w:val="bottom"/>
            <w:tcBorders>
              <w:bottom w:val="single" w:sz="8" w:color="FCE9E8"/>
            </w:tcBorders>
            <w:shd w:val="clear" w:color="auto" w:fill="FCE9E8"/>
          </w:tcPr>
          <w:p>
            <w:pPr>
              <w:spacing w:after="0"/>
              <w:rPr>
                <w:sz w:val="15"/>
                <w:szCs w:val="15"/>
                <w:color w:val="auto"/>
              </w:rPr>
            </w:pPr>
          </w:p>
        </w:tc>
        <w:tc>
          <w:tcPr>
            <w:tcW w:w="3480" w:type="dxa"/>
            <w:vAlign w:val="bottom"/>
            <w:tcBorders>
              <w:bottom w:val="single" w:sz="8" w:color="FCE9E8"/>
              <w:right w:val="single" w:sz="8" w:color="auto"/>
            </w:tcBorders>
            <w:shd w:val="clear" w:color="auto" w:fill="FCE9E8"/>
          </w:tcPr>
          <w:p>
            <w:pPr>
              <w:spacing w:after="0" w:line="183" w:lineRule="exact"/>
              <w:rPr>
                <w:sz w:val="20"/>
                <w:szCs w:val="20"/>
                <w:color w:val="auto"/>
              </w:rPr>
            </w:pPr>
            <w:r>
              <w:rPr>
                <w:rFonts w:ascii="Arial" w:cs="Arial" w:eastAsia="Arial" w:hAnsi="Arial"/>
                <w:sz w:val="16"/>
                <w:szCs w:val="16"/>
                <w:color w:val="auto"/>
              </w:rPr>
              <w:t>Salaried Retirement</w:t>
            </w:r>
          </w:p>
        </w:tc>
        <w:tc>
          <w:tcPr>
            <w:tcW w:w="2380" w:type="dxa"/>
            <w:vAlign w:val="bottom"/>
            <w:tcBorders>
              <w:bottom w:val="single" w:sz="8" w:color="auto"/>
              <w:right w:val="single" w:sz="8" w:color="auto"/>
            </w:tcBorders>
            <w:shd w:val="clear" w:color="auto" w:fill="FCE9E8"/>
          </w:tcPr>
          <w:p>
            <w:pPr>
              <w:ind w:left="100"/>
              <w:spacing w:after="0" w:line="183" w:lineRule="exact"/>
              <w:rPr>
                <w:sz w:val="20"/>
                <w:szCs w:val="20"/>
                <w:color w:val="auto"/>
              </w:rPr>
            </w:pPr>
            <w:r>
              <w:rPr>
                <w:rFonts w:ascii="Arial" w:cs="Arial" w:eastAsia="Arial" w:hAnsi="Arial"/>
                <w:sz w:val="16"/>
                <w:szCs w:val="16"/>
                <w:color w:val="auto"/>
              </w:rPr>
              <w:t>Deferral</w:t>
            </w:r>
          </w:p>
        </w:tc>
        <w:tc>
          <w:tcPr>
            <w:tcW w:w="80" w:type="dxa"/>
            <w:vAlign w:val="bottom"/>
            <w:tcBorders>
              <w:bottom w:val="single" w:sz="8" w:color="FCE9E8"/>
            </w:tcBorders>
            <w:shd w:val="clear" w:color="auto" w:fill="FCE9E8"/>
          </w:tcPr>
          <w:p>
            <w:pPr>
              <w:spacing w:after="0"/>
              <w:rPr>
                <w:sz w:val="15"/>
                <w:szCs w:val="15"/>
                <w:color w:val="auto"/>
              </w:rPr>
            </w:pPr>
          </w:p>
        </w:tc>
        <w:tc>
          <w:tcPr>
            <w:tcW w:w="2660" w:type="dxa"/>
            <w:vAlign w:val="bottom"/>
            <w:tcBorders>
              <w:bottom w:val="single" w:sz="8" w:color="FCE9E8"/>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Standard 401(k) plan and</w:t>
            </w:r>
          </w:p>
        </w:tc>
        <w:tc>
          <w:tcPr>
            <w:tcW w:w="80" w:type="dxa"/>
            <w:vAlign w:val="bottom"/>
            <w:tcBorders>
              <w:bottom w:val="single" w:sz="8" w:color="FCE9E8"/>
            </w:tcBorders>
            <w:shd w:val="clear" w:color="auto" w:fill="FCE9E8"/>
          </w:tcPr>
          <w:p>
            <w:pPr>
              <w:spacing w:after="0"/>
              <w:rPr>
                <w:sz w:val="15"/>
                <w:szCs w:val="15"/>
                <w:color w:val="auto"/>
              </w:rPr>
            </w:pPr>
          </w:p>
        </w:tc>
        <w:tc>
          <w:tcPr>
            <w:tcW w:w="880" w:type="dxa"/>
            <w:vAlign w:val="bottom"/>
            <w:tcBorders>
              <w:bottom w:val="single" w:sz="8" w:color="FCE9E8"/>
              <w:right w:val="single" w:sz="8" w:color="auto"/>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bottom w:val="single" w:sz="8" w:color="FCE9E8"/>
              <w:right w:val="single" w:sz="8" w:color="auto"/>
            </w:tcBorders>
            <w:shd w:val="clear" w:color="auto" w:fill="FCE9E8"/>
          </w:tcPr>
          <w:p>
            <w:pPr>
              <w:ind w:left="260"/>
              <w:spacing w:after="0" w:line="183" w:lineRule="exact"/>
              <w:rPr>
                <w:sz w:val="20"/>
                <w:szCs w:val="20"/>
                <w:color w:val="auto"/>
              </w:rPr>
            </w:pPr>
            <w:r>
              <w:rPr>
                <w:rFonts w:ascii="Arial" w:cs="Arial" w:eastAsia="Arial" w:hAnsi="Arial"/>
                <w:sz w:val="16"/>
                <w:szCs w:val="16"/>
                <w:b w:val="1"/>
                <w:bCs w:val="1"/>
                <w:color w:val="auto"/>
              </w:rPr>
              <w:t>Contribution</w:t>
            </w:r>
          </w:p>
        </w:tc>
        <w:tc>
          <w:tcPr>
            <w:tcW w:w="80" w:type="dxa"/>
            <w:vAlign w:val="bottom"/>
            <w:tcBorders>
              <w:bottom w:val="single" w:sz="8" w:color="FCE9E8"/>
            </w:tcBorders>
            <w:shd w:val="clear" w:color="auto" w:fill="FCE9E8"/>
          </w:tcPr>
          <w:p>
            <w:pPr>
              <w:spacing w:after="0"/>
              <w:rPr>
                <w:sz w:val="15"/>
                <w:szCs w:val="15"/>
                <w:color w:val="auto"/>
              </w:rPr>
            </w:pPr>
          </w:p>
        </w:tc>
        <w:tc>
          <w:tcPr>
            <w:tcW w:w="3480" w:type="dxa"/>
            <w:vAlign w:val="bottom"/>
            <w:tcBorders>
              <w:bottom w:val="single" w:sz="8" w:color="FCE9E8"/>
              <w:right w:val="single" w:sz="8" w:color="auto"/>
            </w:tcBorders>
            <w:shd w:val="clear" w:color="auto" w:fill="FCE9E8"/>
          </w:tcPr>
          <w:p>
            <w:pPr>
              <w:spacing w:after="0" w:line="177" w:lineRule="exact"/>
              <w:rPr>
                <w:sz w:val="20"/>
                <w:szCs w:val="20"/>
                <w:color w:val="auto"/>
              </w:rPr>
            </w:pPr>
            <w:r>
              <w:rPr>
                <w:rFonts w:ascii="Arial" w:cs="Arial" w:eastAsia="Arial" w:hAnsi="Arial"/>
                <w:sz w:val="16"/>
                <w:szCs w:val="16"/>
                <w:color w:val="auto"/>
              </w:rPr>
              <w:t>Program (Qualified)</w:t>
            </w:r>
          </w:p>
        </w:tc>
        <w:tc>
          <w:tcPr>
            <w:tcW w:w="2380" w:type="dxa"/>
            <w:vAlign w:val="bottom"/>
            <w:tcBorders>
              <w:bottom w:val="single" w:sz="8" w:color="auto"/>
              <w:right w:val="single" w:sz="8" w:color="auto"/>
            </w:tcBorders>
            <w:shd w:val="clear" w:color="auto" w:fill="FCE9E8"/>
          </w:tcPr>
          <w:p>
            <w:pPr>
              <w:ind w:left="100"/>
              <w:spacing w:after="0" w:line="183" w:lineRule="exact"/>
              <w:rPr>
                <w:sz w:val="20"/>
                <w:szCs w:val="20"/>
                <w:color w:val="auto"/>
              </w:rPr>
            </w:pPr>
            <w:r>
              <w:rPr>
                <w:rFonts w:ascii="Arial" w:cs="Arial" w:eastAsia="Arial" w:hAnsi="Arial"/>
                <w:sz w:val="16"/>
                <w:szCs w:val="16"/>
                <w:color w:val="auto"/>
              </w:rPr>
              <w:t>Company Match</w:t>
            </w:r>
          </w:p>
        </w:tc>
        <w:tc>
          <w:tcPr>
            <w:tcW w:w="80" w:type="dxa"/>
            <w:vAlign w:val="bottom"/>
            <w:tcBorders>
              <w:bottom w:val="single" w:sz="8" w:color="auto"/>
            </w:tcBorders>
            <w:shd w:val="clear" w:color="auto" w:fill="FCE9E8"/>
          </w:tcPr>
          <w:p>
            <w:pPr>
              <w:spacing w:after="0"/>
              <w:rPr>
                <w:sz w:val="15"/>
                <w:szCs w:val="15"/>
                <w:color w:val="auto"/>
              </w:rPr>
            </w:pPr>
          </w:p>
        </w:tc>
        <w:tc>
          <w:tcPr>
            <w:tcW w:w="2660" w:type="dxa"/>
            <w:vAlign w:val="bottom"/>
            <w:tcBorders>
              <w:bottom w:val="single" w:sz="8" w:color="auto"/>
              <w:right w:val="single" w:sz="8" w:color="auto"/>
            </w:tcBorders>
            <w:shd w:val="clear" w:color="auto" w:fill="FCE9E8"/>
          </w:tcPr>
          <w:p>
            <w:pPr>
              <w:jc w:val="center"/>
              <w:spacing w:after="0" w:line="177" w:lineRule="exact"/>
              <w:rPr>
                <w:sz w:val="20"/>
                <w:szCs w:val="20"/>
                <w:color w:val="auto"/>
              </w:rPr>
            </w:pPr>
            <w:r>
              <w:rPr>
                <w:rFonts w:ascii="Arial" w:cs="Arial" w:eastAsia="Arial" w:hAnsi="Arial"/>
                <w:sz w:val="16"/>
                <w:szCs w:val="16"/>
                <w:color w:val="auto"/>
              </w:rPr>
              <w:t>matching contribution</w:t>
            </w:r>
          </w:p>
        </w:tc>
        <w:tc>
          <w:tcPr>
            <w:tcW w:w="80" w:type="dxa"/>
            <w:vAlign w:val="bottom"/>
            <w:tcBorders>
              <w:bottom w:val="single" w:sz="8" w:color="FCE9E8"/>
            </w:tcBorders>
            <w:shd w:val="clear" w:color="auto" w:fill="FCE9E8"/>
          </w:tcPr>
          <w:p>
            <w:pPr>
              <w:spacing w:after="0"/>
              <w:rPr>
                <w:sz w:val="15"/>
                <w:szCs w:val="15"/>
                <w:color w:val="auto"/>
              </w:rPr>
            </w:pPr>
          </w:p>
        </w:tc>
        <w:tc>
          <w:tcPr>
            <w:tcW w:w="880" w:type="dxa"/>
            <w:vAlign w:val="bottom"/>
            <w:tcBorders>
              <w:bottom w:val="single" w:sz="8" w:color="FCE9E8"/>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auto"/>
            </w:tcBorders>
            <w:shd w:val="clear" w:color="auto" w:fill="FCE9E8"/>
          </w:tcPr>
          <w:p>
            <w:pPr>
              <w:spacing w:after="0"/>
              <w:rPr>
                <w:sz w:val="15"/>
                <w:szCs w:val="15"/>
                <w:color w:val="auto"/>
              </w:rPr>
            </w:pPr>
          </w:p>
        </w:tc>
        <w:tc>
          <w:tcPr>
            <w:tcW w:w="3480" w:type="dxa"/>
            <w:vAlign w:val="bottom"/>
            <w:tcBorders>
              <w:bottom w:val="single" w:sz="8" w:color="auto"/>
              <w:right w:val="single" w:sz="8" w:color="auto"/>
            </w:tcBorders>
            <w:shd w:val="clear" w:color="auto" w:fill="FCE9E8"/>
          </w:tcPr>
          <w:p>
            <w:pPr>
              <w:spacing w:after="0"/>
              <w:rPr>
                <w:sz w:val="15"/>
                <w:szCs w:val="15"/>
                <w:color w:val="auto"/>
              </w:rPr>
            </w:pPr>
          </w:p>
        </w:tc>
        <w:tc>
          <w:tcPr>
            <w:tcW w:w="2380" w:type="dxa"/>
            <w:vAlign w:val="bottom"/>
            <w:tcBorders>
              <w:bottom w:val="single" w:sz="8" w:color="auto"/>
              <w:right w:val="single" w:sz="8" w:color="auto"/>
            </w:tcBorders>
            <w:shd w:val="clear" w:color="auto" w:fill="FCE9E8"/>
          </w:tcPr>
          <w:p>
            <w:pPr>
              <w:ind w:left="100"/>
              <w:spacing w:after="0" w:line="183" w:lineRule="exact"/>
              <w:rPr>
                <w:sz w:val="20"/>
                <w:szCs w:val="20"/>
                <w:color w:val="auto"/>
              </w:rPr>
            </w:pPr>
            <w:r>
              <w:rPr>
                <w:rFonts w:ascii="Arial" w:cs="Arial" w:eastAsia="Arial" w:hAnsi="Arial"/>
                <w:sz w:val="16"/>
                <w:szCs w:val="16"/>
                <w:color w:val="auto"/>
              </w:rPr>
              <w:t>Pension Savings Plan</w:t>
            </w:r>
          </w:p>
        </w:tc>
        <w:tc>
          <w:tcPr>
            <w:tcW w:w="80" w:type="dxa"/>
            <w:vAlign w:val="bottom"/>
            <w:tcBorders>
              <w:bottom w:val="single" w:sz="8" w:color="auto"/>
            </w:tcBorders>
            <w:shd w:val="clear" w:color="auto" w:fill="FCE9E8"/>
          </w:tcPr>
          <w:p>
            <w:pPr>
              <w:spacing w:after="0"/>
              <w:rPr>
                <w:sz w:val="15"/>
                <w:szCs w:val="15"/>
                <w:color w:val="auto"/>
              </w:rPr>
            </w:pPr>
          </w:p>
        </w:tc>
        <w:tc>
          <w:tcPr>
            <w:tcW w:w="2660" w:type="dxa"/>
            <w:vAlign w:val="bottom"/>
            <w:tcBorders>
              <w:bottom w:val="single" w:sz="8" w:color="auto"/>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Main retirement program</w:t>
            </w:r>
          </w:p>
        </w:tc>
        <w:tc>
          <w:tcPr>
            <w:tcW w:w="80" w:type="dxa"/>
            <w:vAlign w:val="bottom"/>
            <w:tcBorders>
              <w:bottom w:val="single" w:sz="8" w:color="auto"/>
            </w:tcBorders>
            <w:shd w:val="clear" w:color="auto" w:fill="FCE9E8"/>
          </w:tcPr>
          <w:p>
            <w:pPr>
              <w:spacing w:after="0"/>
              <w:rPr>
                <w:sz w:val="15"/>
                <w:szCs w:val="15"/>
                <w:color w:val="auto"/>
              </w:rPr>
            </w:pPr>
          </w:p>
        </w:tc>
        <w:tc>
          <w:tcPr>
            <w:tcW w:w="880" w:type="dxa"/>
            <w:vAlign w:val="bottom"/>
            <w:tcBorders>
              <w:bottom w:val="single" w:sz="8" w:color="auto"/>
              <w:right w:val="single" w:sz="8" w:color="auto"/>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FCE9E8"/>
            </w:tcBorders>
            <w:shd w:val="clear" w:color="auto" w:fill="FCE9E8"/>
          </w:tcPr>
          <w:p>
            <w:pPr>
              <w:spacing w:after="0"/>
              <w:rPr>
                <w:sz w:val="15"/>
                <w:szCs w:val="15"/>
                <w:color w:val="auto"/>
              </w:rPr>
            </w:pPr>
          </w:p>
        </w:tc>
        <w:tc>
          <w:tcPr>
            <w:tcW w:w="3480" w:type="dxa"/>
            <w:vAlign w:val="bottom"/>
            <w:tcBorders>
              <w:bottom w:val="single" w:sz="8" w:color="FCE9E8"/>
              <w:right w:val="single" w:sz="8" w:color="auto"/>
            </w:tcBorders>
            <w:shd w:val="clear" w:color="auto" w:fill="FCE9E8"/>
          </w:tcPr>
          <w:p>
            <w:pPr>
              <w:spacing w:after="0" w:line="183" w:lineRule="exact"/>
              <w:rPr>
                <w:sz w:val="20"/>
                <w:szCs w:val="20"/>
                <w:color w:val="auto"/>
              </w:rPr>
            </w:pPr>
            <w:r>
              <w:rPr>
                <w:rFonts w:ascii="Arial" w:cs="Arial" w:eastAsia="Arial" w:hAnsi="Arial"/>
                <w:sz w:val="16"/>
                <w:szCs w:val="16"/>
                <w:color w:val="auto"/>
              </w:rPr>
              <w:t>Salaried Retirement Restoration Program</w:t>
            </w:r>
          </w:p>
        </w:tc>
        <w:tc>
          <w:tcPr>
            <w:tcW w:w="2380" w:type="dxa"/>
            <w:vAlign w:val="bottom"/>
            <w:tcBorders>
              <w:bottom w:val="single" w:sz="8" w:color="auto"/>
              <w:right w:val="single" w:sz="8" w:color="auto"/>
            </w:tcBorders>
            <w:shd w:val="clear" w:color="auto" w:fill="FCE9E8"/>
          </w:tcPr>
          <w:p>
            <w:pPr>
              <w:ind w:left="100"/>
              <w:spacing w:after="0" w:line="183" w:lineRule="exact"/>
              <w:rPr>
                <w:sz w:val="20"/>
                <w:szCs w:val="20"/>
                <w:color w:val="auto"/>
              </w:rPr>
            </w:pPr>
            <w:r>
              <w:rPr>
                <w:rFonts w:ascii="Arial" w:cs="Arial" w:eastAsia="Arial" w:hAnsi="Arial"/>
                <w:sz w:val="16"/>
                <w:szCs w:val="16"/>
                <w:color w:val="auto"/>
              </w:rPr>
              <w:t>Deferral</w:t>
            </w:r>
          </w:p>
        </w:tc>
        <w:tc>
          <w:tcPr>
            <w:tcW w:w="80" w:type="dxa"/>
            <w:vAlign w:val="bottom"/>
            <w:tcBorders>
              <w:bottom w:val="single" w:sz="8" w:color="FCE9E8"/>
            </w:tcBorders>
            <w:shd w:val="clear" w:color="auto" w:fill="FCE9E8"/>
          </w:tcPr>
          <w:p>
            <w:pPr>
              <w:spacing w:after="0"/>
              <w:rPr>
                <w:sz w:val="15"/>
                <w:szCs w:val="15"/>
                <w:color w:val="auto"/>
              </w:rPr>
            </w:pPr>
          </w:p>
        </w:tc>
        <w:tc>
          <w:tcPr>
            <w:tcW w:w="2660" w:type="dxa"/>
            <w:vAlign w:val="bottom"/>
            <w:tcBorders>
              <w:bottom w:val="single" w:sz="8" w:color="FCE9E8"/>
              <w:right w:val="single" w:sz="8" w:color="auto"/>
            </w:tcBorders>
            <w:shd w:val="clear" w:color="auto" w:fill="FCE9E8"/>
          </w:tcPr>
          <w:p>
            <w:pPr>
              <w:jc w:val="center"/>
              <w:spacing w:after="0" w:line="183" w:lineRule="exact"/>
              <w:rPr>
                <w:sz w:val="20"/>
                <w:szCs w:val="20"/>
                <w:color w:val="auto"/>
              </w:rPr>
            </w:pPr>
            <w:r>
              <w:rPr>
                <w:rFonts w:ascii="Arial" w:cs="Arial" w:eastAsia="Arial" w:hAnsi="Arial"/>
                <w:sz w:val="16"/>
                <w:szCs w:val="16"/>
                <w:color w:val="auto"/>
              </w:rPr>
              <w:t>Excess programs for</w:t>
            </w:r>
          </w:p>
        </w:tc>
        <w:tc>
          <w:tcPr>
            <w:tcW w:w="80" w:type="dxa"/>
            <w:vAlign w:val="bottom"/>
            <w:tcBorders>
              <w:bottom w:val="single" w:sz="8" w:color="FCE9E8"/>
            </w:tcBorders>
            <w:shd w:val="clear" w:color="auto" w:fill="FCE9E8"/>
          </w:tcPr>
          <w:p>
            <w:pPr>
              <w:spacing w:after="0"/>
              <w:rPr>
                <w:sz w:val="15"/>
                <w:szCs w:val="15"/>
                <w:color w:val="auto"/>
              </w:rPr>
            </w:pPr>
          </w:p>
        </w:tc>
        <w:tc>
          <w:tcPr>
            <w:tcW w:w="880" w:type="dxa"/>
            <w:vAlign w:val="bottom"/>
            <w:tcBorders>
              <w:bottom w:val="single" w:sz="8" w:color="FCE9E8"/>
              <w:right w:val="single" w:sz="8" w:color="auto"/>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00" w:type="dxa"/>
            <w:vAlign w:val="bottom"/>
            <w:tcBorders>
              <w:left w:val="single" w:sz="8" w:color="auto"/>
              <w:bottom w:val="single" w:sz="8" w:color="FCE9E8"/>
              <w:right w:val="single" w:sz="8" w:color="auto"/>
            </w:tcBorders>
            <w:shd w:val="clear" w:color="auto" w:fill="FCE9E8"/>
          </w:tcPr>
          <w:p>
            <w:pPr>
              <w:spacing w:after="0"/>
              <w:rPr>
                <w:sz w:val="15"/>
                <w:szCs w:val="15"/>
                <w:color w:val="auto"/>
              </w:rPr>
            </w:pPr>
          </w:p>
        </w:tc>
        <w:tc>
          <w:tcPr>
            <w:tcW w:w="80" w:type="dxa"/>
            <w:vAlign w:val="bottom"/>
            <w:tcBorders>
              <w:bottom w:val="single" w:sz="8" w:color="FCE9E8"/>
            </w:tcBorders>
            <w:shd w:val="clear" w:color="auto" w:fill="FCE9E8"/>
          </w:tcPr>
          <w:p>
            <w:pPr>
              <w:spacing w:after="0"/>
              <w:rPr>
                <w:sz w:val="15"/>
                <w:szCs w:val="15"/>
                <w:color w:val="auto"/>
              </w:rPr>
            </w:pPr>
          </w:p>
        </w:tc>
        <w:tc>
          <w:tcPr>
            <w:tcW w:w="3480" w:type="dxa"/>
            <w:vAlign w:val="bottom"/>
            <w:tcBorders>
              <w:bottom w:val="single" w:sz="8" w:color="FCE9E8"/>
              <w:right w:val="single" w:sz="8" w:color="auto"/>
            </w:tcBorders>
            <w:shd w:val="clear" w:color="auto" w:fill="FCE9E8"/>
          </w:tcPr>
          <w:p>
            <w:pPr>
              <w:spacing w:after="0" w:line="171" w:lineRule="exact"/>
              <w:rPr>
                <w:sz w:val="20"/>
                <w:szCs w:val="20"/>
                <w:color w:val="auto"/>
              </w:rPr>
            </w:pPr>
            <w:r>
              <w:rPr>
                <w:rFonts w:ascii="Arial" w:cs="Arial" w:eastAsia="Arial" w:hAnsi="Arial"/>
                <w:sz w:val="16"/>
                <w:szCs w:val="16"/>
                <w:color w:val="auto"/>
              </w:rPr>
              <w:t>(Non-Qualified)</w:t>
            </w:r>
          </w:p>
        </w:tc>
        <w:tc>
          <w:tcPr>
            <w:tcW w:w="2380" w:type="dxa"/>
            <w:vAlign w:val="bottom"/>
            <w:tcBorders>
              <w:bottom w:val="single" w:sz="8" w:color="auto"/>
              <w:right w:val="single" w:sz="8" w:color="auto"/>
            </w:tcBorders>
            <w:shd w:val="clear" w:color="auto" w:fill="FCE9E8"/>
          </w:tcPr>
          <w:p>
            <w:pPr>
              <w:ind w:left="100"/>
              <w:spacing w:after="0" w:line="171" w:lineRule="exact"/>
              <w:rPr>
                <w:sz w:val="20"/>
                <w:szCs w:val="20"/>
                <w:color w:val="auto"/>
              </w:rPr>
            </w:pPr>
            <w:r>
              <w:rPr>
                <w:rFonts w:ascii="Arial" w:cs="Arial" w:eastAsia="Arial" w:hAnsi="Arial"/>
                <w:sz w:val="16"/>
                <w:szCs w:val="16"/>
                <w:color w:val="auto"/>
              </w:rPr>
              <w:t>Company Match</w:t>
            </w:r>
          </w:p>
        </w:tc>
        <w:tc>
          <w:tcPr>
            <w:tcW w:w="80" w:type="dxa"/>
            <w:vAlign w:val="bottom"/>
            <w:tcBorders>
              <w:bottom w:val="single" w:sz="8" w:color="FCE9E8"/>
            </w:tcBorders>
            <w:shd w:val="clear" w:color="auto" w:fill="FCE9E8"/>
          </w:tcPr>
          <w:p>
            <w:pPr>
              <w:spacing w:after="0"/>
              <w:rPr>
                <w:sz w:val="15"/>
                <w:szCs w:val="15"/>
                <w:color w:val="auto"/>
              </w:rPr>
            </w:pPr>
          </w:p>
        </w:tc>
        <w:tc>
          <w:tcPr>
            <w:tcW w:w="2660" w:type="dxa"/>
            <w:vAlign w:val="bottom"/>
            <w:tcBorders>
              <w:bottom w:val="single" w:sz="8" w:color="FCE9E8"/>
              <w:right w:val="single" w:sz="8" w:color="auto"/>
            </w:tcBorders>
            <w:shd w:val="clear" w:color="auto" w:fill="FCE9E8"/>
          </w:tcPr>
          <w:p>
            <w:pPr>
              <w:ind w:left="740"/>
              <w:spacing w:after="0" w:line="171" w:lineRule="exact"/>
              <w:rPr>
                <w:sz w:val="20"/>
                <w:szCs w:val="20"/>
                <w:color w:val="auto"/>
              </w:rPr>
            </w:pPr>
            <w:r>
              <w:rPr>
                <w:rFonts w:ascii="Arial" w:cs="Arial" w:eastAsia="Arial" w:hAnsi="Arial"/>
                <w:sz w:val="16"/>
                <w:szCs w:val="16"/>
                <w:color w:val="auto"/>
              </w:rPr>
              <w:t>amounts above</w:t>
            </w:r>
          </w:p>
        </w:tc>
        <w:tc>
          <w:tcPr>
            <w:tcW w:w="80" w:type="dxa"/>
            <w:vAlign w:val="bottom"/>
            <w:tcBorders>
              <w:bottom w:val="single" w:sz="8" w:color="FCE9E8"/>
            </w:tcBorders>
            <w:shd w:val="clear" w:color="auto" w:fill="FCE9E8"/>
          </w:tcPr>
          <w:p>
            <w:pPr>
              <w:spacing w:after="0"/>
              <w:rPr>
                <w:sz w:val="15"/>
                <w:szCs w:val="15"/>
                <w:color w:val="auto"/>
              </w:rPr>
            </w:pPr>
          </w:p>
        </w:tc>
        <w:tc>
          <w:tcPr>
            <w:tcW w:w="880" w:type="dxa"/>
            <w:vAlign w:val="bottom"/>
            <w:tcBorders>
              <w:bottom w:val="single" w:sz="8" w:color="FCE9E8"/>
              <w:right w:val="single" w:sz="8" w:color="auto"/>
            </w:tcBorders>
            <w:shd w:val="clear" w:color="auto" w:fill="FCE9E8"/>
          </w:tcPr>
          <w:p>
            <w:pPr>
              <w:jc w:val="center"/>
              <w:spacing w:after="0" w:line="171" w:lineRule="exact"/>
              <w:rPr>
                <w:sz w:val="20"/>
                <w:szCs w:val="20"/>
                <w:color w:val="auto"/>
              </w:rPr>
            </w:pPr>
            <w:r>
              <w:rPr>
                <w:rFonts w:ascii="Arial" w:cs="Arial" w:eastAsia="Arial" w:hAnsi="Arial"/>
                <w:sz w:val="16"/>
                <w:szCs w:val="16"/>
                <w:color w:val="auto"/>
                <w:w w:val="98"/>
              </w:rPr>
              <w:t>42; 49</w:t>
            </w:r>
          </w:p>
        </w:tc>
        <w:tc>
          <w:tcPr>
            <w:tcW w:w="0" w:type="dxa"/>
            <w:vAlign w:val="bottom"/>
          </w:tcPr>
          <w:p>
            <w:pPr>
              <w:spacing w:after="0"/>
              <w:rPr>
                <w:sz w:val="1"/>
                <w:szCs w:val="1"/>
                <w:color w:val="auto"/>
              </w:rPr>
            </w:pPr>
          </w:p>
        </w:tc>
      </w:tr>
      <w:tr>
        <w:trPr>
          <w:trHeight w:val="189"/>
        </w:trPr>
        <w:tc>
          <w:tcPr>
            <w:tcW w:w="1800" w:type="dxa"/>
            <w:vAlign w:val="bottom"/>
            <w:tcBorders>
              <w:left w:val="single" w:sz="8" w:color="auto"/>
              <w:bottom w:val="single" w:sz="8" w:color="auto"/>
              <w:right w:val="single" w:sz="8" w:color="auto"/>
            </w:tcBorders>
            <w:shd w:val="clear" w:color="auto" w:fill="FCE9E8"/>
          </w:tcPr>
          <w:p>
            <w:pPr>
              <w:spacing w:after="0"/>
              <w:rPr>
                <w:sz w:val="16"/>
                <w:szCs w:val="16"/>
                <w:color w:val="auto"/>
              </w:rPr>
            </w:pPr>
          </w:p>
        </w:tc>
        <w:tc>
          <w:tcPr>
            <w:tcW w:w="80" w:type="dxa"/>
            <w:vAlign w:val="bottom"/>
            <w:tcBorders>
              <w:bottom w:val="single" w:sz="8" w:color="auto"/>
            </w:tcBorders>
            <w:shd w:val="clear" w:color="auto" w:fill="FCE9E8"/>
          </w:tcPr>
          <w:p>
            <w:pPr>
              <w:spacing w:after="0"/>
              <w:rPr>
                <w:sz w:val="16"/>
                <w:szCs w:val="16"/>
                <w:color w:val="auto"/>
              </w:rPr>
            </w:pPr>
          </w:p>
        </w:tc>
        <w:tc>
          <w:tcPr>
            <w:tcW w:w="3480" w:type="dxa"/>
            <w:vAlign w:val="bottom"/>
            <w:tcBorders>
              <w:bottom w:val="single" w:sz="8" w:color="auto"/>
              <w:right w:val="single" w:sz="8" w:color="auto"/>
            </w:tcBorders>
            <w:shd w:val="clear" w:color="auto" w:fill="FCE9E8"/>
          </w:tcPr>
          <w:p>
            <w:pPr>
              <w:spacing w:after="0"/>
              <w:rPr>
                <w:sz w:val="16"/>
                <w:szCs w:val="16"/>
                <w:color w:val="auto"/>
              </w:rPr>
            </w:pPr>
          </w:p>
        </w:tc>
        <w:tc>
          <w:tcPr>
            <w:tcW w:w="2380" w:type="dxa"/>
            <w:vAlign w:val="bottom"/>
            <w:tcBorders>
              <w:bottom w:val="single" w:sz="8" w:color="auto"/>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Pension Savings Plan</w:t>
            </w:r>
          </w:p>
        </w:tc>
        <w:tc>
          <w:tcPr>
            <w:tcW w:w="80" w:type="dxa"/>
            <w:vAlign w:val="bottom"/>
            <w:tcBorders>
              <w:bottom w:val="single" w:sz="8" w:color="auto"/>
            </w:tcBorders>
            <w:shd w:val="clear" w:color="auto" w:fill="FCE9E8"/>
          </w:tcPr>
          <w:p>
            <w:pPr>
              <w:spacing w:after="0"/>
              <w:rPr>
                <w:sz w:val="16"/>
                <w:szCs w:val="16"/>
                <w:color w:val="auto"/>
              </w:rPr>
            </w:pPr>
          </w:p>
        </w:tc>
        <w:tc>
          <w:tcPr>
            <w:tcW w:w="2660" w:type="dxa"/>
            <w:vAlign w:val="bottom"/>
            <w:tcBorders>
              <w:bottom w:val="single" w:sz="8" w:color="auto"/>
              <w:right w:val="single" w:sz="8" w:color="auto"/>
            </w:tcBorders>
            <w:shd w:val="clear" w:color="auto" w:fill="FCE9E8"/>
          </w:tcPr>
          <w:p>
            <w:pPr>
              <w:jc w:val="center"/>
              <w:spacing w:after="0" w:line="170" w:lineRule="exact"/>
              <w:rPr>
                <w:sz w:val="20"/>
                <w:szCs w:val="20"/>
                <w:color w:val="auto"/>
              </w:rPr>
            </w:pPr>
            <w:r>
              <w:rPr>
                <w:rFonts w:ascii="Arial" w:cs="Arial" w:eastAsia="Arial" w:hAnsi="Arial"/>
                <w:sz w:val="16"/>
                <w:szCs w:val="16"/>
                <w:color w:val="auto"/>
              </w:rPr>
              <w:t>qualified plan limits</w:t>
            </w:r>
          </w:p>
        </w:tc>
        <w:tc>
          <w:tcPr>
            <w:tcW w:w="80" w:type="dxa"/>
            <w:vAlign w:val="bottom"/>
            <w:tcBorders>
              <w:bottom w:val="single" w:sz="8" w:color="auto"/>
            </w:tcBorders>
            <w:shd w:val="clear" w:color="auto" w:fill="FCE9E8"/>
          </w:tcPr>
          <w:p>
            <w:pPr>
              <w:spacing w:after="0"/>
              <w:rPr>
                <w:sz w:val="16"/>
                <w:szCs w:val="16"/>
                <w:color w:val="auto"/>
              </w:rPr>
            </w:pPr>
          </w:p>
        </w:tc>
        <w:tc>
          <w:tcPr>
            <w:tcW w:w="880" w:type="dxa"/>
            <w:vAlign w:val="bottom"/>
            <w:tcBorders>
              <w:bottom w:val="single" w:sz="8" w:color="auto"/>
              <w:right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00" w:type="dxa"/>
            <w:vAlign w:val="bottom"/>
            <w:tcBorders>
              <w:left w:val="single" w:sz="8" w:color="auto"/>
              <w:right w:val="single" w:sz="8" w:color="auto"/>
            </w:tcBorders>
          </w:tcPr>
          <w:p>
            <w:pPr>
              <w:ind w:left="260"/>
              <w:spacing w:after="0" w:line="165" w:lineRule="exact"/>
              <w:rPr>
                <w:sz w:val="20"/>
                <w:szCs w:val="20"/>
                <w:color w:val="auto"/>
              </w:rPr>
            </w:pPr>
            <w:r>
              <w:rPr>
                <w:rFonts w:ascii="Arial" w:cs="Arial" w:eastAsia="Arial" w:hAnsi="Arial"/>
                <w:sz w:val="16"/>
                <w:szCs w:val="16"/>
                <w:b w:val="1"/>
                <w:bCs w:val="1"/>
                <w:color w:val="auto"/>
              </w:rPr>
              <w:t>Defined Benefit</w:t>
            </w:r>
          </w:p>
        </w:tc>
        <w:tc>
          <w:tcPr>
            <w:tcW w:w="3560" w:type="dxa"/>
            <w:vAlign w:val="bottom"/>
            <w:tcBorders>
              <w:right w:val="single" w:sz="8" w:color="auto"/>
            </w:tcBorders>
            <w:gridSpan w:val="2"/>
          </w:tcPr>
          <w:p>
            <w:pPr>
              <w:ind w:left="80"/>
              <w:spacing w:after="0" w:line="165" w:lineRule="exact"/>
              <w:rPr>
                <w:sz w:val="20"/>
                <w:szCs w:val="20"/>
                <w:color w:val="auto"/>
              </w:rPr>
            </w:pPr>
            <w:r>
              <w:rPr>
                <w:rFonts w:ascii="Arial" w:cs="Arial" w:eastAsia="Arial" w:hAnsi="Arial"/>
                <w:sz w:val="16"/>
                <w:szCs w:val="16"/>
                <w:color w:val="auto"/>
              </w:rPr>
              <w:t>Lear Corporation Pension Plan</w:t>
            </w:r>
          </w:p>
        </w:tc>
        <w:tc>
          <w:tcPr>
            <w:tcW w:w="2380" w:type="dxa"/>
            <w:vAlign w:val="bottom"/>
            <w:tcBorders>
              <w:right w:val="single" w:sz="8" w:color="auto"/>
            </w:tcBorders>
          </w:tcPr>
          <w:p>
            <w:pPr>
              <w:ind w:left="100"/>
              <w:spacing w:after="0" w:line="165" w:lineRule="exact"/>
              <w:rPr>
                <w:sz w:val="20"/>
                <w:szCs w:val="20"/>
                <w:color w:val="auto"/>
              </w:rPr>
            </w:pPr>
            <w:r>
              <w:rPr>
                <w:rFonts w:ascii="Arial" w:cs="Arial" w:eastAsia="Arial" w:hAnsi="Arial"/>
                <w:sz w:val="16"/>
                <w:szCs w:val="16"/>
                <w:color w:val="auto"/>
              </w:rPr>
              <w:t>Qualified Pension Plan</w:t>
            </w:r>
          </w:p>
        </w:tc>
        <w:tc>
          <w:tcPr>
            <w:tcW w:w="80" w:type="dxa"/>
            <w:vAlign w:val="bottom"/>
          </w:tcPr>
          <w:p>
            <w:pPr>
              <w:spacing w:after="0"/>
              <w:rPr>
                <w:sz w:val="14"/>
                <w:szCs w:val="14"/>
                <w:color w:val="auto"/>
              </w:rPr>
            </w:pPr>
          </w:p>
        </w:tc>
        <w:tc>
          <w:tcPr>
            <w:tcW w:w="26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20"/>
        </w:trPr>
        <w:tc>
          <w:tcPr>
            <w:tcW w:w="180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(frozen as of</w:t>
            </w:r>
          </w:p>
        </w:tc>
        <w:tc>
          <w:tcPr>
            <w:tcW w:w="80" w:type="dxa"/>
            <w:vAlign w:val="bottom"/>
          </w:tcPr>
          <w:p>
            <w:pPr>
              <w:spacing w:after="0"/>
              <w:rPr>
                <w:sz w:val="10"/>
                <w:szCs w:val="10"/>
                <w:color w:val="auto"/>
              </w:rPr>
            </w:pPr>
          </w:p>
        </w:tc>
        <w:tc>
          <w:tcPr>
            <w:tcW w:w="3480" w:type="dxa"/>
            <w:vAlign w:val="bottom"/>
            <w:tcBorders>
              <w:right w:val="single" w:sz="8" w:color="auto"/>
            </w:tcBorders>
          </w:tcPr>
          <w:p>
            <w:pPr>
              <w:spacing w:after="0"/>
              <w:rPr>
                <w:sz w:val="10"/>
                <w:szCs w:val="10"/>
                <w:color w:val="auto"/>
              </w:rPr>
            </w:pPr>
          </w:p>
        </w:tc>
        <w:tc>
          <w:tcPr>
            <w:tcW w:w="23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b w:val="1"/>
                <w:bCs w:val="1"/>
                <w:i w:val="1"/>
                <w:iCs w:val="1"/>
                <w:color w:val="auto"/>
              </w:rPr>
              <w:t>(frozen)</w:t>
            </w:r>
          </w:p>
        </w:tc>
        <w:tc>
          <w:tcPr>
            <w:tcW w:w="80" w:type="dxa"/>
            <w:vAlign w:val="bottom"/>
          </w:tcPr>
          <w:p>
            <w:pPr>
              <w:spacing w:after="0"/>
              <w:rPr>
                <w:sz w:val="10"/>
                <w:szCs w:val="10"/>
                <w:color w:val="auto"/>
              </w:rPr>
            </w:pPr>
          </w:p>
        </w:tc>
        <w:tc>
          <w:tcPr>
            <w:tcW w:w="26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800" w:type="dxa"/>
            <w:vAlign w:val="bottom"/>
            <w:tcBorders>
              <w:left w:val="single" w:sz="8" w:color="auto"/>
              <w:right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80" w:type="dxa"/>
            <w:vAlign w:val="bottom"/>
            <w:tcBorders>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800" w:type="dxa"/>
            <w:vAlign w:val="bottom"/>
            <w:tcBorders>
              <w:left w:val="single" w:sz="8" w:color="auto"/>
              <w:right w:val="single" w:sz="8" w:color="auto"/>
            </w:tcBorders>
          </w:tcPr>
          <w:p>
            <w:pPr>
              <w:ind w:left="260"/>
              <w:spacing w:after="0" w:line="183" w:lineRule="exact"/>
              <w:rPr>
                <w:sz w:val="20"/>
                <w:szCs w:val="20"/>
                <w:color w:val="auto"/>
              </w:rPr>
            </w:pPr>
            <w:r>
              <w:rPr>
                <w:rFonts w:ascii="Arial" w:cs="Arial" w:eastAsia="Arial" w:hAnsi="Arial"/>
                <w:sz w:val="16"/>
                <w:szCs w:val="16"/>
                <w:b w:val="1"/>
                <w:bCs w:val="1"/>
                <w:color w:val="auto"/>
              </w:rPr>
              <w:t>12/31/06)</w:t>
            </w:r>
          </w:p>
        </w:tc>
        <w:tc>
          <w:tcPr>
            <w:tcW w:w="3560" w:type="dxa"/>
            <w:vAlign w:val="bottom"/>
            <w:tcBorders>
              <w:bottom w:val="single" w:sz="8" w:color="auto"/>
              <w:right w:val="single" w:sz="8" w:color="auto"/>
            </w:tcBorders>
            <w:gridSpan w:val="2"/>
          </w:tcPr>
          <w:p>
            <w:pPr>
              <w:ind w:left="80"/>
              <w:spacing w:after="0" w:line="183" w:lineRule="exact"/>
              <w:rPr>
                <w:sz w:val="20"/>
                <w:szCs w:val="20"/>
                <w:color w:val="auto"/>
              </w:rPr>
            </w:pPr>
            <w:r>
              <w:rPr>
                <w:rFonts w:ascii="Arial" w:cs="Arial" w:eastAsia="Arial" w:hAnsi="Arial"/>
                <w:sz w:val="16"/>
                <w:szCs w:val="16"/>
                <w:color w:val="auto"/>
              </w:rPr>
              <w:t>Pension Equalization Program</w:t>
            </w:r>
          </w:p>
        </w:tc>
        <w:tc>
          <w:tcPr>
            <w:tcW w:w="2380" w:type="dxa"/>
            <w:vAlign w:val="bottom"/>
            <w:tcBorders>
              <w:bottom w:val="single" w:sz="8" w:color="auto"/>
              <w:right w:val="single" w:sz="8" w:color="auto"/>
            </w:tcBorders>
          </w:tcPr>
          <w:p>
            <w:pPr>
              <w:ind w:left="100"/>
              <w:spacing w:after="0" w:line="183" w:lineRule="exact"/>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26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n/a</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4"/>
        </w:trPr>
        <w:tc>
          <w:tcPr>
            <w:tcW w:w="1800" w:type="dxa"/>
            <w:vAlign w:val="bottom"/>
            <w:tcBorders>
              <w:left w:val="single" w:sz="8" w:color="auto"/>
              <w:right w:val="single" w:sz="8" w:color="auto"/>
            </w:tcBorders>
          </w:tcPr>
          <w:p>
            <w:pPr>
              <w:spacing w:after="0"/>
              <w:rPr>
                <w:sz w:val="16"/>
                <w:szCs w:val="16"/>
                <w:color w:val="auto"/>
              </w:rPr>
            </w:pPr>
          </w:p>
        </w:tc>
        <w:tc>
          <w:tcPr>
            <w:tcW w:w="35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Salaried Retirement Restoration</w:t>
            </w:r>
          </w:p>
        </w:tc>
        <w:tc>
          <w:tcPr>
            <w:tcW w:w="23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0" w:type="dxa"/>
            <w:vAlign w:val="bottom"/>
            <w:tcBorders>
              <w:left w:val="single" w:sz="8" w:color="auto"/>
              <w:bottom w:val="single" w:sz="8" w:color="auto"/>
              <w:right w:val="single" w:sz="8" w:color="auto"/>
            </w:tcBorders>
          </w:tcPr>
          <w:p>
            <w:pPr>
              <w:spacing w:after="0"/>
              <w:rPr>
                <w:sz w:val="16"/>
                <w:szCs w:val="16"/>
                <w:color w:val="auto"/>
              </w:rPr>
            </w:pPr>
          </w:p>
        </w:tc>
        <w:tc>
          <w:tcPr>
            <w:tcW w:w="35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6"/>
                <w:szCs w:val="16"/>
                <w:color w:val="auto"/>
              </w:rPr>
              <w:t>Program (Pension Makeup)</w:t>
            </w:r>
          </w:p>
        </w:tc>
        <w:tc>
          <w:tcPr>
            <w:tcW w:w="23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4"/>
        </w:trPr>
        <w:tc>
          <w:tcPr>
            <w:tcW w:w="1800" w:type="dxa"/>
            <w:vAlign w:val="bottom"/>
            <w:tcBorders>
              <w:left w:val="single" w:sz="8" w:color="auto"/>
              <w:right w:val="single" w:sz="8" w:color="auto"/>
            </w:tcBorders>
            <w:shd w:val="clear" w:color="auto" w:fill="FCE9E8"/>
          </w:tcPr>
          <w:p>
            <w:pPr>
              <w:ind w:left="240"/>
              <w:spacing w:after="0"/>
              <w:rPr>
                <w:sz w:val="20"/>
                <w:szCs w:val="20"/>
                <w:color w:val="auto"/>
              </w:rPr>
            </w:pPr>
            <w:r>
              <w:rPr>
                <w:rFonts w:ascii="Arial" w:cs="Arial" w:eastAsia="Arial" w:hAnsi="Arial"/>
                <w:sz w:val="16"/>
                <w:szCs w:val="16"/>
                <w:b w:val="1"/>
                <w:bCs w:val="1"/>
                <w:color w:val="auto"/>
              </w:rPr>
              <w:t>Additional</w:t>
            </w:r>
          </w:p>
        </w:tc>
        <w:tc>
          <w:tcPr>
            <w:tcW w:w="3560" w:type="dxa"/>
            <w:vAlign w:val="bottom"/>
            <w:tcBorders>
              <w:right w:val="single" w:sz="8" w:color="auto"/>
            </w:tcBorders>
            <w:gridSpan w:val="2"/>
            <w:shd w:val="clear" w:color="auto" w:fill="FCE9E8"/>
          </w:tcPr>
          <w:p>
            <w:pPr>
              <w:ind w:left="80"/>
              <w:spacing w:after="0"/>
              <w:rPr>
                <w:sz w:val="20"/>
                <w:szCs w:val="20"/>
                <w:color w:val="auto"/>
              </w:rPr>
            </w:pPr>
            <w:r>
              <w:rPr>
                <w:rFonts w:ascii="Arial" w:cs="Arial" w:eastAsia="Arial" w:hAnsi="Arial"/>
                <w:sz w:val="16"/>
                <w:szCs w:val="16"/>
                <w:color w:val="auto"/>
              </w:rPr>
              <w:t>Career Share (RSUs)</w:t>
            </w:r>
          </w:p>
        </w:tc>
        <w:tc>
          <w:tcPr>
            <w:tcW w:w="2380" w:type="dxa"/>
            <w:vAlign w:val="bottom"/>
            <w:tcBorders>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Shares not distributed until</w:t>
            </w:r>
          </w:p>
        </w:tc>
        <w:tc>
          <w:tcPr>
            <w:tcW w:w="8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Intended to facilitate attraction and</w:t>
            </w:r>
          </w:p>
        </w:tc>
        <w:tc>
          <w:tcPr>
            <w:tcW w:w="80" w:type="dxa"/>
            <w:vAlign w:val="bottom"/>
            <w:shd w:val="clear" w:color="auto" w:fill="FCE9E8"/>
          </w:tcPr>
          <w:p>
            <w:pPr>
              <w:spacing w:after="0"/>
              <w:rPr>
                <w:sz w:val="16"/>
                <w:szCs w:val="16"/>
                <w:color w:val="auto"/>
              </w:rPr>
            </w:pPr>
          </w:p>
        </w:tc>
        <w:tc>
          <w:tcPr>
            <w:tcW w:w="880" w:type="dxa"/>
            <w:vAlign w:val="bottom"/>
            <w:tcBorders>
              <w:right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Borders>
              <w:left w:val="single" w:sz="8" w:color="auto"/>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480" w:type="dxa"/>
            <w:vAlign w:val="bottom"/>
            <w:tcBorders>
              <w:right w:val="single" w:sz="8" w:color="auto"/>
            </w:tcBorders>
            <w:shd w:val="clear" w:color="auto" w:fill="FCE9E8"/>
          </w:tcPr>
          <w:p>
            <w:pPr>
              <w:spacing w:after="0"/>
              <w:rPr>
                <w:sz w:val="16"/>
                <w:szCs w:val="16"/>
                <w:color w:val="auto"/>
              </w:rPr>
            </w:pPr>
          </w:p>
        </w:tc>
        <w:tc>
          <w:tcPr>
            <w:tcW w:w="2380" w:type="dxa"/>
            <w:vAlign w:val="bottom"/>
            <w:tcBorders>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earlier of age 62 or after</w:t>
            </w:r>
          </w:p>
        </w:tc>
        <w:tc>
          <w:tcPr>
            <w:tcW w:w="8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retention, and reward key/high</w:t>
            </w:r>
          </w:p>
        </w:tc>
        <w:tc>
          <w:tcPr>
            <w:tcW w:w="80" w:type="dxa"/>
            <w:vAlign w:val="bottom"/>
            <w:shd w:val="clear" w:color="auto" w:fill="FCE9E8"/>
          </w:tcPr>
          <w:p>
            <w:pPr>
              <w:spacing w:after="0"/>
              <w:rPr>
                <w:sz w:val="16"/>
                <w:szCs w:val="16"/>
                <w:color w:val="auto"/>
              </w:rPr>
            </w:pPr>
          </w:p>
        </w:tc>
        <w:tc>
          <w:tcPr>
            <w:tcW w:w="880" w:type="dxa"/>
            <w:vAlign w:val="bottom"/>
            <w:tcBorders>
              <w:right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Borders>
              <w:left w:val="single" w:sz="8" w:color="auto"/>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480" w:type="dxa"/>
            <w:vAlign w:val="bottom"/>
            <w:tcBorders>
              <w:right w:val="single" w:sz="8" w:color="auto"/>
            </w:tcBorders>
            <w:shd w:val="clear" w:color="auto" w:fill="FCE9E8"/>
          </w:tcPr>
          <w:p>
            <w:pPr>
              <w:spacing w:after="0"/>
              <w:rPr>
                <w:sz w:val="16"/>
                <w:szCs w:val="16"/>
                <w:color w:val="auto"/>
              </w:rPr>
            </w:pPr>
          </w:p>
        </w:tc>
        <w:tc>
          <w:tcPr>
            <w:tcW w:w="2380" w:type="dxa"/>
            <w:vAlign w:val="bottom"/>
            <w:tcBorders>
              <w:right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retirement.</w:t>
            </w:r>
          </w:p>
        </w:tc>
        <w:tc>
          <w:tcPr>
            <w:tcW w:w="8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performers with grant levels set</w:t>
            </w:r>
          </w:p>
        </w:tc>
        <w:tc>
          <w:tcPr>
            <w:tcW w:w="80" w:type="dxa"/>
            <w:vAlign w:val="bottom"/>
            <w:shd w:val="clear" w:color="auto" w:fill="FCE9E8"/>
          </w:tcPr>
          <w:p>
            <w:pPr>
              <w:spacing w:after="0"/>
              <w:rPr>
                <w:sz w:val="16"/>
                <w:szCs w:val="16"/>
                <w:color w:val="auto"/>
              </w:rPr>
            </w:pPr>
          </w:p>
        </w:tc>
        <w:tc>
          <w:tcPr>
            <w:tcW w:w="880" w:type="dxa"/>
            <w:vAlign w:val="bottom"/>
            <w:tcBorders>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43 to</w:t>
            </w:r>
          </w:p>
        </w:tc>
        <w:tc>
          <w:tcPr>
            <w:tcW w:w="0" w:type="dxa"/>
            <w:vAlign w:val="bottom"/>
          </w:tcPr>
          <w:p>
            <w:pPr>
              <w:spacing w:after="0"/>
              <w:rPr>
                <w:sz w:val="1"/>
                <w:szCs w:val="1"/>
                <w:color w:val="auto"/>
              </w:rPr>
            </w:pPr>
          </w:p>
        </w:tc>
      </w:tr>
      <w:tr>
        <w:trPr>
          <w:trHeight w:val="95"/>
        </w:trPr>
        <w:tc>
          <w:tcPr>
            <w:tcW w:w="1800" w:type="dxa"/>
            <w:vAlign w:val="bottom"/>
            <w:tcBorders>
              <w:left w:val="single" w:sz="8" w:color="auto"/>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3480" w:type="dxa"/>
            <w:vAlign w:val="bottom"/>
            <w:tcBorders>
              <w:right w:val="single" w:sz="8" w:color="auto"/>
            </w:tcBorders>
            <w:shd w:val="clear" w:color="auto" w:fill="FCE9E8"/>
          </w:tcPr>
          <w:p>
            <w:pPr>
              <w:spacing w:after="0"/>
              <w:rPr>
                <w:sz w:val="8"/>
                <w:szCs w:val="8"/>
                <w:color w:val="auto"/>
              </w:rPr>
            </w:pPr>
          </w:p>
        </w:tc>
        <w:tc>
          <w:tcPr>
            <w:tcW w:w="2380" w:type="dxa"/>
            <w:vAlign w:val="bottom"/>
            <w:tcBorders>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2660" w:type="dxa"/>
            <w:vAlign w:val="bottom"/>
            <w:tcBorders>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considering various factors,</w:t>
            </w:r>
          </w:p>
        </w:tc>
        <w:tc>
          <w:tcPr>
            <w:tcW w:w="80" w:type="dxa"/>
            <w:vAlign w:val="bottom"/>
            <w:shd w:val="clear" w:color="auto" w:fill="FCE9E8"/>
          </w:tcPr>
          <w:p>
            <w:pPr>
              <w:spacing w:after="0"/>
              <w:rPr>
                <w:sz w:val="8"/>
                <w:szCs w:val="8"/>
                <w:color w:val="auto"/>
              </w:rPr>
            </w:pPr>
          </w:p>
        </w:tc>
        <w:tc>
          <w:tcPr>
            <w:tcW w:w="880" w:type="dxa"/>
            <w:vAlign w:val="bottom"/>
            <w:tcBorders>
              <w:right w:val="single" w:sz="8" w:color="auto"/>
            </w:tcBorders>
            <w:vMerge w:val="continue"/>
            <w:shd w:val="clear" w:color="auto" w:fill="FCE9E8"/>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tcBorders>
              <w:left w:val="single" w:sz="8" w:color="auto"/>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3480" w:type="dxa"/>
            <w:vAlign w:val="bottom"/>
            <w:tcBorders>
              <w:right w:val="single" w:sz="8" w:color="auto"/>
            </w:tcBorders>
            <w:shd w:val="clear" w:color="auto" w:fill="FCE9E8"/>
          </w:tcPr>
          <w:p>
            <w:pPr>
              <w:spacing w:after="0"/>
              <w:rPr>
                <w:sz w:val="8"/>
                <w:szCs w:val="8"/>
                <w:color w:val="auto"/>
              </w:rPr>
            </w:pPr>
          </w:p>
        </w:tc>
        <w:tc>
          <w:tcPr>
            <w:tcW w:w="2380" w:type="dxa"/>
            <w:vAlign w:val="bottom"/>
            <w:tcBorders>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2660" w:type="dxa"/>
            <w:vAlign w:val="bottom"/>
            <w:tcBorders>
              <w:right w:val="single" w:sz="8" w:color="auto"/>
            </w:tcBorders>
            <w:vMerge w:val="continue"/>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880" w:type="dxa"/>
            <w:vAlign w:val="bottom"/>
            <w:tcBorders>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44;50; 53</w:t>
            </w:r>
          </w:p>
        </w:tc>
        <w:tc>
          <w:tcPr>
            <w:tcW w:w="0" w:type="dxa"/>
            <w:vAlign w:val="bottom"/>
          </w:tcPr>
          <w:p>
            <w:pPr>
              <w:spacing w:after="0"/>
              <w:rPr>
                <w:sz w:val="1"/>
                <w:szCs w:val="1"/>
                <w:color w:val="auto"/>
              </w:rPr>
            </w:pPr>
          </w:p>
        </w:tc>
      </w:tr>
      <w:tr>
        <w:trPr>
          <w:trHeight w:val="100"/>
        </w:trPr>
        <w:tc>
          <w:tcPr>
            <w:tcW w:w="1800" w:type="dxa"/>
            <w:vAlign w:val="bottom"/>
            <w:tcBorders>
              <w:left w:val="single" w:sz="8" w:color="auto"/>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3480" w:type="dxa"/>
            <w:vAlign w:val="bottom"/>
            <w:tcBorders>
              <w:right w:val="single" w:sz="8" w:color="auto"/>
            </w:tcBorders>
            <w:shd w:val="clear" w:color="auto" w:fill="FCE9E8"/>
          </w:tcPr>
          <w:p>
            <w:pPr>
              <w:spacing w:after="0"/>
              <w:rPr>
                <w:sz w:val="8"/>
                <w:szCs w:val="8"/>
                <w:color w:val="auto"/>
              </w:rPr>
            </w:pPr>
          </w:p>
        </w:tc>
        <w:tc>
          <w:tcPr>
            <w:tcW w:w="2380" w:type="dxa"/>
            <w:vAlign w:val="bottom"/>
            <w:tcBorders>
              <w:right w:val="single" w:sz="8" w:color="auto"/>
            </w:tcBorders>
            <w:shd w:val="clear" w:color="auto" w:fill="FCE9E8"/>
          </w:tcPr>
          <w:p>
            <w:pPr>
              <w:spacing w:after="0"/>
              <w:rPr>
                <w:sz w:val="8"/>
                <w:szCs w:val="8"/>
                <w:color w:val="auto"/>
              </w:rPr>
            </w:pPr>
          </w:p>
        </w:tc>
        <w:tc>
          <w:tcPr>
            <w:tcW w:w="80" w:type="dxa"/>
            <w:vAlign w:val="bottom"/>
            <w:shd w:val="clear" w:color="auto" w:fill="FCE9E8"/>
          </w:tcPr>
          <w:p>
            <w:pPr>
              <w:spacing w:after="0"/>
              <w:rPr>
                <w:sz w:val="8"/>
                <w:szCs w:val="8"/>
                <w:color w:val="auto"/>
              </w:rPr>
            </w:pPr>
          </w:p>
        </w:tc>
        <w:tc>
          <w:tcPr>
            <w:tcW w:w="2660" w:type="dxa"/>
            <w:vAlign w:val="bottom"/>
            <w:tcBorders>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including performance, future</w:t>
            </w:r>
          </w:p>
        </w:tc>
        <w:tc>
          <w:tcPr>
            <w:tcW w:w="80" w:type="dxa"/>
            <w:vAlign w:val="bottom"/>
            <w:shd w:val="clear" w:color="auto" w:fill="FCE9E8"/>
          </w:tcPr>
          <w:p>
            <w:pPr>
              <w:spacing w:after="0"/>
              <w:rPr>
                <w:sz w:val="8"/>
                <w:szCs w:val="8"/>
                <w:color w:val="auto"/>
              </w:rPr>
            </w:pPr>
          </w:p>
        </w:tc>
        <w:tc>
          <w:tcPr>
            <w:tcW w:w="880" w:type="dxa"/>
            <w:vAlign w:val="bottom"/>
            <w:tcBorders>
              <w:right w:val="single" w:sz="8" w:color="auto"/>
            </w:tcBorders>
            <w:vMerge w:val="continue"/>
            <w:shd w:val="clear" w:color="auto" w:fill="FCE9E8"/>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800" w:type="dxa"/>
            <w:vAlign w:val="bottom"/>
            <w:tcBorders>
              <w:left w:val="single" w:sz="8" w:color="auto"/>
              <w:right w:val="single" w:sz="8" w:color="auto"/>
            </w:tcBorders>
            <w:shd w:val="clear" w:color="auto" w:fill="FCE9E8"/>
          </w:tcPr>
          <w:p>
            <w:pPr>
              <w:spacing w:after="0"/>
              <w:rPr>
                <w:sz w:val="7"/>
                <w:szCs w:val="7"/>
                <w:color w:val="auto"/>
              </w:rPr>
            </w:pPr>
          </w:p>
        </w:tc>
        <w:tc>
          <w:tcPr>
            <w:tcW w:w="80" w:type="dxa"/>
            <w:vAlign w:val="bottom"/>
            <w:shd w:val="clear" w:color="auto" w:fill="FCE9E8"/>
          </w:tcPr>
          <w:p>
            <w:pPr>
              <w:spacing w:after="0"/>
              <w:rPr>
                <w:sz w:val="7"/>
                <w:szCs w:val="7"/>
                <w:color w:val="auto"/>
              </w:rPr>
            </w:pPr>
          </w:p>
        </w:tc>
        <w:tc>
          <w:tcPr>
            <w:tcW w:w="3480" w:type="dxa"/>
            <w:vAlign w:val="bottom"/>
            <w:tcBorders>
              <w:right w:val="single" w:sz="8" w:color="auto"/>
            </w:tcBorders>
            <w:shd w:val="clear" w:color="auto" w:fill="FCE9E8"/>
          </w:tcPr>
          <w:p>
            <w:pPr>
              <w:spacing w:after="0"/>
              <w:rPr>
                <w:sz w:val="7"/>
                <w:szCs w:val="7"/>
                <w:color w:val="auto"/>
              </w:rPr>
            </w:pPr>
          </w:p>
        </w:tc>
        <w:tc>
          <w:tcPr>
            <w:tcW w:w="2380" w:type="dxa"/>
            <w:vAlign w:val="bottom"/>
            <w:tcBorders>
              <w:right w:val="single" w:sz="8" w:color="auto"/>
            </w:tcBorders>
            <w:shd w:val="clear" w:color="auto" w:fill="FCE9E8"/>
          </w:tcPr>
          <w:p>
            <w:pPr>
              <w:spacing w:after="0"/>
              <w:rPr>
                <w:sz w:val="7"/>
                <w:szCs w:val="7"/>
                <w:color w:val="auto"/>
              </w:rPr>
            </w:pPr>
          </w:p>
        </w:tc>
        <w:tc>
          <w:tcPr>
            <w:tcW w:w="80" w:type="dxa"/>
            <w:vAlign w:val="bottom"/>
            <w:shd w:val="clear" w:color="auto" w:fill="FCE9E8"/>
          </w:tcPr>
          <w:p>
            <w:pPr>
              <w:spacing w:after="0"/>
              <w:rPr>
                <w:sz w:val="7"/>
                <w:szCs w:val="7"/>
                <w:color w:val="auto"/>
              </w:rPr>
            </w:pPr>
          </w:p>
        </w:tc>
        <w:tc>
          <w:tcPr>
            <w:tcW w:w="2660" w:type="dxa"/>
            <w:vAlign w:val="bottom"/>
            <w:tcBorders>
              <w:right w:val="single" w:sz="8" w:color="auto"/>
            </w:tcBorders>
            <w:vMerge w:val="continue"/>
            <w:shd w:val="clear" w:color="auto" w:fill="FCE9E8"/>
          </w:tcPr>
          <w:p>
            <w:pPr>
              <w:spacing w:after="0"/>
              <w:rPr>
                <w:sz w:val="7"/>
                <w:szCs w:val="7"/>
                <w:color w:val="auto"/>
              </w:rPr>
            </w:pPr>
          </w:p>
        </w:tc>
        <w:tc>
          <w:tcPr>
            <w:tcW w:w="80" w:type="dxa"/>
            <w:vAlign w:val="bottom"/>
            <w:shd w:val="clear" w:color="auto" w:fill="FCE9E8"/>
          </w:tcPr>
          <w:p>
            <w:pPr>
              <w:spacing w:after="0"/>
              <w:rPr>
                <w:sz w:val="7"/>
                <w:szCs w:val="7"/>
                <w:color w:val="auto"/>
              </w:rPr>
            </w:pPr>
          </w:p>
        </w:tc>
        <w:tc>
          <w:tcPr>
            <w:tcW w:w="880" w:type="dxa"/>
            <w:vAlign w:val="bottom"/>
            <w:tcBorders>
              <w:right w:val="single" w:sz="8" w:color="auto"/>
            </w:tcBorders>
            <w:shd w:val="clear" w:color="auto" w:fill="FCE9E8"/>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800" w:type="dxa"/>
            <w:vAlign w:val="bottom"/>
            <w:tcBorders>
              <w:left w:val="single" w:sz="8" w:color="auto"/>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3480" w:type="dxa"/>
            <w:vAlign w:val="bottom"/>
            <w:tcBorders>
              <w:right w:val="single" w:sz="8" w:color="auto"/>
            </w:tcBorders>
            <w:shd w:val="clear" w:color="auto" w:fill="FCE9E8"/>
          </w:tcPr>
          <w:p>
            <w:pPr>
              <w:spacing w:after="0"/>
              <w:rPr>
                <w:sz w:val="16"/>
                <w:szCs w:val="16"/>
                <w:color w:val="auto"/>
              </w:rPr>
            </w:pPr>
          </w:p>
        </w:tc>
        <w:tc>
          <w:tcPr>
            <w:tcW w:w="2380" w:type="dxa"/>
            <w:vAlign w:val="bottom"/>
            <w:tcBorders>
              <w:right w:val="single" w:sz="8" w:color="auto"/>
            </w:tcBorders>
            <w:shd w:val="clear" w:color="auto" w:fill="FCE9E8"/>
          </w:tcPr>
          <w:p>
            <w:pPr>
              <w:spacing w:after="0"/>
              <w:rPr>
                <w:sz w:val="16"/>
                <w:szCs w:val="16"/>
                <w:color w:val="auto"/>
              </w:rPr>
            </w:pPr>
          </w:p>
        </w:tc>
        <w:tc>
          <w:tcPr>
            <w:tcW w:w="80" w:type="dxa"/>
            <w:vAlign w:val="bottom"/>
            <w:shd w:val="clear" w:color="auto" w:fill="FCE9E8"/>
          </w:tcPr>
          <w:p>
            <w:pPr>
              <w:spacing w:after="0"/>
              <w:rPr>
                <w:sz w:val="16"/>
                <w:szCs w:val="16"/>
                <w:color w:val="auto"/>
              </w:rPr>
            </w:pPr>
          </w:p>
        </w:tc>
        <w:tc>
          <w:tcPr>
            <w:tcW w:w="266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potential and competitiveness of</w:t>
            </w:r>
          </w:p>
        </w:tc>
        <w:tc>
          <w:tcPr>
            <w:tcW w:w="80" w:type="dxa"/>
            <w:vAlign w:val="bottom"/>
            <w:shd w:val="clear" w:color="auto" w:fill="FCE9E8"/>
          </w:tcPr>
          <w:p>
            <w:pPr>
              <w:spacing w:after="0"/>
              <w:rPr>
                <w:sz w:val="16"/>
                <w:szCs w:val="16"/>
                <w:color w:val="auto"/>
              </w:rPr>
            </w:pPr>
          </w:p>
        </w:tc>
        <w:tc>
          <w:tcPr>
            <w:tcW w:w="880" w:type="dxa"/>
            <w:vAlign w:val="bottom"/>
            <w:tcBorders>
              <w:right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0" w:type="dxa"/>
            <w:vAlign w:val="bottom"/>
            <w:tcBorders>
              <w:left w:val="single" w:sz="8" w:color="auto"/>
              <w:bottom w:val="single" w:sz="8" w:color="auto"/>
              <w:right w:val="single" w:sz="8" w:color="auto"/>
            </w:tcBorders>
            <w:shd w:val="clear" w:color="auto" w:fill="FCE9E8"/>
          </w:tcPr>
          <w:p>
            <w:pPr>
              <w:spacing w:after="0"/>
              <w:rPr>
                <w:sz w:val="16"/>
                <w:szCs w:val="16"/>
                <w:color w:val="auto"/>
              </w:rPr>
            </w:pPr>
          </w:p>
        </w:tc>
        <w:tc>
          <w:tcPr>
            <w:tcW w:w="80" w:type="dxa"/>
            <w:vAlign w:val="bottom"/>
            <w:tcBorders>
              <w:bottom w:val="single" w:sz="8" w:color="auto"/>
            </w:tcBorders>
            <w:shd w:val="clear" w:color="auto" w:fill="FCE9E8"/>
          </w:tcPr>
          <w:p>
            <w:pPr>
              <w:spacing w:after="0"/>
              <w:rPr>
                <w:sz w:val="16"/>
                <w:szCs w:val="16"/>
                <w:color w:val="auto"/>
              </w:rPr>
            </w:pPr>
          </w:p>
        </w:tc>
        <w:tc>
          <w:tcPr>
            <w:tcW w:w="3480" w:type="dxa"/>
            <w:vAlign w:val="bottom"/>
            <w:tcBorders>
              <w:bottom w:val="single" w:sz="8" w:color="auto"/>
              <w:right w:val="single" w:sz="8" w:color="auto"/>
            </w:tcBorders>
            <w:shd w:val="clear" w:color="auto" w:fill="FCE9E8"/>
          </w:tcPr>
          <w:p>
            <w:pPr>
              <w:spacing w:after="0"/>
              <w:rPr>
                <w:sz w:val="16"/>
                <w:szCs w:val="16"/>
                <w:color w:val="auto"/>
              </w:rPr>
            </w:pPr>
          </w:p>
        </w:tc>
        <w:tc>
          <w:tcPr>
            <w:tcW w:w="2380" w:type="dxa"/>
            <w:vAlign w:val="bottom"/>
            <w:tcBorders>
              <w:bottom w:val="single" w:sz="8" w:color="auto"/>
              <w:right w:val="single" w:sz="8" w:color="auto"/>
            </w:tcBorders>
            <w:shd w:val="clear" w:color="auto" w:fill="FCE9E8"/>
          </w:tcPr>
          <w:p>
            <w:pPr>
              <w:spacing w:after="0"/>
              <w:rPr>
                <w:sz w:val="16"/>
                <w:szCs w:val="16"/>
                <w:color w:val="auto"/>
              </w:rPr>
            </w:pPr>
          </w:p>
        </w:tc>
        <w:tc>
          <w:tcPr>
            <w:tcW w:w="80" w:type="dxa"/>
            <w:vAlign w:val="bottom"/>
            <w:tcBorders>
              <w:bottom w:val="single" w:sz="8" w:color="auto"/>
            </w:tcBorders>
            <w:shd w:val="clear" w:color="auto" w:fill="FCE9E8"/>
          </w:tcPr>
          <w:p>
            <w:pPr>
              <w:spacing w:after="0"/>
              <w:rPr>
                <w:sz w:val="16"/>
                <w:szCs w:val="16"/>
                <w:color w:val="auto"/>
              </w:rPr>
            </w:pPr>
          </w:p>
        </w:tc>
        <w:tc>
          <w:tcPr>
            <w:tcW w:w="2660" w:type="dxa"/>
            <w:vAlign w:val="bottom"/>
            <w:tcBorders>
              <w:bottom w:val="single" w:sz="8" w:color="auto"/>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retirement benefits and total pay.</w:t>
            </w:r>
          </w:p>
        </w:tc>
        <w:tc>
          <w:tcPr>
            <w:tcW w:w="80" w:type="dxa"/>
            <w:vAlign w:val="bottom"/>
            <w:tcBorders>
              <w:bottom w:val="single" w:sz="8" w:color="auto"/>
            </w:tcBorders>
            <w:shd w:val="clear" w:color="auto" w:fill="FCE9E8"/>
          </w:tcPr>
          <w:p>
            <w:pPr>
              <w:spacing w:after="0"/>
              <w:rPr>
                <w:sz w:val="16"/>
                <w:szCs w:val="16"/>
                <w:color w:val="auto"/>
              </w:rPr>
            </w:pPr>
          </w:p>
        </w:tc>
        <w:tc>
          <w:tcPr>
            <w:tcW w:w="880" w:type="dxa"/>
            <w:vAlign w:val="bottom"/>
            <w:tcBorders>
              <w:bottom w:val="single" w:sz="8" w:color="auto"/>
              <w:right w:val="single" w:sz="8" w:color="auto"/>
            </w:tcBorders>
            <w:shd w:val="clear" w:color="auto" w:fill="FCE9E8"/>
          </w:tcPr>
          <w:p>
            <w:pPr>
              <w:spacing w:after="0"/>
              <w:rPr>
                <w:sz w:val="16"/>
                <w:szCs w:val="1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3"/>
          <w:szCs w:val="23"/>
          <w:color w:val="auto"/>
        </w:rPr>
        <w:t>Employment Agreements/Termination/Change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267" w:right="219" w:bottom="1440" w:gutter="0" w:footer="0" w:header="0"/>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described in detail and quantified in “Executive Compensation — Potential Payments Upon Termination or Change in Control,” our Named Executive Officers receive certain benefits under their employment agreements upon their termination by the Company without “cause” or upon their resignation for “good reason,” including such terminations following a change in control of the Company. The employment agreements also provide for restrictive covenants relating to non-competition, confidential information and non-solicitation of the Company’s employees and customers.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Our Named Executive Officers also receive, as do all employees who hold equity awards under the amended LTSIP (described below), accelerated vesting of equity awards if their employment is terminated without cause or for good reason in connection with a change in control of the Company. These benefits are intended to ensure that members of senior management are not influenced by their personal situations and are able to be objective in evaluating a potential change in control transaction. In addition, the benefits associated with “double-trigger” vesting of equity awards protect employees in</w:t>
      </w:r>
    </w:p>
    <w:p>
      <w:pPr>
        <w:spacing w:after="0" w:line="200" w:lineRule="exact"/>
        <w:rPr>
          <w:sz w:val="20"/>
          <w:szCs w:val="20"/>
          <w:color w:val="auto"/>
        </w:rPr>
      </w:pPr>
    </w:p>
    <w:p>
      <w:pPr>
        <w:sectPr>
          <w:pgSz w:w="11900" w:h="16838" w:orient="portrait"/>
          <w:cols w:equalWidth="0" w:num="2">
            <w:col w:w="5440" w:space="380"/>
            <w:col w:w="5620"/>
          </w:cols>
          <w:pgMar w:left="240" w:top="267" w:right="219" w:bottom="1440" w:gutter="0" w:footer="0" w:header="0"/>
          <w:type w:val="continuous"/>
        </w:sectPr>
      </w:pPr>
    </w:p>
    <w:p>
      <w:pPr>
        <w:spacing w:after="0" w:line="63" w:lineRule="exact"/>
        <w:rPr>
          <w:sz w:val="20"/>
          <w:szCs w:val="20"/>
          <w:color w:val="auto"/>
        </w:rPr>
      </w:pPr>
    </w:p>
    <w:p>
      <w:pPr>
        <w:ind w:left="460" w:hanging="349"/>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40"/>
          </w:cols>
          <w:pgMar w:left="240" w:top="267" w:right="219" w:bottom="1440" w:gutter="0" w:footer="0" w:header="0"/>
          <w:type w:val="continuous"/>
        </w:sectPr>
      </w:pPr>
    </w:p>
    <w:bookmarkStart w:id="44" w:name="page45"/>
    <w:bookmarkEnd w:id="44"/>
    <w:p>
      <w:pPr>
        <w:spacing w:after="0" w:line="38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event of a change in control and ensure an orderly transition of leadership. The Compensation Committee regularly reviews termination and change in control benefits and continues to believe that the severance benefits in connection with certain terminations of employment constitute reasonable levels of protection for our executives. The LTSIP</w:t>
      </w:r>
    </w:p>
    <w:p>
      <w:pPr>
        <w:spacing w:after="0" w:line="20" w:lineRule="exact"/>
        <w:rPr>
          <w:sz w:val="20"/>
          <w:szCs w:val="20"/>
          <w:color w:val="auto"/>
        </w:rPr>
      </w:pPr>
      <w:r>
        <w:rPr>
          <w:sz w:val="20"/>
          <w:szCs w:val="20"/>
          <w:color w:val="auto"/>
        </w:rPr>
        <w:br w:type="column"/>
      </w:r>
    </w:p>
    <w:p>
      <w:pPr>
        <w:ind w:left="2200"/>
        <w:spacing w:after="0"/>
        <w:rPr>
          <w:sz w:val="20"/>
          <w:szCs w:val="20"/>
          <w:color w:val="auto"/>
        </w:rPr>
      </w:pPr>
      <w:r>
        <w:rPr>
          <w:rFonts w:ascii="Arial" w:cs="Arial" w:eastAsia="Arial" w:hAnsi="Arial"/>
          <w:sz w:val="15"/>
          <w:szCs w:val="15"/>
          <w:b w:val="1"/>
          <w:bCs w:val="1"/>
          <w:u w:val="single" w:color="auto"/>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-189865</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95"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provides for double-trigger vesting of equity awards (that are not assumed or replaced by the successor company) upon a change in control of the Company.</w:t>
      </w:r>
    </w:p>
    <w:p>
      <w:pPr>
        <w:spacing w:after="0" w:line="93"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None of the employment agreements with the Company’s executive officers contains an excise tax gross-up provision.</w:t>
      </w:r>
    </w:p>
    <w:p>
      <w:pPr>
        <w:spacing w:after="0" w:line="200" w:lineRule="exact"/>
        <w:rPr>
          <w:sz w:val="20"/>
          <w:szCs w:val="20"/>
          <w:color w:val="auto"/>
        </w:rPr>
      </w:pPr>
    </w:p>
    <w:p>
      <w:pPr>
        <w:sectPr>
          <w:pgSz w:w="11900" w:h="16838" w:orient="portrait"/>
          <w:cols w:equalWidth="0" w:num="2">
            <w:col w:w="5460" w:space="360"/>
            <w:col w:w="5600"/>
          </w:cols>
          <w:pgMar w:left="240" w:top="267"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color w:val="auto"/>
        </w:rPr>
        <w:t>Health, Welfare and Certain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CEO, with health, welfare and other fringe benefits. In addition, personal use of our corporate aircraft has been eliminated except with respect to our CEO,</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with approval of the Chairman of the Board or Chairman of the Compensation Committee. The Company does not provide tax gross-up payments for the imputed income associated with personal use of corporate aircraft. In 2016, there was no personal use of corporate aircraft.</w:t>
      </w:r>
    </w:p>
    <w:p>
      <w:pPr>
        <w:spacing w:after="0" w:line="200" w:lineRule="exact"/>
        <w:rPr>
          <w:sz w:val="20"/>
          <w:szCs w:val="20"/>
          <w:color w:val="auto"/>
        </w:rPr>
      </w:pPr>
    </w:p>
    <w:p>
      <w:pPr>
        <w:sectPr>
          <w:pgSz w:w="11900" w:h="16838" w:orient="portrait"/>
          <w:cols w:equalWidth="0" w:num="2">
            <w:col w:w="5480" w:space="340"/>
            <w:col w:w="5600"/>
          </w:cols>
          <w:pgMar w:left="240" w:top="267" w:right="239" w:bottom="1440" w:gutter="0" w:footer="0" w:header="0"/>
          <w:type w:val="continuous"/>
        </w:sectPr>
      </w:pPr>
    </w:p>
    <w:p>
      <w:pPr>
        <w:spacing w:after="0" w:line="356" w:lineRule="exact"/>
        <w:rPr>
          <w:sz w:val="20"/>
          <w:szCs w:val="20"/>
          <w:color w:val="auto"/>
        </w:rPr>
      </w:pPr>
    </w:p>
    <w:p>
      <w:pPr>
        <w:spacing w:after="0"/>
        <w:rPr>
          <w:sz w:val="20"/>
          <w:szCs w:val="20"/>
          <w:color w:val="auto"/>
        </w:rPr>
      </w:pPr>
      <w:r>
        <w:rPr>
          <w:rFonts w:ascii="Arial" w:cs="Arial" w:eastAsia="Arial" w:hAnsi="Arial"/>
          <w:sz w:val="23"/>
          <w:szCs w:val="23"/>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Company maintains a formal clawback policy (the “Clawback Policy”) that applies to all incentive-based cash and equity compensation awards granted on or after February 7, 2013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 during the three-year period preceding the date on which the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Company is required to prepare an accounting restatement, based on the erroneous data, the amount, if any, in excess of what would have been paid to the Covered Recipient under the accounting restatement.</w:t>
      </w:r>
    </w:p>
    <w:p>
      <w:pPr>
        <w:spacing w:after="0" w:line="93"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Clawback Policy is administered by the Compensation Committee, which has the sole discretion in making all determinations under the Clawback Policy. The Clawback Policy will be interpreted and administered (and, as necessary, amended to be) consistent with the applicable requirements of Section 10D of the Exchange Act, as added by Section 954 of the Dodd-Frank Wall Street Reform and Consumer Protection Act, and any official guidance issued thereunder.</w:t>
      </w:r>
    </w:p>
    <w:p>
      <w:pPr>
        <w:spacing w:after="0" w:line="466" w:lineRule="exact"/>
        <w:rPr>
          <w:sz w:val="20"/>
          <w:szCs w:val="20"/>
          <w:color w:val="auto"/>
        </w:rPr>
      </w:pPr>
    </w:p>
    <w:p>
      <w:pPr>
        <w:sectPr>
          <w:pgSz w:w="11900" w:h="16838" w:orient="portrait"/>
          <w:cols w:equalWidth="0" w:num="2">
            <w:col w:w="5480" w:space="340"/>
            <w:col w:w="5600"/>
          </w:cols>
          <w:pgMar w:left="240" w:top="267" w:right="23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23"/>
          <w:szCs w:val="23"/>
          <w:color w:val="auto"/>
        </w:rPr>
        <w:t>Hedging/Pledging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 maintains a formal policy prohibiting officers and directors from (i) entering into hedging or monetization transactions involving our Company stock and (ii) holding our Company stock in a margin account or pledging our Company stock as collateral for a loan. Exceptions to the pledging</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prohibition may be granted by the Company’s General Counsel upon two weeks’ advance notice if the person clearly demonstrates the financial capacity to repay the loan without resort to the pledged securities.</w:t>
      </w:r>
    </w:p>
    <w:p>
      <w:pPr>
        <w:spacing w:after="0" w:line="576" w:lineRule="exact"/>
        <w:rPr>
          <w:sz w:val="20"/>
          <w:szCs w:val="20"/>
          <w:color w:val="auto"/>
        </w:rPr>
      </w:pPr>
    </w:p>
    <w:p>
      <w:pPr>
        <w:sectPr>
          <w:pgSz w:w="11900" w:h="16838" w:orient="portrait"/>
          <w:cols w:equalWidth="0" w:num="2">
            <w:col w:w="5320" w:space="500"/>
            <w:col w:w="5600"/>
          </w:cols>
          <w:pgMar w:left="240" w:top="267" w:right="2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color w:val="auto"/>
        </w:rPr>
        <w:t>Tax Treatment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One of the factors the Compensation Committee considers when determining compensation is the anticipated tax treatment to the Company and to the executives of the various payments and benefits. Section 162(m) of the Internal Revenue Code disallows the deduction of non-performance based compensation in excess of $1,000,000 paid to the CEO (or an individual acting in such a capacity), and the three next highest compensated officers other than the CFO (or an individual acting in such a capacity) appearing in the 2016 Summary Compensation Table. The Compensation Committee generally considers this limit when determining compensation; however, there are instances in which the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Compensation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 For example, in 2016, Mr. Simoncini received a base salary of $1,354,500, with a total of $354,500 being non-deductible to the Company. In setting Mr. Simoncini’s base salary level, the Compensation Committee weighed the cost of this non-deductible compensation against the benefit of awarding competitive compensation to our CEO.</w:t>
      </w:r>
    </w:p>
    <w:p>
      <w:pPr>
        <w:spacing w:after="0" w:line="200" w:lineRule="exact"/>
        <w:rPr>
          <w:sz w:val="20"/>
          <w:szCs w:val="20"/>
          <w:color w:val="auto"/>
        </w:rPr>
      </w:pPr>
    </w:p>
    <w:p>
      <w:pPr>
        <w:spacing w:after="0" w:line="239" w:lineRule="exact"/>
        <w:rPr>
          <w:sz w:val="20"/>
          <w:szCs w:val="20"/>
          <w:color w:val="auto"/>
        </w:rPr>
      </w:pPr>
    </w:p>
    <w:p>
      <w:pPr>
        <w:jc w:val="right"/>
        <w:ind w:right="100"/>
        <w:spacing w:after="0"/>
        <w:tabs>
          <w:tab w:leader="none" w:pos="400" w:val="left"/>
          <w:tab w:leader="none" w:pos="1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39</w:t>
      </w:r>
    </w:p>
    <w:p>
      <w:pPr>
        <w:sectPr>
          <w:pgSz w:w="11900" w:h="16838" w:orient="portrait"/>
          <w:cols w:equalWidth="0" w:num="2">
            <w:col w:w="5420" w:space="400"/>
            <w:col w:w="5600"/>
          </w:cols>
          <w:pgMar w:left="240" w:top="267"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Impact of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67" w:right="359" w:bottom="1440" w:gutter="0" w:footer="0" w:header="0"/>
        </w:sectPr>
      </w:pPr>
    </w:p>
    <w:p>
      <w:pPr>
        <w:spacing w:after="0" w:line="3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fixed accounting treatment, as opposed to cash-settled equity awards, which receive variable accounting treatment. We intend to continue to evaluate these factors in the future.</w:t>
      </w:r>
    </w:p>
    <w:p>
      <w:pPr>
        <w:spacing w:after="0" w:line="387" w:lineRule="exact"/>
        <w:rPr>
          <w:sz w:val="20"/>
          <w:szCs w:val="20"/>
          <w:color w:val="auto"/>
        </w:rPr>
      </w:pPr>
    </w:p>
    <w:p>
      <w:pPr>
        <w:sectPr>
          <w:pgSz w:w="11900" w:h="16838" w:orient="portrait"/>
          <w:cols w:equalWidth="0" w:num="2">
            <w:col w:w="5400" w:space="420"/>
            <w:col w:w="5480"/>
          </w:cols>
          <w:pgMar w:left="240" w:top="267" w:right="359" w:bottom="1440" w:gutter="0" w:footer="0" w:header="0"/>
          <w:type w:val="continuous"/>
        </w:sectPr>
      </w:pPr>
    </w:p>
    <w:p>
      <w:pPr>
        <w:spacing w:after="0" w:line="59" w:lineRule="exact"/>
        <w:rPr>
          <w:sz w:val="20"/>
          <w:szCs w:val="20"/>
          <w:color w:val="auto"/>
        </w:rPr>
      </w:pPr>
    </w:p>
    <w:p>
      <w:pPr>
        <w:ind w:left="460" w:hanging="349"/>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00"/>
          </w:cols>
          <w:pgMar w:left="240" w:top="267"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40"/>
          <w:szCs w:val="40"/>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61"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and its subsidiaries in all capacities of the CEO, CFO and the other Named Executive Officers during the last completed fiscal year. The footnotes accompanying the 2016 Summary Compensation Table generally explain amounts reported for 2016, unless otherwise noted.</w:t>
      </w:r>
    </w:p>
    <w:p>
      <w:pPr>
        <w:spacing w:after="0" w:line="20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FFFFFF"/>
        </w:rPr>
        <w:t>2016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58"/>
              <w:spacing w:after="0"/>
              <w:rPr>
                <w:sz w:val="20"/>
                <w:szCs w:val="20"/>
                <w:color w:val="auto"/>
              </w:rPr>
            </w:pPr>
            <w:r>
              <w:rPr>
                <w:rFonts w:ascii="Arial" w:cs="Arial" w:eastAsia="Arial" w:hAnsi="Arial"/>
                <w:sz w:val="12"/>
                <w:szCs w:val="12"/>
                <w:b w:val="1"/>
                <w:bCs w:val="1"/>
                <w:color w:val="E2231A"/>
                <w:w w:val="96"/>
              </w:rPr>
              <w:t>Change in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ind w:right="138"/>
              <w:spacing w:after="0" w:line="135" w:lineRule="exact"/>
              <w:rPr>
                <w:sz w:val="20"/>
                <w:szCs w:val="20"/>
                <w:color w:val="auto"/>
              </w:rPr>
            </w:pPr>
            <w:r>
              <w:rPr>
                <w:rFonts w:ascii="Arial" w:cs="Arial" w:eastAsia="Arial" w:hAnsi="Arial"/>
                <w:sz w:val="12"/>
                <w:szCs w:val="12"/>
                <w:b w:val="1"/>
                <w:bCs w:val="1"/>
                <w:color w:val="E2231A"/>
                <w:w w:val="98"/>
              </w:rPr>
              <w:t>Pension</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ind w:right="138"/>
              <w:spacing w:after="0" w:line="135" w:lineRule="exact"/>
              <w:rPr>
                <w:sz w:val="20"/>
                <w:szCs w:val="20"/>
                <w:color w:val="auto"/>
              </w:rPr>
            </w:pPr>
            <w:r>
              <w:rPr>
                <w:rFonts w:ascii="Arial" w:cs="Arial" w:eastAsia="Arial" w:hAnsi="Arial"/>
                <w:sz w:val="12"/>
                <w:szCs w:val="12"/>
                <w:b w:val="1"/>
                <w:bCs w:val="1"/>
                <w:color w:val="E2231A"/>
                <w:w w:val="95"/>
              </w:rPr>
              <w:t>Value and</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178"/>
              <w:spacing w:after="0" w:line="135" w:lineRule="exact"/>
              <w:rPr>
                <w:sz w:val="20"/>
                <w:szCs w:val="20"/>
                <w:color w:val="auto"/>
              </w:rPr>
            </w:pPr>
            <w:r>
              <w:rPr>
                <w:rFonts w:ascii="Arial" w:cs="Arial" w:eastAsia="Arial" w:hAnsi="Arial"/>
                <w:sz w:val="12"/>
                <w:szCs w:val="12"/>
                <w:b w:val="1"/>
                <w:bCs w:val="1"/>
                <w:color w:val="E2231A"/>
                <w:w w:val="96"/>
              </w:rPr>
              <w:t>Non-Equity</w:t>
            </w: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E2231A"/>
                <w:w w:val="99"/>
              </w:rPr>
              <w:t>Nonqualified</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80"/>
              <w:spacing w:after="0"/>
              <w:rPr>
                <w:sz w:val="20"/>
                <w:szCs w:val="20"/>
                <w:color w:val="auto"/>
              </w:rPr>
            </w:pPr>
            <w:r>
              <w:rPr>
                <w:rFonts w:ascii="Arial" w:cs="Arial" w:eastAsia="Arial" w:hAnsi="Arial"/>
                <w:sz w:val="12"/>
                <w:szCs w:val="12"/>
                <w:b w:val="1"/>
                <w:bCs w:val="1"/>
                <w:color w:val="E2231A"/>
              </w:rPr>
              <w:t>Name and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E2231A"/>
                <w:w w:val="97"/>
              </w:rPr>
              <w:t>Stock</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center"/>
              <w:ind w:right="178"/>
              <w:spacing w:after="0" w:line="135" w:lineRule="exact"/>
              <w:rPr>
                <w:sz w:val="20"/>
                <w:szCs w:val="20"/>
                <w:color w:val="auto"/>
              </w:rPr>
            </w:pPr>
            <w:r>
              <w:rPr>
                <w:rFonts w:ascii="Arial" w:cs="Arial" w:eastAsia="Arial" w:hAnsi="Arial"/>
                <w:sz w:val="12"/>
                <w:szCs w:val="12"/>
                <w:b w:val="1"/>
                <w:bCs w:val="1"/>
                <w:color w:val="E2231A"/>
                <w:w w:val="96"/>
              </w:rPr>
              <w:t>Incentive</w:t>
            </w:r>
          </w:p>
        </w:tc>
        <w:tc>
          <w:tcPr>
            <w:tcW w:w="200" w:type="dxa"/>
            <w:vAlign w:val="bottom"/>
          </w:tcPr>
          <w:p>
            <w:pPr>
              <w:spacing w:after="0"/>
              <w:rPr>
                <w:sz w:val="11"/>
                <w:szCs w:val="11"/>
                <w:color w:val="auto"/>
              </w:rPr>
            </w:pPr>
          </w:p>
        </w:tc>
        <w:tc>
          <w:tcPr>
            <w:tcW w:w="820" w:type="dxa"/>
            <w:vAlign w:val="bottom"/>
          </w:tcPr>
          <w:p>
            <w:pPr>
              <w:jc w:val="center"/>
              <w:ind w:right="158"/>
              <w:spacing w:after="0" w:line="135" w:lineRule="exact"/>
              <w:rPr>
                <w:sz w:val="20"/>
                <w:szCs w:val="20"/>
                <w:color w:val="auto"/>
              </w:rPr>
            </w:pPr>
            <w:r>
              <w:rPr>
                <w:rFonts w:ascii="Arial" w:cs="Arial" w:eastAsia="Arial" w:hAnsi="Arial"/>
                <w:sz w:val="12"/>
                <w:szCs w:val="12"/>
                <w:b w:val="1"/>
                <w:bCs w:val="1"/>
                <w:color w:val="E2231A"/>
                <w:w w:val="97"/>
              </w:rPr>
              <w:t>Deferred</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1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line="122" w:lineRule="exact"/>
              <w:rPr>
                <w:sz w:val="20"/>
                <w:szCs w:val="20"/>
                <w:color w:val="auto"/>
              </w:rPr>
            </w:pPr>
            <w:r>
              <w:rPr>
                <w:rFonts w:ascii="Arial" w:cs="Arial" w:eastAsia="Arial" w:hAnsi="Arial"/>
                <w:sz w:val="12"/>
                <w:szCs w:val="12"/>
                <w:b w:val="1"/>
                <w:bCs w:val="1"/>
                <w:color w:val="E2231A"/>
              </w:rPr>
              <w:t>Option</w:t>
            </w:r>
          </w:p>
        </w:tc>
        <w:tc>
          <w:tcPr>
            <w:tcW w:w="240" w:type="dxa"/>
            <w:vAlign w:val="bottom"/>
          </w:tcPr>
          <w:p>
            <w:pPr>
              <w:spacing w:after="0"/>
              <w:rPr>
                <w:sz w:val="10"/>
                <w:szCs w:val="10"/>
                <w:color w:val="auto"/>
              </w:rPr>
            </w:pPr>
          </w:p>
        </w:tc>
        <w:tc>
          <w:tcPr>
            <w:tcW w:w="1020" w:type="dxa"/>
            <w:vAlign w:val="bottom"/>
          </w:tcPr>
          <w:p>
            <w:pPr>
              <w:jc w:val="center"/>
              <w:ind w:right="178"/>
              <w:spacing w:after="0" w:line="122" w:lineRule="exact"/>
              <w:rPr>
                <w:sz w:val="20"/>
                <w:szCs w:val="20"/>
                <w:color w:val="auto"/>
              </w:rPr>
            </w:pPr>
            <w:r>
              <w:rPr>
                <w:rFonts w:ascii="Arial" w:cs="Arial" w:eastAsia="Arial" w:hAnsi="Arial"/>
                <w:sz w:val="12"/>
                <w:szCs w:val="12"/>
                <w:b w:val="1"/>
                <w:bCs w:val="1"/>
                <w:color w:val="E2231A"/>
              </w:rPr>
              <w:t>Plan</w:t>
            </w:r>
          </w:p>
        </w:tc>
        <w:tc>
          <w:tcPr>
            <w:tcW w:w="102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E2231A"/>
              </w:rPr>
              <w:t>Compensation</w:t>
            </w:r>
          </w:p>
        </w:tc>
        <w:tc>
          <w:tcPr>
            <w:tcW w:w="260" w:type="dxa"/>
            <w:vAlign w:val="bottom"/>
          </w:tcPr>
          <w:p>
            <w:pPr>
              <w:spacing w:after="0"/>
              <w:rPr>
                <w:sz w:val="10"/>
                <w:szCs w:val="10"/>
                <w:color w:val="auto"/>
              </w:rPr>
            </w:pPr>
          </w:p>
        </w:tc>
        <w:tc>
          <w:tcPr>
            <w:tcW w:w="960" w:type="dxa"/>
            <w:vAlign w:val="bottom"/>
          </w:tcPr>
          <w:p>
            <w:pPr>
              <w:jc w:val="right"/>
              <w:ind w:right="297"/>
              <w:spacing w:after="0" w:line="122" w:lineRule="exact"/>
              <w:rPr>
                <w:sz w:val="20"/>
                <w:szCs w:val="20"/>
                <w:color w:val="auto"/>
              </w:rPr>
            </w:pPr>
            <w:r>
              <w:rPr>
                <w:rFonts w:ascii="Arial" w:cs="Arial" w:eastAsia="Arial" w:hAnsi="Arial"/>
                <w:sz w:val="12"/>
                <w:szCs w:val="12"/>
                <w:b w:val="1"/>
                <w:bCs w:val="1"/>
                <w:color w:val="E2231A"/>
              </w:rPr>
              <w:t>All Other</w:t>
            </w:r>
          </w:p>
        </w:tc>
        <w:tc>
          <w:tcPr>
            <w:tcW w:w="280" w:type="dxa"/>
            <w:vAlign w:val="bottom"/>
          </w:tcPr>
          <w:p>
            <w:pPr>
              <w:spacing w:after="0"/>
              <w:rPr>
                <w:sz w:val="10"/>
                <w:szCs w:val="10"/>
                <w:color w:val="auto"/>
              </w:rPr>
            </w:pPr>
          </w:p>
        </w:tc>
        <w:tc>
          <w:tcPr>
            <w:tcW w:w="840" w:type="dxa"/>
            <w:vAlign w:val="bottom"/>
          </w:tcPr>
          <w:p>
            <w:pPr>
              <w:jc w:val="right"/>
              <w:ind w:right="377"/>
              <w:spacing w:after="0" w:line="122" w:lineRule="exact"/>
              <w:rPr>
                <w:sz w:val="20"/>
                <w:szCs w:val="20"/>
                <w:color w:val="auto"/>
              </w:rPr>
            </w:pPr>
            <w:r>
              <w:rPr>
                <w:rFonts w:ascii="Arial" w:cs="Arial" w:eastAsia="Arial" w:hAnsi="Arial"/>
                <w:sz w:val="12"/>
                <w:szCs w:val="12"/>
                <w:b w:val="1"/>
                <w:bCs w:val="1"/>
                <w:color w:val="E2231A"/>
              </w:rPr>
              <w:t>Total</w:t>
            </w:r>
          </w:p>
        </w:tc>
        <w:tc>
          <w:tcPr>
            <w:tcW w:w="0" w:type="dxa"/>
            <w:vAlign w:val="bottom"/>
          </w:tcPr>
          <w:p>
            <w:pPr>
              <w:spacing w:after="0"/>
              <w:rPr>
                <w:sz w:val="1"/>
                <w:szCs w:val="1"/>
                <w:color w:val="auto"/>
              </w:rPr>
            </w:pPr>
          </w:p>
        </w:tc>
      </w:tr>
      <w:tr>
        <w:trPr>
          <w:trHeight w:val="160"/>
        </w:trPr>
        <w:tc>
          <w:tcPr>
            <w:tcW w:w="31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E2231A"/>
              </w:rPr>
              <w:t>Principal Position</w:t>
            </w:r>
            <w:r>
              <w:rPr>
                <w:rFonts w:ascii="Arial" w:cs="Arial" w:eastAsia="Arial" w:hAnsi="Arial"/>
                <w:sz w:val="9"/>
                <w:szCs w:val="9"/>
                <w:b w:val="1"/>
                <w:bCs w:val="1"/>
                <w:color w:val="E2231A"/>
              </w:rPr>
              <w:t>(a)</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b w:val="1"/>
                <w:bCs w:val="1"/>
                <w:color w:val="E2231A"/>
              </w:rPr>
              <w:t>Year</w:t>
            </w:r>
            <w:r>
              <w:rPr>
                <w:rFonts w:ascii="Arial" w:cs="Arial" w:eastAsia="Arial" w:hAnsi="Arial"/>
                <w:sz w:val="9"/>
                <w:szCs w:val="9"/>
                <w:b w:val="1"/>
                <w:bCs w:val="1"/>
                <w:color w:val="E2231A"/>
              </w:rPr>
              <w:t>(b)</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2"/>
                <w:szCs w:val="12"/>
                <w:b w:val="1"/>
                <w:bCs w:val="1"/>
                <w:color w:val="E2231A"/>
                <w:w w:val="97"/>
              </w:rPr>
              <w:t>Salary</w:t>
            </w:r>
            <w:r>
              <w:rPr>
                <w:rFonts w:ascii="Arial" w:cs="Arial" w:eastAsia="Arial" w:hAnsi="Arial"/>
                <w:sz w:val="9"/>
                <w:szCs w:val="9"/>
                <w:b w:val="1"/>
                <w:bCs w:val="1"/>
                <w:color w:val="E2231A"/>
                <w:w w:val="97"/>
              </w:rPr>
              <w:t>(c)</w:t>
            </w: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Bonus</w:t>
            </w:r>
            <w:r>
              <w:rPr>
                <w:rFonts w:ascii="Arial" w:cs="Arial" w:eastAsia="Arial" w:hAnsi="Arial"/>
                <w:sz w:val="9"/>
                <w:szCs w:val="9"/>
                <w:b w:val="1"/>
                <w:bCs w:val="1"/>
                <w:color w:val="E2231A"/>
              </w:rPr>
              <w:t>(d)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(1)(e)</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Awards</w:t>
            </w:r>
            <w:r>
              <w:rPr>
                <w:rFonts w:ascii="Arial" w:cs="Arial" w:eastAsia="Arial" w:hAnsi="Arial"/>
                <w:sz w:val="9"/>
                <w:szCs w:val="9"/>
                <w:b w:val="1"/>
                <w:bCs w:val="1"/>
                <w:color w:val="E2231A"/>
              </w:rPr>
              <w:t>(f)</w:t>
            </w: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(2)(g)</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E2231A"/>
              </w:rPr>
              <w:t>Earnings</w:t>
            </w:r>
            <w:r>
              <w:rPr>
                <w:rFonts w:ascii="Arial" w:cs="Arial" w:eastAsia="Arial" w:hAnsi="Arial"/>
                <w:sz w:val="9"/>
                <w:szCs w:val="9"/>
                <w:b w:val="1"/>
                <w:bCs w:val="1"/>
                <w:color w:val="E2231A"/>
              </w:rPr>
              <w:t>(3)(h)</w:t>
            </w: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(4)(i)</w:t>
            </w: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E2231A"/>
              </w:rPr>
              <w:t>Compensation</w:t>
            </w:r>
            <w:r>
              <w:rPr>
                <w:rFonts w:ascii="Arial" w:cs="Arial" w:eastAsia="Arial" w:hAnsi="Arial"/>
                <w:sz w:val="9"/>
                <w:szCs w:val="9"/>
                <w:b w:val="1"/>
                <w:bCs w:val="1"/>
                <w:color w:val="E2231A"/>
              </w:rPr>
              <w:t>(j)</w:t>
            </w:r>
          </w:p>
        </w:tc>
        <w:tc>
          <w:tcPr>
            <w:tcW w:w="0" w:type="dxa"/>
            <w:vAlign w:val="bottom"/>
          </w:tcPr>
          <w:p>
            <w:pPr>
              <w:spacing w:after="0"/>
              <w:rPr>
                <w:sz w:val="1"/>
                <w:szCs w:val="1"/>
                <w:color w:val="auto"/>
              </w:rPr>
            </w:pPr>
          </w:p>
        </w:tc>
      </w:tr>
      <w:tr>
        <w:trPr>
          <w:trHeight w:val="123"/>
        </w:trPr>
        <w:tc>
          <w:tcPr>
            <w:tcW w:w="312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Matthew J. Simoncini,</w:t>
            </w:r>
          </w:p>
        </w:tc>
        <w:tc>
          <w:tcPr>
            <w:tcW w:w="58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2016</w:t>
            </w:r>
          </w:p>
        </w:tc>
        <w:tc>
          <w:tcPr>
            <w:tcW w:w="16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w w:val="96"/>
              </w:rPr>
              <w:t>1,354,500</w:t>
            </w:r>
          </w:p>
        </w:tc>
        <w:tc>
          <w:tcPr>
            <w:tcW w:w="30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23"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23" w:lineRule="exact"/>
              <w:rPr>
                <w:sz w:val="20"/>
                <w:szCs w:val="20"/>
                <w:color w:val="auto"/>
              </w:rPr>
            </w:pPr>
            <w:r>
              <w:rPr>
                <w:rFonts w:ascii="Arial" w:cs="Arial" w:eastAsia="Arial" w:hAnsi="Arial"/>
                <w:sz w:val="13"/>
                <w:szCs w:val="13"/>
                <w:color w:val="auto"/>
                <w:w w:val="98"/>
              </w:rPr>
              <w:t>$ 8,524,711</w:t>
            </w:r>
          </w:p>
        </w:tc>
        <w:tc>
          <w:tcPr>
            <w:tcW w:w="180" w:type="dxa"/>
            <w:vAlign w:val="bottom"/>
            <w:shd w:val="clear" w:color="auto" w:fill="FCE9E8"/>
          </w:tcPr>
          <w:p>
            <w:pPr>
              <w:ind w:left="100"/>
              <w:spacing w:after="0" w:line="123"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23"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23"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23" w:lineRule="exact"/>
              <w:rPr>
                <w:sz w:val="20"/>
                <w:szCs w:val="20"/>
                <w:color w:val="auto"/>
              </w:rPr>
            </w:pPr>
            <w:r>
              <w:rPr>
                <w:rFonts w:ascii="Arial" w:cs="Arial" w:eastAsia="Arial" w:hAnsi="Arial"/>
                <w:sz w:val="13"/>
                <w:szCs w:val="13"/>
                <w:color w:val="auto"/>
              </w:rPr>
              <w:t>3,810,240</w:t>
            </w:r>
          </w:p>
        </w:tc>
        <w:tc>
          <w:tcPr>
            <w:tcW w:w="200" w:type="dxa"/>
            <w:vAlign w:val="bottom"/>
            <w:shd w:val="clear" w:color="auto" w:fill="FCE9E8"/>
          </w:tcPr>
          <w:p>
            <w:pPr>
              <w:ind w:left="100"/>
              <w:spacing w:after="0" w:line="123"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38"/>
              <w:spacing w:after="0" w:line="123" w:lineRule="exact"/>
              <w:rPr>
                <w:sz w:val="20"/>
                <w:szCs w:val="20"/>
                <w:color w:val="auto"/>
              </w:rPr>
            </w:pPr>
            <w:r>
              <w:rPr>
                <w:rFonts w:ascii="Arial" w:cs="Arial" w:eastAsia="Arial" w:hAnsi="Arial"/>
                <w:sz w:val="13"/>
                <w:szCs w:val="13"/>
                <w:color w:val="auto"/>
              </w:rPr>
              <w:t>27,427</w:t>
            </w:r>
          </w:p>
        </w:tc>
        <w:tc>
          <w:tcPr>
            <w:tcW w:w="26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726,657</w:t>
            </w:r>
          </w:p>
        </w:tc>
        <w:tc>
          <w:tcPr>
            <w:tcW w:w="280" w:type="dxa"/>
            <w:vAlign w:val="bottom"/>
            <w:shd w:val="clear" w:color="auto" w:fill="FCE9E8"/>
          </w:tcPr>
          <w:p>
            <w:pPr>
              <w:ind w:left="100"/>
              <w:spacing w:after="0" w:line="123"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14,443,535</w:t>
            </w:r>
          </w:p>
        </w:tc>
        <w:tc>
          <w:tcPr>
            <w:tcW w:w="0" w:type="dxa"/>
            <w:vAlign w:val="bottom"/>
          </w:tcPr>
          <w:p>
            <w:pPr>
              <w:spacing w:after="0"/>
              <w:rPr>
                <w:sz w:val="1"/>
                <w:szCs w:val="1"/>
                <w:color w:val="auto"/>
              </w:rPr>
            </w:pPr>
          </w:p>
        </w:tc>
      </w:tr>
      <w:tr>
        <w:trPr>
          <w:trHeight w:val="135"/>
        </w:trPr>
        <w:tc>
          <w:tcPr>
            <w:tcW w:w="312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President and Chief</w:t>
            </w:r>
          </w:p>
        </w:tc>
        <w:tc>
          <w:tcPr>
            <w:tcW w:w="5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2015</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w w:val="96"/>
              </w:rPr>
              <w:t>1,306,125</w:t>
            </w:r>
          </w:p>
        </w:tc>
        <w:tc>
          <w:tcPr>
            <w:tcW w:w="3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35" w:lineRule="exact"/>
              <w:rPr>
                <w:sz w:val="20"/>
                <w:szCs w:val="20"/>
                <w:color w:val="auto"/>
              </w:rPr>
            </w:pPr>
            <w:r>
              <w:rPr>
                <w:rFonts w:ascii="Arial" w:cs="Arial" w:eastAsia="Arial" w:hAnsi="Arial"/>
                <w:sz w:val="13"/>
                <w:szCs w:val="13"/>
                <w:color w:val="auto"/>
                <w:w w:val="98"/>
              </w:rPr>
              <w:t>$ 8,149,840</w:t>
            </w:r>
          </w:p>
        </w:tc>
        <w:tc>
          <w:tcPr>
            <w:tcW w:w="1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rPr>
              <w:t>3,487,680</w:t>
            </w:r>
          </w:p>
        </w:tc>
        <w:tc>
          <w:tcPr>
            <w:tcW w:w="20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668,748</w:t>
            </w:r>
          </w:p>
        </w:tc>
        <w:tc>
          <w:tcPr>
            <w:tcW w:w="2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13,612,393</w:t>
            </w:r>
          </w:p>
        </w:tc>
        <w:tc>
          <w:tcPr>
            <w:tcW w:w="0" w:type="dxa"/>
            <w:vAlign w:val="bottom"/>
          </w:tcPr>
          <w:p>
            <w:pPr>
              <w:spacing w:after="0"/>
              <w:rPr>
                <w:sz w:val="1"/>
                <w:szCs w:val="1"/>
                <w:color w:val="auto"/>
              </w:rPr>
            </w:pPr>
          </w:p>
        </w:tc>
      </w:tr>
      <w:tr>
        <w:trPr>
          <w:trHeight w:val="141"/>
        </w:trPr>
        <w:tc>
          <w:tcPr>
            <w:tcW w:w="3120" w:type="dxa"/>
            <w:vAlign w:val="bottom"/>
            <w:tcBorders>
              <w:bottom w:val="single" w:sz="8" w:color="auto"/>
            </w:tcBorders>
            <w:shd w:val="clear" w:color="auto" w:fill="FCE9E8"/>
          </w:tcPr>
          <w:p>
            <w:pPr>
              <w:ind w:left="80"/>
              <w:spacing w:after="0" w:line="141" w:lineRule="exact"/>
              <w:rPr>
                <w:sz w:val="20"/>
                <w:szCs w:val="20"/>
                <w:color w:val="auto"/>
              </w:rPr>
            </w:pPr>
            <w:r>
              <w:rPr>
                <w:rFonts w:ascii="Arial" w:cs="Arial" w:eastAsia="Arial" w:hAnsi="Arial"/>
                <w:sz w:val="13"/>
                <w:szCs w:val="13"/>
                <w:color w:val="auto"/>
              </w:rPr>
              <w:t>Executive Officer</w:t>
            </w:r>
          </w:p>
        </w:tc>
        <w:tc>
          <w:tcPr>
            <w:tcW w:w="58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2014</w:t>
            </w:r>
          </w:p>
        </w:tc>
        <w:tc>
          <w:tcPr>
            <w:tcW w:w="16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w w:val="96"/>
              </w:rPr>
              <w:t>1,290,000</w:t>
            </w:r>
          </w:p>
        </w:tc>
        <w:tc>
          <w:tcPr>
            <w:tcW w:w="300" w:type="dxa"/>
            <w:vAlign w:val="bottom"/>
            <w:tcBorders>
              <w:bottom w:val="single" w:sz="8" w:color="auto"/>
            </w:tcBorders>
            <w:shd w:val="clear" w:color="auto" w:fill="FCE9E8"/>
          </w:tcPr>
          <w:p>
            <w:pPr>
              <w:ind w:left="80"/>
              <w:spacing w:after="0" w:line="141"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FCE9E8"/>
          </w:tcPr>
          <w:p>
            <w:pPr>
              <w:ind w:left="160"/>
              <w:spacing w:after="0" w:line="141"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FCE9E8"/>
          </w:tcPr>
          <w:p>
            <w:pPr>
              <w:jc w:val="center"/>
              <w:spacing w:after="0" w:line="141" w:lineRule="exact"/>
              <w:rPr>
                <w:sz w:val="20"/>
                <w:szCs w:val="20"/>
                <w:color w:val="auto"/>
              </w:rPr>
            </w:pPr>
            <w:r>
              <w:rPr>
                <w:rFonts w:ascii="Arial" w:cs="Arial" w:eastAsia="Arial" w:hAnsi="Arial"/>
                <w:sz w:val="13"/>
                <w:szCs w:val="13"/>
                <w:color w:val="auto"/>
                <w:w w:val="98"/>
              </w:rPr>
              <w:t>$ 7,099,775</w:t>
            </w:r>
          </w:p>
        </w:tc>
        <w:tc>
          <w:tcPr>
            <w:tcW w:w="18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FCE9E8"/>
          </w:tcPr>
          <w:p>
            <w:pPr>
              <w:ind w:left="320"/>
              <w:spacing w:after="0" w:line="141"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3,150,000</w:t>
            </w:r>
          </w:p>
        </w:tc>
        <w:tc>
          <w:tcPr>
            <w:tcW w:w="20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80,217</w:t>
            </w:r>
          </w:p>
        </w:tc>
        <w:tc>
          <w:tcPr>
            <w:tcW w:w="260" w:type="dxa"/>
            <w:vAlign w:val="bottom"/>
            <w:tcBorders>
              <w:bottom w:val="single" w:sz="8" w:color="auto"/>
            </w:tcBorders>
            <w:shd w:val="clear" w:color="auto" w:fill="FCE9E8"/>
          </w:tcPr>
          <w:p>
            <w:pPr>
              <w:ind w:left="80"/>
              <w:spacing w:after="0" w:line="141"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554,451</w:t>
            </w:r>
          </w:p>
        </w:tc>
        <w:tc>
          <w:tcPr>
            <w:tcW w:w="28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12,174,443</w:t>
            </w:r>
          </w:p>
        </w:tc>
        <w:tc>
          <w:tcPr>
            <w:tcW w:w="0" w:type="dxa"/>
            <w:vAlign w:val="bottom"/>
          </w:tcPr>
          <w:p>
            <w:pPr>
              <w:spacing w:after="0"/>
              <w:rPr>
                <w:sz w:val="1"/>
                <w:szCs w:val="1"/>
                <w:color w:val="auto"/>
              </w:rPr>
            </w:pPr>
          </w:p>
        </w:tc>
      </w:tr>
      <w:tr>
        <w:trPr>
          <w:trHeight w:val="123"/>
        </w:trPr>
        <w:tc>
          <w:tcPr>
            <w:tcW w:w="3120" w:type="dxa"/>
            <w:vAlign w:val="bottom"/>
          </w:tcPr>
          <w:p>
            <w:pPr>
              <w:ind w:left="80"/>
              <w:spacing w:after="0" w:line="123" w:lineRule="exact"/>
              <w:rPr>
                <w:sz w:val="20"/>
                <w:szCs w:val="20"/>
                <w:color w:val="auto"/>
              </w:rPr>
            </w:pPr>
            <w:r>
              <w:rPr>
                <w:rFonts w:ascii="Arial" w:cs="Arial" w:eastAsia="Arial" w:hAnsi="Arial"/>
                <w:sz w:val="13"/>
                <w:szCs w:val="13"/>
                <w:color w:val="auto"/>
              </w:rPr>
              <w:t>Jeffrey H. Vanneste,</w:t>
            </w:r>
          </w:p>
        </w:tc>
        <w:tc>
          <w:tcPr>
            <w:tcW w:w="580" w:type="dxa"/>
            <w:vAlign w:val="bottom"/>
          </w:tcPr>
          <w:p>
            <w:pPr>
              <w:jc w:val="right"/>
              <w:ind w:right="37"/>
              <w:spacing w:after="0" w:line="123" w:lineRule="exact"/>
              <w:rPr>
                <w:sz w:val="20"/>
                <w:szCs w:val="20"/>
                <w:color w:val="auto"/>
              </w:rPr>
            </w:pPr>
            <w:r>
              <w:rPr>
                <w:rFonts w:ascii="Arial" w:cs="Arial" w:eastAsia="Arial" w:hAnsi="Arial"/>
                <w:sz w:val="13"/>
                <w:szCs w:val="13"/>
                <w:color w:val="auto"/>
              </w:rPr>
              <w:t>2016</w:t>
            </w:r>
          </w:p>
        </w:tc>
        <w:tc>
          <w:tcPr>
            <w:tcW w:w="1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23" w:lineRule="exact"/>
              <w:rPr>
                <w:sz w:val="20"/>
                <w:szCs w:val="20"/>
                <w:color w:val="auto"/>
              </w:rPr>
            </w:pPr>
            <w:r>
              <w:rPr>
                <w:rFonts w:ascii="Arial" w:cs="Arial" w:eastAsia="Arial" w:hAnsi="Arial"/>
                <w:sz w:val="13"/>
                <w:szCs w:val="13"/>
                <w:color w:val="auto"/>
              </w:rPr>
              <w:t>787,437</w:t>
            </w:r>
          </w:p>
        </w:tc>
        <w:tc>
          <w:tcPr>
            <w:tcW w:w="300" w:type="dxa"/>
            <w:vAlign w:val="bottom"/>
          </w:tcPr>
          <w:p>
            <w:pPr>
              <w:ind w:left="80"/>
              <w:spacing w:after="0" w:line="123" w:lineRule="exact"/>
              <w:rPr>
                <w:sz w:val="20"/>
                <w:szCs w:val="20"/>
                <w:color w:val="auto"/>
              </w:rPr>
            </w:pPr>
            <w:r>
              <w:rPr>
                <w:rFonts w:ascii="Arial" w:cs="Arial" w:eastAsia="Arial" w:hAnsi="Arial"/>
                <w:sz w:val="13"/>
                <w:szCs w:val="13"/>
                <w:color w:val="auto"/>
              </w:rPr>
              <w:t>$</w:t>
            </w:r>
          </w:p>
        </w:tc>
        <w:tc>
          <w:tcPr>
            <w:tcW w:w="380" w:type="dxa"/>
            <w:vAlign w:val="bottom"/>
          </w:tcPr>
          <w:p>
            <w:pPr>
              <w:ind w:left="160"/>
              <w:spacing w:after="0" w:line="123" w:lineRule="exact"/>
              <w:rPr>
                <w:sz w:val="20"/>
                <w:szCs w:val="20"/>
                <w:color w:val="auto"/>
              </w:rPr>
            </w:pPr>
            <w:r>
              <w:rPr>
                <w:rFonts w:ascii="Arial" w:cs="Arial" w:eastAsia="Arial" w:hAnsi="Arial"/>
                <w:sz w:val="13"/>
                <w:szCs w:val="13"/>
                <w:color w:val="auto"/>
              </w:rPr>
              <w:t>—</w:t>
            </w: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98"/>
              </w:rPr>
              <w:t>$ 2,218,859</w:t>
            </w:r>
          </w:p>
        </w:tc>
        <w:tc>
          <w:tcPr>
            <w:tcW w:w="180" w:type="dxa"/>
            <w:vAlign w:val="bottom"/>
          </w:tcPr>
          <w:p>
            <w:pPr>
              <w:ind w:left="100"/>
              <w:spacing w:after="0" w:line="123" w:lineRule="exact"/>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line="123"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23"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line="123" w:lineRule="exact"/>
              <w:rPr>
                <w:sz w:val="20"/>
                <w:szCs w:val="20"/>
                <w:color w:val="auto"/>
              </w:rPr>
            </w:pPr>
            <w:r>
              <w:rPr>
                <w:rFonts w:ascii="Arial" w:cs="Arial" w:eastAsia="Arial" w:hAnsi="Arial"/>
                <w:sz w:val="13"/>
                <w:szCs w:val="13"/>
                <w:color w:val="auto"/>
              </w:rPr>
              <w:t>1,164,240</w:t>
            </w:r>
          </w:p>
        </w:tc>
        <w:tc>
          <w:tcPr>
            <w:tcW w:w="200" w:type="dxa"/>
            <w:vAlign w:val="bottom"/>
          </w:tcPr>
          <w:p>
            <w:pPr>
              <w:ind w:left="100"/>
              <w:spacing w:after="0" w:line="123"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line="123" w:lineRule="exact"/>
              <w:rPr>
                <w:sz w:val="20"/>
                <w:szCs w:val="20"/>
                <w:color w:val="auto"/>
              </w:rPr>
            </w:pPr>
            <w:r>
              <w:rPr>
                <w:rFonts w:ascii="Arial" w:cs="Arial" w:eastAsia="Arial" w:hAnsi="Arial"/>
                <w:sz w:val="13"/>
                <w:szCs w:val="13"/>
                <w:color w:val="auto"/>
              </w:rPr>
              <w:t>59,150</w:t>
            </w:r>
          </w:p>
        </w:tc>
        <w:tc>
          <w:tcPr>
            <w:tcW w:w="260" w:type="dxa"/>
            <w:vAlign w:val="bottom"/>
          </w:tcPr>
          <w:p>
            <w:pPr>
              <w:ind w:left="80"/>
              <w:spacing w:after="0" w:line="123"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23" w:lineRule="exact"/>
              <w:rPr>
                <w:sz w:val="20"/>
                <w:szCs w:val="20"/>
                <w:color w:val="auto"/>
              </w:rPr>
            </w:pPr>
            <w:r>
              <w:rPr>
                <w:rFonts w:ascii="Arial" w:cs="Arial" w:eastAsia="Arial" w:hAnsi="Arial"/>
                <w:sz w:val="13"/>
                <w:szCs w:val="13"/>
                <w:color w:val="auto"/>
              </w:rPr>
              <w:t>267,917</w:t>
            </w:r>
          </w:p>
        </w:tc>
        <w:tc>
          <w:tcPr>
            <w:tcW w:w="280" w:type="dxa"/>
            <w:vAlign w:val="bottom"/>
          </w:tcPr>
          <w:p>
            <w:pPr>
              <w:ind w:left="100"/>
              <w:spacing w:after="0" w:line="12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23" w:lineRule="exact"/>
              <w:rPr>
                <w:sz w:val="20"/>
                <w:szCs w:val="20"/>
                <w:color w:val="auto"/>
              </w:rPr>
            </w:pPr>
            <w:r>
              <w:rPr>
                <w:rFonts w:ascii="Arial" w:cs="Arial" w:eastAsia="Arial" w:hAnsi="Arial"/>
                <w:sz w:val="13"/>
                <w:szCs w:val="13"/>
                <w:color w:val="auto"/>
              </w:rPr>
              <w:t>4,497,603</w:t>
            </w:r>
          </w:p>
        </w:tc>
        <w:tc>
          <w:tcPr>
            <w:tcW w:w="0" w:type="dxa"/>
            <w:vAlign w:val="bottom"/>
          </w:tcPr>
          <w:p>
            <w:pPr>
              <w:spacing w:after="0"/>
              <w:rPr>
                <w:sz w:val="1"/>
                <w:szCs w:val="1"/>
                <w:color w:val="auto"/>
              </w:rPr>
            </w:pPr>
          </w:p>
        </w:tc>
      </w:tr>
      <w:tr>
        <w:trPr>
          <w:trHeight w:val="135"/>
        </w:trPr>
        <w:tc>
          <w:tcPr>
            <w:tcW w:w="3120" w:type="dxa"/>
            <w:vAlign w:val="bottom"/>
          </w:tcPr>
          <w:p>
            <w:pPr>
              <w:ind w:left="80"/>
              <w:spacing w:after="0" w:line="135" w:lineRule="exact"/>
              <w:rPr>
                <w:sz w:val="20"/>
                <w:szCs w:val="20"/>
                <w:color w:val="auto"/>
              </w:rPr>
            </w:pPr>
            <w:r>
              <w:rPr>
                <w:rFonts w:ascii="Arial" w:cs="Arial" w:eastAsia="Arial" w:hAnsi="Arial"/>
                <w:sz w:val="13"/>
                <w:szCs w:val="13"/>
                <w:color w:val="auto"/>
              </w:rPr>
              <w:t>Senior Vice President and</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2015</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741,750</w:t>
            </w:r>
          </w:p>
        </w:tc>
        <w:tc>
          <w:tcPr>
            <w:tcW w:w="3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8"/>
              </w:rPr>
              <w:t>$ 2,110,796</w:t>
            </w:r>
          </w:p>
        </w:tc>
        <w:tc>
          <w:tcPr>
            <w:tcW w:w="180" w:type="dxa"/>
            <w:vAlign w:val="bottom"/>
          </w:tcPr>
          <w:p>
            <w:pPr>
              <w:ind w:left="10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996,480</w:t>
            </w:r>
          </w:p>
        </w:tc>
        <w:tc>
          <w:tcPr>
            <w:tcW w:w="20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254,392</w:t>
            </w: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4,103,418</w:t>
            </w:r>
          </w:p>
        </w:tc>
        <w:tc>
          <w:tcPr>
            <w:tcW w:w="0" w:type="dxa"/>
            <w:vAlign w:val="bottom"/>
          </w:tcPr>
          <w:p>
            <w:pPr>
              <w:spacing w:after="0"/>
              <w:rPr>
                <w:sz w:val="1"/>
                <w:szCs w:val="1"/>
                <w:color w:val="auto"/>
              </w:rPr>
            </w:pPr>
          </w:p>
        </w:tc>
      </w:tr>
      <w:tr>
        <w:trPr>
          <w:trHeight w:val="141"/>
        </w:trPr>
        <w:tc>
          <w:tcPr>
            <w:tcW w:w="3120" w:type="dxa"/>
            <w:vAlign w:val="bottom"/>
            <w:tcBorders>
              <w:bottom w:val="single" w:sz="8" w:color="auto"/>
            </w:tcBorders>
          </w:tcPr>
          <w:p>
            <w:pPr>
              <w:ind w:left="80"/>
              <w:spacing w:after="0" w:line="141" w:lineRule="exact"/>
              <w:rPr>
                <w:sz w:val="20"/>
                <w:szCs w:val="20"/>
                <w:color w:val="auto"/>
              </w:rPr>
            </w:pPr>
            <w:r>
              <w:rPr>
                <w:rFonts w:ascii="Arial" w:cs="Arial" w:eastAsia="Arial" w:hAnsi="Arial"/>
                <w:sz w:val="13"/>
                <w:szCs w:val="13"/>
                <w:color w:val="auto"/>
              </w:rPr>
              <w:t>Chief Financial Officer</w:t>
            </w:r>
          </w:p>
        </w:tc>
        <w:tc>
          <w:tcPr>
            <w:tcW w:w="58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2014</w:t>
            </w:r>
          </w:p>
        </w:tc>
        <w:tc>
          <w:tcPr>
            <w:tcW w:w="1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708,268</w:t>
            </w:r>
          </w:p>
        </w:tc>
        <w:tc>
          <w:tcPr>
            <w:tcW w:w="300" w:type="dxa"/>
            <w:vAlign w:val="bottom"/>
            <w:tcBorders>
              <w:bottom w:val="single" w:sz="8" w:color="auto"/>
            </w:tcBorders>
          </w:tcPr>
          <w:p>
            <w:pPr>
              <w:ind w:left="80"/>
              <w:spacing w:after="0" w:line="141"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tcPr>
          <w:p>
            <w:pPr>
              <w:ind w:left="160"/>
              <w:spacing w:after="0" w:line="141"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8"/>
              </w:rPr>
              <w:t>$ 1,937,944</w:t>
            </w:r>
          </w:p>
        </w:tc>
        <w:tc>
          <w:tcPr>
            <w:tcW w:w="18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ind w:left="320"/>
              <w:spacing w:after="0" w:line="141"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8"/>
              <w:spacing w:after="0" w:line="141" w:lineRule="exact"/>
              <w:rPr>
                <w:sz w:val="20"/>
                <w:szCs w:val="20"/>
                <w:color w:val="auto"/>
              </w:rPr>
            </w:pPr>
            <w:r>
              <w:rPr>
                <w:rFonts w:ascii="Arial" w:cs="Arial" w:eastAsia="Arial" w:hAnsi="Arial"/>
                <w:sz w:val="13"/>
                <w:szCs w:val="13"/>
                <w:color w:val="auto"/>
              </w:rPr>
              <w:t>952,000</w:t>
            </w:r>
          </w:p>
        </w:tc>
        <w:tc>
          <w:tcPr>
            <w:tcW w:w="20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8"/>
              <w:spacing w:after="0" w:line="141" w:lineRule="exact"/>
              <w:rPr>
                <w:sz w:val="20"/>
                <w:szCs w:val="20"/>
                <w:color w:val="auto"/>
              </w:rPr>
            </w:pPr>
            <w:r>
              <w:rPr>
                <w:rFonts w:ascii="Arial" w:cs="Arial" w:eastAsia="Arial" w:hAnsi="Arial"/>
                <w:sz w:val="13"/>
                <w:szCs w:val="13"/>
                <w:color w:val="auto"/>
              </w:rPr>
              <w:t>168,628</w:t>
            </w:r>
          </w:p>
        </w:tc>
        <w:tc>
          <w:tcPr>
            <w:tcW w:w="260" w:type="dxa"/>
            <w:vAlign w:val="bottom"/>
            <w:tcBorders>
              <w:bottom w:val="single" w:sz="8" w:color="auto"/>
            </w:tcBorders>
          </w:tcPr>
          <w:p>
            <w:pPr>
              <w:ind w:left="80"/>
              <w:spacing w:after="0" w:line="141"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230,994</w:t>
            </w:r>
          </w:p>
        </w:tc>
        <w:tc>
          <w:tcPr>
            <w:tcW w:w="28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3,997,834</w:t>
            </w:r>
          </w:p>
        </w:tc>
        <w:tc>
          <w:tcPr>
            <w:tcW w:w="0" w:type="dxa"/>
            <w:vAlign w:val="bottom"/>
          </w:tcPr>
          <w:p>
            <w:pPr>
              <w:spacing w:after="0"/>
              <w:rPr>
                <w:sz w:val="1"/>
                <w:szCs w:val="1"/>
                <w:color w:val="auto"/>
              </w:rPr>
            </w:pPr>
          </w:p>
        </w:tc>
      </w:tr>
      <w:tr>
        <w:trPr>
          <w:trHeight w:val="123"/>
        </w:trPr>
        <w:tc>
          <w:tcPr>
            <w:tcW w:w="312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Raymond E. Scott,</w:t>
            </w:r>
          </w:p>
        </w:tc>
        <w:tc>
          <w:tcPr>
            <w:tcW w:w="58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2016</w:t>
            </w:r>
          </w:p>
        </w:tc>
        <w:tc>
          <w:tcPr>
            <w:tcW w:w="16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855,098</w:t>
            </w:r>
          </w:p>
        </w:tc>
        <w:tc>
          <w:tcPr>
            <w:tcW w:w="30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23"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23" w:lineRule="exact"/>
              <w:rPr>
                <w:sz w:val="20"/>
                <w:szCs w:val="20"/>
                <w:color w:val="auto"/>
              </w:rPr>
            </w:pPr>
            <w:r>
              <w:rPr>
                <w:rFonts w:ascii="Arial" w:cs="Arial" w:eastAsia="Arial" w:hAnsi="Arial"/>
                <w:sz w:val="13"/>
                <w:szCs w:val="13"/>
                <w:color w:val="auto"/>
                <w:w w:val="98"/>
              </w:rPr>
              <w:t>$ 2,422,618</w:t>
            </w:r>
          </w:p>
        </w:tc>
        <w:tc>
          <w:tcPr>
            <w:tcW w:w="180" w:type="dxa"/>
            <w:vAlign w:val="bottom"/>
            <w:shd w:val="clear" w:color="auto" w:fill="FCE9E8"/>
          </w:tcPr>
          <w:p>
            <w:pPr>
              <w:ind w:left="100"/>
              <w:spacing w:after="0" w:line="123"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23"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23"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23" w:lineRule="exact"/>
              <w:rPr>
                <w:sz w:val="20"/>
                <w:szCs w:val="20"/>
                <w:color w:val="auto"/>
              </w:rPr>
            </w:pPr>
            <w:r>
              <w:rPr>
                <w:rFonts w:ascii="Arial" w:cs="Arial" w:eastAsia="Arial" w:hAnsi="Arial"/>
                <w:sz w:val="13"/>
                <w:szCs w:val="13"/>
                <w:color w:val="auto"/>
              </w:rPr>
              <w:t>1,202,705</w:t>
            </w:r>
          </w:p>
        </w:tc>
        <w:tc>
          <w:tcPr>
            <w:tcW w:w="200" w:type="dxa"/>
            <w:vAlign w:val="bottom"/>
            <w:shd w:val="clear" w:color="auto" w:fill="FCE9E8"/>
          </w:tcPr>
          <w:p>
            <w:pPr>
              <w:ind w:left="100"/>
              <w:spacing w:after="0" w:line="123"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38"/>
              <w:spacing w:after="0" w:line="123" w:lineRule="exact"/>
              <w:rPr>
                <w:sz w:val="20"/>
                <w:szCs w:val="20"/>
                <w:color w:val="auto"/>
              </w:rPr>
            </w:pPr>
            <w:r>
              <w:rPr>
                <w:rFonts w:ascii="Arial" w:cs="Arial" w:eastAsia="Arial" w:hAnsi="Arial"/>
                <w:sz w:val="13"/>
                <w:szCs w:val="13"/>
                <w:color w:val="auto"/>
              </w:rPr>
              <w:t>91,341</w:t>
            </w:r>
          </w:p>
        </w:tc>
        <w:tc>
          <w:tcPr>
            <w:tcW w:w="26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292,048</w:t>
            </w:r>
          </w:p>
        </w:tc>
        <w:tc>
          <w:tcPr>
            <w:tcW w:w="280" w:type="dxa"/>
            <w:vAlign w:val="bottom"/>
            <w:shd w:val="clear" w:color="auto" w:fill="FCE9E8"/>
          </w:tcPr>
          <w:p>
            <w:pPr>
              <w:ind w:left="100"/>
              <w:spacing w:after="0" w:line="123"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23" w:lineRule="exact"/>
              <w:rPr>
                <w:sz w:val="20"/>
                <w:szCs w:val="20"/>
                <w:color w:val="auto"/>
              </w:rPr>
            </w:pPr>
            <w:r>
              <w:rPr>
                <w:rFonts w:ascii="Arial" w:cs="Arial" w:eastAsia="Arial" w:hAnsi="Arial"/>
                <w:sz w:val="13"/>
                <w:szCs w:val="13"/>
                <w:color w:val="auto"/>
              </w:rPr>
              <w:t>4,863,810</w:t>
            </w:r>
          </w:p>
        </w:tc>
        <w:tc>
          <w:tcPr>
            <w:tcW w:w="0" w:type="dxa"/>
            <w:vAlign w:val="bottom"/>
          </w:tcPr>
          <w:p>
            <w:pPr>
              <w:spacing w:after="0"/>
              <w:rPr>
                <w:sz w:val="1"/>
                <w:szCs w:val="1"/>
                <w:color w:val="auto"/>
              </w:rPr>
            </w:pPr>
          </w:p>
        </w:tc>
      </w:tr>
      <w:tr>
        <w:trPr>
          <w:trHeight w:val="135"/>
        </w:trPr>
        <w:tc>
          <w:tcPr>
            <w:tcW w:w="312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Executive Vice President</w:t>
            </w:r>
          </w:p>
        </w:tc>
        <w:tc>
          <w:tcPr>
            <w:tcW w:w="5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2015</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834,942</w:t>
            </w:r>
          </w:p>
        </w:tc>
        <w:tc>
          <w:tcPr>
            <w:tcW w:w="3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35" w:lineRule="exact"/>
              <w:rPr>
                <w:sz w:val="20"/>
                <w:szCs w:val="20"/>
                <w:color w:val="auto"/>
              </w:rPr>
            </w:pPr>
            <w:r>
              <w:rPr>
                <w:rFonts w:ascii="Arial" w:cs="Arial" w:eastAsia="Arial" w:hAnsi="Arial"/>
                <w:sz w:val="13"/>
                <w:szCs w:val="13"/>
                <w:color w:val="auto"/>
                <w:w w:val="98"/>
              </w:rPr>
              <w:t>$ 2,355,154</w:t>
            </w:r>
          </w:p>
        </w:tc>
        <w:tc>
          <w:tcPr>
            <w:tcW w:w="1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rPr>
              <w:t>1,100,889</w:t>
            </w:r>
          </w:p>
        </w:tc>
        <w:tc>
          <w:tcPr>
            <w:tcW w:w="20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285,684</w:t>
            </w:r>
          </w:p>
        </w:tc>
        <w:tc>
          <w:tcPr>
            <w:tcW w:w="2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4,576,669</w:t>
            </w:r>
          </w:p>
        </w:tc>
        <w:tc>
          <w:tcPr>
            <w:tcW w:w="0" w:type="dxa"/>
            <w:vAlign w:val="bottom"/>
          </w:tcPr>
          <w:p>
            <w:pPr>
              <w:spacing w:after="0"/>
              <w:rPr>
                <w:sz w:val="1"/>
                <w:szCs w:val="1"/>
                <w:color w:val="auto"/>
              </w:rPr>
            </w:pPr>
          </w:p>
        </w:tc>
      </w:tr>
      <w:tr>
        <w:trPr>
          <w:trHeight w:val="141"/>
        </w:trPr>
        <w:tc>
          <w:tcPr>
            <w:tcW w:w="3120" w:type="dxa"/>
            <w:vAlign w:val="bottom"/>
            <w:tcBorders>
              <w:bottom w:val="single" w:sz="8" w:color="auto"/>
            </w:tcBorders>
            <w:shd w:val="clear" w:color="auto" w:fill="FCE9E8"/>
          </w:tcPr>
          <w:p>
            <w:pPr>
              <w:ind w:left="80"/>
              <w:spacing w:after="0" w:line="141" w:lineRule="exact"/>
              <w:rPr>
                <w:sz w:val="20"/>
                <w:szCs w:val="20"/>
                <w:color w:val="auto"/>
              </w:rPr>
            </w:pPr>
            <w:r>
              <w:rPr>
                <w:rFonts w:ascii="Arial" w:cs="Arial" w:eastAsia="Arial" w:hAnsi="Arial"/>
                <w:sz w:val="13"/>
                <w:szCs w:val="13"/>
                <w:color w:val="auto"/>
              </w:rPr>
              <w:t>and President, Seating</w:t>
            </w:r>
          </w:p>
        </w:tc>
        <w:tc>
          <w:tcPr>
            <w:tcW w:w="58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2014</w:t>
            </w:r>
          </w:p>
        </w:tc>
        <w:tc>
          <w:tcPr>
            <w:tcW w:w="16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828,223</w:t>
            </w:r>
          </w:p>
        </w:tc>
        <w:tc>
          <w:tcPr>
            <w:tcW w:w="300" w:type="dxa"/>
            <w:vAlign w:val="bottom"/>
            <w:tcBorders>
              <w:bottom w:val="single" w:sz="8" w:color="auto"/>
            </w:tcBorders>
            <w:shd w:val="clear" w:color="auto" w:fill="FCE9E8"/>
          </w:tcPr>
          <w:p>
            <w:pPr>
              <w:ind w:left="80"/>
              <w:spacing w:after="0" w:line="141" w:lineRule="exact"/>
              <w:rPr>
                <w:sz w:val="20"/>
                <w:szCs w:val="20"/>
                <w:color w:val="auto"/>
              </w:rPr>
            </w:pPr>
            <w:r>
              <w:rPr>
                <w:rFonts w:ascii="Arial" w:cs="Arial" w:eastAsia="Arial" w:hAnsi="Arial"/>
                <w:sz w:val="13"/>
                <w:szCs w:val="13"/>
                <w:color w:val="auto"/>
              </w:rPr>
              <w:t>$</w:t>
            </w:r>
          </w:p>
        </w:tc>
        <w:tc>
          <w:tcPr>
            <w:tcW w:w="380" w:type="dxa"/>
            <w:vAlign w:val="bottom"/>
            <w:tcBorders>
              <w:bottom w:val="single" w:sz="8" w:color="auto"/>
            </w:tcBorders>
            <w:shd w:val="clear" w:color="auto" w:fill="FCE9E8"/>
          </w:tcPr>
          <w:p>
            <w:pPr>
              <w:ind w:left="160"/>
              <w:spacing w:after="0" w:line="141"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FCE9E8"/>
          </w:tcPr>
          <w:p>
            <w:pPr>
              <w:jc w:val="center"/>
              <w:spacing w:after="0" w:line="141" w:lineRule="exact"/>
              <w:rPr>
                <w:sz w:val="20"/>
                <w:szCs w:val="20"/>
                <w:color w:val="auto"/>
              </w:rPr>
            </w:pPr>
            <w:r>
              <w:rPr>
                <w:rFonts w:ascii="Arial" w:cs="Arial" w:eastAsia="Arial" w:hAnsi="Arial"/>
                <w:sz w:val="13"/>
                <w:szCs w:val="13"/>
                <w:color w:val="auto"/>
                <w:w w:val="98"/>
              </w:rPr>
              <w:t>$ 2,280,005</w:t>
            </w:r>
          </w:p>
        </w:tc>
        <w:tc>
          <w:tcPr>
            <w:tcW w:w="18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FCE9E8"/>
          </w:tcPr>
          <w:p>
            <w:pPr>
              <w:ind w:left="320"/>
              <w:spacing w:after="0" w:line="141"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1,078,616</w:t>
            </w:r>
          </w:p>
        </w:tc>
        <w:tc>
          <w:tcPr>
            <w:tcW w:w="20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293,910</w:t>
            </w:r>
          </w:p>
        </w:tc>
        <w:tc>
          <w:tcPr>
            <w:tcW w:w="260" w:type="dxa"/>
            <w:vAlign w:val="bottom"/>
            <w:tcBorders>
              <w:bottom w:val="single" w:sz="8" w:color="auto"/>
            </w:tcBorders>
            <w:shd w:val="clear" w:color="auto" w:fill="FCE9E8"/>
          </w:tcPr>
          <w:p>
            <w:pPr>
              <w:ind w:left="80"/>
              <w:spacing w:after="0" w:line="141"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271,112</w:t>
            </w:r>
          </w:p>
        </w:tc>
        <w:tc>
          <w:tcPr>
            <w:tcW w:w="280" w:type="dxa"/>
            <w:vAlign w:val="bottom"/>
            <w:tcBorders>
              <w:bottom w:val="single" w:sz="8" w:color="auto"/>
            </w:tcBorders>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4,751,866</w:t>
            </w:r>
          </w:p>
        </w:tc>
        <w:tc>
          <w:tcPr>
            <w:tcW w:w="0" w:type="dxa"/>
            <w:vAlign w:val="bottom"/>
          </w:tcPr>
          <w:p>
            <w:pPr>
              <w:spacing w:after="0"/>
              <w:rPr>
                <w:sz w:val="1"/>
                <w:szCs w:val="1"/>
                <w:color w:val="auto"/>
              </w:rPr>
            </w:pPr>
          </w:p>
        </w:tc>
      </w:tr>
      <w:tr>
        <w:trPr>
          <w:trHeight w:val="123"/>
        </w:trPr>
        <w:tc>
          <w:tcPr>
            <w:tcW w:w="3120" w:type="dxa"/>
            <w:vAlign w:val="bottom"/>
          </w:tcPr>
          <w:p>
            <w:pPr>
              <w:ind w:left="80"/>
              <w:spacing w:after="0" w:line="123" w:lineRule="exact"/>
              <w:rPr>
                <w:sz w:val="20"/>
                <w:szCs w:val="20"/>
                <w:color w:val="auto"/>
              </w:rPr>
            </w:pPr>
            <w:r>
              <w:rPr>
                <w:rFonts w:ascii="Arial" w:cs="Arial" w:eastAsia="Arial" w:hAnsi="Arial"/>
                <w:sz w:val="13"/>
                <w:szCs w:val="13"/>
                <w:color w:val="auto"/>
              </w:rPr>
              <w:t>Terrence B. Larkin</w:t>
            </w:r>
          </w:p>
        </w:tc>
        <w:tc>
          <w:tcPr>
            <w:tcW w:w="580" w:type="dxa"/>
            <w:vAlign w:val="bottom"/>
          </w:tcPr>
          <w:p>
            <w:pPr>
              <w:jc w:val="right"/>
              <w:ind w:right="37"/>
              <w:spacing w:after="0" w:line="123" w:lineRule="exact"/>
              <w:rPr>
                <w:sz w:val="20"/>
                <w:szCs w:val="20"/>
                <w:color w:val="auto"/>
              </w:rPr>
            </w:pPr>
            <w:r>
              <w:rPr>
                <w:rFonts w:ascii="Arial" w:cs="Arial" w:eastAsia="Arial" w:hAnsi="Arial"/>
                <w:sz w:val="13"/>
                <w:szCs w:val="13"/>
                <w:color w:val="auto"/>
              </w:rPr>
              <w:t>2016</w:t>
            </w:r>
          </w:p>
        </w:tc>
        <w:tc>
          <w:tcPr>
            <w:tcW w:w="1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23" w:lineRule="exact"/>
              <w:rPr>
                <w:sz w:val="20"/>
                <w:szCs w:val="20"/>
                <w:color w:val="auto"/>
              </w:rPr>
            </w:pPr>
            <w:r>
              <w:rPr>
                <w:rFonts w:ascii="Arial" w:cs="Arial" w:eastAsia="Arial" w:hAnsi="Arial"/>
                <w:sz w:val="13"/>
                <w:szCs w:val="13"/>
                <w:color w:val="auto"/>
              </w:rPr>
              <w:t>855,098</w:t>
            </w:r>
          </w:p>
        </w:tc>
        <w:tc>
          <w:tcPr>
            <w:tcW w:w="300" w:type="dxa"/>
            <w:vAlign w:val="bottom"/>
          </w:tcPr>
          <w:p>
            <w:pPr>
              <w:ind w:left="80"/>
              <w:spacing w:after="0" w:line="123" w:lineRule="exact"/>
              <w:rPr>
                <w:sz w:val="20"/>
                <w:szCs w:val="20"/>
                <w:color w:val="auto"/>
              </w:rPr>
            </w:pPr>
            <w:r>
              <w:rPr>
                <w:rFonts w:ascii="Arial" w:cs="Arial" w:eastAsia="Arial" w:hAnsi="Arial"/>
                <w:sz w:val="13"/>
                <w:szCs w:val="13"/>
                <w:color w:val="auto"/>
              </w:rPr>
              <w:t>$</w:t>
            </w:r>
          </w:p>
        </w:tc>
        <w:tc>
          <w:tcPr>
            <w:tcW w:w="380" w:type="dxa"/>
            <w:vAlign w:val="bottom"/>
          </w:tcPr>
          <w:p>
            <w:pPr>
              <w:ind w:left="160"/>
              <w:spacing w:after="0" w:line="123" w:lineRule="exact"/>
              <w:rPr>
                <w:sz w:val="20"/>
                <w:szCs w:val="20"/>
                <w:color w:val="auto"/>
              </w:rPr>
            </w:pPr>
            <w:r>
              <w:rPr>
                <w:rFonts w:ascii="Arial" w:cs="Arial" w:eastAsia="Arial" w:hAnsi="Arial"/>
                <w:sz w:val="13"/>
                <w:szCs w:val="13"/>
                <w:color w:val="auto"/>
              </w:rPr>
              <w:t>—</w:t>
            </w:r>
          </w:p>
        </w:tc>
        <w:tc>
          <w:tcPr>
            <w:tcW w:w="860" w:type="dxa"/>
            <w:vAlign w:val="bottom"/>
          </w:tcPr>
          <w:p>
            <w:pPr>
              <w:jc w:val="center"/>
              <w:spacing w:after="0" w:line="123" w:lineRule="exact"/>
              <w:rPr>
                <w:sz w:val="20"/>
                <w:szCs w:val="20"/>
                <w:color w:val="auto"/>
              </w:rPr>
            </w:pPr>
            <w:r>
              <w:rPr>
                <w:rFonts w:ascii="Arial" w:cs="Arial" w:eastAsia="Arial" w:hAnsi="Arial"/>
                <w:sz w:val="13"/>
                <w:szCs w:val="13"/>
                <w:color w:val="auto"/>
                <w:w w:val="98"/>
              </w:rPr>
              <w:t>$ 2,422,618</w:t>
            </w:r>
          </w:p>
        </w:tc>
        <w:tc>
          <w:tcPr>
            <w:tcW w:w="180" w:type="dxa"/>
            <w:vAlign w:val="bottom"/>
          </w:tcPr>
          <w:p>
            <w:pPr>
              <w:ind w:left="100"/>
              <w:spacing w:after="0" w:line="123" w:lineRule="exact"/>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line="123"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23"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line="123" w:lineRule="exact"/>
              <w:rPr>
                <w:sz w:val="20"/>
                <w:szCs w:val="20"/>
                <w:color w:val="auto"/>
              </w:rPr>
            </w:pPr>
            <w:r>
              <w:rPr>
                <w:rFonts w:ascii="Arial" w:cs="Arial" w:eastAsia="Arial" w:hAnsi="Arial"/>
                <w:sz w:val="13"/>
                <w:szCs w:val="13"/>
                <w:color w:val="auto"/>
              </w:rPr>
              <w:t>1,202,705</w:t>
            </w:r>
          </w:p>
        </w:tc>
        <w:tc>
          <w:tcPr>
            <w:tcW w:w="200" w:type="dxa"/>
            <w:vAlign w:val="bottom"/>
          </w:tcPr>
          <w:p>
            <w:pPr>
              <w:ind w:left="100"/>
              <w:spacing w:after="0" w:line="123"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line="123" w:lineRule="exact"/>
              <w:rPr>
                <w:sz w:val="20"/>
                <w:szCs w:val="20"/>
                <w:color w:val="auto"/>
              </w:rPr>
            </w:pPr>
            <w:r>
              <w:rPr>
                <w:rFonts w:ascii="Arial" w:cs="Arial" w:eastAsia="Arial" w:hAnsi="Arial"/>
                <w:sz w:val="13"/>
                <w:szCs w:val="13"/>
                <w:color w:val="auto"/>
              </w:rPr>
              <w:t>—</w:t>
            </w:r>
          </w:p>
        </w:tc>
        <w:tc>
          <w:tcPr>
            <w:tcW w:w="260" w:type="dxa"/>
            <w:vAlign w:val="bottom"/>
          </w:tcPr>
          <w:p>
            <w:pPr>
              <w:ind w:left="80"/>
              <w:spacing w:after="0" w:line="123"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23" w:lineRule="exact"/>
              <w:rPr>
                <w:sz w:val="20"/>
                <w:szCs w:val="20"/>
                <w:color w:val="auto"/>
              </w:rPr>
            </w:pPr>
            <w:r>
              <w:rPr>
                <w:rFonts w:ascii="Arial" w:cs="Arial" w:eastAsia="Arial" w:hAnsi="Arial"/>
                <w:sz w:val="13"/>
                <w:szCs w:val="13"/>
                <w:color w:val="auto"/>
              </w:rPr>
              <w:t>266,911</w:t>
            </w:r>
          </w:p>
        </w:tc>
        <w:tc>
          <w:tcPr>
            <w:tcW w:w="280" w:type="dxa"/>
            <w:vAlign w:val="bottom"/>
          </w:tcPr>
          <w:p>
            <w:pPr>
              <w:ind w:left="100"/>
              <w:spacing w:after="0" w:line="12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23" w:lineRule="exact"/>
              <w:rPr>
                <w:sz w:val="20"/>
                <w:szCs w:val="20"/>
                <w:color w:val="auto"/>
              </w:rPr>
            </w:pPr>
            <w:r>
              <w:rPr>
                <w:rFonts w:ascii="Arial" w:cs="Arial" w:eastAsia="Arial" w:hAnsi="Arial"/>
                <w:sz w:val="13"/>
                <w:szCs w:val="13"/>
                <w:color w:val="auto"/>
              </w:rPr>
              <w:t>4,747,332</w:t>
            </w:r>
          </w:p>
        </w:tc>
        <w:tc>
          <w:tcPr>
            <w:tcW w:w="0" w:type="dxa"/>
            <w:vAlign w:val="bottom"/>
          </w:tcPr>
          <w:p>
            <w:pPr>
              <w:spacing w:after="0"/>
              <w:rPr>
                <w:sz w:val="1"/>
                <w:szCs w:val="1"/>
                <w:color w:val="auto"/>
              </w:rPr>
            </w:pPr>
          </w:p>
        </w:tc>
      </w:tr>
      <w:tr>
        <w:trPr>
          <w:trHeight w:val="135"/>
        </w:trPr>
        <w:tc>
          <w:tcPr>
            <w:tcW w:w="3120" w:type="dxa"/>
            <w:vAlign w:val="bottom"/>
          </w:tcPr>
          <w:p>
            <w:pPr>
              <w:ind w:left="80"/>
              <w:spacing w:after="0" w:line="135" w:lineRule="exact"/>
              <w:rPr>
                <w:sz w:val="20"/>
                <w:szCs w:val="20"/>
                <w:color w:val="auto"/>
              </w:rPr>
            </w:pPr>
            <w:r>
              <w:rPr>
                <w:rFonts w:ascii="Arial" w:cs="Arial" w:eastAsia="Arial" w:hAnsi="Arial"/>
                <w:sz w:val="13"/>
                <w:szCs w:val="13"/>
                <w:color w:val="auto"/>
              </w:rPr>
              <w:t>Executive Vice President,</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2015</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834,942</w:t>
            </w:r>
          </w:p>
        </w:tc>
        <w:tc>
          <w:tcPr>
            <w:tcW w:w="3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8"/>
              </w:rPr>
              <w:t>$ 2,355,154</w:t>
            </w:r>
          </w:p>
        </w:tc>
        <w:tc>
          <w:tcPr>
            <w:tcW w:w="180" w:type="dxa"/>
            <w:vAlign w:val="bottom"/>
          </w:tcPr>
          <w:p>
            <w:pPr>
              <w:ind w:left="10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1,100,889</w:t>
            </w:r>
          </w:p>
        </w:tc>
        <w:tc>
          <w:tcPr>
            <w:tcW w:w="20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261,183</w:t>
            </w: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4,552,168</w:t>
            </w:r>
          </w:p>
        </w:tc>
        <w:tc>
          <w:tcPr>
            <w:tcW w:w="0" w:type="dxa"/>
            <w:vAlign w:val="bottom"/>
          </w:tcPr>
          <w:p>
            <w:pPr>
              <w:spacing w:after="0"/>
              <w:rPr>
                <w:sz w:val="1"/>
                <w:szCs w:val="1"/>
                <w:color w:val="auto"/>
              </w:rPr>
            </w:pPr>
          </w:p>
        </w:tc>
      </w:tr>
      <w:tr>
        <w:trPr>
          <w:trHeight w:val="135"/>
        </w:trPr>
        <w:tc>
          <w:tcPr>
            <w:tcW w:w="3120" w:type="dxa"/>
            <w:vAlign w:val="bottom"/>
          </w:tcPr>
          <w:p>
            <w:pPr>
              <w:ind w:left="80"/>
              <w:spacing w:after="0" w:line="135" w:lineRule="exact"/>
              <w:rPr>
                <w:sz w:val="20"/>
                <w:szCs w:val="20"/>
                <w:color w:val="auto"/>
              </w:rPr>
            </w:pPr>
            <w:r>
              <w:rPr>
                <w:rFonts w:ascii="Arial" w:cs="Arial" w:eastAsia="Arial" w:hAnsi="Arial"/>
                <w:sz w:val="13"/>
                <w:szCs w:val="13"/>
                <w:color w:val="auto"/>
              </w:rPr>
              <w:t>Business Development,</w:t>
            </w: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2014</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828,223</w:t>
            </w:r>
          </w:p>
        </w:tc>
        <w:tc>
          <w:tcPr>
            <w:tcW w:w="3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8"/>
              </w:rPr>
              <w:t>$ 2,280,005</w:t>
            </w:r>
          </w:p>
        </w:tc>
        <w:tc>
          <w:tcPr>
            <w:tcW w:w="180" w:type="dxa"/>
            <w:vAlign w:val="bottom"/>
          </w:tcPr>
          <w:p>
            <w:pPr>
              <w:ind w:left="10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1,078,616</w:t>
            </w:r>
          </w:p>
        </w:tc>
        <w:tc>
          <w:tcPr>
            <w:tcW w:w="20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248,673</w:t>
            </w: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4,435,517</w:t>
            </w:r>
          </w:p>
        </w:tc>
        <w:tc>
          <w:tcPr>
            <w:tcW w:w="0" w:type="dxa"/>
            <w:vAlign w:val="bottom"/>
          </w:tcPr>
          <w:p>
            <w:pPr>
              <w:spacing w:after="0"/>
              <w:rPr>
                <w:sz w:val="1"/>
                <w:szCs w:val="1"/>
                <w:color w:val="auto"/>
              </w:rPr>
            </w:pPr>
          </w:p>
        </w:tc>
      </w:tr>
      <w:tr>
        <w:trPr>
          <w:trHeight w:val="135"/>
        </w:trPr>
        <w:tc>
          <w:tcPr>
            <w:tcW w:w="3120" w:type="dxa"/>
            <w:vAlign w:val="bottom"/>
          </w:tcPr>
          <w:p>
            <w:pPr>
              <w:ind w:left="80"/>
              <w:spacing w:after="0" w:line="135" w:lineRule="exact"/>
              <w:rPr>
                <w:sz w:val="20"/>
                <w:szCs w:val="20"/>
                <w:color w:val="auto"/>
              </w:rPr>
            </w:pPr>
            <w:r>
              <w:rPr>
                <w:rFonts w:ascii="Arial" w:cs="Arial" w:eastAsia="Arial" w:hAnsi="Arial"/>
                <w:sz w:val="13"/>
                <w:szCs w:val="13"/>
                <w:color w:val="auto"/>
              </w:rPr>
              <w:t>General Counsel and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ind w:left="80"/>
              <w:spacing w:after="0" w:line="135" w:lineRule="exact"/>
              <w:rPr>
                <w:sz w:val="20"/>
                <w:szCs w:val="20"/>
                <w:color w:val="auto"/>
              </w:rPr>
            </w:pPr>
            <w:r>
              <w:rPr>
                <w:rFonts w:ascii="Arial" w:cs="Arial" w:eastAsia="Arial" w:hAnsi="Arial"/>
                <w:sz w:val="13"/>
                <w:szCs w:val="13"/>
                <w:color w:val="auto"/>
              </w:rPr>
              <w:t>Corporate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Secretary</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120" w:type="dxa"/>
            <w:vAlign w:val="bottom"/>
            <w:shd w:val="clear" w:color="auto" w:fill="FCE9E8"/>
          </w:tcPr>
          <w:p>
            <w:pPr>
              <w:ind w:left="80"/>
              <w:spacing w:after="0" w:line="124" w:lineRule="exact"/>
              <w:rPr>
                <w:sz w:val="20"/>
                <w:szCs w:val="20"/>
                <w:color w:val="auto"/>
              </w:rPr>
            </w:pPr>
            <w:r>
              <w:rPr>
                <w:rFonts w:ascii="Arial" w:cs="Arial" w:eastAsia="Arial" w:hAnsi="Arial"/>
                <w:sz w:val="13"/>
                <w:szCs w:val="13"/>
                <w:color w:val="auto"/>
              </w:rPr>
              <w:t>Frank C. Orsini,</w:t>
            </w:r>
          </w:p>
        </w:tc>
        <w:tc>
          <w:tcPr>
            <w:tcW w:w="580" w:type="dxa"/>
            <w:vAlign w:val="bottom"/>
            <w:shd w:val="clear" w:color="auto" w:fill="FCE9E8"/>
          </w:tcPr>
          <w:p>
            <w:pPr>
              <w:jc w:val="right"/>
              <w:ind w:right="37"/>
              <w:spacing w:after="0" w:line="124" w:lineRule="exact"/>
              <w:rPr>
                <w:sz w:val="20"/>
                <w:szCs w:val="20"/>
                <w:color w:val="auto"/>
              </w:rPr>
            </w:pPr>
            <w:r>
              <w:rPr>
                <w:rFonts w:ascii="Arial" w:cs="Arial" w:eastAsia="Arial" w:hAnsi="Arial"/>
                <w:sz w:val="13"/>
                <w:szCs w:val="13"/>
                <w:color w:val="auto"/>
              </w:rPr>
              <w:t>2016</w:t>
            </w:r>
          </w:p>
        </w:tc>
        <w:tc>
          <w:tcPr>
            <w:tcW w:w="160" w:type="dxa"/>
            <w:vAlign w:val="bottom"/>
            <w:shd w:val="clear" w:color="auto" w:fill="FCE9E8"/>
          </w:tcPr>
          <w:p>
            <w:pPr>
              <w:jc w:val="right"/>
              <w:spacing w:after="0" w:line="124"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24" w:lineRule="exact"/>
              <w:rPr>
                <w:sz w:val="20"/>
                <w:szCs w:val="20"/>
                <w:color w:val="auto"/>
              </w:rPr>
            </w:pPr>
            <w:r>
              <w:rPr>
                <w:rFonts w:ascii="Arial" w:cs="Arial" w:eastAsia="Arial" w:hAnsi="Arial"/>
                <w:sz w:val="13"/>
                <w:szCs w:val="13"/>
                <w:color w:val="auto"/>
              </w:rPr>
              <w:t>736,375</w:t>
            </w:r>
          </w:p>
        </w:tc>
        <w:tc>
          <w:tcPr>
            <w:tcW w:w="300" w:type="dxa"/>
            <w:vAlign w:val="bottom"/>
            <w:shd w:val="clear" w:color="auto" w:fill="FCE9E8"/>
          </w:tcPr>
          <w:p>
            <w:pPr>
              <w:ind w:left="80"/>
              <w:spacing w:after="0" w:line="124"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24"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24" w:lineRule="exact"/>
              <w:rPr>
                <w:sz w:val="20"/>
                <w:szCs w:val="20"/>
                <w:color w:val="auto"/>
              </w:rPr>
            </w:pPr>
            <w:r>
              <w:rPr>
                <w:rFonts w:ascii="Arial" w:cs="Arial" w:eastAsia="Arial" w:hAnsi="Arial"/>
                <w:sz w:val="13"/>
                <w:szCs w:val="13"/>
                <w:color w:val="auto"/>
                <w:w w:val="98"/>
              </w:rPr>
              <w:t>$ 2,024,162</w:t>
            </w:r>
          </w:p>
        </w:tc>
        <w:tc>
          <w:tcPr>
            <w:tcW w:w="180" w:type="dxa"/>
            <w:vAlign w:val="bottom"/>
            <w:shd w:val="clear" w:color="auto" w:fill="FCE9E8"/>
          </w:tcPr>
          <w:p>
            <w:pPr>
              <w:ind w:left="100"/>
              <w:spacing w:after="0" w:line="124"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24"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24"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24" w:lineRule="exact"/>
              <w:rPr>
                <w:sz w:val="20"/>
                <w:szCs w:val="20"/>
                <w:color w:val="auto"/>
              </w:rPr>
            </w:pPr>
            <w:r>
              <w:rPr>
                <w:rFonts w:ascii="Arial" w:cs="Arial" w:eastAsia="Arial" w:hAnsi="Arial"/>
                <w:sz w:val="13"/>
                <w:szCs w:val="13"/>
                <w:color w:val="auto"/>
              </w:rPr>
              <w:t>1,035,720</w:t>
            </w:r>
          </w:p>
        </w:tc>
        <w:tc>
          <w:tcPr>
            <w:tcW w:w="200" w:type="dxa"/>
            <w:vAlign w:val="bottom"/>
            <w:shd w:val="clear" w:color="auto" w:fill="FCE9E8"/>
          </w:tcPr>
          <w:p>
            <w:pPr>
              <w:ind w:left="100"/>
              <w:spacing w:after="0" w:line="124"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38"/>
              <w:spacing w:after="0" w:line="124" w:lineRule="exact"/>
              <w:rPr>
                <w:sz w:val="20"/>
                <w:szCs w:val="20"/>
                <w:color w:val="auto"/>
              </w:rPr>
            </w:pPr>
            <w:r>
              <w:rPr>
                <w:rFonts w:ascii="Arial" w:cs="Arial" w:eastAsia="Arial" w:hAnsi="Arial"/>
                <w:sz w:val="13"/>
                <w:szCs w:val="13"/>
                <w:color w:val="auto"/>
              </w:rPr>
              <w:t>42,188</w:t>
            </w:r>
          </w:p>
        </w:tc>
        <w:tc>
          <w:tcPr>
            <w:tcW w:w="260" w:type="dxa"/>
            <w:vAlign w:val="bottom"/>
            <w:shd w:val="clear" w:color="auto" w:fill="FCE9E8"/>
          </w:tcPr>
          <w:p>
            <w:pPr>
              <w:ind w:left="80"/>
              <w:spacing w:after="0" w:line="124"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24" w:lineRule="exact"/>
              <w:rPr>
                <w:sz w:val="20"/>
                <w:szCs w:val="20"/>
                <w:color w:val="auto"/>
              </w:rPr>
            </w:pPr>
            <w:r>
              <w:rPr>
                <w:rFonts w:ascii="Arial" w:cs="Arial" w:eastAsia="Arial" w:hAnsi="Arial"/>
                <w:sz w:val="13"/>
                <w:szCs w:val="13"/>
                <w:color w:val="auto"/>
              </w:rPr>
              <w:t>225,545</w:t>
            </w:r>
          </w:p>
        </w:tc>
        <w:tc>
          <w:tcPr>
            <w:tcW w:w="280" w:type="dxa"/>
            <w:vAlign w:val="bottom"/>
            <w:shd w:val="clear" w:color="auto" w:fill="FCE9E8"/>
          </w:tcPr>
          <w:p>
            <w:pPr>
              <w:ind w:left="100"/>
              <w:spacing w:after="0" w:line="124"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24" w:lineRule="exact"/>
              <w:rPr>
                <w:sz w:val="20"/>
                <w:szCs w:val="20"/>
                <w:color w:val="auto"/>
              </w:rPr>
            </w:pPr>
            <w:r>
              <w:rPr>
                <w:rFonts w:ascii="Arial" w:cs="Arial" w:eastAsia="Arial" w:hAnsi="Arial"/>
                <w:sz w:val="13"/>
                <w:szCs w:val="13"/>
                <w:color w:val="auto"/>
              </w:rPr>
              <w:t>4,063,990</w:t>
            </w:r>
          </w:p>
        </w:tc>
        <w:tc>
          <w:tcPr>
            <w:tcW w:w="0" w:type="dxa"/>
            <w:vAlign w:val="bottom"/>
          </w:tcPr>
          <w:p>
            <w:pPr>
              <w:spacing w:after="0"/>
              <w:rPr>
                <w:sz w:val="1"/>
                <w:szCs w:val="1"/>
                <w:color w:val="auto"/>
              </w:rPr>
            </w:pPr>
          </w:p>
        </w:tc>
      </w:tr>
      <w:tr>
        <w:trPr>
          <w:trHeight w:val="135"/>
        </w:trPr>
        <w:tc>
          <w:tcPr>
            <w:tcW w:w="312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Senior Vice President, and</w:t>
            </w:r>
          </w:p>
        </w:tc>
        <w:tc>
          <w:tcPr>
            <w:tcW w:w="5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2015</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708,156</w:t>
            </w:r>
          </w:p>
        </w:tc>
        <w:tc>
          <w:tcPr>
            <w:tcW w:w="3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35"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35" w:lineRule="exact"/>
              <w:rPr>
                <w:sz w:val="20"/>
                <w:szCs w:val="20"/>
                <w:color w:val="auto"/>
              </w:rPr>
            </w:pPr>
            <w:r>
              <w:rPr>
                <w:rFonts w:ascii="Arial" w:cs="Arial" w:eastAsia="Arial" w:hAnsi="Arial"/>
                <w:sz w:val="13"/>
                <w:szCs w:val="13"/>
                <w:color w:val="auto"/>
                <w:w w:val="98"/>
              </w:rPr>
              <w:t>$ 1,929,740</w:t>
            </w:r>
          </w:p>
        </w:tc>
        <w:tc>
          <w:tcPr>
            <w:tcW w:w="1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rPr>
              <w:t>948,040</w:t>
            </w:r>
          </w:p>
        </w:tc>
        <w:tc>
          <w:tcPr>
            <w:tcW w:w="20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216,600</w:t>
            </w:r>
          </w:p>
        </w:tc>
        <w:tc>
          <w:tcPr>
            <w:tcW w:w="280" w:type="dxa"/>
            <w:vAlign w:val="bottom"/>
            <w:shd w:val="clear" w:color="auto" w:fill="FCE9E8"/>
          </w:tcPr>
          <w:p>
            <w:pPr>
              <w:ind w:left="10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35" w:lineRule="exact"/>
              <w:rPr>
                <w:sz w:val="20"/>
                <w:szCs w:val="20"/>
                <w:color w:val="auto"/>
              </w:rPr>
            </w:pPr>
            <w:r>
              <w:rPr>
                <w:rFonts w:ascii="Arial" w:cs="Arial" w:eastAsia="Arial" w:hAnsi="Arial"/>
                <w:sz w:val="13"/>
                <w:szCs w:val="13"/>
                <w:color w:val="auto"/>
              </w:rPr>
              <w:t>3,802,536</w:t>
            </w:r>
          </w:p>
        </w:tc>
        <w:tc>
          <w:tcPr>
            <w:tcW w:w="0" w:type="dxa"/>
            <w:vAlign w:val="bottom"/>
          </w:tcPr>
          <w:p>
            <w:pPr>
              <w:spacing w:after="0"/>
              <w:rPr>
                <w:sz w:val="1"/>
                <w:szCs w:val="1"/>
                <w:color w:val="auto"/>
              </w:rPr>
            </w:pPr>
          </w:p>
        </w:tc>
      </w:tr>
      <w:tr>
        <w:trPr>
          <w:trHeight w:val="141"/>
        </w:trPr>
        <w:tc>
          <w:tcPr>
            <w:tcW w:w="3120" w:type="dxa"/>
            <w:vAlign w:val="bottom"/>
            <w:shd w:val="clear" w:color="auto" w:fill="FCE9E8"/>
          </w:tcPr>
          <w:p>
            <w:pPr>
              <w:ind w:left="80"/>
              <w:spacing w:after="0" w:line="141" w:lineRule="exact"/>
              <w:rPr>
                <w:sz w:val="20"/>
                <w:szCs w:val="20"/>
                <w:color w:val="auto"/>
              </w:rPr>
            </w:pPr>
            <w:r>
              <w:rPr>
                <w:rFonts w:ascii="Arial" w:cs="Arial" w:eastAsia="Arial" w:hAnsi="Arial"/>
                <w:sz w:val="13"/>
                <w:szCs w:val="13"/>
                <w:color w:val="auto"/>
              </w:rPr>
              <w:t>President, E-Systems</w:t>
            </w:r>
          </w:p>
        </w:tc>
        <w:tc>
          <w:tcPr>
            <w:tcW w:w="580" w:type="dxa"/>
            <w:vAlign w:val="bottom"/>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2014</w:t>
            </w:r>
          </w:p>
        </w:tc>
        <w:tc>
          <w:tcPr>
            <w:tcW w:w="160" w:type="dxa"/>
            <w:vAlign w:val="bottom"/>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80" w:type="dxa"/>
            <w:vAlign w:val="bottom"/>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683,073</w:t>
            </w:r>
          </w:p>
        </w:tc>
        <w:tc>
          <w:tcPr>
            <w:tcW w:w="300" w:type="dxa"/>
            <w:vAlign w:val="bottom"/>
            <w:shd w:val="clear" w:color="auto" w:fill="FCE9E8"/>
          </w:tcPr>
          <w:p>
            <w:pPr>
              <w:ind w:left="80"/>
              <w:spacing w:after="0" w:line="141" w:lineRule="exact"/>
              <w:rPr>
                <w:sz w:val="20"/>
                <w:szCs w:val="20"/>
                <w:color w:val="auto"/>
              </w:rPr>
            </w:pPr>
            <w:r>
              <w:rPr>
                <w:rFonts w:ascii="Arial" w:cs="Arial" w:eastAsia="Arial" w:hAnsi="Arial"/>
                <w:sz w:val="13"/>
                <w:szCs w:val="13"/>
                <w:color w:val="auto"/>
              </w:rPr>
              <w:t>$</w:t>
            </w:r>
          </w:p>
        </w:tc>
        <w:tc>
          <w:tcPr>
            <w:tcW w:w="380" w:type="dxa"/>
            <w:vAlign w:val="bottom"/>
            <w:shd w:val="clear" w:color="auto" w:fill="FCE9E8"/>
          </w:tcPr>
          <w:p>
            <w:pPr>
              <w:ind w:left="160"/>
              <w:spacing w:after="0" w:line="141" w:lineRule="exact"/>
              <w:rPr>
                <w:sz w:val="20"/>
                <w:szCs w:val="20"/>
                <w:color w:val="auto"/>
              </w:rPr>
            </w:pPr>
            <w:r>
              <w:rPr>
                <w:rFonts w:ascii="Arial" w:cs="Arial" w:eastAsia="Arial" w:hAnsi="Arial"/>
                <w:sz w:val="13"/>
                <w:szCs w:val="13"/>
                <w:color w:val="auto"/>
              </w:rPr>
              <w:t>—</w:t>
            </w:r>
          </w:p>
        </w:tc>
        <w:tc>
          <w:tcPr>
            <w:tcW w:w="860" w:type="dxa"/>
            <w:vAlign w:val="bottom"/>
            <w:shd w:val="clear" w:color="auto" w:fill="FCE9E8"/>
          </w:tcPr>
          <w:p>
            <w:pPr>
              <w:jc w:val="center"/>
              <w:spacing w:after="0" w:line="141" w:lineRule="exact"/>
              <w:rPr>
                <w:sz w:val="20"/>
                <w:szCs w:val="20"/>
                <w:color w:val="auto"/>
              </w:rPr>
            </w:pPr>
            <w:r>
              <w:rPr>
                <w:rFonts w:ascii="Arial" w:cs="Arial" w:eastAsia="Arial" w:hAnsi="Arial"/>
                <w:sz w:val="13"/>
                <w:szCs w:val="13"/>
                <w:color w:val="auto"/>
                <w:w w:val="98"/>
              </w:rPr>
              <w:t>$ 1,807,292</w:t>
            </w:r>
          </w:p>
        </w:tc>
        <w:tc>
          <w:tcPr>
            <w:tcW w:w="180" w:type="dxa"/>
            <w:vAlign w:val="bottom"/>
            <w:shd w:val="clear" w:color="auto" w:fill="FCE9E8"/>
          </w:tcPr>
          <w:p>
            <w:pPr>
              <w:ind w:left="100"/>
              <w:spacing w:after="0" w:line="141"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FCE9E8"/>
          </w:tcPr>
          <w:p>
            <w:pPr>
              <w:ind w:left="320"/>
              <w:spacing w:after="0" w:line="141" w:lineRule="exact"/>
              <w:rPr>
                <w:sz w:val="20"/>
                <w:szCs w:val="20"/>
                <w:color w:val="auto"/>
              </w:rPr>
            </w:pPr>
            <w:r>
              <w:rPr>
                <w:rFonts w:ascii="Arial" w:cs="Arial" w:eastAsia="Arial" w:hAnsi="Arial"/>
                <w:sz w:val="13"/>
                <w:szCs w:val="13"/>
                <w:color w:val="auto"/>
              </w:rPr>
              <w:t>—</w:t>
            </w:r>
          </w:p>
        </w:tc>
        <w:tc>
          <w:tcPr>
            <w:tcW w:w="240" w:type="dxa"/>
            <w:vAlign w:val="bottom"/>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1020" w:type="dxa"/>
            <w:vAlign w:val="bottom"/>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910,000</w:t>
            </w:r>
          </w:p>
        </w:tc>
        <w:tc>
          <w:tcPr>
            <w:tcW w:w="200" w:type="dxa"/>
            <w:vAlign w:val="bottom"/>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38"/>
              <w:spacing w:after="0" w:line="141" w:lineRule="exact"/>
              <w:rPr>
                <w:sz w:val="20"/>
                <w:szCs w:val="20"/>
                <w:color w:val="auto"/>
              </w:rPr>
            </w:pPr>
            <w:r>
              <w:rPr>
                <w:rFonts w:ascii="Arial" w:cs="Arial" w:eastAsia="Arial" w:hAnsi="Arial"/>
                <w:sz w:val="13"/>
                <w:szCs w:val="13"/>
                <w:color w:val="auto"/>
              </w:rPr>
              <w:t>111,859</w:t>
            </w:r>
          </w:p>
        </w:tc>
        <w:tc>
          <w:tcPr>
            <w:tcW w:w="260" w:type="dxa"/>
            <w:vAlign w:val="bottom"/>
            <w:shd w:val="clear" w:color="auto" w:fill="FCE9E8"/>
          </w:tcPr>
          <w:p>
            <w:pPr>
              <w:ind w:left="80"/>
              <w:spacing w:after="0" w:line="141" w:lineRule="exact"/>
              <w:rPr>
                <w:sz w:val="20"/>
                <w:szCs w:val="20"/>
                <w:color w:val="auto"/>
              </w:rPr>
            </w:pPr>
            <w:r>
              <w:rPr>
                <w:rFonts w:ascii="Arial" w:cs="Arial" w:eastAsia="Arial" w:hAnsi="Arial"/>
                <w:sz w:val="13"/>
                <w:szCs w:val="13"/>
                <w:color w:val="auto"/>
              </w:rPr>
              <w:t>$</w:t>
            </w:r>
          </w:p>
        </w:tc>
        <w:tc>
          <w:tcPr>
            <w:tcW w:w="960" w:type="dxa"/>
            <w:vAlign w:val="bottom"/>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160,844</w:t>
            </w:r>
          </w:p>
        </w:tc>
        <w:tc>
          <w:tcPr>
            <w:tcW w:w="280" w:type="dxa"/>
            <w:vAlign w:val="bottom"/>
            <w:shd w:val="clear" w:color="auto" w:fill="FCE9E8"/>
          </w:tcPr>
          <w:p>
            <w:pPr>
              <w:ind w:left="100"/>
              <w:spacing w:after="0" w:line="141" w:lineRule="exact"/>
              <w:rPr>
                <w:sz w:val="20"/>
                <w:szCs w:val="20"/>
                <w:color w:val="auto"/>
              </w:rPr>
            </w:pPr>
            <w:r>
              <w:rPr>
                <w:rFonts w:ascii="Arial" w:cs="Arial" w:eastAsia="Arial" w:hAnsi="Arial"/>
                <w:sz w:val="13"/>
                <w:szCs w:val="13"/>
                <w:color w:val="auto"/>
              </w:rPr>
              <w:t>$</w:t>
            </w:r>
          </w:p>
        </w:tc>
        <w:tc>
          <w:tcPr>
            <w:tcW w:w="840" w:type="dxa"/>
            <w:vAlign w:val="bottom"/>
            <w:shd w:val="clear" w:color="auto" w:fill="FCE9E8"/>
          </w:tcPr>
          <w:p>
            <w:pPr>
              <w:jc w:val="right"/>
              <w:ind w:right="37"/>
              <w:spacing w:after="0" w:line="141" w:lineRule="exact"/>
              <w:rPr>
                <w:sz w:val="20"/>
                <w:szCs w:val="20"/>
                <w:color w:val="auto"/>
              </w:rPr>
            </w:pPr>
            <w:r>
              <w:rPr>
                <w:rFonts w:ascii="Arial" w:cs="Arial" w:eastAsia="Arial" w:hAnsi="Arial"/>
                <w:sz w:val="13"/>
                <w:szCs w:val="13"/>
                <w:color w:val="auto"/>
              </w:rPr>
              <w:t>3,673,068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100" w:hanging="332"/>
        <w:spacing w:after="0" w:line="214" w:lineRule="auto"/>
        <w:tabs>
          <w:tab w:leader="none" w:pos="34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The amounts reported in this column for each officer reflect the aggregate grant date fair value of Career Share RSUs, RSUs and Performance Shares under the LTSIP granted in the year determined in accordance with ASC 718, which grant date fair values are shown by award type below. There can be no assurance that these values will ever be realized. See Note 10, “Stock-Based Compensation,” to the consolidated financial statements included in our 2016 Annual Report on Form 10-K for the assumptions made in determining these values. The maximum potential value of the 2016 Performance Share awards as of the grant date is also shown below, based on the grant date value of our common stock.</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E2231A"/>
              </w:rPr>
              <w:t>Performance</w:t>
            </w:r>
          </w:p>
        </w:tc>
      </w:tr>
      <w:tr>
        <w:trPr>
          <w:trHeight w:val="162"/>
        </w:trPr>
        <w:tc>
          <w:tcPr>
            <w:tcW w:w="2520" w:type="dxa"/>
            <w:vAlign w:val="bottom"/>
          </w:tcPr>
          <w:p>
            <w:pPr>
              <w:spacing w:after="0"/>
              <w:rPr>
                <w:sz w:val="14"/>
                <w:szCs w:val="14"/>
                <w:color w:val="auto"/>
              </w:rPr>
            </w:pPr>
          </w:p>
        </w:tc>
        <w:tc>
          <w:tcPr>
            <w:tcW w:w="2040" w:type="dxa"/>
            <w:vAlign w:val="bottom"/>
            <w:gridSpan w:val="2"/>
          </w:tcPr>
          <w:p>
            <w:pPr>
              <w:ind w:left="920"/>
              <w:spacing w:after="0"/>
              <w:rPr>
                <w:sz w:val="20"/>
                <w:szCs w:val="20"/>
                <w:color w:val="auto"/>
              </w:rPr>
            </w:pPr>
            <w:r>
              <w:rPr>
                <w:rFonts w:ascii="Arial" w:cs="Arial" w:eastAsia="Arial" w:hAnsi="Arial"/>
                <w:sz w:val="14"/>
                <w:szCs w:val="14"/>
                <w:b w:val="1"/>
                <w:bCs w:val="1"/>
                <w:color w:val="E2231A"/>
              </w:rPr>
              <w:t>RSU Career</w:t>
            </w:r>
          </w:p>
        </w:tc>
        <w:tc>
          <w:tcPr>
            <w:tcW w:w="1440" w:type="dxa"/>
            <w:vAlign w:val="bottom"/>
            <w:gridSpan w:val="2"/>
          </w:tcPr>
          <w:p>
            <w:pPr>
              <w:ind w:left="360"/>
              <w:spacing w:after="0"/>
              <w:rPr>
                <w:sz w:val="20"/>
                <w:szCs w:val="20"/>
                <w:color w:val="auto"/>
              </w:rPr>
            </w:pPr>
            <w:r>
              <w:rPr>
                <w:rFonts w:ascii="Arial" w:cs="Arial" w:eastAsia="Arial" w:hAnsi="Arial"/>
                <w:sz w:val="14"/>
                <w:szCs w:val="14"/>
                <w:b w:val="1"/>
                <w:bCs w:val="1"/>
                <w:color w:val="E2231A"/>
              </w:rPr>
              <w:t>2016-2018</w:t>
            </w:r>
          </w:p>
        </w:tc>
        <w:tc>
          <w:tcPr>
            <w:tcW w:w="1520" w:type="dxa"/>
            <w:vAlign w:val="bottom"/>
            <w:gridSpan w:val="2"/>
          </w:tcPr>
          <w:p>
            <w:pPr>
              <w:ind w:left="320"/>
              <w:spacing w:after="0"/>
              <w:rPr>
                <w:sz w:val="20"/>
                <w:szCs w:val="20"/>
                <w:color w:val="auto"/>
              </w:rPr>
            </w:pPr>
            <w:r>
              <w:rPr>
                <w:rFonts w:ascii="Arial" w:cs="Arial" w:eastAsia="Arial" w:hAnsi="Arial"/>
                <w:sz w:val="14"/>
                <w:szCs w:val="14"/>
                <w:b w:val="1"/>
                <w:bCs w:val="1"/>
                <w:color w:val="E2231A"/>
              </w:rPr>
              <w:t>Performance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E2231A"/>
              </w:rPr>
              <w:t>Total Grant</w:t>
            </w:r>
          </w:p>
        </w:tc>
        <w:tc>
          <w:tcPr>
            <w:tcW w:w="420" w:type="dxa"/>
            <w:vAlign w:val="bottom"/>
          </w:tcPr>
          <w:p>
            <w:pPr>
              <w:spacing w:after="0"/>
              <w:rPr>
                <w:sz w:val="14"/>
                <w:szCs w:val="14"/>
                <w:color w:val="auto"/>
              </w:rPr>
            </w:pPr>
          </w:p>
        </w:tc>
        <w:tc>
          <w:tcPr>
            <w:tcW w:w="1120" w:type="dxa"/>
            <w:vAlign w:val="bottom"/>
          </w:tcPr>
          <w:p>
            <w:pPr>
              <w:jc w:val="center"/>
              <w:ind w:right="342"/>
              <w:spacing w:after="0"/>
              <w:rPr>
                <w:sz w:val="20"/>
                <w:szCs w:val="20"/>
                <w:color w:val="auto"/>
              </w:rPr>
            </w:pPr>
            <w:r>
              <w:rPr>
                <w:rFonts w:ascii="Arial" w:cs="Arial" w:eastAsia="Arial" w:hAnsi="Arial"/>
                <w:sz w:val="14"/>
                <w:szCs w:val="14"/>
                <w:b w:val="1"/>
                <w:bCs w:val="1"/>
                <w:color w:val="E2231A"/>
              </w:rPr>
              <w:t>Shares at</w:t>
            </w:r>
          </w:p>
        </w:tc>
      </w:tr>
      <w:tr>
        <w:trPr>
          <w:trHeight w:val="162"/>
        </w:trPr>
        <w:tc>
          <w:tcPr>
            <w:tcW w:w="2520" w:type="dxa"/>
            <w:vAlign w:val="bottom"/>
          </w:tcPr>
          <w:p>
            <w:pPr>
              <w:spacing w:after="0"/>
              <w:rPr>
                <w:sz w:val="14"/>
                <w:szCs w:val="14"/>
                <w:color w:val="auto"/>
              </w:rPr>
            </w:pPr>
          </w:p>
        </w:tc>
        <w:tc>
          <w:tcPr>
            <w:tcW w:w="2040" w:type="dxa"/>
            <w:vAlign w:val="bottom"/>
            <w:gridSpan w:val="2"/>
          </w:tcPr>
          <w:p>
            <w:pPr>
              <w:ind w:left="900"/>
              <w:spacing w:after="0"/>
              <w:rPr>
                <w:sz w:val="20"/>
                <w:szCs w:val="20"/>
                <w:color w:val="auto"/>
              </w:rPr>
            </w:pPr>
            <w:r>
              <w:rPr>
                <w:rFonts w:ascii="Arial" w:cs="Arial" w:eastAsia="Arial" w:hAnsi="Arial"/>
                <w:sz w:val="14"/>
                <w:szCs w:val="14"/>
                <w:b w:val="1"/>
                <w:bCs w:val="1"/>
                <w:color w:val="E2231A"/>
              </w:rPr>
              <w:t>Share Grant</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E2231A"/>
              </w:rPr>
              <w:t>RSU Grant</w:t>
            </w: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E2231A"/>
              </w:rPr>
              <w:t>Shares Grant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E2231A"/>
              </w:rPr>
              <w:t>Date</w:t>
            </w:r>
          </w:p>
        </w:tc>
        <w:tc>
          <w:tcPr>
            <w:tcW w:w="420" w:type="dxa"/>
            <w:vAlign w:val="bottom"/>
          </w:tcPr>
          <w:p>
            <w:pPr>
              <w:spacing w:after="0"/>
              <w:rPr>
                <w:sz w:val="14"/>
                <w:szCs w:val="14"/>
                <w:color w:val="auto"/>
              </w:rPr>
            </w:pPr>
          </w:p>
        </w:tc>
        <w:tc>
          <w:tcPr>
            <w:tcW w:w="1120" w:type="dxa"/>
            <w:vAlign w:val="bottom"/>
          </w:tcPr>
          <w:p>
            <w:pPr>
              <w:jc w:val="center"/>
              <w:ind w:right="342"/>
              <w:spacing w:after="0"/>
              <w:rPr>
                <w:sz w:val="20"/>
                <w:szCs w:val="20"/>
                <w:color w:val="auto"/>
              </w:rPr>
            </w:pPr>
            <w:r>
              <w:rPr>
                <w:rFonts w:ascii="Arial" w:cs="Arial" w:eastAsia="Arial" w:hAnsi="Arial"/>
                <w:sz w:val="14"/>
                <w:szCs w:val="14"/>
                <w:b w:val="1"/>
                <w:bCs w:val="1"/>
                <w:color w:val="E2231A"/>
              </w:rPr>
              <w:t>Maximum</w:t>
            </w:r>
          </w:p>
        </w:tc>
      </w:tr>
      <w:tr>
        <w:trPr>
          <w:trHeight w:val="175"/>
        </w:trPr>
        <w:tc>
          <w:tcPr>
            <w:tcW w:w="2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w:t>
            </w:r>
          </w:p>
        </w:tc>
        <w:tc>
          <w:tcPr>
            <w:tcW w:w="204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E2231A"/>
              </w:rPr>
              <w:t>Date Value</w:t>
            </w:r>
          </w:p>
        </w:tc>
        <w:tc>
          <w:tcPr>
            <w:tcW w:w="14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E2231A"/>
              </w:rPr>
              <w:t>Date Value</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E2231A"/>
              </w:rPr>
              <w:t>Date Value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6"/>
              </w:rPr>
              <w:t>Value</w:t>
            </w: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b w:val="1"/>
                <w:bCs w:val="1"/>
                <w:color w:val="E2231A"/>
              </w:rPr>
              <w:t>Value</w:t>
            </w:r>
          </w:p>
        </w:tc>
      </w:tr>
      <w:tr>
        <w:trPr>
          <w:trHeight w:val="183"/>
        </w:trPr>
        <w:tc>
          <w:tcPr>
            <w:tcW w:w="252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Matthew J. Simoncini</w:t>
            </w:r>
          </w:p>
        </w:tc>
        <w:tc>
          <w:tcPr>
            <w:tcW w:w="1060" w:type="dxa"/>
            <w:vAlign w:val="bottom"/>
            <w:shd w:val="clear" w:color="auto" w:fill="FCE9E8"/>
          </w:tcPr>
          <w:p>
            <w:pPr>
              <w:ind w:left="900"/>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239"/>
              <w:spacing w:after="0" w:line="183" w:lineRule="exact"/>
              <w:rPr>
                <w:sz w:val="20"/>
                <w:szCs w:val="20"/>
                <w:color w:val="auto"/>
              </w:rPr>
            </w:pPr>
            <w:r>
              <w:rPr>
                <w:rFonts w:ascii="Arial" w:cs="Arial" w:eastAsia="Arial" w:hAnsi="Arial"/>
                <w:sz w:val="16"/>
                <w:szCs w:val="16"/>
                <w:color w:val="auto"/>
              </w:rPr>
              <w:t>649,953</w:t>
            </w:r>
          </w:p>
        </w:tc>
        <w:tc>
          <w:tcPr>
            <w:tcW w:w="40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FCE9E8"/>
          </w:tcPr>
          <w:p>
            <w:pPr>
              <w:jc w:val="right"/>
              <w:ind w:right="239"/>
              <w:spacing w:after="0" w:line="183" w:lineRule="exact"/>
              <w:rPr>
                <w:sz w:val="20"/>
                <w:szCs w:val="20"/>
                <w:color w:val="auto"/>
              </w:rPr>
            </w:pPr>
            <w:r>
              <w:rPr>
                <w:rFonts w:ascii="Arial" w:cs="Arial" w:eastAsia="Arial" w:hAnsi="Arial"/>
                <w:sz w:val="16"/>
                <w:szCs w:val="16"/>
                <w:color w:val="auto"/>
                <w:w w:val="98"/>
              </w:rPr>
              <w:t>1,968,659</w:t>
            </w:r>
          </w:p>
        </w:tc>
        <w:tc>
          <w:tcPr>
            <w:tcW w:w="380" w:type="dxa"/>
            <w:vAlign w:val="bottom"/>
            <w:shd w:val="clear" w:color="auto" w:fill="FCE9E8"/>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FCE9E8"/>
          </w:tcPr>
          <w:p>
            <w:pPr>
              <w:jc w:val="right"/>
              <w:ind w:right="240"/>
              <w:spacing w:after="0" w:line="183" w:lineRule="exact"/>
              <w:rPr>
                <w:sz w:val="20"/>
                <w:szCs w:val="20"/>
                <w:color w:val="auto"/>
              </w:rPr>
            </w:pPr>
            <w:r>
              <w:rPr>
                <w:rFonts w:ascii="Arial" w:cs="Arial" w:eastAsia="Arial" w:hAnsi="Arial"/>
                <w:sz w:val="16"/>
                <w:szCs w:val="16"/>
                <w:color w:val="auto"/>
              </w:rPr>
              <w:t>5,906,099</w:t>
            </w:r>
          </w:p>
        </w:tc>
        <w:tc>
          <w:tcPr>
            <w:tcW w:w="1440" w:type="dxa"/>
            <w:vAlign w:val="bottom"/>
            <w:shd w:val="clear" w:color="auto" w:fill="FCE9E8"/>
          </w:tcPr>
          <w:p>
            <w:pPr>
              <w:jc w:val="center"/>
              <w:spacing w:after="0" w:line="183" w:lineRule="exact"/>
              <w:rPr>
                <w:sz w:val="20"/>
                <w:szCs w:val="20"/>
                <w:color w:val="auto"/>
              </w:rPr>
            </w:pPr>
            <w:r>
              <w:rPr>
                <w:rFonts w:ascii="Arial" w:cs="Arial" w:eastAsia="Arial" w:hAnsi="Arial"/>
                <w:sz w:val="16"/>
                <w:szCs w:val="16"/>
                <w:color w:val="auto"/>
              </w:rPr>
              <w:t>$8,524,711</w:t>
            </w:r>
          </w:p>
        </w:tc>
        <w:tc>
          <w:tcPr>
            <w:tcW w:w="420" w:type="dxa"/>
            <w:vAlign w:val="bottom"/>
            <w:shd w:val="clear" w:color="auto" w:fill="FCE9E8"/>
          </w:tcPr>
          <w:p>
            <w:pPr>
              <w:ind w:left="320"/>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FCE9E8"/>
          </w:tcPr>
          <w:p>
            <w:pPr>
              <w:jc w:val="right"/>
              <w:ind w:right="222"/>
              <w:spacing w:after="0" w:line="183" w:lineRule="exact"/>
              <w:rPr>
                <w:sz w:val="20"/>
                <w:szCs w:val="20"/>
                <w:color w:val="auto"/>
              </w:rPr>
            </w:pPr>
            <w:r>
              <w:rPr>
                <w:rFonts w:ascii="Arial" w:cs="Arial" w:eastAsia="Arial" w:hAnsi="Arial"/>
                <w:sz w:val="16"/>
                <w:szCs w:val="16"/>
                <w:color w:val="auto"/>
                <w:w w:val="99"/>
              </w:rPr>
              <w:t>11,812,198</w:t>
            </w:r>
          </w:p>
        </w:tc>
      </w:tr>
      <w:tr>
        <w:trPr>
          <w:trHeight w:val="189"/>
        </w:trPr>
        <w:tc>
          <w:tcPr>
            <w:tcW w:w="2520" w:type="dxa"/>
            <w:vAlign w:val="bottom"/>
          </w:tcPr>
          <w:p>
            <w:pPr>
              <w:ind w:left="100"/>
              <w:spacing w:after="0"/>
              <w:rPr>
                <w:sz w:val="20"/>
                <w:szCs w:val="20"/>
                <w:color w:val="auto"/>
              </w:rPr>
            </w:pPr>
            <w:r>
              <w:rPr>
                <w:rFonts w:ascii="Arial" w:cs="Arial" w:eastAsia="Arial" w:hAnsi="Arial"/>
                <w:sz w:val="16"/>
                <w:szCs w:val="16"/>
                <w:color w:val="auto"/>
              </w:rPr>
              <w:t>Jeffrey H. Vanneste</w:t>
            </w:r>
          </w:p>
        </w:tc>
        <w:tc>
          <w:tcPr>
            <w:tcW w:w="1060" w:type="dxa"/>
            <w:vAlign w:val="bottom"/>
          </w:tcPr>
          <w:p>
            <w:pPr>
              <w:ind w:left="9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274,946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485,978</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40"/>
              <w:spacing w:after="0"/>
              <w:rPr>
                <w:sz w:val="20"/>
                <w:szCs w:val="20"/>
                <w:color w:val="auto"/>
              </w:rPr>
            </w:pPr>
            <w:r>
              <w:rPr>
                <w:rFonts w:ascii="Arial" w:cs="Arial" w:eastAsia="Arial" w:hAnsi="Arial"/>
                <w:sz w:val="16"/>
                <w:szCs w:val="16"/>
                <w:color w:val="auto"/>
              </w:rPr>
              <w:t>1,457,935</w:t>
            </w:r>
          </w:p>
        </w:tc>
        <w:tc>
          <w:tcPr>
            <w:tcW w:w="1440" w:type="dxa"/>
            <w:vAlign w:val="bottom"/>
          </w:tcPr>
          <w:p>
            <w:pPr>
              <w:jc w:val="center"/>
              <w:spacing w:after="0"/>
              <w:rPr>
                <w:sz w:val="20"/>
                <w:szCs w:val="20"/>
                <w:color w:val="auto"/>
              </w:rPr>
            </w:pPr>
            <w:r>
              <w:rPr>
                <w:rFonts w:ascii="Arial" w:cs="Arial" w:eastAsia="Arial" w:hAnsi="Arial"/>
                <w:sz w:val="16"/>
                <w:szCs w:val="16"/>
                <w:color w:val="auto"/>
              </w:rPr>
              <w:t>$2,218,859</w:t>
            </w:r>
          </w:p>
        </w:tc>
        <w:tc>
          <w:tcPr>
            <w:tcW w:w="420" w:type="dxa"/>
            <w:vAlign w:val="bottom"/>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22"/>
              <w:spacing w:after="0"/>
              <w:rPr>
                <w:sz w:val="20"/>
                <w:szCs w:val="20"/>
                <w:color w:val="auto"/>
              </w:rPr>
            </w:pPr>
            <w:r>
              <w:rPr>
                <w:rFonts w:ascii="Arial" w:cs="Arial" w:eastAsia="Arial" w:hAnsi="Arial"/>
                <w:sz w:val="16"/>
                <w:szCs w:val="16"/>
                <w:color w:val="auto"/>
              </w:rPr>
              <w:t>2,915,871</w:t>
            </w:r>
          </w:p>
        </w:tc>
      </w:tr>
      <w:tr>
        <w:trPr>
          <w:trHeight w:val="189"/>
        </w:trPr>
        <w:tc>
          <w:tcPr>
            <w:tcW w:w="2520" w:type="dxa"/>
            <w:vAlign w:val="bottom"/>
            <w:shd w:val="clear" w:color="auto" w:fill="FCE9E8"/>
          </w:tcPr>
          <w:p>
            <w:pPr>
              <w:ind w:left="100"/>
              <w:spacing w:after="0"/>
              <w:rPr>
                <w:sz w:val="20"/>
                <w:szCs w:val="20"/>
                <w:color w:val="auto"/>
              </w:rPr>
            </w:pPr>
            <w:r>
              <w:rPr>
                <w:rFonts w:ascii="Arial" w:cs="Arial" w:eastAsia="Arial" w:hAnsi="Arial"/>
                <w:sz w:val="16"/>
                <w:szCs w:val="16"/>
                <w:color w:val="auto"/>
              </w:rPr>
              <w:t>Raymond E. Scott</w:t>
            </w:r>
          </w:p>
        </w:tc>
        <w:tc>
          <w:tcPr>
            <w:tcW w:w="1060" w:type="dxa"/>
            <w:vAlign w:val="bottom"/>
            <w:shd w:val="clear" w:color="auto" w:fill="FCE9E8"/>
          </w:tcPr>
          <w:p>
            <w:pPr>
              <w:ind w:left="900"/>
              <w:spacing w:after="0"/>
              <w:rPr>
                <w:sz w:val="20"/>
                <w:szCs w:val="20"/>
                <w:color w:val="auto"/>
              </w:rPr>
            </w:pPr>
            <w:r>
              <w:rPr>
                <w:rFonts w:ascii="Arial" w:cs="Arial" w:eastAsia="Arial" w:hAnsi="Arial"/>
                <w:sz w:val="16"/>
                <w:szCs w:val="16"/>
                <w:color w:val="auto"/>
              </w:rPr>
              <w:t>$</w:t>
            </w:r>
          </w:p>
        </w:tc>
        <w:tc>
          <w:tcPr>
            <w:tcW w:w="980" w:type="dxa"/>
            <w:vAlign w:val="bottom"/>
            <w:shd w:val="clear" w:color="auto" w:fill="FCE9E8"/>
          </w:tcPr>
          <w:p>
            <w:pPr>
              <w:jc w:val="right"/>
              <w:ind w:right="239"/>
              <w:spacing w:after="0"/>
              <w:rPr>
                <w:sz w:val="20"/>
                <w:szCs w:val="20"/>
                <w:color w:val="auto"/>
              </w:rPr>
            </w:pPr>
            <w:r>
              <w:rPr>
                <w:rFonts w:ascii="Arial" w:cs="Arial" w:eastAsia="Arial" w:hAnsi="Arial"/>
                <w:sz w:val="16"/>
                <w:szCs w:val="16"/>
                <w:color w:val="auto"/>
              </w:rPr>
              <w:t>274,946</w:t>
            </w:r>
          </w:p>
        </w:tc>
        <w:tc>
          <w:tcPr>
            <w:tcW w:w="4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FCE9E8"/>
          </w:tcPr>
          <w:p>
            <w:pPr>
              <w:jc w:val="right"/>
              <w:ind w:right="239"/>
              <w:spacing w:after="0"/>
              <w:rPr>
                <w:sz w:val="20"/>
                <w:szCs w:val="20"/>
                <w:color w:val="auto"/>
              </w:rPr>
            </w:pPr>
            <w:r>
              <w:rPr>
                <w:rFonts w:ascii="Arial" w:cs="Arial" w:eastAsia="Arial" w:hAnsi="Arial"/>
                <w:sz w:val="16"/>
                <w:szCs w:val="16"/>
                <w:color w:val="auto"/>
              </w:rPr>
              <w:t>536,918</w:t>
            </w:r>
          </w:p>
        </w:tc>
        <w:tc>
          <w:tcPr>
            <w:tcW w:w="380" w:type="dxa"/>
            <w:vAlign w:val="bottom"/>
            <w:shd w:val="clear" w:color="auto" w:fill="FCE9E8"/>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FCE9E8"/>
          </w:tcPr>
          <w:p>
            <w:pPr>
              <w:jc w:val="right"/>
              <w:ind w:right="240"/>
              <w:spacing w:after="0"/>
              <w:rPr>
                <w:sz w:val="20"/>
                <w:szCs w:val="20"/>
                <w:color w:val="auto"/>
              </w:rPr>
            </w:pPr>
            <w:r>
              <w:rPr>
                <w:rFonts w:ascii="Arial" w:cs="Arial" w:eastAsia="Arial" w:hAnsi="Arial"/>
                <w:sz w:val="16"/>
                <w:szCs w:val="16"/>
                <w:color w:val="auto"/>
              </w:rPr>
              <w:t>1,610,754</w:t>
            </w:r>
          </w:p>
        </w:tc>
        <w:tc>
          <w:tcPr>
            <w:tcW w:w="14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$2,422,618</w:t>
            </w:r>
          </w:p>
        </w:tc>
        <w:tc>
          <w:tcPr>
            <w:tcW w:w="420" w:type="dxa"/>
            <w:vAlign w:val="bottom"/>
            <w:shd w:val="clear" w:color="auto" w:fill="FCE9E8"/>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CE9E8"/>
          </w:tcPr>
          <w:p>
            <w:pPr>
              <w:jc w:val="right"/>
              <w:ind w:right="222"/>
              <w:spacing w:after="0"/>
              <w:rPr>
                <w:sz w:val="20"/>
                <w:szCs w:val="20"/>
                <w:color w:val="auto"/>
              </w:rPr>
            </w:pPr>
            <w:r>
              <w:rPr>
                <w:rFonts w:ascii="Arial" w:cs="Arial" w:eastAsia="Arial" w:hAnsi="Arial"/>
                <w:sz w:val="16"/>
                <w:szCs w:val="16"/>
                <w:color w:val="auto"/>
              </w:rPr>
              <w:t>3,221,508</w:t>
            </w:r>
          </w:p>
        </w:tc>
      </w:tr>
      <w:tr>
        <w:trPr>
          <w:trHeight w:val="189"/>
        </w:trPr>
        <w:tc>
          <w:tcPr>
            <w:tcW w:w="2520" w:type="dxa"/>
            <w:vAlign w:val="bottom"/>
          </w:tcPr>
          <w:p>
            <w:pPr>
              <w:ind w:left="100"/>
              <w:spacing w:after="0"/>
              <w:rPr>
                <w:sz w:val="20"/>
                <w:szCs w:val="20"/>
                <w:color w:val="auto"/>
              </w:rPr>
            </w:pPr>
            <w:r>
              <w:rPr>
                <w:rFonts w:ascii="Arial" w:cs="Arial" w:eastAsia="Arial" w:hAnsi="Arial"/>
                <w:sz w:val="16"/>
                <w:szCs w:val="16"/>
                <w:color w:val="auto"/>
              </w:rPr>
              <w:t>Terrence B. Larkin</w:t>
            </w:r>
          </w:p>
        </w:tc>
        <w:tc>
          <w:tcPr>
            <w:tcW w:w="1060" w:type="dxa"/>
            <w:vAlign w:val="bottom"/>
          </w:tcPr>
          <w:p>
            <w:pPr>
              <w:ind w:left="9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274,946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536,918</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40"/>
              <w:spacing w:after="0"/>
              <w:rPr>
                <w:sz w:val="20"/>
                <w:szCs w:val="20"/>
                <w:color w:val="auto"/>
              </w:rPr>
            </w:pPr>
            <w:r>
              <w:rPr>
                <w:rFonts w:ascii="Arial" w:cs="Arial" w:eastAsia="Arial" w:hAnsi="Arial"/>
                <w:sz w:val="16"/>
                <w:szCs w:val="16"/>
                <w:color w:val="auto"/>
              </w:rPr>
              <w:t>1,610,754</w:t>
            </w:r>
          </w:p>
        </w:tc>
        <w:tc>
          <w:tcPr>
            <w:tcW w:w="1440" w:type="dxa"/>
            <w:vAlign w:val="bottom"/>
          </w:tcPr>
          <w:p>
            <w:pPr>
              <w:jc w:val="center"/>
              <w:spacing w:after="0"/>
              <w:rPr>
                <w:sz w:val="20"/>
                <w:szCs w:val="20"/>
                <w:color w:val="auto"/>
              </w:rPr>
            </w:pPr>
            <w:r>
              <w:rPr>
                <w:rFonts w:ascii="Arial" w:cs="Arial" w:eastAsia="Arial" w:hAnsi="Arial"/>
                <w:sz w:val="16"/>
                <w:szCs w:val="16"/>
                <w:color w:val="auto"/>
              </w:rPr>
              <w:t>$2,422,618</w:t>
            </w:r>
          </w:p>
        </w:tc>
        <w:tc>
          <w:tcPr>
            <w:tcW w:w="420" w:type="dxa"/>
            <w:vAlign w:val="bottom"/>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22"/>
              <w:spacing w:after="0"/>
              <w:rPr>
                <w:sz w:val="20"/>
                <w:szCs w:val="20"/>
                <w:color w:val="auto"/>
              </w:rPr>
            </w:pPr>
            <w:r>
              <w:rPr>
                <w:rFonts w:ascii="Arial" w:cs="Arial" w:eastAsia="Arial" w:hAnsi="Arial"/>
                <w:sz w:val="16"/>
                <w:szCs w:val="16"/>
                <w:color w:val="auto"/>
              </w:rPr>
              <w:t>3,221,508</w:t>
            </w:r>
          </w:p>
        </w:tc>
      </w:tr>
      <w:tr>
        <w:trPr>
          <w:trHeight w:val="189"/>
        </w:trPr>
        <w:tc>
          <w:tcPr>
            <w:tcW w:w="252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Frank C. Orsini</w:t>
            </w:r>
          </w:p>
        </w:tc>
        <w:tc>
          <w:tcPr>
            <w:tcW w:w="1060" w:type="dxa"/>
            <w:vAlign w:val="bottom"/>
            <w:tcBorders>
              <w:bottom w:val="single" w:sz="8" w:color="auto"/>
            </w:tcBorders>
            <w:shd w:val="clear" w:color="auto" w:fill="FCE9E8"/>
          </w:tcPr>
          <w:p>
            <w:pPr>
              <w:ind w:left="9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FCE9E8"/>
          </w:tcPr>
          <w:p>
            <w:pPr>
              <w:jc w:val="right"/>
              <w:ind w:right="239"/>
              <w:spacing w:after="0"/>
              <w:rPr>
                <w:sz w:val="20"/>
                <w:szCs w:val="20"/>
                <w:color w:val="auto"/>
              </w:rPr>
            </w:pPr>
            <w:r>
              <w:rPr>
                <w:rFonts w:ascii="Arial" w:cs="Arial" w:eastAsia="Arial" w:hAnsi="Arial"/>
                <w:sz w:val="16"/>
                <w:szCs w:val="16"/>
                <w:color w:val="auto"/>
              </w:rPr>
              <w:t>174,885</w:t>
            </w:r>
          </w:p>
        </w:tc>
        <w:tc>
          <w:tcPr>
            <w:tcW w:w="4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CE9E8"/>
          </w:tcPr>
          <w:p>
            <w:pPr>
              <w:jc w:val="right"/>
              <w:ind w:right="239"/>
              <w:spacing w:after="0"/>
              <w:rPr>
                <w:sz w:val="20"/>
                <w:szCs w:val="20"/>
                <w:color w:val="auto"/>
              </w:rPr>
            </w:pPr>
            <w:r>
              <w:rPr>
                <w:rFonts w:ascii="Arial" w:cs="Arial" w:eastAsia="Arial" w:hAnsi="Arial"/>
                <w:sz w:val="16"/>
                <w:szCs w:val="16"/>
                <w:color w:val="auto"/>
              </w:rPr>
              <w:t>462,319</w:t>
            </w:r>
          </w:p>
        </w:tc>
        <w:tc>
          <w:tcPr>
            <w:tcW w:w="380" w:type="dxa"/>
            <w:vAlign w:val="bottom"/>
            <w:tcBorders>
              <w:bottom w:val="single" w:sz="8" w:color="auto"/>
            </w:tcBorders>
            <w:shd w:val="clear" w:color="auto" w:fill="FCE9E8"/>
          </w:tcPr>
          <w:p>
            <w:pPr>
              <w:ind w:left="30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FCE9E8"/>
          </w:tcPr>
          <w:p>
            <w:pPr>
              <w:jc w:val="right"/>
              <w:ind w:right="240"/>
              <w:spacing w:after="0"/>
              <w:rPr>
                <w:sz w:val="20"/>
                <w:szCs w:val="20"/>
                <w:color w:val="auto"/>
              </w:rPr>
            </w:pPr>
            <w:r>
              <w:rPr>
                <w:rFonts w:ascii="Arial" w:cs="Arial" w:eastAsia="Arial" w:hAnsi="Arial"/>
                <w:sz w:val="16"/>
                <w:szCs w:val="16"/>
                <w:color w:val="auto"/>
              </w:rPr>
              <w:t>1,386,958</w:t>
            </w:r>
          </w:p>
        </w:tc>
        <w:tc>
          <w:tcPr>
            <w:tcW w:w="144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$2,024,162</w:t>
            </w:r>
          </w:p>
        </w:tc>
        <w:tc>
          <w:tcPr>
            <w:tcW w:w="420" w:type="dxa"/>
            <w:vAlign w:val="bottom"/>
            <w:tcBorders>
              <w:bottom w:val="single" w:sz="8" w:color="auto"/>
            </w:tcBorders>
            <w:shd w:val="clear" w:color="auto" w:fill="FCE9E8"/>
          </w:tcPr>
          <w:p>
            <w:pPr>
              <w:ind w:left="3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CE9E8"/>
          </w:tcPr>
          <w:p>
            <w:pPr>
              <w:jc w:val="right"/>
              <w:ind w:right="222"/>
              <w:spacing w:after="0"/>
              <w:rPr>
                <w:sz w:val="20"/>
                <w:szCs w:val="20"/>
                <w:color w:val="auto"/>
              </w:rPr>
            </w:pPr>
            <w:r>
              <w:rPr>
                <w:rFonts w:ascii="Arial" w:cs="Arial" w:eastAsia="Arial" w:hAnsi="Arial"/>
                <w:sz w:val="16"/>
                <w:szCs w:val="16"/>
                <w:color w:val="auto"/>
              </w:rPr>
              <w:t>2,773,916</w:t>
            </w:r>
          </w:p>
        </w:tc>
      </w:tr>
    </w:tbl>
    <w:p>
      <w:pPr>
        <w:spacing w:after="0" w:line="23"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Amounts in column (g) for 2016 represent the amounts earned under the AIP.</w:t>
      </w:r>
    </w:p>
    <w:p>
      <w:pPr>
        <w:spacing w:after="0" w:line="111" w:lineRule="exact"/>
        <w:rPr>
          <w:rFonts w:ascii="Arial" w:cs="Arial" w:eastAsia="Arial" w:hAnsi="Arial"/>
          <w:sz w:val="24"/>
          <w:szCs w:val="24"/>
          <w:color w:val="auto"/>
          <w:vertAlign w:val="superscript"/>
        </w:rPr>
      </w:pPr>
    </w:p>
    <w:p>
      <w:pPr>
        <w:ind w:left="340" w:right="420" w:hanging="332"/>
        <w:spacing w:after="0" w:line="183" w:lineRule="auto"/>
        <w:tabs>
          <w:tab w:leader="none" w:pos="34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Represents the aggregate change in actuarial present value of the Named Executive Officer’s accumulated benefit under all defined benefit and actuarial pension plans (including supplemental plans), all of which have been frozen since December 31, 2006.</w:t>
      </w:r>
    </w:p>
    <w:p>
      <w:pPr>
        <w:spacing w:after="0" w:line="112"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41</w:t>
      </w:r>
    </w:p>
    <w:p>
      <w:pPr>
        <w:sectPr>
          <w:pgSz w:w="11900" w:h="16838" w:orient="portrait"/>
          <w:cols w:equalWidth="0" w:num="1">
            <w:col w:w="11420"/>
          </w:cols>
          <w:pgMar w:left="240" w:top="393" w:right="239" w:bottom="1440" w:gutter="0" w:footer="0" w:header="0"/>
        </w:sectPr>
      </w:pPr>
    </w:p>
    <w:bookmarkStart w:id="47" w:name="page48"/>
    <w:bookmarkEnd w:id="47"/>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82"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The amount shown in column (i) includes for each Named Executive Officer:</w:t>
      </w:r>
    </w:p>
    <w:p>
      <w:pPr>
        <w:spacing w:after="0" w:line="111" w:lineRule="exact"/>
        <w:rPr>
          <w:sz w:val="20"/>
          <w:szCs w:val="20"/>
          <w:color w:val="auto"/>
        </w:rPr>
      </w:pPr>
    </w:p>
    <w:p>
      <w:pPr>
        <w:ind w:left="560" w:right="280" w:hanging="214"/>
        <w:spacing w:after="0" w:line="258" w:lineRule="auto"/>
        <w:tabs>
          <w:tab w:leader="none" w:pos="5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matching contributions allocated by the Company to each of the Named Executive Officers pursuant to the Retirement Savings Plan, Company contributions under the Pension Savings Plan (described below) and contributions to the Lear Corporation Salaried Retirement Restoration Program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3160" w:type="dxa"/>
            <w:vAlign w:val="bottom"/>
            <w:gridSpan w:val="2"/>
          </w:tcPr>
          <w:p>
            <w:pPr>
              <w:ind w:left="2080"/>
              <w:spacing w:after="0"/>
              <w:rPr>
                <w:sz w:val="20"/>
                <w:szCs w:val="20"/>
                <w:color w:val="auto"/>
              </w:rPr>
            </w:pPr>
            <w:r>
              <w:rPr>
                <w:rFonts w:ascii="Arial" w:cs="Arial" w:eastAsia="Arial" w:hAnsi="Arial"/>
                <w:sz w:val="13"/>
                <w:szCs w:val="13"/>
                <w:b w:val="1"/>
                <w:bCs w:val="1"/>
                <w:color w:val="E2231A"/>
              </w:rPr>
              <w:t>Pension Savings</w:t>
            </w:r>
          </w:p>
        </w:tc>
        <w:tc>
          <w:tcPr>
            <w:tcW w:w="200" w:type="dxa"/>
            <w:vAlign w:val="bottom"/>
          </w:tcPr>
          <w:p>
            <w:pPr>
              <w:spacing w:after="0"/>
              <w:rPr>
                <w:sz w:val="13"/>
                <w:szCs w:val="13"/>
                <w:color w:val="auto"/>
              </w:rPr>
            </w:pPr>
          </w:p>
        </w:tc>
        <w:tc>
          <w:tcPr>
            <w:tcW w:w="1540" w:type="dxa"/>
            <w:vAlign w:val="bottom"/>
          </w:tcPr>
          <w:p>
            <w:pPr>
              <w:jc w:val="right"/>
              <w:ind w:right="211"/>
              <w:spacing w:after="0"/>
              <w:rPr>
                <w:sz w:val="20"/>
                <w:szCs w:val="20"/>
                <w:color w:val="auto"/>
              </w:rPr>
            </w:pPr>
            <w:r>
              <w:rPr>
                <w:rFonts w:ascii="Arial" w:cs="Arial" w:eastAsia="Arial" w:hAnsi="Arial"/>
                <w:sz w:val="13"/>
                <w:szCs w:val="13"/>
                <w:b w:val="1"/>
                <w:bCs w:val="1"/>
                <w:color w:val="E2231A"/>
              </w:rPr>
              <w:t>Salaried Retirement</w:t>
            </w:r>
          </w:p>
        </w:tc>
        <w:tc>
          <w:tcPr>
            <w:tcW w:w="160" w:type="dxa"/>
            <w:vAlign w:val="bottom"/>
          </w:tcPr>
          <w:p>
            <w:pPr>
              <w:spacing w:after="0"/>
              <w:rPr>
                <w:sz w:val="13"/>
                <w:szCs w:val="13"/>
                <w:color w:val="auto"/>
              </w:rPr>
            </w:pPr>
          </w:p>
        </w:tc>
        <w:tc>
          <w:tcPr>
            <w:tcW w:w="1340" w:type="dxa"/>
            <w:vAlign w:val="bottom"/>
          </w:tcPr>
          <w:p>
            <w:pPr>
              <w:jc w:val="right"/>
              <w:ind w:right="91"/>
              <w:spacing w:after="0"/>
              <w:rPr>
                <w:sz w:val="20"/>
                <w:szCs w:val="20"/>
                <w:color w:val="auto"/>
              </w:rPr>
            </w:pPr>
            <w:r>
              <w:rPr>
                <w:rFonts w:ascii="Arial" w:cs="Arial" w:eastAsia="Arial" w:hAnsi="Arial"/>
                <w:sz w:val="13"/>
                <w:szCs w:val="13"/>
                <w:b w:val="1"/>
                <w:bCs w:val="1"/>
                <w:color w:val="E2231A"/>
                <w:w w:val="95"/>
              </w:rPr>
              <w:t>Retirement Savings</w:t>
            </w:r>
          </w:p>
        </w:tc>
        <w:tc>
          <w:tcPr>
            <w:tcW w:w="180" w:type="dxa"/>
            <w:vAlign w:val="bottom"/>
          </w:tcPr>
          <w:p>
            <w:pPr>
              <w:spacing w:after="0"/>
              <w:rPr>
                <w:sz w:val="13"/>
                <w:szCs w:val="13"/>
                <w:color w:val="auto"/>
              </w:rPr>
            </w:pPr>
          </w:p>
        </w:tc>
        <w:tc>
          <w:tcPr>
            <w:tcW w:w="1340" w:type="dxa"/>
            <w:vAlign w:val="bottom"/>
          </w:tcPr>
          <w:p>
            <w:pPr>
              <w:jc w:val="right"/>
              <w:ind w:right="91"/>
              <w:spacing w:after="0"/>
              <w:rPr>
                <w:sz w:val="20"/>
                <w:szCs w:val="20"/>
                <w:color w:val="auto"/>
              </w:rPr>
            </w:pPr>
            <w:r>
              <w:rPr>
                <w:rFonts w:ascii="Arial" w:cs="Arial" w:eastAsia="Arial" w:hAnsi="Arial"/>
                <w:sz w:val="13"/>
                <w:szCs w:val="13"/>
                <w:b w:val="1"/>
                <w:bCs w:val="1"/>
                <w:color w:val="E2231A"/>
                <w:w w:val="95"/>
              </w:rPr>
              <w:t>Retirement Savings</w:t>
            </w:r>
          </w:p>
        </w:tc>
      </w:tr>
      <w:tr>
        <w:trPr>
          <w:trHeight w:val="135"/>
        </w:trPr>
        <w:tc>
          <w:tcPr>
            <w:tcW w:w="35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0" w:type="dxa"/>
            <w:vAlign w:val="bottom"/>
          </w:tcPr>
          <w:p>
            <w:pPr>
              <w:jc w:val="right"/>
              <w:ind w:right="91"/>
              <w:spacing w:after="0" w:line="135" w:lineRule="exact"/>
              <w:rPr>
                <w:sz w:val="20"/>
                <w:szCs w:val="20"/>
                <w:color w:val="auto"/>
              </w:rPr>
            </w:pPr>
            <w:r>
              <w:rPr>
                <w:rFonts w:ascii="Arial" w:cs="Arial" w:eastAsia="Arial" w:hAnsi="Arial"/>
                <w:sz w:val="13"/>
                <w:szCs w:val="13"/>
                <w:b w:val="1"/>
                <w:bCs w:val="1"/>
                <w:color w:val="E2231A"/>
                <w:w w:val="94"/>
              </w:rPr>
              <w:t>Plan Qualified</w:t>
            </w:r>
          </w:p>
        </w:tc>
        <w:tc>
          <w:tcPr>
            <w:tcW w:w="200" w:type="dxa"/>
            <w:vAlign w:val="bottom"/>
          </w:tcPr>
          <w:p>
            <w:pPr>
              <w:spacing w:after="0"/>
              <w:rPr>
                <w:sz w:val="11"/>
                <w:szCs w:val="11"/>
                <w:color w:val="auto"/>
              </w:rPr>
            </w:pPr>
          </w:p>
        </w:tc>
        <w:tc>
          <w:tcPr>
            <w:tcW w:w="1540" w:type="dxa"/>
            <w:vAlign w:val="bottom"/>
          </w:tcPr>
          <w:p>
            <w:pPr>
              <w:jc w:val="right"/>
              <w:ind w:right="171"/>
              <w:spacing w:after="0" w:line="135" w:lineRule="exact"/>
              <w:rPr>
                <w:sz w:val="20"/>
                <w:szCs w:val="20"/>
                <w:color w:val="auto"/>
              </w:rPr>
            </w:pPr>
            <w:r>
              <w:rPr>
                <w:rFonts w:ascii="Arial" w:cs="Arial" w:eastAsia="Arial" w:hAnsi="Arial"/>
                <w:sz w:val="13"/>
                <w:szCs w:val="13"/>
                <w:b w:val="1"/>
                <w:bCs w:val="1"/>
                <w:color w:val="E2231A"/>
                <w:w w:val="98"/>
              </w:rPr>
              <w:t>Restoration Program</w:t>
            </w:r>
          </w:p>
        </w:tc>
        <w:tc>
          <w:tcPr>
            <w:tcW w:w="160" w:type="dxa"/>
            <w:vAlign w:val="bottom"/>
          </w:tcPr>
          <w:p>
            <w:pPr>
              <w:spacing w:after="0"/>
              <w:rPr>
                <w:sz w:val="11"/>
                <w:szCs w:val="11"/>
                <w:color w:val="auto"/>
              </w:rPr>
            </w:pPr>
          </w:p>
        </w:tc>
        <w:tc>
          <w:tcPr>
            <w:tcW w:w="1340" w:type="dxa"/>
            <w:vAlign w:val="bottom"/>
          </w:tcPr>
          <w:p>
            <w:pPr>
              <w:jc w:val="right"/>
              <w:ind w:right="251"/>
              <w:spacing w:after="0" w:line="135" w:lineRule="exact"/>
              <w:rPr>
                <w:sz w:val="20"/>
                <w:szCs w:val="20"/>
                <w:color w:val="auto"/>
              </w:rPr>
            </w:pPr>
            <w:r>
              <w:rPr>
                <w:rFonts w:ascii="Arial" w:cs="Arial" w:eastAsia="Arial" w:hAnsi="Arial"/>
                <w:sz w:val="13"/>
                <w:szCs w:val="13"/>
                <w:b w:val="1"/>
                <w:bCs w:val="1"/>
                <w:color w:val="E2231A"/>
              </w:rPr>
              <w:t>Plan Qualified</w:t>
            </w:r>
          </w:p>
        </w:tc>
        <w:tc>
          <w:tcPr>
            <w:tcW w:w="180" w:type="dxa"/>
            <w:vAlign w:val="bottom"/>
          </w:tcPr>
          <w:p>
            <w:pPr>
              <w:spacing w:after="0"/>
              <w:rPr>
                <w:sz w:val="11"/>
                <w:szCs w:val="11"/>
                <w:color w:val="auto"/>
              </w:rPr>
            </w:pPr>
          </w:p>
        </w:tc>
        <w:tc>
          <w:tcPr>
            <w:tcW w:w="1340" w:type="dxa"/>
            <w:vAlign w:val="bottom"/>
          </w:tcPr>
          <w:p>
            <w:pPr>
              <w:jc w:val="right"/>
              <w:ind w:right="151"/>
              <w:spacing w:after="0" w:line="135" w:lineRule="exact"/>
              <w:rPr>
                <w:sz w:val="20"/>
                <w:szCs w:val="20"/>
                <w:color w:val="auto"/>
              </w:rPr>
            </w:pPr>
            <w:r>
              <w:rPr>
                <w:rFonts w:ascii="Arial" w:cs="Arial" w:eastAsia="Arial" w:hAnsi="Arial"/>
                <w:sz w:val="13"/>
                <w:szCs w:val="13"/>
                <w:b w:val="1"/>
                <w:bCs w:val="1"/>
                <w:color w:val="E2231A"/>
              </w:rPr>
              <w:t>Plan Nonqualified</w:t>
            </w:r>
          </w:p>
        </w:tc>
      </w:tr>
      <w:tr>
        <w:trPr>
          <w:trHeight w:val="157"/>
        </w:trPr>
        <w:tc>
          <w:tcPr>
            <w:tcW w:w="3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E2231A"/>
              </w:rPr>
              <w:t>Name</w:t>
            </w:r>
          </w:p>
        </w:tc>
        <w:tc>
          <w:tcPr>
            <w:tcW w:w="2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E2231A"/>
                <w:w w:val="99"/>
              </w:rPr>
              <w:t>Contribution</w:t>
            </w: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E2231A"/>
              </w:rPr>
              <w:t>Nonqualified Contribution</w:t>
            </w: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rPr>
              <w:t>Matching Contribution</w:t>
            </w: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E2231A"/>
              </w:rPr>
              <w:t>Matching Contribution</w:t>
            </w:r>
          </w:p>
        </w:tc>
      </w:tr>
      <w:tr>
        <w:trPr>
          <w:trHeight w:val="156"/>
        </w:trPr>
        <w:tc>
          <w:tcPr>
            <w:tcW w:w="3500" w:type="dxa"/>
            <w:vAlign w:val="bottom"/>
            <w:shd w:val="clear" w:color="auto" w:fill="FCE9E8"/>
          </w:tcPr>
          <w:p>
            <w:pPr>
              <w:ind w:left="80"/>
              <w:spacing w:after="0" w:line="155" w:lineRule="exact"/>
              <w:rPr>
                <w:sz w:val="20"/>
                <w:szCs w:val="20"/>
                <w:color w:val="auto"/>
              </w:rPr>
            </w:pPr>
            <w:r>
              <w:rPr>
                <w:rFonts w:ascii="Arial" w:cs="Arial" w:eastAsia="Arial" w:hAnsi="Arial"/>
                <w:sz w:val="14"/>
                <w:szCs w:val="14"/>
                <w:color w:val="auto"/>
              </w:rPr>
              <w:t>Matthew J. Simoncini</w:t>
            </w:r>
          </w:p>
        </w:tc>
        <w:tc>
          <w:tcPr>
            <w:tcW w:w="2160" w:type="dxa"/>
            <w:vAlign w:val="bottom"/>
            <w:shd w:val="clear" w:color="auto" w:fill="FCE9E8"/>
          </w:tcPr>
          <w:p>
            <w:pPr>
              <w:ind w:left="2080"/>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1"/>
              <w:spacing w:after="0" w:line="155" w:lineRule="exact"/>
              <w:rPr>
                <w:sz w:val="20"/>
                <w:szCs w:val="20"/>
                <w:color w:val="auto"/>
              </w:rPr>
            </w:pPr>
            <w:r>
              <w:rPr>
                <w:rFonts w:ascii="Arial" w:cs="Arial" w:eastAsia="Arial" w:hAnsi="Arial"/>
                <w:sz w:val="14"/>
                <w:szCs w:val="14"/>
                <w:color w:val="auto"/>
              </w:rPr>
              <w:t>23,678</w:t>
            </w:r>
          </w:p>
        </w:tc>
        <w:tc>
          <w:tcPr>
            <w:tcW w:w="200" w:type="dxa"/>
            <w:vAlign w:val="bottom"/>
            <w:shd w:val="clear" w:color="auto" w:fill="FCE9E8"/>
          </w:tcPr>
          <w:p>
            <w:pPr>
              <w:ind w:left="80"/>
              <w:spacing w:after="0" w:line="155" w:lineRule="exact"/>
              <w:rPr>
                <w:sz w:val="20"/>
                <w:szCs w:val="20"/>
                <w:color w:val="auto"/>
              </w:rPr>
            </w:pPr>
            <w:r>
              <w:rPr>
                <w:rFonts w:ascii="Arial" w:cs="Arial" w:eastAsia="Arial" w:hAnsi="Arial"/>
                <w:sz w:val="14"/>
                <w:szCs w:val="14"/>
                <w:color w:val="auto"/>
              </w:rPr>
              <w:t>$</w:t>
            </w:r>
          </w:p>
        </w:tc>
        <w:tc>
          <w:tcPr>
            <w:tcW w:w="1540" w:type="dxa"/>
            <w:vAlign w:val="bottom"/>
            <w:shd w:val="clear" w:color="auto" w:fill="FCE9E8"/>
          </w:tcPr>
          <w:p>
            <w:pPr>
              <w:jc w:val="right"/>
              <w:ind w:right="11"/>
              <w:spacing w:after="0" w:line="155" w:lineRule="exact"/>
              <w:rPr>
                <w:sz w:val="20"/>
                <w:szCs w:val="20"/>
                <w:color w:val="auto"/>
              </w:rPr>
            </w:pPr>
            <w:r>
              <w:rPr>
                <w:rFonts w:ascii="Arial" w:cs="Arial" w:eastAsia="Arial" w:hAnsi="Arial"/>
                <w:sz w:val="14"/>
                <w:szCs w:val="14"/>
                <w:color w:val="auto"/>
              </w:rPr>
              <w:t>480,604</w:t>
            </w:r>
          </w:p>
        </w:tc>
        <w:tc>
          <w:tcPr>
            <w:tcW w:w="160" w:type="dxa"/>
            <w:vAlign w:val="bottom"/>
            <w:shd w:val="clear" w:color="auto" w:fill="FCE9E8"/>
          </w:tcPr>
          <w:p>
            <w:pPr>
              <w:ind w:left="80"/>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FCE9E8"/>
          </w:tcPr>
          <w:p>
            <w:pPr>
              <w:jc w:val="right"/>
              <w:ind w:right="11"/>
              <w:spacing w:after="0" w:line="155" w:lineRule="exact"/>
              <w:rPr>
                <w:sz w:val="20"/>
                <w:szCs w:val="20"/>
                <w:color w:val="auto"/>
              </w:rPr>
            </w:pPr>
            <w:r>
              <w:rPr>
                <w:rFonts w:ascii="Arial" w:cs="Arial" w:eastAsia="Arial" w:hAnsi="Arial"/>
                <w:sz w:val="14"/>
                <w:szCs w:val="14"/>
                <w:color w:val="auto"/>
              </w:rPr>
              <w:t>11,323</w:t>
            </w:r>
          </w:p>
        </w:tc>
        <w:tc>
          <w:tcPr>
            <w:tcW w:w="180" w:type="dxa"/>
            <w:vAlign w:val="bottom"/>
            <w:shd w:val="clear" w:color="auto" w:fill="FCE9E8"/>
          </w:tcPr>
          <w:p>
            <w:pPr>
              <w:ind w:left="80"/>
              <w:spacing w:after="0" w:line="155" w:lineRule="exact"/>
              <w:rPr>
                <w:sz w:val="20"/>
                <w:szCs w:val="20"/>
                <w:color w:val="auto"/>
              </w:rPr>
            </w:pPr>
            <w:r>
              <w:rPr>
                <w:rFonts w:ascii="Arial" w:cs="Arial" w:eastAsia="Arial" w:hAnsi="Arial"/>
                <w:sz w:val="14"/>
                <w:szCs w:val="14"/>
                <w:color w:val="auto"/>
              </w:rPr>
              <w:t>$</w:t>
            </w:r>
          </w:p>
        </w:tc>
        <w:tc>
          <w:tcPr>
            <w:tcW w:w="1340" w:type="dxa"/>
            <w:vAlign w:val="bottom"/>
            <w:shd w:val="clear" w:color="auto" w:fill="FCE9E8"/>
          </w:tcPr>
          <w:p>
            <w:pPr>
              <w:jc w:val="right"/>
              <w:ind w:right="11"/>
              <w:spacing w:after="0" w:line="155" w:lineRule="exact"/>
              <w:rPr>
                <w:sz w:val="20"/>
                <w:szCs w:val="20"/>
                <w:color w:val="auto"/>
              </w:rPr>
            </w:pPr>
            <w:r>
              <w:rPr>
                <w:rFonts w:ascii="Arial" w:cs="Arial" w:eastAsia="Arial" w:hAnsi="Arial"/>
                <w:sz w:val="14"/>
                <w:szCs w:val="14"/>
                <w:color w:val="auto"/>
              </w:rPr>
              <w:t>206,576</w:t>
            </w:r>
          </w:p>
        </w:tc>
      </w:tr>
      <w:tr>
        <w:trPr>
          <w:trHeight w:val="162"/>
        </w:trPr>
        <w:tc>
          <w:tcPr>
            <w:tcW w:w="3500" w:type="dxa"/>
            <w:vAlign w:val="bottom"/>
          </w:tcPr>
          <w:p>
            <w:pPr>
              <w:ind w:left="80"/>
              <w:spacing w:after="0"/>
              <w:rPr>
                <w:sz w:val="20"/>
                <w:szCs w:val="20"/>
                <w:color w:val="auto"/>
              </w:rPr>
            </w:pPr>
            <w:r>
              <w:rPr>
                <w:rFonts w:ascii="Arial" w:cs="Arial" w:eastAsia="Arial" w:hAnsi="Arial"/>
                <w:sz w:val="14"/>
                <w:szCs w:val="14"/>
                <w:color w:val="auto"/>
              </w:rPr>
              <w:t>Jeffrey H. Vanneste</w:t>
            </w:r>
          </w:p>
        </w:tc>
        <w:tc>
          <w:tcPr>
            <w:tcW w:w="2160" w:type="dxa"/>
            <w:vAlign w:val="bottom"/>
          </w:tcPr>
          <w:p>
            <w:pPr>
              <w:ind w:left="20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23,678</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1"/>
              <w:spacing w:after="0"/>
              <w:rPr>
                <w:sz w:val="20"/>
                <w:szCs w:val="20"/>
                <w:color w:val="auto"/>
              </w:rPr>
            </w:pPr>
            <w:r>
              <w:rPr>
                <w:rFonts w:ascii="Arial" w:cs="Arial" w:eastAsia="Arial" w:hAnsi="Arial"/>
                <w:sz w:val="14"/>
                <w:szCs w:val="14"/>
                <w:color w:val="auto"/>
              </w:rPr>
              <w:t>159,486</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11,323</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68,954</w:t>
            </w:r>
          </w:p>
        </w:tc>
      </w:tr>
      <w:tr>
        <w:trPr>
          <w:trHeight w:val="162"/>
        </w:trPr>
        <w:tc>
          <w:tcPr>
            <w:tcW w:w="350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2160" w:type="dxa"/>
            <w:vAlign w:val="bottom"/>
            <w:shd w:val="clear" w:color="auto" w:fill="FCE9E8"/>
          </w:tcPr>
          <w:p>
            <w:pPr>
              <w:ind w:left="208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1"/>
              <w:spacing w:after="0"/>
              <w:rPr>
                <w:sz w:val="20"/>
                <w:szCs w:val="20"/>
                <w:color w:val="auto"/>
              </w:rPr>
            </w:pPr>
            <w:r>
              <w:rPr>
                <w:rFonts w:ascii="Arial" w:cs="Arial" w:eastAsia="Arial" w:hAnsi="Arial"/>
                <w:sz w:val="14"/>
                <w:szCs w:val="14"/>
                <w:color w:val="auto"/>
              </w:rPr>
              <w:t>23,678</w:t>
            </w:r>
          </w:p>
        </w:tc>
        <w:tc>
          <w:tcPr>
            <w:tcW w:w="20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40" w:type="dxa"/>
            <w:vAlign w:val="bottom"/>
            <w:shd w:val="clear" w:color="auto" w:fill="FCE9E8"/>
          </w:tcPr>
          <w:p>
            <w:pPr>
              <w:jc w:val="right"/>
              <w:ind w:right="11"/>
              <w:spacing w:after="0"/>
              <w:rPr>
                <w:sz w:val="20"/>
                <w:szCs w:val="20"/>
                <w:color w:val="auto"/>
              </w:rPr>
            </w:pPr>
            <w:r>
              <w:rPr>
                <w:rFonts w:ascii="Arial" w:cs="Arial" w:eastAsia="Arial" w:hAnsi="Arial"/>
                <w:sz w:val="14"/>
                <w:szCs w:val="14"/>
                <w:color w:val="auto"/>
              </w:rPr>
              <w:t>177,554</w:t>
            </w:r>
          </w:p>
        </w:tc>
        <w:tc>
          <w:tcPr>
            <w:tcW w:w="160" w:type="dxa"/>
            <w:vAlign w:val="bottom"/>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FCE9E8"/>
          </w:tcPr>
          <w:p>
            <w:pPr>
              <w:jc w:val="right"/>
              <w:ind w:right="11"/>
              <w:spacing w:after="0"/>
              <w:rPr>
                <w:sz w:val="20"/>
                <w:szCs w:val="20"/>
                <w:color w:val="auto"/>
              </w:rPr>
            </w:pPr>
            <w:r>
              <w:rPr>
                <w:rFonts w:ascii="Arial" w:cs="Arial" w:eastAsia="Arial" w:hAnsi="Arial"/>
                <w:sz w:val="14"/>
                <w:szCs w:val="14"/>
                <w:color w:val="auto"/>
              </w:rPr>
              <w:t>11,323</w:t>
            </w:r>
          </w:p>
        </w:tc>
        <w:tc>
          <w:tcPr>
            <w:tcW w:w="180" w:type="dxa"/>
            <w:vAlign w:val="bottom"/>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FCE9E8"/>
          </w:tcPr>
          <w:p>
            <w:pPr>
              <w:jc w:val="right"/>
              <w:ind w:right="11"/>
              <w:spacing w:after="0"/>
              <w:rPr>
                <w:sz w:val="20"/>
                <w:szCs w:val="20"/>
                <w:color w:val="auto"/>
              </w:rPr>
            </w:pPr>
            <w:r>
              <w:rPr>
                <w:rFonts w:ascii="Arial" w:cs="Arial" w:eastAsia="Arial" w:hAnsi="Arial"/>
                <w:sz w:val="14"/>
                <w:szCs w:val="14"/>
                <w:color w:val="auto"/>
              </w:rPr>
              <w:t>76,697</w:t>
            </w:r>
          </w:p>
        </w:tc>
      </w:tr>
      <w:tr>
        <w:trPr>
          <w:trHeight w:val="162"/>
        </w:trPr>
        <w:tc>
          <w:tcPr>
            <w:tcW w:w="3500" w:type="dxa"/>
            <w:vAlign w:val="bottom"/>
          </w:tcPr>
          <w:p>
            <w:pPr>
              <w:ind w:left="80"/>
              <w:spacing w:after="0"/>
              <w:rPr>
                <w:sz w:val="20"/>
                <w:szCs w:val="20"/>
                <w:color w:val="auto"/>
              </w:rPr>
            </w:pPr>
            <w:r>
              <w:rPr>
                <w:rFonts w:ascii="Arial" w:cs="Arial" w:eastAsia="Arial" w:hAnsi="Arial"/>
                <w:sz w:val="14"/>
                <w:szCs w:val="14"/>
                <w:color w:val="auto"/>
              </w:rPr>
              <w:t>Terrence B. Larkin</w:t>
            </w:r>
          </w:p>
        </w:tc>
        <w:tc>
          <w:tcPr>
            <w:tcW w:w="2160" w:type="dxa"/>
            <w:vAlign w:val="bottom"/>
          </w:tcPr>
          <w:p>
            <w:pPr>
              <w:ind w:left="208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
              <w:spacing w:after="0"/>
              <w:rPr>
                <w:sz w:val="20"/>
                <w:szCs w:val="20"/>
                <w:color w:val="auto"/>
              </w:rPr>
            </w:pPr>
            <w:r>
              <w:rPr>
                <w:rFonts w:ascii="Arial" w:cs="Arial" w:eastAsia="Arial" w:hAnsi="Arial"/>
                <w:sz w:val="14"/>
                <w:szCs w:val="14"/>
                <w:color w:val="auto"/>
              </w:rPr>
              <w:t>20,295</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1"/>
              <w:spacing w:after="0"/>
              <w:rPr>
                <w:sz w:val="20"/>
                <w:szCs w:val="20"/>
                <w:color w:val="auto"/>
              </w:rPr>
            </w:pPr>
            <w:r>
              <w:rPr>
                <w:rFonts w:ascii="Arial" w:cs="Arial" w:eastAsia="Arial" w:hAnsi="Arial"/>
                <w:sz w:val="14"/>
                <w:szCs w:val="14"/>
                <w:color w:val="auto"/>
              </w:rPr>
              <w:t>152,189</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11,925</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76,094</w:t>
            </w:r>
          </w:p>
        </w:tc>
      </w:tr>
      <w:tr>
        <w:trPr>
          <w:trHeight w:val="162"/>
        </w:trPr>
        <w:tc>
          <w:tcPr>
            <w:tcW w:w="35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2160" w:type="dxa"/>
            <w:vAlign w:val="bottom"/>
            <w:tcBorders>
              <w:bottom w:val="single" w:sz="8" w:color="auto"/>
            </w:tcBorders>
            <w:shd w:val="clear" w:color="auto" w:fill="FCE9E8"/>
          </w:tcPr>
          <w:p>
            <w:pPr>
              <w:ind w:left="208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FCE9E8"/>
          </w:tcPr>
          <w:p>
            <w:pPr>
              <w:jc w:val="right"/>
              <w:ind w:right="11"/>
              <w:spacing w:after="0"/>
              <w:rPr>
                <w:sz w:val="20"/>
                <w:szCs w:val="20"/>
                <w:color w:val="auto"/>
              </w:rPr>
            </w:pPr>
            <w:r>
              <w:rPr>
                <w:rFonts w:ascii="Arial" w:cs="Arial" w:eastAsia="Arial" w:hAnsi="Arial"/>
                <w:sz w:val="14"/>
                <w:szCs w:val="14"/>
                <w:color w:val="auto"/>
              </w:rPr>
              <w:t>20,295</w:t>
            </w:r>
          </w:p>
        </w:tc>
        <w:tc>
          <w:tcPr>
            <w:tcW w:w="2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FCE9E8"/>
          </w:tcPr>
          <w:p>
            <w:pPr>
              <w:jc w:val="right"/>
              <w:ind w:right="11"/>
              <w:spacing w:after="0"/>
              <w:rPr>
                <w:sz w:val="20"/>
                <w:szCs w:val="20"/>
                <w:color w:val="auto"/>
              </w:rPr>
            </w:pPr>
            <w:r>
              <w:rPr>
                <w:rFonts w:ascii="Arial" w:cs="Arial" w:eastAsia="Arial" w:hAnsi="Arial"/>
                <w:sz w:val="14"/>
                <w:szCs w:val="14"/>
                <w:color w:val="auto"/>
              </w:rPr>
              <w:t>127,747</w:t>
            </w:r>
          </w:p>
        </w:tc>
        <w:tc>
          <w:tcPr>
            <w:tcW w:w="1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FCE9E8"/>
          </w:tcPr>
          <w:p>
            <w:pPr>
              <w:jc w:val="right"/>
              <w:ind w:right="11"/>
              <w:spacing w:after="0"/>
              <w:rPr>
                <w:sz w:val="20"/>
                <w:szCs w:val="20"/>
                <w:color w:val="auto"/>
              </w:rPr>
            </w:pPr>
            <w:r>
              <w:rPr>
                <w:rFonts w:ascii="Arial" w:cs="Arial" w:eastAsia="Arial" w:hAnsi="Arial"/>
                <w:sz w:val="14"/>
                <w:szCs w:val="14"/>
                <w:color w:val="auto"/>
              </w:rPr>
              <w:t>11,925</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FCE9E8"/>
          </w:tcPr>
          <w:p>
            <w:pPr>
              <w:jc w:val="right"/>
              <w:ind w:right="11"/>
              <w:spacing w:after="0"/>
              <w:rPr>
                <w:sz w:val="20"/>
                <w:szCs w:val="20"/>
                <w:color w:val="auto"/>
              </w:rPr>
            </w:pPr>
            <w:r>
              <w:rPr>
                <w:rFonts w:ascii="Arial" w:cs="Arial" w:eastAsia="Arial" w:hAnsi="Arial"/>
                <w:sz w:val="14"/>
                <w:szCs w:val="14"/>
                <w:color w:val="auto"/>
              </w:rPr>
              <w:t>63,874</w:t>
            </w:r>
          </w:p>
        </w:tc>
      </w:tr>
    </w:tbl>
    <w:p>
      <w:pPr>
        <w:spacing w:after="0" w:line="126" w:lineRule="exact"/>
        <w:rPr>
          <w:sz w:val="20"/>
          <w:szCs w:val="20"/>
          <w:color w:val="auto"/>
        </w:rPr>
      </w:pPr>
    </w:p>
    <w:p>
      <w:pPr>
        <w:ind w:left="560" w:right="140" w:hanging="214"/>
        <w:spacing w:after="0" w:line="258" w:lineRule="auto"/>
        <w:tabs>
          <w:tab w:leader="none" w:pos="5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imputed income with respect to life insurance coverage in the following amounts: Mr. Simoncini, $3,612; Mr. Vanneste, $3,612; Mr. Scott, $1,932; Mr. Larkin, $5,544; and Mr. Orsini, $840.</w:t>
      </w:r>
    </w:p>
    <w:p>
      <w:pPr>
        <w:spacing w:after="0" w:line="99" w:lineRule="exact"/>
        <w:rPr>
          <w:rFonts w:ascii="Arial" w:cs="Arial" w:eastAsia="Arial" w:hAnsi="Arial"/>
          <w:sz w:val="14"/>
          <w:szCs w:val="14"/>
          <w:color w:val="auto"/>
        </w:rPr>
      </w:pPr>
    </w:p>
    <w:p>
      <w:pPr>
        <w:ind w:left="560" w:hanging="214"/>
        <w:spacing w:after="0"/>
        <w:tabs>
          <w:tab w:leader="none" w:pos="5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life insurance premiums paid by the Company, including $864 in premiums for each of Messrs. Simoncini, Vanneste, Scott, Larkin and Orsini.</w:t>
      </w:r>
    </w:p>
    <w:p>
      <w:pPr>
        <w:sectPr>
          <w:pgSz w:w="11900" w:h="16838" w:orient="portrait"/>
          <w:cols w:equalWidth="0" w:num="1">
            <w:col w:w="11420"/>
          </w:cols>
          <w:pgMar w:left="240" w:top="267"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7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have entered into employment agreements with each of our Named Executive Officers. Each employment agreement specifies the annual base salary for the executive, which may be increased at the discretion of the Compensation Committee. In addition, the employment agreements specify that the executives are eligible for an annual incentive compensation bonus and participation in the Company’s long-term incentive plan. Under the terms of the employment agreements, each Named Executive Officer is also eligible to participate in the welfare, retirement and other benefit plans, practices, policies and programs, as may be in effect from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time to time, for senior executives of the Company generally. Under the employment agreements, if the Company reduces an executive’s base salary, adversely changes the manner of computing an executive’s incentive compensation opportunity, defers payment of his compensation or eliminates or substantially modifies his benefits, the executive would have a basis to invoke his rights under the agreement for termination for good reason. For a description of the severance provisions of the employment agreements, see “— Potential Payments upon Termination or Change in Control.”</w:t>
      </w:r>
    </w:p>
    <w:p>
      <w:pPr>
        <w:spacing w:after="0" w:line="390" w:lineRule="exact"/>
        <w:rPr>
          <w:sz w:val="20"/>
          <w:szCs w:val="20"/>
          <w:color w:val="auto"/>
        </w:rPr>
      </w:pPr>
    </w:p>
    <w:p>
      <w:pPr>
        <w:sectPr>
          <w:pgSz w:w="11900" w:h="16838" w:orient="portrait"/>
          <w:cols w:equalWidth="0" w:num="2">
            <w:col w:w="5480" w:space="340"/>
            <w:col w:w="5600"/>
          </w:cols>
          <w:pgMar w:left="240" w:top="267"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 Corporation Salaried Retirement Program</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(deferral and match) and (ii) the Pension Savings Plan. We established the Retirement Program pursuant to Section 401(a) of the Internal Revenue Code for eligible employees who have completed one month of service. Under the Retirement Savings Plan, each eligible employee may elect to contribute, on a pre-tax basis, a portion of his eligible compensation in each year.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 Company matching</w:t>
      </w:r>
    </w:p>
    <w:p>
      <w:pPr>
        <w:spacing w:after="0" w:line="254" w:lineRule="exact"/>
        <w:rPr>
          <w:sz w:val="20"/>
          <w:szCs w:val="20"/>
          <w:color w:val="auto"/>
        </w:rPr>
      </w:pPr>
    </w:p>
    <w:p>
      <w:pPr>
        <w:ind w:left="460" w:hanging="349"/>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contributions generally become vested under the Retirement Savings Plan at a rate of 20% for each full year of service.</w:t>
      </w:r>
    </w:p>
    <w:p>
      <w:pPr>
        <w:spacing w:after="0" w:line="88"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All Pension Savings Plan contributions are generally determined as of the last day of each month, provided, generally, that the employee is actively employed on such date, and are allocated monthly. Contributions generally become vested under the Pension Savings Plan at a rate of 20% for each full year of service.</w:t>
      </w:r>
    </w:p>
    <w:p>
      <w:pPr>
        <w:sectPr>
          <w:pgSz w:w="11900" w:h="16838" w:orient="portrait"/>
          <w:cols w:equalWidth="0" w:num="2">
            <w:col w:w="5440" w:space="380"/>
            <w:col w:w="5600"/>
          </w:cols>
          <w:pgMar w:left="240" w:top="267" w:right="2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FFFFFF"/>
        </w:rPr>
        <w:t>2016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the grants of plan-based awards to our Named Executive Officers in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30" w:type="dxa"/>
            <w:vAlign w:val="bottom"/>
          </w:tcPr>
          <w:p>
            <w:pPr>
              <w:spacing w:after="0"/>
              <w:rPr>
                <w:sz w:val="12"/>
                <w:szCs w:val="12"/>
                <w:color w:val="auto"/>
              </w:rPr>
            </w:pPr>
          </w:p>
        </w:tc>
        <w:tc>
          <w:tcPr>
            <w:tcW w:w="181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E2231A"/>
                <w:w w:val="90"/>
              </w:rPr>
              <w:t>All</w:t>
            </w:r>
          </w:p>
        </w:tc>
        <w:tc>
          <w:tcPr>
            <w:tcW w:w="160" w:type="dxa"/>
            <w:vAlign w:val="bottom"/>
          </w:tcPr>
          <w:p>
            <w:pPr>
              <w:spacing w:after="0"/>
              <w:rPr>
                <w:sz w:val="12"/>
                <w:szCs w:val="12"/>
                <w:color w:val="auto"/>
              </w:rPr>
            </w:pPr>
          </w:p>
        </w:tc>
        <w:tc>
          <w:tcPr>
            <w:tcW w:w="660" w:type="dxa"/>
            <w:vAlign w:val="bottom"/>
          </w:tcPr>
          <w:p>
            <w:pPr>
              <w:jc w:val="center"/>
              <w:ind w:right="119"/>
              <w:spacing w:after="0"/>
              <w:rPr>
                <w:sz w:val="20"/>
                <w:szCs w:val="20"/>
                <w:color w:val="auto"/>
              </w:rPr>
            </w:pPr>
            <w:r>
              <w:rPr>
                <w:rFonts w:ascii="Arial" w:cs="Arial" w:eastAsia="Arial" w:hAnsi="Arial"/>
                <w:sz w:val="12"/>
                <w:szCs w:val="12"/>
                <w:b w:val="1"/>
                <w:bCs w:val="1"/>
                <w:color w:val="E2231A"/>
                <w:w w:val="99"/>
              </w:rPr>
              <w:t>Grant</w:t>
            </w: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9"/>
              </w:rPr>
              <w:t>Other</w:t>
            </w:r>
          </w:p>
        </w:tc>
        <w:tc>
          <w:tcPr>
            <w:tcW w:w="160" w:type="dxa"/>
            <w:vAlign w:val="bottom"/>
          </w:tcPr>
          <w:p>
            <w:pPr>
              <w:spacing w:after="0"/>
              <w:rPr>
                <w:sz w:val="11"/>
                <w:szCs w:val="11"/>
                <w:color w:val="auto"/>
              </w:rPr>
            </w:pPr>
          </w:p>
        </w:tc>
        <w:tc>
          <w:tcPr>
            <w:tcW w:w="66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E2231A"/>
                <w:w w:val="92"/>
              </w:rPr>
              <w:t>Date</w:t>
            </w: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Stock</w:t>
            </w:r>
          </w:p>
        </w:tc>
        <w:tc>
          <w:tcPr>
            <w:tcW w:w="160" w:type="dxa"/>
            <w:vAlign w:val="bottom"/>
          </w:tcPr>
          <w:p>
            <w:pPr>
              <w:spacing w:after="0"/>
              <w:rPr>
                <w:sz w:val="11"/>
                <w:szCs w:val="11"/>
                <w:color w:val="auto"/>
              </w:rPr>
            </w:pPr>
          </w:p>
        </w:tc>
        <w:tc>
          <w:tcPr>
            <w:tcW w:w="66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E2231A"/>
                <w:w w:val="90"/>
              </w:rPr>
              <w:t>Fair</w:t>
            </w: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5"/>
          </w:tcPr>
          <w:p>
            <w:pPr>
              <w:jc w:val="center"/>
              <w:ind w:right="220"/>
              <w:spacing w:after="0" w:line="135" w:lineRule="exact"/>
              <w:rPr>
                <w:sz w:val="20"/>
                <w:szCs w:val="20"/>
                <w:color w:val="auto"/>
              </w:rPr>
            </w:pPr>
            <w:r>
              <w:rPr>
                <w:rFonts w:ascii="Arial" w:cs="Arial" w:eastAsia="Arial" w:hAnsi="Arial"/>
                <w:sz w:val="12"/>
                <w:szCs w:val="12"/>
                <w:b w:val="1"/>
                <w:bCs w:val="1"/>
                <w:color w:val="E2231A"/>
                <w:w w:val="97"/>
              </w:rPr>
              <w:t>Estimated Possible Payouts</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7"/>
              </w:rPr>
              <w:t>Awards:</w:t>
            </w:r>
          </w:p>
        </w:tc>
        <w:tc>
          <w:tcPr>
            <w:tcW w:w="160" w:type="dxa"/>
            <w:vAlign w:val="bottom"/>
          </w:tcPr>
          <w:p>
            <w:pPr>
              <w:spacing w:after="0"/>
              <w:rPr>
                <w:sz w:val="11"/>
                <w:szCs w:val="11"/>
                <w:color w:val="auto"/>
              </w:rPr>
            </w:pPr>
          </w:p>
        </w:tc>
        <w:tc>
          <w:tcPr>
            <w:tcW w:w="66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E2231A"/>
                <w:w w:val="94"/>
              </w:rPr>
              <w:t>Value of</w:t>
            </w: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5"/>
          </w:tcPr>
          <w:p>
            <w:pPr>
              <w:jc w:val="center"/>
              <w:ind w:right="220"/>
              <w:spacing w:after="0" w:line="135" w:lineRule="exact"/>
              <w:rPr>
                <w:sz w:val="20"/>
                <w:szCs w:val="20"/>
                <w:color w:val="auto"/>
              </w:rPr>
            </w:pPr>
            <w:r>
              <w:rPr>
                <w:rFonts w:ascii="Arial" w:cs="Arial" w:eastAsia="Arial" w:hAnsi="Arial"/>
                <w:sz w:val="12"/>
                <w:szCs w:val="12"/>
                <w:b w:val="1"/>
                <w:bCs w:val="1"/>
                <w:color w:val="E2231A"/>
                <w:w w:val="96"/>
              </w:rPr>
              <w:t>Under Non-Equity Incentive Plan</w:t>
            </w:r>
          </w:p>
        </w:tc>
        <w:tc>
          <w:tcPr>
            <w:tcW w:w="2180" w:type="dxa"/>
            <w:vAlign w:val="bottom"/>
            <w:gridSpan w:val="4"/>
          </w:tcPr>
          <w:p>
            <w:pPr>
              <w:jc w:val="center"/>
              <w:ind w:right="60"/>
              <w:spacing w:after="0" w:line="135" w:lineRule="exact"/>
              <w:rPr>
                <w:sz w:val="20"/>
                <w:szCs w:val="20"/>
                <w:color w:val="auto"/>
              </w:rPr>
            </w:pPr>
            <w:r>
              <w:rPr>
                <w:rFonts w:ascii="Arial" w:cs="Arial" w:eastAsia="Arial" w:hAnsi="Arial"/>
                <w:sz w:val="12"/>
                <w:szCs w:val="12"/>
                <w:b w:val="1"/>
                <w:bCs w:val="1"/>
                <w:color w:val="E2231A"/>
                <w:w w:val="97"/>
              </w:rPr>
              <w:t>Estimated Future Payouts</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6"/>
              </w:rPr>
              <w:t>Number of</w:t>
            </w:r>
          </w:p>
        </w:tc>
        <w:tc>
          <w:tcPr>
            <w:tcW w:w="160" w:type="dxa"/>
            <w:vAlign w:val="bottom"/>
          </w:tcPr>
          <w:p>
            <w:pPr>
              <w:spacing w:after="0"/>
              <w:rPr>
                <w:sz w:val="11"/>
                <w:szCs w:val="11"/>
                <w:color w:val="auto"/>
              </w:rPr>
            </w:pPr>
          </w:p>
        </w:tc>
        <w:tc>
          <w:tcPr>
            <w:tcW w:w="66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E2231A"/>
                <w:w w:val="97"/>
              </w:rPr>
              <w:t>Stock</w:t>
            </w: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E2231A"/>
                <w:w w:val="99"/>
              </w:rPr>
              <w:t>Awards</w:t>
            </w:r>
            <w:r>
              <w:rPr>
                <w:rFonts w:ascii="Arial" w:cs="Arial" w:eastAsia="Arial" w:hAnsi="Arial"/>
                <w:sz w:val="9"/>
                <w:szCs w:val="9"/>
                <w:b w:val="1"/>
                <w:bCs w:val="1"/>
                <w:color w:val="E2231A"/>
                <w:w w:val="99"/>
              </w:rPr>
              <w:t>(1)</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gridSpan w:val="4"/>
          </w:tcPr>
          <w:p>
            <w:pPr>
              <w:jc w:val="center"/>
              <w:ind w:right="60"/>
              <w:spacing w:after="0" w:line="135" w:lineRule="exact"/>
              <w:rPr>
                <w:sz w:val="20"/>
                <w:szCs w:val="20"/>
                <w:color w:val="auto"/>
              </w:rPr>
            </w:pPr>
            <w:r>
              <w:rPr>
                <w:rFonts w:ascii="Arial" w:cs="Arial" w:eastAsia="Arial" w:hAnsi="Arial"/>
                <w:sz w:val="12"/>
                <w:szCs w:val="12"/>
                <w:b w:val="1"/>
                <w:bCs w:val="1"/>
                <w:color w:val="E2231A"/>
                <w:w w:val="97"/>
              </w:rPr>
              <w:t>Under Equity Incentive Plan Awards</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4"/>
              </w:rPr>
              <w:t>Shares</w:t>
            </w:r>
          </w:p>
        </w:tc>
        <w:tc>
          <w:tcPr>
            <w:tcW w:w="160" w:type="dxa"/>
            <w:vAlign w:val="bottom"/>
          </w:tcPr>
          <w:p>
            <w:pPr>
              <w:spacing w:after="0"/>
              <w:rPr>
                <w:sz w:val="11"/>
                <w:szCs w:val="11"/>
                <w:color w:val="auto"/>
              </w:rPr>
            </w:pPr>
          </w:p>
        </w:tc>
        <w:tc>
          <w:tcPr>
            <w:tcW w:w="66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E2231A"/>
                <w:w w:val="93"/>
              </w:rPr>
              <w:t>and</w:t>
            </w:r>
          </w:p>
        </w:tc>
        <w:tc>
          <w:tcPr>
            <w:tcW w:w="0" w:type="dxa"/>
            <w:vAlign w:val="bottom"/>
          </w:tcPr>
          <w:p>
            <w:pPr>
              <w:spacing w:after="0"/>
              <w:rPr>
                <w:sz w:val="1"/>
                <w:szCs w:val="1"/>
                <w:color w:val="auto"/>
              </w:rPr>
            </w:pPr>
          </w:p>
        </w:tc>
      </w:tr>
      <w:tr>
        <w:trPr>
          <w:trHeight w:val="25"/>
        </w:trPr>
        <w:tc>
          <w:tcPr>
            <w:tcW w:w="2730" w:type="dxa"/>
            <w:vAlign w:val="bottom"/>
          </w:tcPr>
          <w:p>
            <w:pPr>
              <w:spacing w:after="0"/>
              <w:rPr>
                <w:sz w:val="2"/>
                <w:szCs w:val="2"/>
                <w:color w:val="auto"/>
              </w:rPr>
            </w:pPr>
          </w:p>
        </w:tc>
        <w:tc>
          <w:tcPr>
            <w:tcW w:w="181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E2231A"/>
                <w:w w:val="97"/>
              </w:rPr>
              <w:t>of Stock</w:t>
            </w:r>
          </w:p>
        </w:tc>
        <w:tc>
          <w:tcPr>
            <w:tcW w:w="160" w:type="dxa"/>
            <w:vAlign w:val="bottom"/>
          </w:tcPr>
          <w:p>
            <w:pPr>
              <w:spacing w:after="0"/>
              <w:rPr>
                <w:sz w:val="2"/>
                <w:szCs w:val="2"/>
                <w:color w:val="auto"/>
              </w:rPr>
            </w:pPr>
          </w:p>
        </w:tc>
        <w:tc>
          <w:tcPr>
            <w:tcW w:w="660" w:type="dxa"/>
            <w:vAlign w:val="bottom"/>
            <w:vMerge w:val="restart"/>
          </w:tcPr>
          <w:p>
            <w:pPr>
              <w:jc w:val="center"/>
              <w:ind w:right="119"/>
              <w:spacing w:after="0" w:line="135" w:lineRule="exact"/>
              <w:rPr>
                <w:sz w:val="20"/>
                <w:szCs w:val="20"/>
                <w:color w:val="auto"/>
              </w:rPr>
            </w:pPr>
            <w:r>
              <w:rPr>
                <w:rFonts w:ascii="Arial" w:cs="Arial" w:eastAsia="Arial" w:hAnsi="Arial"/>
                <w:sz w:val="12"/>
                <w:szCs w:val="12"/>
                <w:b w:val="1"/>
                <w:bCs w:val="1"/>
                <w:color w:val="E2231A"/>
                <w:w w:val="92"/>
              </w:rPr>
              <w:t>Option</w:t>
            </w:r>
          </w:p>
        </w:tc>
        <w:tc>
          <w:tcPr>
            <w:tcW w:w="0" w:type="dxa"/>
            <w:vAlign w:val="bottom"/>
          </w:tcPr>
          <w:p>
            <w:pPr>
              <w:spacing w:after="0"/>
              <w:rPr>
                <w:sz w:val="1"/>
                <w:szCs w:val="1"/>
                <w:color w:val="auto"/>
              </w:rPr>
            </w:pPr>
          </w:p>
        </w:tc>
      </w:tr>
      <w:tr>
        <w:trPr>
          <w:trHeight w:val="90"/>
        </w:trPr>
        <w:tc>
          <w:tcPr>
            <w:tcW w:w="2730" w:type="dxa"/>
            <w:vAlign w:val="bottom"/>
          </w:tcPr>
          <w:p>
            <w:pPr>
              <w:spacing w:after="0"/>
              <w:rPr>
                <w:sz w:val="7"/>
                <w:szCs w:val="7"/>
                <w:color w:val="auto"/>
              </w:rPr>
            </w:pPr>
          </w:p>
        </w:tc>
        <w:tc>
          <w:tcPr>
            <w:tcW w:w="181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jc w:val="right"/>
              <w:ind w:right="637"/>
              <w:spacing w:after="0" w:line="135" w:lineRule="exact"/>
              <w:rPr>
                <w:sz w:val="20"/>
                <w:szCs w:val="20"/>
                <w:color w:val="auto"/>
              </w:rPr>
            </w:pPr>
            <w:r>
              <w:rPr>
                <w:rFonts w:ascii="Arial" w:cs="Arial" w:eastAsia="Arial" w:hAnsi="Arial"/>
                <w:sz w:val="12"/>
                <w:szCs w:val="12"/>
                <w:b w:val="1"/>
                <w:bCs w:val="1"/>
                <w:color w:val="E2231A"/>
              </w:rPr>
              <w:t>Type of</w:t>
            </w:r>
          </w:p>
        </w:tc>
        <w:tc>
          <w:tcPr>
            <w:tcW w:w="820" w:type="dxa"/>
            <w:vAlign w:val="bottom"/>
          </w:tcPr>
          <w:p>
            <w:pPr>
              <w:jc w:val="right"/>
              <w:ind w:right="258"/>
              <w:spacing w:after="0" w:line="135" w:lineRule="exact"/>
              <w:rPr>
                <w:sz w:val="20"/>
                <w:szCs w:val="20"/>
                <w:color w:val="auto"/>
              </w:rPr>
            </w:pPr>
            <w:r>
              <w:rPr>
                <w:rFonts w:ascii="Arial" w:cs="Arial" w:eastAsia="Arial" w:hAnsi="Arial"/>
                <w:sz w:val="12"/>
                <w:szCs w:val="12"/>
                <w:b w:val="1"/>
                <w:bCs w:val="1"/>
                <w:color w:val="E2231A"/>
              </w:rPr>
              <w:t>Grant</w:t>
            </w:r>
          </w:p>
        </w:tc>
        <w:tc>
          <w:tcPr>
            <w:tcW w:w="720" w:type="dxa"/>
            <w:vAlign w:val="bottom"/>
            <w:gridSpan w:val="2"/>
          </w:tcPr>
          <w:p>
            <w:pPr>
              <w:jc w:val="right"/>
              <w:ind w:right="59"/>
              <w:spacing w:after="0" w:line="135" w:lineRule="exact"/>
              <w:rPr>
                <w:sz w:val="20"/>
                <w:szCs w:val="20"/>
                <w:color w:val="auto"/>
              </w:rPr>
            </w:pPr>
            <w:r>
              <w:rPr>
                <w:rFonts w:ascii="Arial" w:cs="Arial" w:eastAsia="Arial" w:hAnsi="Arial"/>
                <w:sz w:val="12"/>
                <w:szCs w:val="12"/>
                <w:b w:val="1"/>
                <w:bCs w:val="1"/>
                <w:color w:val="E2231A"/>
                <w:w w:val="99"/>
              </w:rPr>
              <w:t>Threshold</w:t>
            </w:r>
          </w:p>
        </w:tc>
        <w:tc>
          <w:tcPr>
            <w:tcW w:w="140" w:type="dxa"/>
            <w:vAlign w:val="bottom"/>
          </w:tcPr>
          <w:p>
            <w:pPr>
              <w:spacing w:after="0"/>
              <w:rPr>
                <w:sz w:val="11"/>
                <w:szCs w:val="11"/>
                <w:color w:val="auto"/>
              </w:rPr>
            </w:pPr>
          </w:p>
        </w:tc>
        <w:tc>
          <w:tcPr>
            <w:tcW w:w="640" w:type="dxa"/>
            <w:vAlign w:val="bottom"/>
          </w:tcPr>
          <w:p>
            <w:pPr>
              <w:jc w:val="center"/>
              <w:ind w:right="98"/>
              <w:spacing w:after="0" w:line="135" w:lineRule="exact"/>
              <w:rPr>
                <w:sz w:val="20"/>
                <w:szCs w:val="20"/>
                <w:color w:val="auto"/>
              </w:rPr>
            </w:pPr>
            <w:r>
              <w:rPr>
                <w:rFonts w:ascii="Arial" w:cs="Arial" w:eastAsia="Arial" w:hAnsi="Arial"/>
                <w:sz w:val="12"/>
                <w:szCs w:val="12"/>
                <w:b w:val="1"/>
                <w:bCs w:val="1"/>
                <w:color w:val="E2231A"/>
                <w:w w:val="98"/>
              </w:rPr>
              <w:t>Target</w:t>
            </w:r>
          </w:p>
        </w:tc>
        <w:tc>
          <w:tcPr>
            <w:tcW w:w="8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E2231A"/>
                <w:w w:val="97"/>
              </w:rPr>
              <w:t>Maximum</w:t>
            </w:r>
          </w:p>
        </w:tc>
        <w:tc>
          <w:tcPr>
            <w:tcW w:w="760" w:type="dxa"/>
            <w:vAlign w:val="bottom"/>
          </w:tcPr>
          <w:p>
            <w:pPr>
              <w:jc w:val="right"/>
              <w:ind w:right="79"/>
              <w:spacing w:after="0" w:line="135" w:lineRule="exact"/>
              <w:rPr>
                <w:sz w:val="20"/>
                <w:szCs w:val="20"/>
                <w:color w:val="auto"/>
              </w:rPr>
            </w:pPr>
            <w:r>
              <w:rPr>
                <w:rFonts w:ascii="Arial" w:cs="Arial" w:eastAsia="Arial" w:hAnsi="Arial"/>
                <w:sz w:val="12"/>
                <w:szCs w:val="12"/>
                <w:b w:val="1"/>
                <w:bCs w:val="1"/>
                <w:color w:val="E2231A"/>
              </w:rPr>
              <w:t>Threshold</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2"/>
              </w:rPr>
              <w:t>Target</w:t>
            </w:r>
          </w:p>
        </w:tc>
        <w:tc>
          <w:tcPr>
            <w:tcW w:w="78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E2231A"/>
                <w:w w:val="97"/>
              </w:rPr>
              <w:t>Maximum</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6"/>
              </w:rPr>
              <w:t>or Units</w:t>
            </w:r>
          </w:p>
        </w:tc>
        <w:tc>
          <w:tcPr>
            <w:tcW w:w="8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E2231A"/>
                <w:w w:val="99"/>
              </w:rPr>
              <w:t>Awards</w:t>
            </w:r>
            <w:r>
              <w:rPr>
                <w:rFonts w:ascii="Arial" w:cs="Arial" w:eastAsia="Arial" w:hAnsi="Arial"/>
                <w:sz w:val="9"/>
                <w:szCs w:val="9"/>
                <w:b w:val="1"/>
                <w:bCs w:val="1"/>
                <w:color w:val="E2231A"/>
                <w:w w:val="99"/>
              </w:rPr>
              <w:t>(2)</w:t>
            </w:r>
          </w:p>
        </w:tc>
        <w:tc>
          <w:tcPr>
            <w:tcW w:w="0" w:type="dxa"/>
            <w:vAlign w:val="bottom"/>
          </w:tcPr>
          <w:p>
            <w:pPr>
              <w:spacing w:after="0"/>
              <w:rPr>
                <w:sz w:val="1"/>
                <w:szCs w:val="1"/>
                <w:color w:val="auto"/>
              </w:rPr>
            </w:pPr>
          </w:p>
        </w:tc>
      </w:tr>
      <w:tr>
        <w:trPr>
          <w:trHeight w:val="154"/>
        </w:trPr>
        <w:tc>
          <w:tcPr>
            <w:tcW w:w="2730" w:type="dxa"/>
            <w:vAlign w:val="bottom"/>
          </w:tcPr>
          <w:p>
            <w:pPr>
              <w:ind w:left="80"/>
              <w:spacing w:after="0"/>
              <w:rPr>
                <w:sz w:val="20"/>
                <w:szCs w:val="20"/>
                <w:color w:val="auto"/>
              </w:rPr>
            </w:pPr>
            <w:r>
              <w:rPr>
                <w:rFonts w:ascii="Arial" w:cs="Arial" w:eastAsia="Arial" w:hAnsi="Arial"/>
                <w:sz w:val="12"/>
                <w:szCs w:val="12"/>
                <w:b w:val="1"/>
                <w:bCs w:val="1"/>
                <w:color w:val="E2231A"/>
              </w:rPr>
              <w:t>Name</w:t>
            </w:r>
            <w:r>
              <w:rPr>
                <w:rFonts w:ascii="Arial" w:cs="Arial" w:eastAsia="Arial" w:hAnsi="Arial"/>
                <w:sz w:val="9"/>
                <w:szCs w:val="9"/>
                <w:b w:val="1"/>
                <w:bCs w:val="1"/>
                <w:color w:val="E2231A"/>
              </w:rPr>
              <w:t>(a)</w:t>
            </w:r>
          </w:p>
        </w:tc>
        <w:tc>
          <w:tcPr>
            <w:tcW w:w="1810" w:type="dxa"/>
            <w:vAlign w:val="bottom"/>
          </w:tcPr>
          <w:p>
            <w:pPr>
              <w:jc w:val="right"/>
              <w:ind w:right="657"/>
              <w:spacing w:after="0"/>
              <w:rPr>
                <w:sz w:val="20"/>
                <w:szCs w:val="20"/>
                <w:color w:val="auto"/>
              </w:rPr>
            </w:pPr>
            <w:r>
              <w:rPr>
                <w:rFonts w:ascii="Arial" w:cs="Arial" w:eastAsia="Arial" w:hAnsi="Arial"/>
                <w:sz w:val="12"/>
                <w:szCs w:val="12"/>
                <w:b w:val="1"/>
                <w:bCs w:val="1"/>
                <w:color w:val="E2231A"/>
              </w:rPr>
              <w:t>Award</w:t>
            </w:r>
          </w:p>
        </w:tc>
        <w:tc>
          <w:tcPr>
            <w:tcW w:w="820" w:type="dxa"/>
            <w:vAlign w:val="bottom"/>
          </w:tcPr>
          <w:p>
            <w:pPr>
              <w:jc w:val="right"/>
              <w:ind w:right="198"/>
              <w:spacing w:after="0"/>
              <w:rPr>
                <w:sz w:val="20"/>
                <w:szCs w:val="20"/>
                <w:color w:val="auto"/>
              </w:rPr>
            </w:pPr>
            <w:r>
              <w:rPr>
                <w:rFonts w:ascii="Arial" w:cs="Arial" w:eastAsia="Arial" w:hAnsi="Arial"/>
                <w:sz w:val="12"/>
                <w:szCs w:val="12"/>
                <w:b w:val="1"/>
                <w:bCs w:val="1"/>
                <w:color w:val="E2231A"/>
              </w:rPr>
              <w:t>Date (b)</w:t>
            </w:r>
          </w:p>
        </w:tc>
        <w:tc>
          <w:tcPr>
            <w:tcW w:w="80" w:type="dxa"/>
            <w:vAlign w:val="bottom"/>
          </w:tcPr>
          <w:p>
            <w:pPr>
              <w:spacing w:after="0"/>
              <w:rPr>
                <w:sz w:val="13"/>
                <w:szCs w:val="13"/>
                <w:color w:val="auto"/>
              </w:rPr>
            </w:pPr>
          </w:p>
        </w:tc>
        <w:tc>
          <w:tcPr>
            <w:tcW w:w="640" w:type="dxa"/>
            <w:vAlign w:val="bottom"/>
          </w:tcPr>
          <w:p>
            <w:pPr>
              <w:jc w:val="right"/>
              <w:ind w:right="259"/>
              <w:spacing w:after="0"/>
              <w:rPr>
                <w:sz w:val="20"/>
                <w:szCs w:val="20"/>
                <w:color w:val="auto"/>
              </w:rPr>
            </w:pPr>
            <w:r>
              <w:rPr>
                <w:rFonts w:ascii="Arial" w:cs="Arial" w:eastAsia="Arial" w:hAnsi="Arial"/>
                <w:sz w:val="12"/>
                <w:szCs w:val="12"/>
                <w:b w:val="1"/>
                <w:bCs w:val="1"/>
                <w:color w:val="E2231A"/>
              </w:rPr>
              <w:t>(c)</w:t>
            </w:r>
          </w:p>
        </w:tc>
        <w:tc>
          <w:tcPr>
            <w:tcW w:w="140" w:type="dxa"/>
            <w:vAlign w:val="bottom"/>
          </w:tcPr>
          <w:p>
            <w:pPr>
              <w:spacing w:after="0"/>
              <w:rPr>
                <w:sz w:val="13"/>
                <w:szCs w:val="13"/>
                <w:color w:val="auto"/>
              </w:rPr>
            </w:pPr>
          </w:p>
        </w:tc>
        <w:tc>
          <w:tcPr>
            <w:tcW w:w="640" w:type="dxa"/>
            <w:vAlign w:val="bottom"/>
          </w:tcPr>
          <w:p>
            <w:pPr>
              <w:jc w:val="center"/>
              <w:ind w:right="98"/>
              <w:spacing w:after="0"/>
              <w:rPr>
                <w:sz w:val="20"/>
                <w:szCs w:val="20"/>
                <w:color w:val="auto"/>
              </w:rPr>
            </w:pPr>
            <w:r>
              <w:rPr>
                <w:rFonts w:ascii="Arial" w:cs="Arial" w:eastAsia="Arial" w:hAnsi="Arial"/>
                <w:sz w:val="12"/>
                <w:szCs w:val="12"/>
                <w:b w:val="1"/>
                <w:bCs w:val="1"/>
                <w:color w:val="E2231A"/>
              </w:rPr>
              <w:t>(d)</w:t>
            </w:r>
          </w:p>
        </w:tc>
        <w:tc>
          <w:tcPr>
            <w:tcW w:w="8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E2231A"/>
                <w:w w:val="95"/>
              </w:rPr>
              <w:t>(e)</w:t>
            </w:r>
          </w:p>
        </w:tc>
        <w:tc>
          <w:tcPr>
            <w:tcW w:w="760" w:type="dxa"/>
            <w:vAlign w:val="bottom"/>
          </w:tcPr>
          <w:p>
            <w:pPr>
              <w:jc w:val="right"/>
              <w:ind w:right="239"/>
              <w:spacing w:after="0"/>
              <w:rPr>
                <w:sz w:val="20"/>
                <w:szCs w:val="20"/>
                <w:color w:val="auto"/>
              </w:rPr>
            </w:pPr>
            <w:r>
              <w:rPr>
                <w:rFonts w:ascii="Arial" w:cs="Arial" w:eastAsia="Arial" w:hAnsi="Arial"/>
                <w:sz w:val="12"/>
                <w:szCs w:val="12"/>
                <w:b w:val="1"/>
                <w:bCs w:val="1"/>
                <w:color w:val="E2231A"/>
              </w:rPr>
              <w:t>(f)(#)</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E2231A"/>
              </w:rPr>
              <w:t>(g)(#)</w:t>
            </w:r>
          </w:p>
        </w:tc>
        <w:tc>
          <w:tcPr>
            <w:tcW w:w="7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E2231A"/>
                <w:w w:val="99"/>
              </w:rPr>
              <w:t>(h)(#)</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E2231A"/>
                <w:w w:val="99"/>
              </w:rPr>
              <w:t>(i)(#)</w:t>
            </w:r>
          </w:p>
        </w:tc>
        <w:tc>
          <w:tcPr>
            <w:tcW w:w="160" w:type="dxa"/>
            <w:vAlign w:val="bottom"/>
          </w:tcPr>
          <w:p>
            <w:pPr>
              <w:spacing w:after="0"/>
              <w:rPr>
                <w:sz w:val="13"/>
                <w:szCs w:val="13"/>
                <w:color w:val="auto"/>
              </w:rPr>
            </w:pPr>
          </w:p>
        </w:tc>
        <w:tc>
          <w:tcPr>
            <w:tcW w:w="660" w:type="dxa"/>
            <w:vAlign w:val="bottom"/>
          </w:tcPr>
          <w:p>
            <w:pPr>
              <w:jc w:val="center"/>
              <w:ind w:right="119"/>
              <w:spacing w:after="0"/>
              <w:rPr>
                <w:sz w:val="20"/>
                <w:szCs w:val="20"/>
                <w:color w:val="auto"/>
              </w:rPr>
            </w:pPr>
            <w:r>
              <w:rPr>
                <w:rFonts w:ascii="Arial" w:cs="Arial" w:eastAsia="Arial" w:hAnsi="Arial"/>
                <w:sz w:val="12"/>
                <w:szCs w:val="12"/>
                <w:b w:val="1"/>
                <w:bCs w:val="1"/>
                <w:color w:val="E2231A"/>
              </w:rPr>
              <w:t>(l)</w:t>
            </w:r>
          </w:p>
        </w:tc>
        <w:tc>
          <w:tcPr>
            <w:tcW w:w="0" w:type="dxa"/>
            <w:vAlign w:val="bottom"/>
          </w:tcPr>
          <w:p>
            <w:pPr>
              <w:spacing w:after="0"/>
              <w:rPr>
                <w:sz w:val="1"/>
                <w:szCs w:val="1"/>
                <w:color w:val="auto"/>
              </w:rPr>
            </w:pPr>
          </w:p>
        </w:tc>
      </w:tr>
      <w:tr>
        <w:trPr>
          <w:trHeight w:val="74"/>
        </w:trPr>
        <w:tc>
          <w:tcPr>
            <w:tcW w:w="2730" w:type="dxa"/>
            <w:vAlign w:val="bottom"/>
            <w:tcBorders>
              <w:bottom w:val="single" w:sz="8" w:color="auto"/>
            </w:tcBorders>
          </w:tcPr>
          <w:p>
            <w:pPr>
              <w:spacing w:after="0"/>
              <w:rPr>
                <w:sz w:val="6"/>
                <w:szCs w:val="6"/>
                <w:color w:val="auto"/>
              </w:rPr>
            </w:pPr>
          </w:p>
        </w:tc>
        <w:tc>
          <w:tcPr>
            <w:tcW w:w="181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73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Matthew J. Simoncini</w:t>
            </w:r>
          </w:p>
        </w:tc>
        <w:tc>
          <w:tcPr>
            <w:tcW w:w="181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Annual Incentive Award</w:t>
            </w:r>
          </w:p>
        </w:tc>
        <w:tc>
          <w:tcPr>
            <w:tcW w:w="820" w:type="dxa"/>
            <w:vAlign w:val="bottom"/>
            <w:shd w:val="clear" w:color="auto" w:fill="FCE9E8"/>
          </w:tcPr>
          <w:p>
            <w:pPr>
              <w:spacing w:after="0"/>
              <w:rPr>
                <w:sz w:val="10"/>
                <w:szCs w:val="10"/>
                <w:color w:val="auto"/>
              </w:rPr>
            </w:pPr>
          </w:p>
        </w:tc>
        <w:tc>
          <w:tcPr>
            <w:tcW w:w="80" w:type="dxa"/>
            <w:vAlign w:val="bottom"/>
            <w:shd w:val="clear" w:color="auto" w:fill="FCE9E8"/>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FCE9E8"/>
          </w:tcPr>
          <w:p>
            <w:pPr>
              <w:jc w:val="right"/>
              <w:ind w:right="19"/>
              <w:spacing w:after="0" w:line="123" w:lineRule="exact"/>
              <w:rPr>
                <w:sz w:val="20"/>
                <w:szCs w:val="20"/>
                <w:color w:val="auto"/>
              </w:rPr>
            </w:pPr>
            <w:r>
              <w:rPr>
                <w:rFonts w:ascii="Arial" w:cs="Arial" w:eastAsia="Arial" w:hAnsi="Arial"/>
                <w:sz w:val="13"/>
                <w:szCs w:val="13"/>
                <w:color w:val="auto"/>
                <w:w w:val="93"/>
              </w:rPr>
              <w:t>1,008,000</w:t>
            </w:r>
          </w:p>
        </w:tc>
        <w:tc>
          <w:tcPr>
            <w:tcW w:w="14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8"/>
              <w:spacing w:after="0" w:line="123" w:lineRule="exact"/>
              <w:rPr>
                <w:sz w:val="20"/>
                <w:szCs w:val="20"/>
                <w:color w:val="auto"/>
              </w:rPr>
            </w:pPr>
            <w:r>
              <w:rPr>
                <w:rFonts w:ascii="Arial" w:cs="Arial" w:eastAsia="Arial" w:hAnsi="Arial"/>
                <w:sz w:val="13"/>
                <w:szCs w:val="13"/>
                <w:color w:val="auto"/>
                <w:w w:val="93"/>
              </w:rPr>
              <w:t>2,016,000</w:t>
            </w:r>
          </w:p>
        </w:tc>
        <w:tc>
          <w:tcPr>
            <w:tcW w:w="840" w:type="dxa"/>
            <w:vAlign w:val="bottom"/>
            <w:gridSpan w:val="2"/>
            <w:shd w:val="clear" w:color="auto" w:fill="FCE9E8"/>
          </w:tcPr>
          <w:p>
            <w:pPr>
              <w:jc w:val="center"/>
              <w:ind w:right="60"/>
              <w:spacing w:after="0" w:line="123" w:lineRule="exact"/>
              <w:rPr>
                <w:sz w:val="20"/>
                <w:szCs w:val="20"/>
                <w:color w:val="auto"/>
              </w:rPr>
            </w:pPr>
            <w:r>
              <w:rPr>
                <w:rFonts w:ascii="Arial" w:cs="Arial" w:eastAsia="Arial" w:hAnsi="Arial"/>
                <w:sz w:val="13"/>
                <w:szCs w:val="13"/>
                <w:color w:val="auto"/>
                <w:w w:val="96"/>
              </w:rPr>
              <w:t>$ 4,032,000</w:t>
            </w:r>
          </w:p>
        </w:tc>
        <w:tc>
          <w:tcPr>
            <w:tcW w:w="760" w:type="dxa"/>
            <w:vAlign w:val="bottom"/>
            <w:shd w:val="clear" w:color="auto" w:fill="FCE9E8"/>
          </w:tcPr>
          <w:p>
            <w:pPr>
              <w:spacing w:after="0"/>
              <w:rPr>
                <w:sz w:val="10"/>
                <w:szCs w:val="10"/>
                <w:color w:val="auto"/>
              </w:rPr>
            </w:pPr>
          </w:p>
        </w:tc>
        <w:tc>
          <w:tcPr>
            <w:tcW w:w="640" w:type="dxa"/>
            <w:vAlign w:val="bottom"/>
            <w:shd w:val="clear" w:color="auto" w:fill="FCE9E8"/>
          </w:tcPr>
          <w:p>
            <w:pPr>
              <w:spacing w:after="0"/>
              <w:rPr>
                <w:sz w:val="10"/>
                <w:szCs w:val="10"/>
                <w:color w:val="auto"/>
              </w:rPr>
            </w:pPr>
          </w:p>
        </w:tc>
        <w:tc>
          <w:tcPr>
            <w:tcW w:w="720" w:type="dxa"/>
            <w:vAlign w:val="bottom"/>
            <w:shd w:val="clear" w:color="auto" w:fill="FCE9E8"/>
          </w:tcPr>
          <w:p>
            <w:pPr>
              <w:spacing w:after="0"/>
              <w:rPr>
                <w:sz w:val="10"/>
                <w:szCs w:val="10"/>
                <w:color w:val="auto"/>
              </w:rPr>
            </w:pPr>
          </w:p>
        </w:tc>
        <w:tc>
          <w:tcPr>
            <w:tcW w:w="60" w:type="dxa"/>
            <w:vAlign w:val="bottom"/>
            <w:shd w:val="clear" w:color="auto" w:fill="FCE9E8"/>
          </w:tcPr>
          <w:p>
            <w:pPr>
              <w:spacing w:after="0"/>
              <w:rPr>
                <w:sz w:val="10"/>
                <w:szCs w:val="10"/>
                <w:color w:val="auto"/>
              </w:rPr>
            </w:pPr>
          </w:p>
        </w:tc>
        <w:tc>
          <w:tcPr>
            <w:tcW w:w="720" w:type="dxa"/>
            <w:vAlign w:val="bottom"/>
            <w:shd w:val="clear" w:color="auto" w:fill="FCE9E8"/>
          </w:tcPr>
          <w:p>
            <w:pPr>
              <w:spacing w:after="0"/>
              <w:rPr>
                <w:sz w:val="10"/>
                <w:szCs w:val="10"/>
                <w:color w:val="auto"/>
              </w:rPr>
            </w:pPr>
          </w:p>
        </w:tc>
        <w:tc>
          <w:tcPr>
            <w:tcW w:w="160" w:type="dxa"/>
            <w:vAlign w:val="bottom"/>
            <w:shd w:val="clear" w:color="auto" w:fill="FCE9E8"/>
          </w:tcPr>
          <w:p>
            <w:pPr>
              <w:spacing w:after="0"/>
              <w:rPr>
                <w:sz w:val="10"/>
                <w:szCs w:val="10"/>
                <w:color w:val="auto"/>
              </w:rPr>
            </w:pPr>
          </w:p>
        </w:tc>
        <w:tc>
          <w:tcPr>
            <w:tcW w:w="660" w:type="dxa"/>
            <w:vAlign w:val="bottom"/>
            <w:shd w:val="clear" w:color="auto" w:fill="FCE9E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30" w:type="dxa"/>
            <w:vAlign w:val="bottom"/>
            <w:shd w:val="clear" w:color="auto" w:fill="FCE9E8"/>
          </w:tcPr>
          <w:p>
            <w:pPr>
              <w:spacing w:after="0"/>
              <w:rPr>
                <w:sz w:val="11"/>
                <w:szCs w:val="11"/>
                <w:color w:val="auto"/>
              </w:rPr>
            </w:pPr>
          </w:p>
        </w:tc>
        <w:tc>
          <w:tcPr>
            <w:tcW w:w="181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820" w:type="dxa"/>
            <w:vAlign w:val="bottom"/>
            <w:shd w:val="clear" w:color="auto" w:fill="FCE9E8"/>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14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760" w:type="dxa"/>
            <w:vAlign w:val="bottom"/>
            <w:shd w:val="clear" w:color="auto" w:fill="FCE9E8"/>
          </w:tcPr>
          <w:p>
            <w:pPr>
              <w:jc w:val="right"/>
              <w:ind w:right="39"/>
              <w:spacing w:after="0" w:line="135" w:lineRule="exact"/>
              <w:rPr>
                <w:sz w:val="20"/>
                <w:szCs w:val="20"/>
                <w:color w:val="auto"/>
              </w:rPr>
            </w:pPr>
            <w:r>
              <w:rPr>
                <w:rFonts w:ascii="Arial" w:cs="Arial" w:eastAsia="Arial" w:hAnsi="Arial"/>
                <w:sz w:val="13"/>
                <w:szCs w:val="13"/>
                <w:color w:val="auto"/>
              </w:rPr>
              <w:t>24,464</w:t>
            </w:r>
          </w:p>
        </w:tc>
        <w:tc>
          <w:tcPr>
            <w:tcW w:w="640" w:type="dxa"/>
            <w:vAlign w:val="bottom"/>
            <w:shd w:val="clear" w:color="auto" w:fill="FCE9E8"/>
          </w:tcPr>
          <w:p>
            <w:pPr>
              <w:ind w:left="160"/>
              <w:spacing w:after="0" w:line="135" w:lineRule="exact"/>
              <w:rPr>
                <w:sz w:val="20"/>
                <w:szCs w:val="20"/>
                <w:color w:val="auto"/>
              </w:rPr>
            </w:pPr>
            <w:r>
              <w:rPr>
                <w:rFonts w:ascii="Arial" w:cs="Arial" w:eastAsia="Arial" w:hAnsi="Arial"/>
                <w:sz w:val="13"/>
                <w:szCs w:val="13"/>
                <w:color w:val="auto"/>
              </w:rPr>
              <w:t>48,928</w:t>
            </w:r>
          </w:p>
        </w:tc>
        <w:tc>
          <w:tcPr>
            <w:tcW w:w="780" w:type="dxa"/>
            <w:vAlign w:val="bottom"/>
            <w:gridSpan w:val="2"/>
            <w:shd w:val="clear" w:color="auto" w:fill="FCE9E8"/>
          </w:tcPr>
          <w:p>
            <w:pPr>
              <w:jc w:val="right"/>
              <w:ind w:right="60"/>
              <w:spacing w:after="0" w:line="135" w:lineRule="exact"/>
              <w:rPr>
                <w:sz w:val="20"/>
                <w:szCs w:val="20"/>
                <w:color w:val="auto"/>
              </w:rPr>
            </w:pPr>
            <w:r>
              <w:rPr>
                <w:rFonts w:ascii="Arial" w:cs="Arial" w:eastAsia="Arial" w:hAnsi="Arial"/>
                <w:sz w:val="13"/>
                <w:szCs w:val="13"/>
                <w:color w:val="auto"/>
              </w:rPr>
              <w:t>97,856</w:t>
            </w:r>
          </w:p>
        </w:tc>
        <w:tc>
          <w:tcPr>
            <w:tcW w:w="720" w:type="dxa"/>
            <w:vAlign w:val="bottom"/>
            <w:shd w:val="clear" w:color="auto" w:fill="FCE9E8"/>
          </w:tcPr>
          <w:p>
            <w:pPr>
              <w:spacing w:after="0"/>
              <w:rPr>
                <w:sz w:val="11"/>
                <w:szCs w:val="11"/>
                <w:color w:val="auto"/>
              </w:rPr>
            </w:pP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39"/>
              <w:spacing w:after="0" w:line="135" w:lineRule="exact"/>
              <w:rPr>
                <w:sz w:val="20"/>
                <w:szCs w:val="20"/>
                <w:color w:val="auto"/>
              </w:rPr>
            </w:pPr>
            <w:r>
              <w:rPr>
                <w:rFonts w:ascii="Arial" w:cs="Arial" w:eastAsia="Arial" w:hAnsi="Arial"/>
                <w:sz w:val="13"/>
                <w:szCs w:val="13"/>
                <w:color w:val="auto"/>
                <w:w w:val="93"/>
              </w:rPr>
              <w:t>5,906,099</w:t>
            </w:r>
          </w:p>
        </w:tc>
        <w:tc>
          <w:tcPr>
            <w:tcW w:w="0" w:type="dxa"/>
            <w:vAlign w:val="bottom"/>
          </w:tcPr>
          <w:p>
            <w:pPr>
              <w:spacing w:after="0"/>
              <w:rPr>
                <w:sz w:val="1"/>
                <w:szCs w:val="1"/>
                <w:color w:val="auto"/>
              </w:rPr>
            </w:pPr>
          </w:p>
        </w:tc>
      </w:tr>
      <w:tr>
        <w:trPr>
          <w:trHeight w:val="135"/>
        </w:trPr>
        <w:tc>
          <w:tcPr>
            <w:tcW w:w="2730" w:type="dxa"/>
            <w:vAlign w:val="bottom"/>
            <w:shd w:val="clear" w:color="auto" w:fill="FCE9E8"/>
          </w:tcPr>
          <w:p>
            <w:pPr>
              <w:spacing w:after="0"/>
              <w:rPr>
                <w:sz w:val="11"/>
                <w:szCs w:val="11"/>
                <w:color w:val="auto"/>
              </w:rPr>
            </w:pPr>
          </w:p>
        </w:tc>
        <w:tc>
          <w:tcPr>
            <w:tcW w:w="181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820" w:type="dxa"/>
            <w:vAlign w:val="bottom"/>
            <w:shd w:val="clear" w:color="auto" w:fill="FCE9E8"/>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14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76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60" w:type="dxa"/>
            <w:vAlign w:val="bottom"/>
            <w:shd w:val="clear" w:color="auto" w:fill="FCE9E8"/>
          </w:tcPr>
          <w:p>
            <w:pPr>
              <w:spacing w:after="0"/>
              <w:rPr>
                <w:sz w:val="11"/>
                <w:szCs w:val="11"/>
                <w:color w:val="auto"/>
              </w:rPr>
            </w:pPr>
          </w:p>
        </w:tc>
        <w:tc>
          <w:tcPr>
            <w:tcW w:w="72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16,309</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39"/>
              <w:spacing w:after="0" w:line="135" w:lineRule="exact"/>
              <w:rPr>
                <w:sz w:val="20"/>
                <w:szCs w:val="20"/>
                <w:color w:val="auto"/>
              </w:rPr>
            </w:pPr>
            <w:r>
              <w:rPr>
                <w:rFonts w:ascii="Arial" w:cs="Arial" w:eastAsia="Arial" w:hAnsi="Arial"/>
                <w:sz w:val="13"/>
                <w:szCs w:val="13"/>
                <w:color w:val="auto"/>
                <w:w w:val="93"/>
              </w:rPr>
              <w:t>1,968,659</w:t>
            </w:r>
          </w:p>
        </w:tc>
        <w:tc>
          <w:tcPr>
            <w:tcW w:w="0" w:type="dxa"/>
            <w:vAlign w:val="bottom"/>
          </w:tcPr>
          <w:p>
            <w:pPr>
              <w:spacing w:after="0"/>
              <w:rPr>
                <w:sz w:val="1"/>
                <w:szCs w:val="1"/>
                <w:color w:val="auto"/>
              </w:rPr>
            </w:pPr>
          </w:p>
        </w:tc>
      </w:tr>
      <w:tr>
        <w:trPr>
          <w:trHeight w:val="141"/>
        </w:trPr>
        <w:tc>
          <w:tcPr>
            <w:tcW w:w="2730" w:type="dxa"/>
            <w:vAlign w:val="bottom"/>
            <w:tcBorders>
              <w:bottom w:val="single" w:sz="8" w:color="auto"/>
            </w:tcBorders>
            <w:shd w:val="clear" w:color="auto" w:fill="FCE9E8"/>
          </w:tcPr>
          <w:p>
            <w:pPr>
              <w:spacing w:after="0"/>
              <w:rPr>
                <w:sz w:val="12"/>
                <w:szCs w:val="12"/>
                <w:color w:val="auto"/>
              </w:rPr>
            </w:pPr>
          </w:p>
        </w:tc>
        <w:tc>
          <w:tcPr>
            <w:tcW w:w="181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w w:val="98"/>
              </w:rPr>
              <w:t>RSU Award (Career Shares)</w:t>
            </w:r>
            <w:r>
              <w:rPr>
                <w:rFonts w:ascii="Arial" w:cs="Arial" w:eastAsia="Arial" w:hAnsi="Arial"/>
                <w:sz w:val="10"/>
                <w:szCs w:val="10"/>
                <w:color w:val="auto"/>
                <w:w w:val="98"/>
              </w:rPr>
              <w:t>(5)</w:t>
            </w:r>
          </w:p>
        </w:tc>
        <w:tc>
          <w:tcPr>
            <w:tcW w:w="820" w:type="dxa"/>
            <w:vAlign w:val="bottom"/>
            <w:tcBorders>
              <w:bottom w:val="single" w:sz="8" w:color="auto"/>
            </w:tcBorders>
            <w:shd w:val="clear" w:color="auto" w:fill="FCE9E8"/>
          </w:tcPr>
          <w:p>
            <w:pPr>
              <w:jc w:val="right"/>
              <w:ind w:right="78"/>
              <w:spacing w:after="0" w:line="141" w:lineRule="exact"/>
              <w:rPr>
                <w:sz w:val="20"/>
                <w:szCs w:val="20"/>
                <w:color w:val="auto"/>
              </w:rPr>
            </w:pPr>
            <w:r>
              <w:rPr>
                <w:rFonts w:ascii="Arial" w:cs="Arial" w:eastAsia="Arial" w:hAnsi="Arial"/>
                <w:sz w:val="13"/>
                <w:szCs w:val="13"/>
                <w:color w:val="auto"/>
              </w:rPr>
              <w:t>11/16/2016</w:t>
            </w:r>
          </w:p>
        </w:tc>
        <w:tc>
          <w:tcPr>
            <w:tcW w:w="80" w:type="dxa"/>
            <w:vAlign w:val="bottom"/>
            <w:tcBorders>
              <w:bottom w:val="single" w:sz="8" w:color="auto"/>
            </w:tcBorders>
            <w:shd w:val="clear" w:color="auto" w:fill="FCE9E8"/>
          </w:tcPr>
          <w:p>
            <w:pPr>
              <w:spacing w:after="0"/>
              <w:rPr>
                <w:sz w:val="12"/>
                <w:szCs w:val="12"/>
                <w:color w:val="auto"/>
              </w:rPr>
            </w:pPr>
          </w:p>
        </w:tc>
        <w:tc>
          <w:tcPr>
            <w:tcW w:w="640" w:type="dxa"/>
            <w:vAlign w:val="bottom"/>
            <w:tcBorders>
              <w:bottom w:val="single" w:sz="8" w:color="auto"/>
            </w:tcBorders>
            <w:shd w:val="clear" w:color="auto" w:fill="FCE9E8"/>
          </w:tcPr>
          <w:p>
            <w:pPr>
              <w:spacing w:after="0"/>
              <w:rPr>
                <w:sz w:val="12"/>
                <w:szCs w:val="12"/>
                <w:color w:val="auto"/>
              </w:rPr>
            </w:pPr>
          </w:p>
        </w:tc>
        <w:tc>
          <w:tcPr>
            <w:tcW w:w="140" w:type="dxa"/>
            <w:vAlign w:val="bottom"/>
            <w:tcBorders>
              <w:bottom w:val="single" w:sz="8" w:color="auto"/>
            </w:tcBorders>
            <w:shd w:val="clear" w:color="auto" w:fill="FCE9E8"/>
          </w:tcPr>
          <w:p>
            <w:pPr>
              <w:spacing w:after="0"/>
              <w:rPr>
                <w:sz w:val="12"/>
                <w:szCs w:val="12"/>
                <w:color w:val="auto"/>
              </w:rPr>
            </w:pPr>
          </w:p>
        </w:tc>
        <w:tc>
          <w:tcPr>
            <w:tcW w:w="640" w:type="dxa"/>
            <w:vAlign w:val="bottom"/>
            <w:tcBorders>
              <w:bottom w:val="single" w:sz="8" w:color="auto"/>
            </w:tcBorders>
            <w:shd w:val="clear" w:color="auto" w:fill="FCE9E8"/>
          </w:tcPr>
          <w:p>
            <w:pPr>
              <w:spacing w:after="0"/>
              <w:rPr>
                <w:sz w:val="12"/>
                <w:szCs w:val="12"/>
                <w:color w:val="auto"/>
              </w:rPr>
            </w:pPr>
          </w:p>
        </w:tc>
        <w:tc>
          <w:tcPr>
            <w:tcW w:w="720" w:type="dxa"/>
            <w:vAlign w:val="bottom"/>
            <w:tcBorders>
              <w:bottom w:val="single" w:sz="8" w:color="auto"/>
            </w:tcBorders>
            <w:shd w:val="clear" w:color="auto" w:fill="FCE9E8"/>
          </w:tcPr>
          <w:p>
            <w:pPr>
              <w:spacing w:after="0"/>
              <w:rPr>
                <w:sz w:val="12"/>
                <w:szCs w:val="12"/>
                <w:color w:val="auto"/>
              </w:rPr>
            </w:pPr>
          </w:p>
        </w:tc>
        <w:tc>
          <w:tcPr>
            <w:tcW w:w="120" w:type="dxa"/>
            <w:vAlign w:val="bottom"/>
            <w:tcBorders>
              <w:bottom w:val="single" w:sz="8" w:color="auto"/>
            </w:tcBorders>
            <w:shd w:val="clear" w:color="auto" w:fill="FCE9E8"/>
          </w:tcPr>
          <w:p>
            <w:pPr>
              <w:spacing w:after="0"/>
              <w:rPr>
                <w:sz w:val="12"/>
                <w:szCs w:val="12"/>
                <w:color w:val="auto"/>
              </w:rPr>
            </w:pPr>
          </w:p>
        </w:tc>
        <w:tc>
          <w:tcPr>
            <w:tcW w:w="760" w:type="dxa"/>
            <w:vAlign w:val="bottom"/>
            <w:tcBorders>
              <w:bottom w:val="single" w:sz="8" w:color="auto"/>
            </w:tcBorders>
            <w:shd w:val="clear" w:color="auto" w:fill="FCE9E8"/>
          </w:tcPr>
          <w:p>
            <w:pPr>
              <w:spacing w:after="0"/>
              <w:rPr>
                <w:sz w:val="12"/>
                <w:szCs w:val="12"/>
                <w:color w:val="auto"/>
              </w:rPr>
            </w:pPr>
          </w:p>
        </w:tc>
        <w:tc>
          <w:tcPr>
            <w:tcW w:w="640" w:type="dxa"/>
            <w:vAlign w:val="bottom"/>
            <w:tcBorders>
              <w:bottom w:val="single" w:sz="8" w:color="auto"/>
            </w:tcBorders>
            <w:shd w:val="clear" w:color="auto" w:fill="FCE9E8"/>
          </w:tcPr>
          <w:p>
            <w:pPr>
              <w:spacing w:after="0"/>
              <w:rPr>
                <w:sz w:val="12"/>
                <w:szCs w:val="12"/>
                <w:color w:val="auto"/>
              </w:rPr>
            </w:pPr>
          </w:p>
        </w:tc>
        <w:tc>
          <w:tcPr>
            <w:tcW w:w="720" w:type="dxa"/>
            <w:vAlign w:val="bottom"/>
            <w:tcBorders>
              <w:bottom w:val="single" w:sz="8" w:color="auto"/>
            </w:tcBorders>
            <w:shd w:val="clear" w:color="auto" w:fill="FCE9E8"/>
          </w:tcPr>
          <w:p>
            <w:pPr>
              <w:spacing w:after="0"/>
              <w:rPr>
                <w:sz w:val="12"/>
                <w:szCs w:val="12"/>
                <w:color w:val="auto"/>
              </w:rPr>
            </w:pPr>
          </w:p>
        </w:tc>
        <w:tc>
          <w:tcPr>
            <w:tcW w:w="60" w:type="dxa"/>
            <w:vAlign w:val="bottom"/>
            <w:tcBorders>
              <w:bottom w:val="single" w:sz="8" w:color="auto"/>
            </w:tcBorders>
            <w:shd w:val="clear" w:color="auto" w:fill="FCE9E8"/>
          </w:tcPr>
          <w:p>
            <w:pPr>
              <w:spacing w:after="0"/>
              <w:rPr>
                <w:sz w:val="12"/>
                <w:szCs w:val="12"/>
                <w:color w:val="auto"/>
              </w:rPr>
            </w:pPr>
          </w:p>
        </w:tc>
        <w:tc>
          <w:tcPr>
            <w:tcW w:w="72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5,151</w:t>
            </w:r>
          </w:p>
        </w:tc>
        <w:tc>
          <w:tcPr>
            <w:tcW w:w="16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FCE9E8"/>
          </w:tcPr>
          <w:p>
            <w:pPr>
              <w:jc w:val="right"/>
              <w:ind w:right="39"/>
              <w:spacing w:after="0" w:line="141" w:lineRule="exact"/>
              <w:rPr>
                <w:sz w:val="20"/>
                <w:szCs w:val="20"/>
                <w:color w:val="auto"/>
              </w:rPr>
            </w:pPr>
            <w:r>
              <w:rPr>
                <w:rFonts w:ascii="Arial" w:cs="Arial" w:eastAsia="Arial" w:hAnsi="Arial"/>
                <w:sz w:val="13"/>
                <w:szCs w:val="13"/>
                <w:color w:val="auto"/>
              </w:rPr>
              <w:t>649,953</w:t>
            </w:r>
          </w:p>
        </w:tc>
        <w:tc>
          <w:tcPr>
            <w:tcW w:w="0" w:type="dxa"/>
            <w:vAlign w:val="bottom"/>
          </w:tcPr>
          <w:p>
            <w:pPr>
              <w:spacing w:after="0"/>
              <w:rPr>
                <w:sz w:val="1"/>
                <w:szCs w:val="1"/>
                <w:color w:val="auto"/>
              </w:rPr>
            </w:pPr>
          </w:p>
        </w:tc>
      </w:tr>
      <w:tr>
        <w:trPr>
          <w:trHeight w:val="123"/>
        </w:trPr>
        <w:tc>
          <w:tcPr>
            <w:tcW w:w="2730" w:type="dxa"/>
            <w:vAlign w:val="bottom"/>
          </w:tcPr>
          <w:p>
            <w:pPr>
              <w:ind w:left="80"/>
              <w:spacing w:after="0" w:line="123" w:lineRule="exact"/>
              <w:rPr>
                <w:sz w:val="20"/>
                <w:szCs w:val="20"/>
                <w:color w:val="auto"/>
              </w:rPr>
            </w:pPr>
            <w:r>
              <w:rPr>
                <w:rFonts w:ascii="Arial" w:cs="Arial" w:eastAsia="Arial" w:hAnsi="Arial"/>
                <w:sz w:val="13"/>
                <w:szCs w:val="13"/>
                <w:color w:val="auto"/>
              </w:rPr>
              <w:t>Jeffrey H. Vanneste</w:t>
            </w:r>
          </w:p>
        </w:tc>
        <w:tc>
          <w:tcPr>
            <w:tcW w:w="1810" w:type="dxa"/>
            <w:vAlign w:val="bottom"/>
          </w:tcPr>
          <w:p>
            <w:pPr>
              <w:jc w:val="right"/>
              <w:spacing w:after="0" w:line="123" w:lineRule="exact"/>
              <w:rPr>
                <w:sz w:val="20"/>
                <w:szCs w:val="20"/>
                <w:color w:val="auto"/>
              </w:rPr>
            </w:pPr>
            <w:r>
              <w:rPr>
                <w:rFonts w:ascii="Arial" w:cs="Arial" w:eastAsia="Arial" w:hAnsi="Arial"/>
                <w:sz w:val="13"/>
                <w:szCs w:val="13"/>
                <w:color w:val="auto"/>
              </w:rPr>
              <w:t>Annual Incentive Award</w:t>
            </w:r>
          </w:p>
        </w:tc>
        <w:tc>
          <w:tcPr>
            <w:tcW w:w="8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19"/>
              <w:spacing w:after="0" w:line="123" w:lineRule="exact"/>
              <w:rPr>
                <w:sz w:val="20"/>
                <w:szCs w:val="20"/>
                <w:color w:val="auto"/>
              </w:rPr>
            </w:pPr>
            <w:r>
              <w:rPr>
                <w:rFonts w:ascii="Arial" w:cs="Arial" w:eastAsia="Arial" w:hAnsi="Arial"/>
                <w:sz w:val="13"/>
                <w:szCs w:val="13"/>
                <w:color w:val="auto"/>
              </w:rPr>
              <w:t>308,000</w:t>
            </w:r>
          </w:p>
        </w:tc>
        <w:tc>
          <w:tcPr>
            <w:tcW w:w="1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8"/>
              <w:spacing w:after="0" w:line="123" w:lineRule="exact"/>
              <w:rPr>
                <w:sz w:val="20"/>
                <w:szCs w:val="20"/>
                <w:color w:val="auto"/>
              </w:rPr>
            </w:pPr>
            <w:r>
              <w:rPr>
                <w:rFonts w:ascii="Arial" w:cs="Arial" w:eastAsia="Arial" w:hAnsi="Arial"/>
                <w:sz w:val="13"/>
                <w:szCs w:val="13"/>
                <w:color w:val="auto"/>
              </w:rPr>
              <w:t>616,000</w:t>
            </w:r>
          </w:p>
        </w:tc>
        <w:tc>
          <w:tcPr>
            <w:tcW w:w="840" w:type="dxa"/>
            <w:vAlign w:val="bottom"/>
            <w:gridSpan w:val="2"/>
          </w:tcPr>
          <w:p>
            <w:pPr>
              <w:jc w:val="center"/>
              <w:ind w:right="60"/>
              <w:spacing w:after="0" w:line="123" w:lineRule="exact"/>
              <w:rPr>
                <w:sz w:val="20"/>
                <w:szCs w:val="20"/>
                <w:color w:val="auto"/>
              </w:rPr>
            </w:pPr>
            <w:r>
              <w:rPr>
                <w:rFonts w:ascii="Arial" w:cs="Arial" w:eastAsia="Arial" w:hAnsi="Arial"/>
                <w:sz w:val="13"/>
                <w:szCs w:val="13"/>
                <w:color w:val="auto"/>
                <w:w w:val="96"/>
              </w:rPr>
              <w:t>$ 1,232,000</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jc w:val="right"/>
              <w:spacing w:after="0" w:line="135" w:lineRule="exact"/>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8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39"/>
              <w:spacing w:after="0" w:line="135" w:lineRule="exact"/>
              <w:rPr>
                <w:sz w:val="20"/>
                <w:szCs w:val="20"/>
                <w:color w:val="auto"/>
              </w:rPr>
            </w:pPr>
            <w:r>
              <w:rPr>
                <w:rFonts w:ascii="Arial" w:cs="Arial" w:eastAsia="Arial" w:hAnsi="Arial"/>
                <w:sz w:val="13"/>
                <w:szCs w:val="13"/>
                <w:color w:val="auto"/>
              </w:rPr>
              <w:t>6,039</w:t>
            </w: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12,078</w:t>
            </w: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24,156</w:t>
            </w:r>
          </w:p>
        </w:tc>
        <w:tc>
          <w:tcPr>
            <w:tcW w:w="7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9"/>
              <w:spacing w:after="0" w:line="135" w:lineRule="exact"/>
              <w:rPr>
                <w:sz w:val="20"/>
                <w:szCs w:val="20"/>
                <w:color w:val="auto"/>
              </w:rPr>
            </w:pPr>
            <w:r>
              <w:rPr>
                <w:rFonts w:ascii="Arial" w:cs="Arial" w:eastAsia="Arial" w:hAnsi="Arial"/>
                <w:sz w:val="13"/>
                <w:szCs w:val="13"/>
                <w:color w:val="auto"/>
                <w:w w:val="93"/>
              </w:rPr>
              <w:t>1,457,935</w:t>
            </w: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jc w:val="right"/>
              <w:spacing w:after="0" w:line="135" w:lineRule="exact"/>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8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4,026</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9"/>
              <w:spacing w:after="0" w:line="135" w:lineRule="exact"/>
              <w:rPr>
                <w:sz w:val="20"/>
                <w:szCs w:val="20"/>
                <w:color w:val="auto"/>
              </w:rPr>
            </w:pPr>
            <w:r>
              <w:rPr>
                <w:rFonts w:ascii="Arial" w:cs="Arial" w:eastAsia="Arial" w:hAnsi="Arial"/>
                <w:sz w:val="13"/>
                <w:szCs w:val="13"/>
                <w:color w:val="auto"/>
              </w:rPr>
              <w:t>485,978</w:t>
            </w:r>
          </w:p>
        </w:tc>
        <w:tc>
          <w:tcPr>
            <w:tcW w:w="0" w:type="dxa"/>
            <w:vAlign w:val="bottom"/>
          </w:tcPr>
          <w:p>
            <w:pPr>
              <w:spacing w:after="0"/>
              <w:rPr>
                <w:sz w:val="1"/>
                <w:szCs w:val="1"/>
                <w:color w:val="auto"/>
              </w:rPr>
            </w:pPr>
          </w:p>
        </w:tc>
      </w:tr>
      <w:tr>
        <w:trPr>
          <w:trHeight w:val="141"/>
        </w:trPr>
        <w:tc>
          <w:tcPr>
            <w:tcW w:w="2730" w:type="dxa"/>
            <w:vAlign w:val="bottom"/>
            <w:tcBorders>
              <w:bottom w:val="single" w:sz="8" w:color="auto"/>
            </w:tcBorders>
          </w:tcPr>
          <w:p>
            <w:pPr>
              <w:spacing w:after="0"/>
              <w:rPr>
                <w:sz w:val="12"/>
                <w:szCs w:val="12"/>
                <w:color w:val="auto"/>
              </w:rPr>
            </w:pPr>
          </w:p>
        </w:tc>
        <w:tc>
          <w:tcPr>
            <w:tcW w:w="181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w w:val="98"/>
              </w:rPr>
              <w:t>RSU Award (Career Shares)</w:t>
            </w:r>
            <w:r>
              <w:rPr>
                <w:rFonts w:ascii="Arial" w:cs="Arial" w:eastAsia="Arial" w:hAnsi="Arial"/>
                <w:sz w:val="10"/>
                <w:szCs w:val="10"/>
                <w:color w:val="auto"/>
                <w:w w:val="98"/>
              </w:rPr>
              <w:t>(5)</w:t>
            </w:r>
          </w:p>
        </w:tc>
        <w:tc>
          <w:tcPr>
            <w:tcW w:w="820" w:type="dxa"/>
            <w:vAlign w:val="bottom"/>
            <w:tcBorders>
              <w:bottom w:val="single" w:sz="8" w:color="auto"/>
            </w:tcBorders>
          </w:tcPr>
          <w:p>
            <w:pPr>
              <w:jc w:val="right"/>
              <w:ind w:right="78"/>
              <w:spacing w:after="0" w:line="141" w:lineRule="exact"/>
              <w:rPr>
                <w:sz w:val="20"/>
                <w:szCs w:val="20"/>
                <w:color w:val="auto"/>
              </w:rPr>
            </w:pPr>
            <w:r>
              <w:rPr>
                <w:rFonts w:ascii="Arial" w:cs="Arial" w:eastAsia="Arial" w:hAnsi="Arial"/>
                <w:sz w:val="13"/>
                <w:szCs w:val="13"/>
                <w:color w:val="auto"/>
              </w:rPr>
              <w:t>11/16/2016</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2,179</w:t>
            </w:r>
          </w:p>
        </w:tc>
        <w:tc>
          <w:tcPr>
            <w:tcW w:w="1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9"/>
              <w:spacing w:after="0" w:line="141" w:lineRule="exact"/>
              <w:rPr>
                <w:sz w:val="20"/>
                <w:szCs w:val="20"/>
                <w:color w:val="auto"/>
              </w:rPr>
            </w:pPr>
            <w:r>
              <w:rPr>
                <w:rFonts w:ascii="Arial" w:cs="Arial" w:eastAsia="Arial" w:hAnsi="Arial"/>
                <w:sz w:val="13"/>
                <w:szCs w:val="13"/>
                <w:color w:val="auto"/>
              </w:rPr>
              <w:t>274,946</w:t>
            </w:r>
          </w:p>
        </w:tc>
        <w:tc>
          <w:tcPr>
            <w:tcW w:w="0" w:type="dxa"/>
            <w:vAlign w:val="bottom"/>
          </w:tcPr>
          <w:p>
            <w:pPr>
              <w:spacing w:after="0"/>
              <w:rPr>
                <w:sz w:val="1"/>
                <w:szCs w:val="1"/>
                <w:color w:val="auto"/>
              </w:rPr>
            </w:pPr>
          </w:p>
        </w:tc>
      </w:tr>
      <w:tr>
        <w:trPr>
          <w:trHeight w:val="123"/>
        </w:trPr>
        <w:tc>
          <w:tcPr>
            <w:tcW w:w="273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Raymond E. Scott</w:t>
            </w:r>
          </w:p>
        </w:tc>
        <w:tc>
          <w:tcPr>
            <w:tcW w:w="181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Annual Incentive Award</w:t>
            </w:r>
          </w:p>
        </w:tc>
        <w:tc>
          <w:tcPr>
            <w:tcW w:w="820" w:type="dxa"/>
            <w:vAlign w:val="bottom"/>
            <w:shd w:val="clear" w:color="auto" w:fill="FCE9E8"/>
          </w:tcPr>
          <w:p>
            <w:pPr>
              <w:spacing w:after="0"/>
              <w:rPr>
                <w:sz w:val="10"/>
                <w:szCs w:val="10"/>
                <w:color w:val="auto"/>
              </w:rPr>
            </w:pPr>
          </w:p>
        </w:tc>
        <w:tc>
          <w:tcPr>
            <w:tcW w:w="80" w:type="dxa"/>
            <w:vAlign w:val="bottom"/>
            <w:shd w:val="clear" w:color="auto" w:fill="FCE9E8"/>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FCE9E8"/>
          </w:tcPr>
          <w:p>
            <w:pPr>
              <w:jc w:val="right"/>
              <w:ind w:right="19"/>
              <w:spacing w:after="0" w:line="123" w:lineRule="exact"/>
              <w:rPr>
                <w:sz w:val="20"/>
                <w:szCs w:val="20"/>
                <w:color w:val="auto"/>
              </w:rPr>
            </w:pPr>
            <w:r>
              <w:rPr>
                <w:rFonts w:ascii="Arial" w:cs="Arial" w:eastAsia="Arial" w:hAnsi="Arial"/>
                <w:sz w:val="13"/>
                <w:szCs w:val="13"/>
                <w:color w:val="auto"/>
              </w:rPr>
              <w:t>318,176</w:t>
            </w:r>
          </w:p>
        </w:tc>
        <w:tc>
          <w:tcPr>
            <w:tcW w:w="14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8"/>
              <w:spacing w:after="0" w:line="123" w:lineRule="exact"/>
              <w:rPr>
                <w:sz w:val="20"/>
                <w:szCs w:val="20"/>
                <w:color w:val="auto"/>
              </w:rPr>
            </w:pPr>
            <w:r>
              <w:rPr>
                <w:rFonts w:ascii="Arial" w:cs="Arial" w:eastAsia="Arial" w:hAnsi="Arial"/>
                <w:sz w:val="13"/>
                <w:szCs w:val="13"/>
                <w:color w:val="auto"/>
              </w:rPr>
              <w:t>636,352</w:t>
            </w:r>
          </w:p>
        </w:tc>
        <w:tc>
          <w:tcPr>
            <w:tcW w:w="840" w:type="dxa"/>
            <w:vAlign w:val="bottom"/>
            <w:gridSpan w:val="2"/>
            <w:shd w:val="clear" w:color="auto" w:fill="FCE9E8"/>
          </w:tcPr>
          <w:p>
            <w:pPr>
              <w:jc w:val="center"/>
              <w:ind w:right="60"/>
              <w:spacing w:after="0" w:line="123" w:lineRule="exact"/>
              <w:rPr>
                <w:sz w:val="20"/>
                <w:szCs w:val="20"/>
                <w:color w:val="auto"/>
              </w:rPr>
            </w:pPr>
            <w:r>
              <w:rPr>
                <w:rFonts w:ascii="Arial" w:cs="Arial" w:eastAsia="Arial" w:hAnsi="Arial"/>
                <w:sz w:val="13"/>
                <w:szCs w:val="13"/>
                <w:color w:val="auto"/>
                <w:w w:val="96"/>
              </w:rPr>
              <w:t>$ 1,272,704</w:t>
            </w:r>
          </w:p>
        </w:tc>
        <w:tc>
          <w:tcPr>
            <w:tcW w:w="760" w:type="dxa"/>
            <w:vAlign w:val="bottom"/>
            <w:shd w:val="clear" w:color="auto" w:fill="FCE9E8"/>
          </w:tcPr>
          <w:p>
            <w:pPr>
              <w:spacing w:after="0"/>
              <w:rPr>
                <w:sz w:val="10"/>
                <w:szCs w:val="10"/>
                <w:color w:val="auto"/>
              </w:rPr>
            </w:pPr>
          </w:p>
        </w:tc>
        <w:tc>
          <w:tcPr>
            <w:tcW w:w="640" w:type="dxa"/>
            <w:vAlign w:val="bottom"/>
            <w:shd w:val="clear" w:color="auto" w:fill="FCE9E8"/>
          </w:tcPr>
          <w:p>
            <w:pPr>
              <w:spacing w:after="0"/>
              <w:rPr>
                <w:sz w:val="10"/>
                <w:szCs w:val="10"/>
                <w:color w:val="auto"/>
              </w:rPr>
            </w:pPr>
          </w:p>
        </w:tc>
        <w:tc>
          <w:tcPr>
            <w:tcW w:w="720" w:type="dxa"/>
            <w:vAlign w:val="bottom"/>
            <w:shd w:val="clear" w:color="auto" w:fill="FCE9E8"/>
          </w:tcPr>
          <w:p>
            <w:pPr>
              <w:spacing w:after="0"/>
              <w:rPr>
                <w:sz w:val="10"/>
                <w:szCs w:val="10"/>
                <w:color w:val="auto"/>
              </w:rPr>
            </w:pPr>
          </w:p>
        </w:tc>
        <w:tc>
          <w:tcPr>
            <w:tcW w:w="60" w:type="dxa"/>
            <w:vAlign w:val="bottom"/>
            <w:shd w:val="clear" w:color="auto" w:fill="FCE9E8"/>
          </w:tcPr>
          <w:p>
            <w:pPr>
              <w:spacing w:after="0"/>
              <w:rPr>
                <w:sz w:val="10"/>
                <w:szCs w:val="10"/>
                <w:color w:val="auto"/>
              </w:rPr>
            </w:pPr>
          </w:p>
        </w:tc>
        <w:tc>
          <w:tcPr>
            <w:tcW w:w="720" w:type="dxa"/>
            <w:vAlign w:val="bottom"/>
            <w:shd w:val="clear" w:color="auto" w:fill="FCE9E8"/>
          </w:tcPr>
          <w:p>
            <w:pPr>
              <w:spacing w:after="0"/>
              <w:rPr>
                <w:sz w:val="10"/>
                <w:szCs w:val="10"/>
                <w:color w:val="auto"/>
              </w:rPr>
            </w:pPr>
          </w:p>
        </w:tc>
        <w:tc>
          <w:tcPr>
            <w:tcW w:w="160" w:type="dxa"/>
            <w:vAlign w:val="bottom"/>
            <w:shd w:val="clear" w:color="auto" w:fill="FCE9E8"/>
          </w:tcPr>
          <w:p>
            <w:pPr>
              <w:spacing w:after="0"/>
              <w:rPr>
                <w:sz w:val="10"/>
                <w:szCs w:val="10"/>
                <w:color w:val="auto"/>
              </w:rPr>
            </w:pPr>
          </w:p>
        </w:tc>
        <w:tc>
          <w:tcPr>
            <w:tcW w:w="660" w:type="dxa"/>
            <w:vAlign w:val="bottom"/>
            <w:shd w:val="clear" w:color="auto" w:fill="FCE9E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30" w:type="dxa"/>
            <w:vAlign w:val="bottom"/>
            <w:shd w:val="clear" w:color="auto" w:fill="FCE9E8"/>
          </w:tcPr>
          <w:p>
            <w:pPr>
              <w:spacing w:after="0"/>
              <w:rPr>
                <w:sz w:val="11"/>
                <w:szCs w:val="11"/>
                <w:color w:val="auto"/>
              </w:rPr>
            </w:pPr>
          </w:p>
        </w:tc>
        <w:tc>
          <w:tcPr>
            <w:tcW w:w="181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820" w:type="dxa"/>
            <w:vAlign w:val="bottom"/>
            <w:shd w:val="clear" w:color="auto" w:fill="FCE9E8"/>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14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760" w:type="dxa"/>
            <w:vAlign w:val="bottom"/>
            <w:shd w:val="clear" w:color="auto" w:fill="FCE9E8"/>
          </w:tcPr>
          <w:p>
            <w:pPr>
              <w:jc w:val="right"/>
              <w:ind w:right="39"/>
              <w:spacing w:after="0" w:line="135" w:lineRule="exact"/>
              <w:rPr>
                <w:sz w:val="20"/>
                <w:szCs w:val="20"/>
                <w:color w:val="auto"/>
              </w:rPr>
            </w:pPr>
            <w:r>
              <w:rPr>
                <w:rFonts w:ascii="Arial" w:cs="Arial" w:eastAsia="Arial" w:hAnsi="Arial"/>
                <w:sz w:val="13"/>
                <w:szCs w:val="13"/>
                <w:color w:val="auto"/>
              </w:rPr>
              <w:t>6,672</w:t>
            </w:r>
          </w:p>
        </w:tc>
        <w:tc>
          <w:tcPr>
            <w:tcW w:w="640" w:type="dxa"/>
            <w:vAlign w:val="bottom"/>
            <w:shd w:val="clear" w:color="auto" w:fill="FCE9E8"/>
          </w:tcPr>
          <w:p>
            <w:pPr>
              <w:ind w:left="160"/>
              <w:spacing w:after="0" w:line="135" w:lineRule="exact"/>
              <w:rPr>
                <w:sz w:val="20"/>
                <w:szCs w:val="20"/>
                <w:color w:val="auto"/>
              </w:rPr>
            </w:pPr>
            <w:r>
              <w:rPr>
                <w:rFonts w:ascii="Arial" w:cs="Arial" w:eastAsia="Arial" w:hAnsi="Arial"/>
                <w:sz w:val="13"/>
                <w:szCs w:val="13"/>
                <w:color w:val="auto"/>
              </w:rPr>
              <w:t>13,344</w:t>
            </w:r>
          </w:p>
        </w:tc>
        <w:tc>
          <w:tcPr>
            <w:tcW w:w="780" w:type="dxa"/>
            <w:vAlign w:val="bottom"/>
            <w:gridSpan w:val="2"/>
            <w:shd w:val="clear" w:color="auto" w:fill="FCE9E8"/>
          </w:tcPr>
          <w:p>
            <w:pPr>
              <w:jc w:val="right"/>
              <w:ind w:right="60"/>
              <w:spacing w:after="0" w:line="135" w:lineRule="exact"/>
              <w:rPr>
                <w:sz w:val="20"/>
                <w:szCs w:val="20"/>
                <w:color w:val="auto"/>
              </w:rPr>
            </w:pPr>
            <w:r>
              <w:rPr>
                <w:rFonts w:ascii="Arial" w:cs="Arial" w:eastAsia="Arial" w:hAnsi="Arial"/>
                <w:sz w:val="13"/>
                <w:szCs w:val="13"/>
                <w:color w:val="auto"/>
              </w:rPr>
              <w:t>26,688</w:t>
            </w:r>
          </w:p>
        </w:tc>
        <w:tc>
          <w:tcPr>
            <w:tcW w:w="720" w:type="dxa"/>
            <w:vAlign w:val="bottom"/>
            <w:shd w:val="clear" w:color="auto" w:fill="FCE9E8"/>
          </w:tcPr>
          <w:p>
            <w:pPr>
              <w:spacing w:after="0"/>
              <w:rPr>
                <w:sz w:val="11"/>
                <w:szCs w:val="11"/>
                <w:color w:val="auto"/>
              </w:rPr>
            </w:pP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39"/>
              <w:spacing w:after="0" w:line="135" w:lineRule="exact"/>
              <w:rPr>
                <w:sz w:val="20"/>
                <w:szCs w:val="20"/>
                <w:color w:val="auto"/>
              </w:rPr>
            </w:pPr>
            <w:r>
              <w:rPr>
                <w:rFonts w:ascii="Arial" w:cs="Arial" w:eastAsia="Arial" w:hAnsi="Arial"/>
                <w:sz w:val="13"/>
                <w:szCs w:val="13"/>
                <w:color w:val="auto"/>
                <w:w w:val="93"/>
              </w:rPr>
              <w:t>1,610,754</w:t>
            </w:r>
          </w:p>
        </w:tc>
        <w:tc>
          <w:tcPr>
            <w:tcW w:w="0" w:type="dxa"/>
            <w:vAlign w:val="bottom"/>
          </w:tcPr>
          <w:p>
            <w:pPr>
              <w:spacing w:after="0"/>
              <w:rPr>
                <w:sz w:val="1"/>
                <w:szCs w:val="1"/>
                <w:color w:val="auto"/>
              </w:rPr>
            </w:pPr>
          </w:p>
        </w:tc>
      </w:tr>
      <w:tr>
        <w:trPr>
          <w:trHeight w:val="135"/>
        </w:trPr>
        <w:tc>
          <w:tcPr>
            <w:tcW w:w="2730" w:type="dxa"/>
            <w:vAlign w:val="bottom"/>
            <w:shd w:val="clear" w:color="auto" w:fill="FCE9E8"/>
          </w:tcPr>
          <w:p>
            <w:pPr>
              <w:spacing w:after="0"/>
              <w:rPr>
                <w:sz w:val="11"/>
                <w:szCs w:val="11"/>
                <w:color w:val="auto"/>
              </w:rPr>
            </w:pPr>
          </w:p>
        </w:tc>
        <w:tc>
          <w:tcPr>
            <w:tcW w:w="181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820" w:type="dxa"/>
            <w:vAlign w:val="bottom"/>
            <w:shd w:val="clear" w:color="auto" w:fill="FCE9E8"/>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14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76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60" w:type="dxa"/>
            <w:vAlign w:val="bottom"/>
            <w:shd w:val="clear" w:color="auto" w:fill="FCE9E8"/>
          </w:tcPr>
          <w:p>
            <w:pPr>
              <w:spacing w:after="0"/>
              <w:rPr>
                <w:sz w:val="11"/>
                <w:szCs w:val="11"/>
                <w:color w:val="auto"/>
              </w:rPr>
            </w:pPr>
          </w:p>
        </w:tc>
        <w:tc>
          <w:tcPr>
            <w:tcW w:w="72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4,448</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39"/>
              <w:spacing w:after="0" w:line="135" w:lineRule="exact"/>
              <w:rPr>
                <w:sz w:val="20"/>
                <w:szCs w:val="20"/>
                <w:color w:val="auto"/>
              </w:rPr>
            </w:pPr>
            <w:r>
              <w:rPr>
                <w:rFonts w:ascii="Arial" w:cs="Arial" w:eastAsia="Arial" w:hAnsi="Arial"/>
                <w:sz w:val="13"/>
                <w:szCs w:val="13"/>
                <w:color w:val="auto"/>
              </w:rPr>
              <w:t>536,918</w:t>
            </w:r>
          </w:p>
        </w:tc>
        <w:tc>
          <w:tcPr>
            <w:tcW w:w="0" w:type="dxa"/>
            <w:vAlign w:val="bottom"/>
          </w:tcPr>
          <w:p>
            <w:pPr>
              <w:spacing w:after="0"/>
              <w:rPr>
                <w:sz w:val="1"/>
                <w:szCs w:val="1"/>
                <w:color w:val="auto"/>
              </w:rPr>
            </w:pPr>
          </w:p>
        </w:tc>
      </w:tr>
      <w:tr>
        <w:trPr>
          <w:trHeight w:val="141"/>
        </w:trPr>
        <w:tc>
          <w:tcPr>
            <w:tcW w:w="2730" w:type="dxa"/>
            <w:vAlign w:val="bottom"/>
            <w:tcBorders>
              <w:bottom w:val="single" w:sz="8" w:color="auto"/>
            </w:tcBorders>
            <w:shd w:val="clear" w:color="auto" w:fill="FCE9E8"/>
          </w:tcPr>
          <w:p>
            <w:pPr>
              <w:spacing w:after="0"/>
              <w:rPr>
                <w:sz w:val="12"/>
                <w:szCs w:val="12"/>
                <w:color w:val="auto"/>
              </w:rPr>
            </w:pPr>
          </w:p>
        </w:tc>
        <w:tc>
          <w:tcPr>
            <w:tcW w:w="181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w w:val="98"/>
              </w:rPr>
              <w:t>RSU Award (Career Shares)</w:t>
            </w:r>
            <w:r>
              <w:rPr>
                <w:rFonts w:ascii="Arial" w:cs="Arial" w:eastAsia="Arial" w:hAnsi="Arial"/>
                <w:sz w:val="10"/>
                <w:szCs w:val="10"/>
                <w:color w:val="auto"/>
                <w:w w:val="98"/>
              </w:rPr>
              <w:t>(5)</w:t>
            </w:r>
          </w:p>
        </w:tc>
        <w:tc>
          <w:tcPr>
            <w:tcW w:w="820" w:type="dxa"/>
            <w:vAlign w:val="bottom"/>
            <w:tcBorders>
              <w:bottom w:val="single" w:sz="8" w:color="auto"/>
            </w:tcBorders>
            <w:shd w:val="clear" w:color="auto" w:fill="FCE9E8"/>
          </w:tcPr>
          <w:p>
            <w:pPr>
              <w:jc w:val="right"/>
              <w:ind w:right="78"/>
              <w:spacing w:after="0" w:line="141" w:lineRule="exact"/>
              <w:rPr>
                <w:sz w:val="20"/>
                <w:szCs w:val="20"/>
                <w:color w:val="auto"/>
              </w:rPr>
            </w:pPr>
            <w:r>
              <w:rPr>
                <w:rFonts w:ascii="Arial" w:cs="Arial" w:eastAsia="Arial" w:hAnsi="Arial"/>
                <w:sz w:val="13"/>
                <w:szCs w:val="13"/>
                <w:color w:val="auto"/>
              </w:rPr>
              <w:t>11/16/2016</w:t>
            </w:r>
          </w:p>
        </w:tc>
        <w:tc>
          <w:tcPr>
            <w:tcW w:w="80" w:type="dxa"/>
            <w:vAlign w:val="bottom"/>
            <w:tcBorders>
              <w:bottom w:val="single" w:sz="8" w:color="auto"/>
            </w:tcBorders>
            <w:shd w:val="clear" w:color="auto" w:fill="FCE9E8"/>
          </w:tcPr>
          <w:p>
            <w:pPr>
              <w:spacing w:after="0"/>
              <w:rPr>
                <w:sz w:val="12"/>
                <w:szCs w:val="12"/>
                <w:color w:val="auto"/>
              </w:rPr>
            </w:pPr>
          </w:p>
        </w:tc>
        <w:tc>
          <w:tcPr>
            <w:tcW w:w="640" w:type="dxa"/>
            <w:vAlign w:val="bottom"/>
            <w:tcBorders>
              <w:bottom w:val="single" w:sz="8" w:color="auto"/>
            </w:tcBorders>
            <w:shd w:val="clear" w:color="auto" w:fill="FCE9E8"/>
          </w:tcPr>
          <w:p>
            <w:pPr>
              <w:spacing w:after="0"/>
              <w:rPr>
                <w:sz w:val="12"/>
                <w:szCs w:val="12"/>
                <w:color w:val="auto"/>
              </w:rPr>
            </w:pPr>
          </w:p>
        </w:tc>
        <w:tc>
          <w:tcPr>
            <w:tcW w:w="140" w:type="dxa"/>
            <w:vAlign w:val="bottom"/>
            <w:tcBorders>
              <w:bottom w:val="single" w:sz="8" w:color="auto"/>
            </w:tcBorders>
            <w:shd w:val="clear" w:color="auto" w:fill="FCE9E8"/>
          </w:tcPr>
          <w:p>
            <w:pPr>
              <w:spacing w:after="0"/>
              <w:rPr>
                <w:sz w:val="12"/>
                <w:szCs w:val="12"/>
                <w:color w:val="auto"/>
              </w:rPr>
            </w:pPr>
          </w:p>
        </w:tc>
        <w:tc>
          <w:tcPr>
            <w:tcW w:w="640" w:type="dxa"/>
            <w:vAlign w:val="bottom"/>
            <w:tcBorders>
              <w:bottom w:val="single" w:sz="8" w:color="auto"/>
            </w:tcBorders>
            <w:shd w:val="clear" w:color="auto" w:fill="FCE9E8"/>
          </w:tcPr>
          <w:p>
            <w:pPr>
              <w:spacing w:after="0"/>
              <w:rPr>
                <w:sz w:val="12"/>
                <w:szCs w:val="12"/>
                <w:color w:val="auto"/>
              </w:rPr>
            </w:pPr>
          </w:p>
        </w:tc>
        <w:tc>
          <w:tcPr>
            <w:tcW w:w="720" w:type="dxa"/>
            <w:vAlign w:val="bottom"/>
            <w:tcBorders>
              <w:bottom w:val="single" w:sz="8" w:color="auto"/>
            </w:tcBorders>
            <w:shd w:val="clear" w:color="auto" w:fill="FCE9E8"/>
          </w:tcPr>
          <w:p>
            <w:pPr>
              <w:spacing w:after="0"/>
              <w:rPr>
                <w:sz w:val="12"/>
                <w:szCs w:val="12"/>
                <w:color w:val="auto"/>
              </w:rPr>
            </w:pPr>
          </w:p>
        </w:tc>
        <w:tc>
          <w:tcPr>
            <w:tcW w:w="120" w:type="dxa"/>
            <w:vAlign w:val="bottom"/>
            <w:tcBorders>
              <w:bottom w:val="single" w:sz="8" w:color="auto"/>
            </w:tcBorders>
            <w:shd w:val="clear" w:color="auto" w:fill="FCE9E8"/>
          </w:tcPr>
          <w:p>
            <w:pPr>
              <w:spacing w:after="0"/>
              <w:rPr>
                <w:sz w:val="12"/>
                <w:szCs w:val="12"/>
                <w:color w:val="auto"/>
              </w:rPr>
            </w:pPr>
          </w:p>
        </w:tc>
        <w:tc>
          <w:tcPr>
            <w:tcW w:w="760" w:type="dxa"/>
            <w:vAlign w:val="bottom"/>
            <w:tcBorders>
              <w:bottom w:val="single" w:sz="8" w:color="auto"/>
            </w:tcBorders>
            <w:shd w:val="clear" w:color="auto" w:fill="FCE9E8"/>
          </w:tcPr>
          <w:p>
            <w:pPr>
              <w:spacing w:after="0"/>
              <w:rPr>
                <w:sz w:val="12"/>
                <w:szCs w:val="12"/>
                <w:color w:val="auto"/>
              </w:rPr>
            </w:pPr>
          </w:p>
        </w:tc>
        <w:tc>
          <w:tcPr>
            <w:tcW w:w="640" w:type="dxa"/>
            <w:vAlign w:val="bottom"/>
            <w:tcBorders>
              <w:bottom w:val="single" w:sz="8" w:color="auto"/>
            </w:tcBorders>
            <w:shd w:val="clear" w:color="auto" w:fill="FCE9E8"/>
          </w:tcPr>
          <w:p>
            <w:pPr>
              <w:spacing w:after="0"/>
              <w:rPr>
                <w:sz w:val="12"/>
                <w:szCs w:val="12"/>
                <w:color w:val="auto"/>
              </w:rPr>
            </w:pPr>
          </w:p>
        </w:tc>
        <w:tc>
          <w:tcPr>
            <w:tcW w:w="720" w:type="dxa"/>
            <w:vAlign w:val="bottom"/>
            <w:tcBorders>
              <w:bottom w:val="single" w:sz="8" w:color="auto"/>
            </w:tcBorders>
            <w:shd w:val="clear" w:color="auto" w:fill="FCE9E8"/>
          </w:tcPr>
          <w:p>
            <w:pPr>
              <w:spacing w:after="0"/>
              <w:rPr>
                <w:sz w:val="12"/>
                <w:szCs w:val="12"/>
                <w:color w:val="auto"/>
              </w:rPr>
            </w:pPr>
          </w:p>
        </w:tc>
        <w:tc>
          <w:tcPr>
            <w:tcW w:w="60" w:type="dxa"/>
            <w:vAlign w:val="bottom"/>
            <w:tcBorders>
              <w:bottom w:val="single" w:sz="8" w:color="auto"/>
            </w:tcBorders>
            <w:shd w:val="clear" w:color="auto" w:fill="FCE9E8"/>
          </w:tcPr>
          <w:p>
            <w:pPr>
              <w:spacing w:after="0"/>
              <w:rPr>
                <w:sz w:val="12"/>
                <w:szCs w:val="12"/>
                <w:color w:val="auto"/>
              </w:rPr>
            </w:pPr>
          </w:p>
        </w:tc>
        <w:tc>
          <w:tcPr>
            <w:tcW w:w="72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2,179</w:t>
            </w:r>
          </w:p>
        </w:tc>
        <w:tc>
          <w:tcPr>
            <w:tcW w:w="160" w:type="dxa"/>
            <w:vAlign w:val="bottom"/>
            <w:tcBorders>
              <w:bottom w:val="single" w:sz="8" w:color="auto"/>
            </w:tcBorders>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FCE9E8"/>
          </w:tcPr>
          <w:p>
            <w:pPr>
              <w:jc w:val="right"/>
              <w:ind w:right="39"/>
              <w:spacing w:after="0" w:line="141" w:lineRule="exact"/>
              <w:rPr>
                <w:sz w:val="20"/>
                <w:szCs w:val="20"/>
                <w:color w:val="auto"/>
              </w:rPr>
            </w:pPr>
            <w:r>
              <w:rPr>
                <w:rFonts w:ascii="Arial" w:cs="Arial" w:eastAsia="Arial" w:hAnsi="Arial"/>
                <w:sz w:val="13"/>
                <w:szCs w:val="13"/>
                <w:color w:val="auto"/>
              </w:rPr>
              <w:t>274,946</w:t>
            </w:r>
          </w:p>
        </w:tc>
        <w:tc>
          <w:tcPr>
            <w:tcW w:w="0" w:type="dxa"/>
            <w:vAlign w:val="bottom"/>
          </w:tcPr>
          <w:p>
            <w:pPr>
              <w:spacing w:after="0"/>
              <w:rPr>
                <w:sz w:val="1"/>
                <w:szCs w:val="1"/>
                <w:color w:val="auto"/>
              </w:rPr>
            </w:pPr>
          </w:p>
        </w:tc>
      </w:tr>
      <w:tr>
        <w:trPr>
          <w:trHeight w:val="123"/>
        </w:trPr>
        <w:tc>
          <w:tcPr>
            <w:tcW w:w="2730" w:type="dxa"/>
            <w:vAlign w:val="bottom"/>
          </w:tcPr>
          <w:p>
            <w:pPr>
              <w:ind w:left="80"/>
              <w:spacing w:after="0" w:line="123" w:lineRule="exact"/>
              <w:rPr>
                <w:sz w:val="20"/>
                <w:szCs w:val="20"/>
                <w:color w:val="auto"/>
              </w:rPr>
            </w:pPr>
            <w:r>
              <w:rPr>
                <w:rFonts w:ascii="Arial" w:cs="Arial" w:eastAsia="Arial" w:hAnsi="Arial"/>
                <w:sz w:val="13"/>
                <w:szCs w:val="13"/>
                <w:color w:val="auto"/>
              </w:rPr>
              <w:t>Terrence B. Larkin</w:t>
            </w:r>
          </w:p>
        </w:tc>
        <w:tc>
          <w:tcPr>
            <w:tcW w:w="1810" w:type="dxa"/>
            <w:vAlign w:val="bottom"/>
          </w:tcPr>
          <w:p>
            <w:pPr>
              <w:jc w:val="right"/>
              <w:spacing w:after="0" w:line="123" w:lineRule="exact"/>
              <w:rPr>
                <w:sz w:val="20"/>
                <w:szCs w:val="20"/>
                <w:color w:val="auto"/>
              </w:rPr>
            </w:pPr>
            <w:r>
              <w:rPr>
                <w:rFonts w:ascii="Arial" w:cs="Arial" w:eastAsia="Arial" w:hAnsi="Arial"/>
                <w:sz w:val="13"/>
                <w:szCs w:val="13"/>
                <w:color w:val="auto"/>
              </w:rPr>
              <w:t>Annual Incentive Award</w:t>
            </w:r>
          </w:p>
        </w:tc>
        <w:tc>
          <w:tcPr>
            <w:tcW w:w="8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ind w:right="19"/>
              <w:spacing w:after="0" w:line="123" w:lineRule="exact"/>
              <w:rPr>
                <w:sz w:val="20"/>
                <w:szCs w:val="20"/>
                <w:color w:val="auto"/>
              </w:rPr>
            </w:pPr>
            <w:r>
              <w:rPr>
                <w:rFonts w:ascii="Arial" w:cs="Arial" w:eastAsia="Arial" w:hAnsi="Arial"/>
                <w:sz w:val="13"/>
                <w:szCs w:val="13"/>
                <w:color w:val="auto"/>
              </w:rPr>
              <w:t>318,176</w:t>
            </w:r>
          </w:p>
        </w:tc>
        <w:tc>
          <w:tcPr>
            <w:tcW w:w="1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8"/>
              <w:spacing w:after="0" w:line="123" w:lineRule="exact"/>
              <w:rPr>
                <w:sz w:val="20"/>
                <w:szCs w:val="20"/>
                <w:color w:val="auto"/>
              </w:rPr>
            </w:pPr>
            <w:r>
              <w:rPr>
                <w:rFonts w:ascii="Arial" w:cs="Arial" w:eastAsia="Arial" w:hAnsi="Arial"/>
                <w:sz w:val="13"/>
                <w:szCs w:val="13"/>
                <w:color w:val="auto"/>
              </w:rPr>
              <w:t>636,352</w:t>
            </w:r>
          </w:p>
        </w:tc>
        <w:tc>
          <w:tcPr>
            <w:tcW w:w="840" w:type="dxa"/>
            <w:vAlign w:val="bottom"/>
            <w:gridSpan w:val="2"/>
          </w:tcPr>
          <w:p>
            <w:pPr>
              <w:jc w:val="center"/>
              <w:ind w:right="60"/>
              <w:spacing w:after="0" w:line="123" w:lineRule="exact"/>
              <w:rPr>
                <w:sz w:val="20"/>
                <w:szCs w:val="20"/>
                <w:color w:val="auto"/>
              </w:rPr>
            </w:pPr>
            <w:r>
              <w:rPr>
                <w:rFonts w:ascii="Arial" w:cs="Arial" w:eastAsia="Arial" w:hAnsi="Arial"/>
                <w:sz w:val="13"/>
                <w:szCs w:val="13"/>
                <w:color w:val="auto"/>
                <w:w w:val="96"/>
              </w:rPr>
              <w:t>$ 1,272,704</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jc w:val="right"/>
              <w:spacing w:after="0" w:line="135" w:lineRule="exact"/>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8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39"/>
              <w:spacing w:after="0" w:line="135" w:lineRule="exact"/>
              <w:rPr>
                <w:sz w:val="20"/>
                <w:szCs w:val="20"/>
                <w:color w:val="auto"/>
              </w:rPr>
            </w:pPr>
            <w:r>
              <w:rPr>
                <w:rFonts w:ascii="Arial" w:cs="Arial" w:eastAsia="Arial" w:hAnsi="Arial"/>
                <w:sz w:val="13"/>
                <w:szCs w:val="13"/>
                <w:color w:val="auto"/>
              </w:rPr>
              <w:t>6,672</w:t>
            </w: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13,344</w:t>
            </w: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26,688</w:t>
            </w:r>
          </w:p>
        </w:tc>
        <w:tc>
          <w:tcPr>
            <w:tcW w:w="720" w:type="dxa"/>
            <w:vAlign w:val="bottom"/>
          </w:tcPr>
          <w:p>
            <w:pPr>
              <w:spacing w:after="0"/>
              <w:rPr>
                <w:sz w:val="11"/>
                <w:szCs w:val="11"/>
                <w:color w:val="auto"/>
              </w:rPr>
            </w:pP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9"/>
              <w:spacing w:after="0" w:line="135" w:lineRule="exact"/>
              <w:rPr>
                <w:sz w:val="20"/>
                <w:szCs w:val="20"/>
                <w:color w:val="auto"/>
              </w:rPr>
            </w:pPr>
            <w:r>
              <w:rPr>
                <w:rFonts w:ascii="Arial" w:cs="Arial" w:eastAsia="Arial" w:hAnsi="Arial"/>
                <w:sz w:val="13"/>
                <w:szCs w:val="13"/>
                <w:color w:val="auto"/>
                <w:w w:val="93"/>
              </w:rPr>
              <w:t>1,610,754</w:t>
            </w:r>
          </w:p>
        </w:tc>
        <w:tc>
          <w:tcPr>
            <w:tcW w:w="0" w:type="dxa"/>
            <w:vAlign w:val="bottom"/>
          </w:tcPr>
          <w:p>
            <w:pPr>
              <w:spacing w:after="0"/>
              <w:rPr>
                <w:sz w:val="1"/>
                <w:szCs w:val="1"/>
                <w:color w:val="auto"/>
              </w:rPr>
            </w:pPr>
          </w:p>
        </w:tc>
      </w:tr>
      <w:tr>
        <w:trPr>
          <w:trHeight w:val="135"/>
        </w:trPr>
        <w:tc>
          <w:tcPr>
            <w:tcW w:w="2730" w:type="dxa"/>
            <w:vAlign w:val="bottom"/>
          </w:tcPr>
          <w:p>
            <w:pPr>
              <w:spacing w:after="0"/>
              <w:rPr>
                <w:sz w:val="11"/>
                <w:szCs w:val="11"/>
                <w:color w:val="auto"/>
              </w:rPr>
            </w:pPr>
          </w:p>
        </w:tc>
        <w:tc>
          <w:tcPr>
            <w:tcW w:w="1810" w:type="dxa"/>
            <w:vAlign w:val="bottom"/>
          </w:tcPr>
          <w:p>
            <w:pPr>
              <w:jc w:val="right"/>
              <w:spacing w:after="0" w:line="135" w:lineRule="exact"/>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820" w:type="dxa"/>
            <w:vAlign w:val="bottom"/>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4,448</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39"/>
              <w:spacing w:after="0" w:line="135" w:lineRule="exact"/>
              <w:rPr>
                <w:sz w:val="20"/>
                <w:szCs w:val="20"/>
                <w:color w:val="auto"/>
              </w:rPr>
            </w:pPr>
            <w:r>
              <w:rPr>
                <w:rFonts w:ascii="Arial" w:cs="Arial" w:eastAsia="Arial" w:hAnsi="Arial"/>
                <w:sz w:val="13"/>
                <w:szCs w:val="13"/>
                <w:color w:val="auto"/>
              </w:rPr>
              <w:t>536,918</w:t>
            </w:r>
          </w:p>
        </w:tc>
        <w:tc>
          <w:tcPr>
            <w:tcW w:w="0" w:type="dxa"/>
            <w:vAlign w:val="bottom"/>
          </w:tcPr>
          <w:p>
            <w:pPr>
              <w:spacing w:after="0"/>
              <w:rPr>
                <w:sz w:val="1"/>
                <w:szCs w:val="1"/>
                <w:color w:val="auto"/>
              </w:rPr>
            </w:pPr>
          </w:p>
        </w:tc>
      </w:tr>
      <w:tr>
        <w:trPr>
          <w:trHeight w:val="141"/>
        </w:trPr>
        <w:tc>
          <w:tcPr>
            <w:tcW w:w="2730" w:type="dxa"/>
            <w:vAlign w:val="bottom"/>
            <w:tcBorders>
              <w:bottom w:val="single" w:sz="8" w:color="auto"/>
            </w:tcBorders>
          </w:tcPr>
          <w:p>
            <w:pPr>
              <w:spacing w:after="0"/>
              <w:rPr>
                <w:sz w:val="12"/>
                <w:szCs w:val="12"/>
                <w:color w:val="auto"/>
              </w:rPr>
            </w:pPr>
          </w:p>
        </w:tc>
        <w:tc>
          <w:tcPr>
            <w:tcW w:w="181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w w:val="98"/>
              </w:rPr>
              <w:t>RSU Award (Career Shares)</w:t>
            </w:r>
            <w:r>
              <w:rPr>
                <w:rFonts w:ascii="Arial" w:cs="Arial" w:eastAsia="Arial" w:hAnsi="Arial"/>
                <w:sz w:val="10"/>
                <w:szCs w:val="10"/>
                <w:color w:val="auto"/>
                <w:w w:val="98"/>
              </w:rPr>
              <w:t>(5)</w:t>
            </w:r>
          </w:p>
        </w:tc>
        <w:tc>
          <w:tcPr>
            <w:tcW w:w="820" w:type="dxa"/>
            <w:vAlign w:val="bottom"/>
            <w:tcBorders>
              <w:bottom w:val="single" w:sz="8" w:color="auto"/>
            </w:tcBorders>
          </w:tcPr>
          <w:p>
            <w:pPr>
              <w:jc w:val="right"/>
              <w:ind w:right="78"/>
              <w:spacing w:after="0" w:line="141" w:lineRule="exact"/>
              <w:rPr>
                <w:sz w:val="20"/>
                <w:szCs w:val="20"/>
                <w:color w:val="auto"/>
              </w:rPr>
            </w:pPr>
            <w:r>
              <w:rPr>
                <w:rFonts w:ascii="Arial" w:cs="Arial" w:eastAsia="Arial" w:hAnsi="Arial"/>
                <w:sz w:val="13"/>
                <w:szCs w:val="13"/>
                <w:color w:val="auto"/>
              </w:rPr>
              <w:t>11/16/2016</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2,179</w:t>
            </w:r>
          </w:p>
        </w:tc>
        <w:tc>
          <w:tcPr>
            <w:tcW w:w="1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9"/>
              <w:spacing w:after="0" w:line="141" w:lineRule="exact"/>
              <w:rPr>
                <w:sz w:val="20"/>
                <w:szCs w:val="20"/>
                <w:color w:val="auto"/>
              </w:rPr>
            </w:pPr>
            <w:r>
              <w:rPr>
                <w:rFonts w:ascii="Arial" w:cs="Arial" w:eastAsia="Arial" w:hAnsi="Arial"/>
                <w:sz w:val="13"/>
                <w:szCs w:val="13"/>
                <w:color w:val="auto"/>
              </w:rPr>
              <w:t>274,946</w:t>
            </w:r>
          </w:p>
        </w:tc>
        <w:tc>
          <w:tcPr>
            <w:tcW w:w="0" w:type="dxa"/>
            <w:vAlign w:val="bottom"/>
          </w:tcPr>
          <w:p>
            <w:pPr>
              <w:spacing w:after="0"/>
              <w:rPr>
                <w:sz w:val="1"/>
                <w:szCs w:val="1"/>
                <w:color w:val="auto"/>
              </w:rPr>
            </w:pPr>
          </w:p>
        </w:tc>
      </w:tr>
      <w:tr>
        <w:trPr>
          <w:trHeight w:val="123"/>
        </w:trPr>
        <w:tc>
          <w:tcPr>
            <w:tcW w:w="2730" w:type="dxa"/>
            <w:vAlign w:val="bottom"/>
            <w:shd w:val="clear" w:color="auto" w:fill="FCE9E8"/>
          </w:tcPr>
          <w:p>
            <w:pPr>
              <w:ind w:left="80"/>
              <w:spacing w:after="0" w:line="123" w:lineRule="exact"/>
              <w:rPr>
                <w:sz w:val="20"/>
                <w:szCs w:val="20"/>
                <w:color w:val="auto"/>
              </w:rPr>
            </w:pPr>
            <w:r>
              <w:rPr>
                <w:rFonts w:ascii="Arial" w:cs="Arial" w:eastAsia="Arial" w:hAnsi="Arial"/>
                <w:sz w:val="13"/>
                <w:szCs w:val="13"/>
                <w:color w:val="auto"/>
              </w:rPr>
              <w:t>Frank C. Orsini</w:t>
            </w:r>
          </w:p>
        </w:tc>
        <w:tc>
          <w:tcPr>
            <w:tcW w:w="181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Annual Incentive Award</w:t>
            </w:r>
          </w:p>
        </w:tc>
        <w:tc>
          <w:tcPr>
            <w:tcW w:w="820" w:type="dxa"/>
            <w:vAlign w:val="bottom"/>
            <w:shd w:val="clear" w:color="auto" w:fill="FCE9E8"/>
          </w:tcPr>
          <w:p>
            <w:pPr>
              <w:spacing w:after="0"/>
              <w:rPr>
                <w:sz w:val="10"/>
                <w:szCs w:val="10"/>
                <w:color w:val="auto"/>
              </w:rPr>
            </w:pPr>
          </w:p>
        </w:tc>
        <w:tc>
          <w:tcPr>
            <w:tcW w:w="80" w:type="dxa"/>
            <w:vAlign w:val="bottom"/>
            <w:shd w:val="clear" w:color="auto" w:fill="FCE9E8"/>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FCE9E8"/>
          </w:tcPr>
          <w:p>
            <w:pPr>
              <w:jc w:val="right"/>
              <w:ind w:right="19"/>
              <w:spacing w:after="0" w:line="123" w:lineRule="exact"/>
              <w:rPr>
                <w:sz w:val="20"/>
                <w:szCs w:val="20"/>
                <w:color w:val="auto"/>
              </w:rPr>
            </w:pPr>
            <w:r>
              <w:rPr>
                <w:rFonts w:ascii="Arial" w:cs="Arial" w:eastAsia="Arial" w:hAnsi="Arial"/>
                <w:sz w:val="13"/>
                <w:szCs w:val="13"/>
                <w:color w:val="auto"/>
              </w:rPr>
              <w:t>274,000</w:t>
            </w:r>
          </w:p>
        </w:tc>
        <w:tc>
          <w:tcPr>
            <w:tcW w:w="140" w:type="dxa"/>
            <w:vAlign w:val="bottom"/>
            <w:shd w:val="clear" w:color="auto" w:fill="FCE9E8"/>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shd w:val="clear" w:color="auto" w:fill="FCE9E8"/>
          </w:tcPr>
          <w:p>
            <w:pPr>
              <w:jc w:val="right"/>
              <w:ind w:right="18"/>
              <w:spacing w:after="0" w:line="123" w:lineRule="exact"/>
              <w:rPr>
                <w:sz w:val="20"/>
                <w:szCs w:val="20"/>
                <w:color w:val="auto"/>
              </w:rPr>
            </w:pPr>
            <w:r>
              <w:rPr>
                <w:rFonts w:ascii="Arial" w:cs="Arial" w:eastAsia="Arial" w:hAnsi="Arial"/>
                <w:sz w:val="13"/>
                <w:szCs w:val="13"/>
                <w:color w:val="auto"/>
              </w:rPr>
              <w:t>548,000</w:t>
            </w:r>
          </w:p>
        </w:tc>
        <w:tc>
          <w:tcPr>
            <w:tcW w:w="840" w:type="dxa"/>
            <w:vAlign w:val="bottom"/>
            <w:gridSpan w:val="2"/>
            <w:shd w:val="clear" w:color="auto" w:fill="FCE9E8"/>
          </w:tcPr>
          <w:p>
            <w:pPr>
              <w:jc w:val="center"/>
              <w:ind w:right="60"/>
              <w:spacing w:after="0" w:line="123" w:lineRule="exact"/>
              <w:rPr>
                <w:sz w:val="20"/>
                <w:szCs w:val="20"/>
                <w:color w:val="auto"/>
              </w:rPr>
            </w:pPr>
            <w:r>
              <w:rPr>
                <w:rFonts w:ascii="Arial" w:cs="Arial" w:eastAsia="Arial" w:hAnsi="Arial"/>
                <w:sz w:val="13"/>
                <w:szCs w:val="13"/>
                <w:color w:val="auto"/>
                <w:w w:val="96"/>
              </w:rPr>
              <w:t>$ 1,096,000</w:t>
            </w:r>
          </w:p>
        </w:tc>
        <w:tc>
          <w:tcPr>
            <w:tcW w:w="760" w:type="dxa"/>
            <w:vAlign w:val="bottom"/>
            <w:shd w:val="clear" w:color="auto" w:fill="FCE9E8"/>
          </w:tcPr>
          <w:p>
            <w:pPr>
              <w:spacing w:after="0"/>
              <w:rPr>
                <w:sz w:val="10"/>
                <w:szCs w:val="10"/>
                <w:color w:val="auto"/>
              </w:rPr>
            </w:pPr>
          </w:p>
        </w:tc>
        <w:tc>
          <w:tcPr>
            <w:tcW w:w="640" w:type="dxa"/>
            <w:vAlign w:val="bottom"/>
            <w:shd w:val="clear" w:color="auto" w:fill="FCE9E8"/>
          </w:tcPr>
          <w:p>
            <w:pPr>
              <w:spacing w:after="0"/>
              <w:rPr>
                <w:sz w:val="10"/>
                <w:szCs w:val="10"/>
                <w:color w:val="auto"/>
              </w:rPr>
            </w:pPr>
          </w:p>
        </w:tc>
        <w:tc>
          <w:tcPr>
            <w:tcW w:w="720" w:type="dxa"/>
            <w:vAlign w:val="bottom"/>
            <w:shd w:val="clear" w:color="auto" w:fill="FCE9E8"/>
          </w:tcPr>
          <w:p>
            <w:pPr>
              <w:spacing w:after="0"/>
              <w:rPr>
                <w:sz w:val="10"/>
                <w:szCs w:val="10"/>
                <w:color w:val="auto"/>
              </w:rPr>
            </w:pPr>
          </w:p>
        </w:tc>
        <w:tc>
          <w:tcPr>
            <w:tcW w:w="60" w:type="dxa"/>
            <w:vAlign w:val="bottom"/>
            <w:shd w:val="clear" w:color="auto" w:fill="FCE9E8"/>
          </w:tcPr>
          <w:p>
            <w:pPr>
              <w:spacing w:after="0"/>
              <w:rPr>
                <w:sz w:val="10"/>
                <w:szCs w:val="10"/>
                <w:color w:val="auto"/>
              </w:rPr>
            </w:pPr>
          </w:p>
        </w:tc>
        <w:tc>
          <w:tcPr>
            <w:tcW w:w="720" w:type="dxa"/>
            <w:vAlign w:val="bottom"/>
            <w:shd w:val="clear" w:color="auto" w:fill="FCE9E8"/>
          </w:tcPr>
          <w:p>
            <w:pPr>
              <w:spacing w:after="0"/>
              <w:rPr>
                <w:sz w:val="10"/>
                <w:szCs w:val="10"/>
                <w:color w:val="auto"/>
              </w:rPr>
            </w:pPr>
          </w:p>
        </w:tc>
        <w:tc>
          <w:tcPr>
            <w:tcW w:w="160" w:type="dxa"/>
            <w:vAlign w:val="bottom"/>
            <w:shd w:val="clear" w:color="auto" w:fill="FCE9E8"/>
          </w:tcPr>
          <w:p>
            <w:pPr>
              <w:spacing w:after="0"/>
              <w:rPr>
                <w:sz w:val="10"/>
                <w:szCs w:val="10"/>
                <w:color w:val="auto"/>
              </w:rPr>
            </w:pPr>
          </w:p>
        </w:tc>
        <w:tc>
          <w:tcPr>
            <w:tcW w:w="660" w:type="dxa"/>
            <w:vAlign w:val="bottom"/>
            <w:shd w:val="clear" w:color="auto" w:fill="FCE9E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30" w:type="dxa"/>
            <w:vAlign w:val="bottom"/>
            <w:shd w:val="clear" w:color="auto" w:fill="FCE9E8"/>
          </w:tcPr>
          <w:p>
            <w:pPr>
              <w:spacing w:after="0"/>
              <w:rPr>
                <w:sz w:val="11"/>
                <w:szCs w:val="11"/>
                <w:color w:val="auto"/>
              </w:rPr>
            </w:pPr>
          </w:p>
        </w:tc>
        <w:tc>
          <w:tcPr>
            <w:tcW w:w="181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Performance Share Award</w:t>
            </w:r>
            <w:r>
              <w:rPr>
                <w:rFonts w:ascii="Arial" w:cs="Arial" w:eastAsia="Arial" w:hAnsi="Arial"/>
                <w:sz w:val="10"/>
                <w:szCs w:val="10"/>
                <w:color w:val="auto"/>
              </w:rPr>
              <w:t>(3)</w:t>
            </w:r>
          </w:p>
        </w:tc>
        <w:tc>
          <w:tcPr>
            <w:tcW w:w="820" w:type="dxa"/>
            <w:vAlign w:val="bottom"/>
            <w:shd w:val="clear" w:color="auto" w:fill="FCE9E8"/>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14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760" w:type="dxa"/>
            <w:vAlign w:val="bottom"/>
            <w:shd w:val="clear" w:color="auto" w:fill="FCE9E8"/>
          </w:tcPr>
          <w:p>
            <w:pPr>
              <w:jc w:val="right"/>
              <w:ind w:right="39"/>
              <w:spacing w:after="0" w:line="135" w:lineRule="exact"/>
              <w:rPr>
                <w:sz w:val="20"/>
                <w:szCs w:val="20"/>
                <w:color w:val="auto"/>
              </w:rPr>
            </w:pPr>
            <w:r>
              <w:rPr>
                <w:rFonts w:ascii="Arial" w:cs="Arial" w:eastAsia="Arial" w:hAnsi="Arial"/>
                <w:sz w:val="13"/>
                <w:szCs w:val="13"/>
                <w:color w:val="auto"/>
              </w:rPr>
              <w:t>5,745</w:t>
            </w:r>
          </w:p>
        </w:tc>
        <w:tc>
          <w:tcPr>
            <w:tcW w:w="640" w:type="dxa"/>
            <w:vAlign w:val="bottom"/>
            <w:shd w:val="clear" w:color="auto" w:fill="FCE9E8"/>
          </w:tcPr>
          <w:p>
            <w:pPr>
              <w:ind w:left="160"/>
              <w:spacing w:after="0" w:line="135" w:lineRule="exact"/>
              <w:rPr>
                <w:sz w:val="20"/>
                <w:szCs w:val="20"/>
                <w:color w:val="auto"/>
              </w:rPr>
            </w:pPr>
            <w:r>
              <w:rPr>
                <w:rFonts w:ascii="Arial" w:cs="Arial" w:eastAsia="Arial" w:hAnsi="Arial"/>
                <w:sz w:val="13"/>
                <w:szCs w:val="13"/>
                <w:color w:val="auto"/>
              </w:rPr>
              <w:t>11,490</w:t>
            </w:r>
          </w:p>
        </w:tc>
        <w:tc>
          <w:tcPr>
            <w:tcW w:w="780" w:type="dxa"/>
            <w:vAlign w:val="bottom"/>
            <w:gridSpan w:val="2"/>
            <w:shd w:val="clear" w:color="auto" w:fill="FCE9E8"/>
          </w:tcPr>
          <w:p>
            <w:pPr>
              <w:jc w:val="right"/>
              <w:ind w:right="60"/>
              <w:spacing w:after="0" w:line="135" w:lineRule="exact"/>
              <w:rPr>
                <w:sz w:val="20"/>
                <w:szCs w:val="20"/>
                <w:color w:val="auto"/>
              </w:rPr>
            </w:pPr>
            <w:r>
              <w:rPr>
                <w:rFonts w:ascii="Arial" w:cs="Arial" w:eastAsia="Arial" w:hAnsi="Arial"/>
                <w:sz w:val="13"/>
                <w:szCs w:val="13"/>
                <w:color w:val="auto"/>
              </w:rPr>
              <w:t>22,980</w:t>
            </w:r>
          </w:p>
        </w:tc>
        <w:tc>
          <w:tcPr>
            <w:tcW w:w="720" w:type="dxa"/>
            <w:vAlign w:val="bottom"/>
            <w:shd w:val="clear" w:color="auto" w:fill="FCE9E8"/>
          </w:tcPr>
          <w:p>
            <w:pPr>
              <w:spacing w:after="0"/>
              <w:rPr>
                <w:sz w:val="11"/>
                <w:szCs w:val="11"/>
                <w:color w:val="auto"/>
              </w:rPr>
            </w:pP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39"/>
              <w:spacing w:after="0" w:line="135" w:lineRule="exact"/>
              <w:rPr>
                <w:sz w:val="20"/>
                <w:szCs w:val="20"/>
                <w:color w:val="auto"/>
              </w:rPr>
            </w:pPr>
            <w:r>
              <w:rPr>
                <w:rFonts w:ascii="Arial" w:cs="Arial" w:eastAsia="Arial" w:hAnsi="Arial"/>
                <w:sz w:val="13"/>
                <w:szCs w:val="13"/>
                <w:color w:val="auto"/>
                <w:w w:val="93"/>
              </w:rPr>
              <w:t>1,386,958</w:t>
            </w:r>
          </w:p>
        </w:tc>
        <w:tc>
          <w:tcPr>
            <w:tcW w:w="0" w:type="dxa"/>
            <w:vAlign w:val="bottom"/>
          </w:tcPr>
          <w:p>
            <w:pPr>
              <w:spacing w:after="0"/>
              <w:rPr>
                <w:sz w:val="1"/>
                <w:szCs w:val="1"/>
                <w:color w:val="auto"/>
              </w:rPr>
            </w:pPr>
          </w:p>
        </w:tc>
      </w:tr>
      <w:tr>
        <w:trPr>
          <w:trHeight w:val="135"/>
        </w:trPr>
        <w:tc>
          <w:tcPr>
            <w:tcW w:w="2730" w:type="dxa"/>
            <w:vAlign w:val="bottom"/>
            <w:shd w:val="clear" w:color="auto" w:fill="FCE9E8"/>
          </w:tcPr>
          <w:p>
            <w:pPr>
              <w:spacing w:after="0"/>
              <w:rPr>
                <w:sz w:val="11"/>
                <w:szCs w:val="11"/>
                <w:color w:val="auto"/>
              </w:rPr>
            </w:pPr>
          </w:p>
        </w:tc>
        <w:tc>
          <w:tcPr>
            <w:tcW w:w="181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RSU Award</w:t>
            </w:r>
            <w:r>
              <w:rPr>
                <w:rFonts w:ascii="Arial" w:cs="Arial" w:eastAsia="Arial" w:hAnsi="Arial"/>
                <w:sz w:val="10"/>
                <w:szCs w:val="10"/>
                <w:color w:val="auto"/>
              </w:rPr>
              <w:t>(4)</w:t>
            </w:r>
          </w:p>
        </w:tc>
        <w:tc>
          <w:tcPr>
            <w:tcW w:w="820" w:type="dxa"/>
            <w:vAlign w:val="bottom"/>
            <w:shd w:val="clear" w:color="auto" w:fill="FCE9E8"/>
          </w:tcPr>
          <w:p>
            <w:pPr>
              <w:jc w:val="right"/>
              <w:ind w:right="78"/>
              <w:spacing w:after="0" w:line="135" w:lineRule="exact"/>
              <w:rPr>
                <w:sz w:val="20"/>
                <w:szCs w:val="20"/>
                <w:color w:val="auto"/>
              </w:rPr>
            </w:pPr>
            <w:r>
              <w:rPr>
                <w:rFonts w:ascii="Arial" w:cs="Arial" w:eastAsia="Arial" w:hAnsi="Arial"/>
                <w:sz w:val="13"/>
                <w:szCs w:val="13"/>
                <w:color w:val="auto"/>
              </w:rPr>
              <w:t>1/4/2016</w:t>
            </w:r>
          </w:p>
        </w:tc>
        <w:tc>
          <w:tcPr>
            <w:tcW w:w="8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14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120" w:type="dxa"/>
            <w:vAlign w:val="bottom"/>
            <w:shd w:val="clear" w:color="auto" w:fill="FCE9E8"/>
          </w:tcPr>
          <w:p>
            <w:pPr>
              <w:spacing w:after="0"/>
              <w:rPr>
                <w:sz w:val="11"/>
                <w:szCs w:val="11"/>
                <w:color w:val="auto"/>
              </w:rPr>
            </w:pPr>
          </w:p>
        </w:tc>
        <w:tc>
          <w:tcPr>
            <w:tcW w:w="760" w:type="dxa"/>
            <w:vAlign w:val="bottom"/>
            <w:shd w:val="clear" w:color="auto" w:fill="FCE9E8"/>
          </w:tcPr>
          <w:p>
            <w:pPr>
              <w:spacing w:after="0"/>
              <w:rPr>
                <w:sz w:val="11"/>
                <w:szCs w:val="11"/>
                <w:color w:val="auto"/>
              </w:rPr>
            </w:pPr>
          </w:p>
        </w:tc>
        <w:tc>
          <w:tcPr>
            <w:tcW w:w="640" w:type="dxa"/>
            <w:vAlign w:val="bottom"/>
            <w:shd w:val="clear" w:color="auto" w:fill="FCE9E8"/>
          </w:tcPr>
          <w:p>
            <w:pPr>
              <w:spacing w:after="0"/>
              <w:rPr>
                <w:sz w:val="11"/>
                <w:szCs w:val="11"/>
                <w:color w:val="auto"/>
              </w:rPr>
            </w:pPr>
          </w:p>
        </w:tc>
        <w:tc>
          <w:tcPr>
            <w:tcW w:w="720" w:type="dxa"/>
            <w:vAlign w:val="bottom"/>
            <w:shd w:val="clear" w:color="auto" w:fill="FCE9E8"/>
          </w:tcPr>
          <w:p>
            <w:pPr>
              <w:spacing w:after="0"/>
              <w:rPr>
                <w:sz w:val="11"/>
                <w:szCs w:val="11"/>
                <w:color w:val="auto"/>
              </w:rPr>
            </w:pPr>
          </w:p>
        </w:tc>
        <w:tc>
          <w:tcPr>
            <w:tcW w:w="60" w:type="dxa"/>
            <w:vAlign w:val="bottom"/>
            <w:shd w:val="clear" w:color="auto" w:fill="FCE9E8"/>
          </w:tcPr>
          <w:p>
            <w:pPr>
              <w:spacing w:after="0"/>
              <w:rPr>
                <w:sz w:val="11"/>
                <w:szCs w:val="11"/>
                <w:color w:val="auto"/>
              </w:rPr>
            </w:pPr>
          </w:p>
        </w:tc>
        <w:tc>
          <w:tcPr>
            <w:tcW w:w="72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3,830</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39"/>
              <w:spacing w:after="0" w:line="135" w:lineRule="exact"/>
              <w:rPr>
                <w:sz w:val="20"/>
                <w:szCs w:val="20"/>
                <w:color w:val="auto"/>
              </w:rPr>
            </w:pPr>
            <w:r>
              <w:rPr>
                <w:rFonts w:ascii="Arial" w:cs="Arial" w:eastAsia="Arial" w:hAnsi="Arial"/>
                <w:sz w:val="13"/>
                <w:szCs w:val="13"/>
                <w:color w:val="auto"/>
              </w:rPr>
              <w:t>462,319</w:t>
            </w:r>
          </w:p>
        </w:tc>
        <w:tc>
          <w:tcPr>
            <w:tcW w:w="0" w:type="dxa"/>
            <w:vAlign w:val="bottom"/>
          </w:tcPr>
          <w:p>
            <w:pPr>
              <w:spacing w:after="0"/>
              <w:rPr>
                <w:sz w:val="1"/>
                <w:szCs w:val="1"/>
                <w:color w:val="auto"/>
              </w:rPr>
            </w:pPr>
          </w:p>
        </w:tc>
      </w:tr>
      <w:tr>
        <w:trPr>
          <w:trHeight w:val="141"/>
        </w:trPr>
        <w:tc>
          <w:tcPr>
            <w:tcW w:w="2730" w:type="dxa"/>
            <w:vAlign w:val="bottom"/>
            <w:shd w:val="clear" w:color="auto" w:fill="FCE9E8"/>
          </w:tcPr>
          <w:p>
            <w:pPr>
              <w:spacing w:after="0"/>
              <w:rPr>
                <w:sz w:val="12"/>
                <w:szCs w:val="12"/>
                <w:color w:val="auto"/>
              </w:rPr>
            </w:pPr>
          </w:p>
        </w:tc>
        <w:tc>
          <w:tcPr>
            <w:tcW w:w="1810" w:type="dxa"/>
            <w:vAlign w:val="bottom"/>
            <w:shd w:val="clear" w:color="auto" w:fill="FCE9E8"/>
          </w:tcPr>
          <w:p>
            <w:pPr>
              <w:jc w:val="right"/>
              <w:spacing w:after="0" w:line="141" w:lineRule="exact"/>
              <w:rPr>
                <w:sz w:val="20"/>
                <w:szCs w:val="20"/>
                <w:color w:val="auto"/>
              </w:rPr>
            </w:pPr>
            <w:r>
              <w:rPr>
                <w:rFonts w:ascii="Arial" w:cs="Arial" w:eastAsia="Arial" w:hAnsi="Arial"/>
                <w:sz w:val="13"/>
                <w:szCs w:val="13"/>
                <w:color w:val="auto"/>
                <w:w w:val="98"/>
              </w:rPr>
              <w:t>RSU Award (Career Shares)</w:t>
            </w:r>
            <w:r>
              <w:rPr>
                <w:rFonts w:ascii="Arial" w:cs="Arial" w:eastAsia="Arial" w:hAnsi="Arial"/>
                <w:sz w:val="10"/>
                <w:szCs w:val="10"/>
                <w:color w:val="auto"/>
                <w:w w:val="98"/>
              </w:rPr>
              <w:t>(5)</w:t>
            </w:r>
          </w:p>
        </w:tc>
        <w:tc>
          <w:tcPr>
            <w:tcW w:w="820" w:type="dxa"/>
            <w:vAlign w:val="bottom"/>
            <w:shd w:val="clear" w:color="auto" w:fill="FCE9E8"/>
          </w:tcPr>
          <w:p>
            <w:pPr>
              <w:jc w:val="right"/>
              <w:ind w:right="78"/>
              <w:spacing w:after="0" w:line="141" w:lineRule="exact"/>
              <w:rPr>
                <w:sz w:val="20"/>
                <w:szCs w:val="20"/>
                <w:color w:val="auto"/>
              </w:rPr>
            </w:pPr>
            <w:r>
              <w:rPr>
                <w:rFonts w:ascii="Arial" w:cs="Arial" w:eastAsia="Arial" w:hAnsi="Arial"/>
                <w:sz w:val="13"/>
                <w:szCs w:val="13"/>
                <w:color w:val="auto"/>
              </w:rPr>
              <w:t>11/16/2016</w:t>
            </w:r>
          </w:p>
        </w:tc>
        <w:tc>
          <w:tcPr>
            <w:tcW w:w="80" w:type="dxa"/>
            <w:vAlign w:val="bottom"/>
            <w:shd w:val="clear" w:color="auto" w:fill="FCE9E8"/>
          </w:tcPr>
          <w:p>
            <w:pPr>
              <w:spacing w:after="0"/>
              <w:rPr>
                <w:sz w:val="12"/>
                <w:szCs w:val="12"/>
                <w:color w:val="auto"/>
              </w:rPr>
            </w:pPr>
          </w:p>
        </w:tc>
        <w:tc>
          <w:tcPr>
            <w:tcW w:w="640" w:type="dxa"/>
            <w:vAlign w:val="bottom"/>
            <w:shd w:val="clear" w:color="auto" w:fill="FCE9E8"/>
          </w:tcPr>
          <w:p>
            <w:pPr>
              <w:spacing w:after="0"/>
              <w:rPr>
                <w:sz w:val="12"/>
                <w:szCs w:val="12"/>
                <w:color w:val="auto"/>
              </w:rPr>
            </w:pPr>
          </w:p>
        </w:tc>
        <w:tc>
          <w:tcPr>
            <w:tcW w:w="140" w:type="dxa"/>
            <w:vAlign w:val="bottom"/>
            <w:shd w:val="clear" w:color="auto" w:fill="FCE9E8"/>
          </w:tcPr>
          <w:p>
            <w:pPr>
              <w:spacing w:after="0"/>
              <w:rPr>
                <w:sz w:val="12"/>
                <w:szCs w:val="12"/>
                <w:color w:val="auto"/>
              </w:rPr>
            </w:pPr>
          </w:p>
        </w:tc>
        <w:tc>
          <w:tcPr>
            <w:tcW w:w="640" w:type="dxa"/>
            <w:vAlign w:val="bottom"/>
            <w:shd w:val="clear" w:color="auto" w:fill="FCE9E8"/>
          </w:tcPr>
          <w:p>
            <w:pPr>
              <w:spacing w:after="0"/>
              <w:rPr>
                <w:sz w:val="12"/>
                <w:szCs w:val="12"/>
                <w:color w:val="auto"/>
              </w:rPr>
            </w:pPr>
          </w:p>
        </w:tc>
        <w:tc>
          <w:tcPr>
            <w:tcW w:w="720" w:type="dxa"/>
            <w:vAlign w:val="bottom"/>
            <w:shd w:val="clear" w:color="auto" w:fill="FCE9E8"/>
          </w:tcPr>
          <w:p>
            <w:pPr>
              <w:spacing w:after="0"/>
              <w:rPr>
                <w:sz w:val="12"/>
                <w:szCs w:val="12"/>
                <w:color w:val="auto"/>
              </w:rPr>
            </w:pPr>
          </w:p>
        </w:tc>
        <w:tc>
          <w:tcPr>
            <w:tcW w:w="120" w:type="dxa"/>
            <w:vAlign w:val="bottom"/>
            <w:shd w:val="clear" w:color="auto" w:fill="FCE9E8"/>
          </w:tcPr>
          <w:p>
            <w:pPr>
              <w:spacing w:after="0"/>
              <w:rPr>
                <w:sz w:val="12"/>
                <w:szCs w:val="12"/>
                <w:color w:val="auto"/>
              </w:rPr>
            </w:pPr>
          </w:p>
        </w:tc>
        <w:tc>
          <w:tcPr>
            <w:tcW w:w="760" w:type="dxa"/>
            <w:vAlign w:val="bottom"/>
            <w:shd w:val="clear" w:color="auto" w:fill="FCE9E8"/>
          </w:tcPr>
          <w:p>
            <w:pPr>
              <w:spacing w:after="0"/>
              <w:rPr>
                <w:sz w:val="12"/>
                <w:szCs w:val="12"/>
                <w:color w:val="auto"/>
              </w:rPr>
            </w:pPr>
          </w:p>
        </w:tc>
        <w:tc>
          <w:tcPr>
            <w:tcW w:w="640" w:type="dxa"/>
            <w:vAlign w:val="bottom"/>
            <w:shd w:val="clear" w:color="auto" w:fill="FCE9E8"/>
          </w:tcPr>
          <w:p>
            <w:pPr>
              <w:spacing w:after="0"/>
              <w:rPr>
                <w:sz w:val="12"/>
                <w:szCs w:val="12"/>
                <w:color w:val="auto"/>
              </w:rPr>
            </w:pPr>
          </w:p>
        </w:tc>
        <w:tc>
          <w:tcPr>
            <w:tcW w:w="720" w:type="dxa"/>
            <w:vAlign w:val="bottom"/>
            <w:shd w:val="clear" w:color="auto" w:fill="FCE9E8"/>
          </w:tcPr>
          <w:p>
            <w:pPr>
              <w:spacing w:after="0"/>
              <w:rPr>
                <w:sz w:val="12"/>
                <w:szCs w:val="12"/>
                <w:color w:val="auto"/>
              </w:rPr>
            </w:pPr>
          </w:p>
        </w:tc>
        <w:tc>
          <w:tcPr>
            <w:tcW w:w="60" w:type="dxa"/>
            <w:vAlign w:val="bottom"/>
            <w:shd w:val="clear" w:color="auto" w:fill="FCE9E8"/>
          </w:tcPr>
          <w:p>
            <w:pPr>
              <w:spacing w:after="0"/>
              <w:rPr>
                <w:sz w:val="12"/>
                <w:szCs w:val="12"/>
                <w:color w:val="auto"/>
              </w:rPr>
            </w:pPr>
          </w:p>
        </w:tc>
        <w:tc>
          <w:tcPr>
            <w:tcW w:w="720" w:type="dxa"/>
            <w:vAlign w:val="bottom"/>
            <w:shd w:val="clear" w:color="auto" w:fill="FCE9E8"/>
          </w:tcPr>
          <w:p>
            <w:pPr>
              <w:jc w:val="right"/>
              <w:spacing w:after="0" w:line="141" w:lineRule="exact"/>
              <w:rPr>
                <w:sz w:val="20"/>
                <w:szCs w:val="20"/>
                <w:color w:val="auto"/>
              </w:rPr>
            </w:pPr>
            <w:r>
              <w:rPr>
                <w:rFonts w:ascii="Arial" w:cs="Arial" w:eastAsia="Arial" w:hAnsi="Arial"/>
                <w:sz w:val="13"/>
                <w:szCs w:val="13"/>
                <w:color w:val="auto"/>
              </w:rPr>
              <w:t>1,386</w:t>
            </w:r>
          </w:p>
        </w:tc>
        <w:tc>
          <w:tcPr>
            <w:tcW w:w="160" w:type="dxa"/>
            <w:vAlign w:val="bottom"/>
            <w:shd w:val="clear" w:color="auto" w:fill="FCE9E8"/>
          </w:tcPr>
          <w:p>
            <w:pPr>
              <w:jc w:val="right"/>
              <w:spacing w:after="0" w:line="141" w:lineRule="exact"/>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39"/>
              <w:spacing w:after="0" w:line="141" w:lineRule="exact"/>
              <w:rPr>
                <w:sz w:val="20"/>
                <w:szCs w:val="20"/>
                <w:color w:val="auto"/>
              </w:rPr>
            </w:pPr>
            <w:r>
              <w:rPr>
                <w:rFonts w:ascii="Arial" w:cs="Arial" w:eastAsia="Arial" w:hAnsi="Arial"/>
                <w:sz w:val="13"/>
                <w:szCs w:val="13"/>
                <w:color w:val="auto"/>
              </w:rPr>
              <w:t>174,885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120" w:hanging="332"/>
        <w:spacing w:after="0" w:line="208" w:lineRule="auto"/>
        <w:tabs>
          <w:tab w:leader="none" w:pos="3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For the Annual Incentive Award, the threshold, target and maximum amounts represent 50%, 100% and 200%, respectively, of the total bonus opportunity for each Named Executive Officer. If actual performance falls between threshold and maximum, the award would be calculated using linear interpolation. For the Annual Incentive Award, the target bonus opportunity for the Named Executive Officers was also based on a percentage of base salary, which is 160% for Mr. Simoncini and 80% for Messrs. Vanneste, Scott, Larkin and Orsini.</w:t>
      </w:r>
    </w:p>
    <w:p>
      <w:pPr>
        <w:spacing w:after="0" w:line="71" w:lineRule="exact"/>
        <w:rPr>
          <w:rFonts w:ascii="Arial" w:cs="Arial" w:eastAsia="Arial" w:hAnsi="Arial"/>
          <w:sz w:val="24"/>
          <w:szCs w:val="24"/>
          <w:color w:val="auto"/>
          <w:vertAlign w:val="superscript"/>
        </w:rPr>
      </w:pPr>
    </w:p>
    <w:p>
      <w:pPr>
        <w:ind w:left="340" w:right="40" w:hanging="332"/>
        <w:spacing w:after="0" w:line="183" w:lineRule="auto"/>
        <w:tabs>
          <w:tab w:leader="none" w:pos="3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See Note 10, “Stock-Based Compensation,” to the Company’s consolidated financial statements included in our 2016 Annual Report on Form 10-K for the assumptions made in determining values.</w:t>
      </w:r>
    </w:p>
    <w:p>
      <w:pPr>
        <w:spacing w:after="0" w:line="71" w:lineRule="exact"/>
        <w:rPr>
          <w:rFonts w:ascii="Arial" w:cs="Arial" w:eastAsia="Arial" w:hAnsi="Arial"/>
          <w:sz w:val="24"/>
          <w:szCs w:val="24"/>
          <w:color w:val="auto"/>
          <w:vertAlign w:val="superscript"/>
        </w:rPr>
      </w:pPr>
    </w:p>
    <w:p>
      <w:pPr>
        <w:ind w:left="340" w:right="20" w:hanging="332"/>
        <w:spacing w:after="0" w:line="208" w:lineRule="auto"/>
        <w:tabs>
          <w:tab w:leader="none" w:pos="3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Payment of each Performance Share award is contingent on the Company attaining certain levels of Adjusted ROIC and Cumulative Adjusted Pre-Tax Income performance in the 2016-2018 performance period. Two-thirds of each Performance Share award can be earned based on Adjusted ROIC performance and one-third can be earned based on Cumulative Adjusted Pre-Tax Income performance. If threshold, target or maximum performance goals are attained in the performance period, 50%, 100% or 200% of the target amount, respectively, may be earned. If actual performance falls between threshold and maximum, the award would be calculated using linear interpolation.</w:t>
      </w:r>
    </w:p>
    <w:p>
      <w:pPr>
        <w:ind w:left="340" w:hanging="332"/>
        <w:spacing w:after="0" w:line="211" w:lineRule="auto"/>
        <w:tabs>
          <w:tab w:leader="none" w:pos="3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The RSUs vest and are paid in shares of Lear common stock on the third anniversary of the grant date.</w:t>
      </w:r>
    </w:p>
    <w:p>
      <w:pPr>
        <w:spacing w:after="0" w:line="71" w:lineRule="exact"/>
        <w:rPr>
          <w:rFonts w:ascii="Arial" w:cs="Arial" w:eastAsia="Arial" w:hAnsi="Arial"/>
          <w:sz w:val="24"/>
          <w:szCs w:val="24"/>
          <w:color w:val="auto"/>
          <w:vertAlign w:val="superscript"/>
        </w:rPr>
      </w:pPr>
    </w:p>
    <w:p>
      <w:pPr>
        <w:ind w:left="340" w:hanging="332"/>
        <w:spacing w:after="0" w:line="189" w:lineRule="auto"/>
        <w:tabs>
          <w:tab w:leader="none" w:pos="340" w:val="left"/>
        </w:tabs>
        <w:numPr>
          <w:ilvl w:val="0"/>
          <w:numId w:val="78"/>
        </w:numPr>
        <w:rPr>
          <w:rFonts w:ascii="Arial" w:cs="Arial" w:eastAsia="Arial" w:hAnsi="Arial"/>
          <w:sz w:val="19"/>
          <w:szCs w:val="19"/>
          <w:color w:val="auto"/>
          <w:vertAlign w:val="superscript"/>
        </w:rPr>
      </w:pPr>
      <w:r>
        <w:rPr>
          <w:rFonts w:ascii="Arial" w:cs="Arial" w:eastAsia="Arial" w:hAnsi="Arial"/>
          <w:sz w:val="12"/>
          <w:szCs w:val="12"/>
          <w:color w:val="auto"/>
        </w:rPr>
        <w:t>See “— Career Shares” below for an explanation regarding the vesting and distribution of the Career Shares.</w:t>
      </w:r>
    </w:p>
    <w:p>
      <w:pPr>
        <w:spacing w:after="0" w:line="133"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43</w:t>
      </w:r>
    </w:p>
    <w:p>
      <w:pPr>
        <w:sectPr>
          <w:pgSz w:w="11900" w:h="16838" w:orient="portrait"/>
          <w:cols w:equalWidth="0" w:num="1">
            <w:col w:w="11420"/>
          </w:cols>
          <w:pgMar w:left="240" w:top="267" w:right="2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 summary description of the Company’s AIP is set forth above under the heading “Compensation Discussion and Analysis — Elements of Compensation — Annual Incentives.”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Performance Share awards were granted pursuant to the LTSIP. Payment of each Performance Share award is contingent on the Company attaining certain levels of Adjusted ROIC and Cumulative Adjusted Pre-Tax Income in the 2016-2018 performance period. Two-thirds of each Performance Share award can be earned based on Adjusted ROIC performance and one-third can be earned based on Cumulative Adjusted Pre-Tax Income performance. If threshold, target or maximum performance goals are attained in a performance period, 50%, 100% or 200% of the target amount, respectively, may be earned. If actual performance falls between threshold and maximum, the award would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calculated using linear interpolation. For a description of the effect of a termination of employment or a change in control on the vesting of Performance Shares, please see “Executive Compensation — 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-1870075</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spacing w:after="0" w:line="278" w:lineRule="exact"/>
        <w:rPr>
          <w:sz w:val="20"/>
          <w:szCs w:val="20"/>
          <w:color w:val="auto"/>
        </w:rPr>
      </w:pPr>
    </w:p>
    <w:p>
      <w:pPr>
        <w:sectPr>
          <w:pgSz w:w="11900" w:h="16838" w:orient="portrait"/>
          <w:cols w:equalWidth="0" w:num="2">
            <w:col w:w="5380" w:space="440"/>
            <w:col w:w="5480"/>
          </w:cols>
          <w:pgMar w:left="240" w:top="267" w:right="35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RSU awards were granted pursuant to the LTSIP. A summary description of the LTSIP is set forth above under the heading “Compensation Discussion and Analysis — Elements of Compensation — Long-Term Incentives.”</w:t>
      </w:r>
    </w:p>
    <w:p>
      <w:pPr>
        <w:spacing w:after="0" w:line="9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Provided that the Company achieves positive adjusted net income in the fiscal year in which the award is granted, the RSUs vest and settle in shares of common stock on the third anniversary of the grant date during the executive’s continuing employment. Positive adjusted net income is the Company’s net income excluding the impact of restructuring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special items provided in the LTSIP. For a description of the effect of a termination of employment or a change in control on the vesting of RSUs, please see “Executive Compensation — Potential Payments Upon Termination or Change in Control.”</w:t>
      </w:r>
    </w:p>
    <w:p>
      <w:pPr>
        <w:spacing w:after="0" w:line="9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388" w:lineRule="exact"/>
        <w:rPr>
          <w:sz w:val="20"/>
          <w:szCs w:val="20"/>
          <w:color w:val="auto"/>
        </w:rPr>
      </w:pPr>
    </w:p>
    <w:p>
      <w:pPr>
        <w:sectPr>
          <w:pgSz w:w="11900" w:h="16838" w:orient="portrait"/>
          <w:cols w:equalWidth="0" w:num="2">
            <w:col w:w="5460" w:space="360"/>
            <w:col w:w="5480"/>
          </w:cols>
          <w:pgMar w:left="240" w:top="267" w:right="35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Career Shares</w:t>
      </w:r>
    </w:p>
    <w:p>
      <w:pPr>
        <w:spacing w:after="0" w:line="196"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As shown in the table above, the Company granted “Career Shares” pursuant to the LTSIP to certain executives in 2016, including each of the Named Executive Officers.</w:t>
      </w:r>
    </w:p>
    <w:p>
      <w:pPr>
        <w:spacing w:after="0" w:line="9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general, the underlying shares of common stock for the vested Career Share RSUs are not distributed until the later of (i) age 62 or (ii) the vesting date. If the executive terminates due to a Career Share “qualifying retirement” (</w:t>
      </w:r>
      <w:r>
        <w:rPr>
          <w:rFonts w:ascii="Arial" w:cs="Arial" w:eastAsia="Arial" w:hAnsi="Arial"/>
          <w:sz w:val="16"/>
          <w:szCs w:val="16"/>
          <w:i w:val="1"/>
          <w:iCs w:val="1"/>
          <w:color w:val="auto"/>
        </w:rPr>
        <w:t>i.e.</w:t>
      </w:r>
      <w:r>
        <w:rPr>
          <w:rFonts w:ascii="Arial" w:cs="Arial" w:eastAsia="Arial" w:hAnsi="Arial"/>
          <w:sz w:val="16"/>
          <w:szCs w:val="16"/>
          <w:color w:val="auto"/>
        </w:rPr>
        <w:t>, voluntary termination at or after age 62 or the date that the executive attains a combined number of age and years of service of 65, with a minimum age of 55 and minimum service of five years), the underlying shares of common stock for the vested RSUs</w:t>
      </w:r>
    </w:p>
    <w:p>
      <w:pPr>
        <w:spacing w:after="0" w:line="265" w:lineRule="exact"/>
        <w:rPr>
          <w:sz w:val="20"/>
          <w:szCs w:val="20"/>
          <w:color w:val="auto"/>
        </w:rPr>
      </w:pPr>
    </w:p>
    <w:p>
      <w:pPr>
        <w:ind w:left="460" w:hanging="349"/>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are not distributed until the earlier of (i) age 62 (or such later vesting date) or</w:t>
      </w:r>
    </w:p>
    <w:p>
      <w:pPr>
        <w:spacing w:after="0" w:line="5" w:lineRule="exact"/>
        <w:rPr>
          <w:sz w:val="20"/>
          <w:szCs w:val="20"/>
          <w:color w:val="auto"/>
        </w:rPr>
      </w:pPr>
    </w:p>
    <w:p>
      <w:pPr>
        <w:ind w:right="20" w:firstLine="9"/>
        <w:spacing w:after="0" w:line="246" w:lineRule="auto"/>
        <w:tabs>
          <w:tab w:leader="none" w:pos="22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three years after the executive’s qualifying retirement. If the executive has attained a combined number of age and years of service of at least 65, with a minimum age of 55 and minimum service of five years, or the executive is terminated without “cause” or resigns for “good reason,” in each case after the first anniversary of the grant date, the underlying shares of common stock for the vested RSUs are not distributed until the earlier of</w:t>
      </w:r>
    </w:p>
    <w:p>
      <w:pPr>
        <w:spacing w:after="0" w:line="2" w:lineRule="exact"/>
        <w:rPr>
          <w:rFonts w:ascii="Arial" w:cs="Arial" w:eastAsia="Arial" w:hAnsi="Arial"/>
          <w:sz w:val="16"/>
          <w:szCs w:val="16"/>
          <w:color w:val="auto"/>
        </w:rPr>
      </w:pPr>
    </w:p>
    <w:p>
      <w:pPr>
        <w:ind w:right="80" w:firstLine="9"/>
        <w:spacing w:after="0" w:line="260" w:lineRule="auto"/>
        <w:tabs>
          <w:tab w:leader="none" w:pos="188" w:val="left"/>
        </w:tabs>
        <w:numPr>
          <w:ilvl w:val="0"/>
          <w:numId w:val="81"/>
        </w:numPr>
        <w:rPr>
          <w:rFonts w:ascii="Arial" w:cs="Arial" w:eastAsia="Arial" w:hAnsi="Arial"/>
          <w:sz w:val="16"/>
          <w:szCs w:val="16"/>
          <w:color w:val="auto"/>
        </w:rPr>
      </w:pPr>
      <w:r>
        <w:rPr>
          <w:rFonts w:ascii="Arial" w:cs="Arial" w:eastAsia="Arial" w:hAnsi="Arial"/>
          <w:sz w:val="16"/>
          <w:szCs w:val="16"/>
          <w:color w:val="auto"/>
        </w:rPr>
        <w:t>age 62 (or such later vesting date) or (ii) three years after the executive’s termination of employment.</w:t>
      </w:r>
    </w:p>
    <w:p>
      <w:pPr>
        <w:sectPr>
          <w:pgSz w:w="11900" w:h="16838" w:orient="portrait"/>
          <w:cols w:equalWidth="0" w:num="2">
            <w:col w:w="5460" w:space="360"/>
            <w:col w:w="5480"/>
          </w:cols>
          <w:pgMar w:left="240" w:top="267" w:right="35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FFFFFF"/>
        </w:rPr>
        <w:t>2016 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outstanding equity awards as of December 31, 2016, for each Named Executive Officer.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ind w:right="1286"/>
              <w:spacing w:after="0"/>
              <w:rPr>
                <w:sz w:val="20"/>
                <w:szCs w:val="20"/>
                <w:color w:val="auto"/>
              </w:rPr>
            </w:pPr>
            <w:r>
              <w:rPr>
                <w:rFonts w:ascii="Arial" w:cs="Arial" w:eastAsia="Arial" w:hAnsi="Arial"/>
                <w:sz w:val="14"/>
                <w:szCs w:val="14"/>
                <w:b w:val="1"/>
                <w:bCs w:val="1"/>
                <w:color w:val="E2231A"/>
              </w:rPr>
              <w:t>Stock Awards</w:t>
            </w:r>
          </w:p>
        </w:tc>
        <w:tc>
          <w:tcPr>
            <w:tcW w:w="5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42"/>
        </w:trPr>
        <w:tc>
          <w:tcPr>
            <w:tcW w:w="3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Pr>
          <w:p>
            <w:pPr>
              <w:jc w:val="center"/>
              <w:ind w:right="565"/>
              <w:spacing w:after="0" w:line="143" w:lineRule="exact"/>
              <w:rPr>
                <w:sz w:val="20"/>
                <w:szCs w:val="20"/>
                <w:color w:val="auto"/>
              </w:rPr>
            </w:pPr>
            <w:r>
              <w:rPr>
                <w:rFonts w:ascii="Arial" w:cs="Arial" w:eastAsia="Arial" w:hAnsi="Arial"/>
                <w:sz w:val="14"/>
                <w:szCs w:val="14"/>
                <w:b w:val="1"/>
                <w:bCs w:val="1"/>
                <w:color w:val="E2231A"/>
              </w:rPr>
              <w:t>Equity</w:t>
            </w:r>
          </w:p>
        </w:tc>
      </w:tr>
      <w:tr>
        <w:trPr>
          <w:trHeight w:val="162"/>
        </w:trPr>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jc w:val="center"/>
              <w:ind w:right="565"/>
              <w:spacing w:after="0"/>
              <w:rPr>
                <w:sz w:val="20"/>
                <w:szCs w:val="20"/>
                <w:color w:val="auto"/>
              </w:rPr>
            </w:pPr>
            <w:r>
              <w:rPr>
                <w:rFonts w:ascii="Arial" w:cs="Arial" w:eastAsia="Arial" w:hAnsi="Arial"/>
                <w:sz w:val="14"/>
                <w:szCs w:val="14"/>
                <w:b w:val="1"/>
                <w:bCs w:val="1"/>
                <w:color w:val="E2231A"/>
              </w:rPr>
              <w:t>Incentive</w:t>
            </w:r>
          </w:p>
        </w:tc>
      </w:tr>
      <w:tr>
        <w:trPr>
          <w:trHeight w:val="162"/>
        </w:trPr>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jc w:val="center"/>
              <w:ind w:right="565"/>
              <w:spacing w:after="0"/>
              <w:rPr>
                <w:sz w:val="20"/>
                <w:szCs w:val="20"/>
                <w:color w:val="auto"/>
              </w:rPr>
            </w:pPr>
            <w:r>
              <w:rPr>
                <w:rFonts w:ascii="Arial" w:cs="Arial" w:eastAsia="Arial" w:hAnsi="Arial"/>
                <w:sz w:val="14"/>
                <w:szCs w:val="14"/>
                <w:b w:val="1"/>
                <w:bCs w:val="1"/>
                <w:color w:val="E2231A"/>
              </w:rPr>
              <w:t>Plan</w:t>
            </w:r>
          </w:p>
        </w:tc>
      </w:tr>
      <w:tr>
        <w:trPr>
          <w:trHeight w:val="162"/>
        </w:trPr>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jc w:val="center"/>
              <w:ind w:left="366"/>
              <w:spacing w:after="0"/>
              <w:rPr>
                <w:sz w:val="20"/>
                <w:szCs w:val="20"/>
                <w:color w:val="auto"/>
              </w:rPr>
            </w:pPr>
            <w:r>
              <w:rPr>
                <w:rFonts w:ascii="Arial" w:cs="Arial" w:eastAsia="Arial" w:hAnsi="Arial"/>
                <w:sz w:val="14"/>
                <w:szCs w:val="14"/>
                <w:b w:val="1"/>
                <w:bCs w:val="1"/>
                <w:color w:val="E2231A"/>
              </w:rPr>
              <w:t>Equity</w:t>
            </w:r>
          </w:p>
        </w:tc>
        <w:tc>
          <w:tcPr>
            <w:tcW w:w="580" w:type="dxa"/>
            <w:vAlign w:val="bottom"/>
          </w:tcPr>
          <w:p>
            <w:pPr>
              <w:spacing w:after="0"/>
              <w:rPr>
                <w:sz w:val="14"/>
                <w:szCs w:val="14"/>
                <w:color w:val="auto"/>
              </w:rPr>
            </w:pPr>
          </w:p>
        </w:tc>
        <w:tc>
          <w:tcPr>
            <w:tcW w:w="1400" w:type="dxa"/>
            <w:vAlign w:val="bottom"/>
          </w:tcPr>
          <w:p>
            <w:pPr>
              <w:jc w:val="center"/>
              <w:ind w:right="565"/>
              <w:spacing w:after="0"/>
              <w:rPr>
                <w:sz w:val="20"/>
                <w:szCs w:val="20"/>
                <w:color w:val="auto"/>
              </w:rPr>
            </w:pPr>
            <w:r>
              <w:rPr>
                <w:rFonts w:ascii="Arial" w:cs="Arial" w:eastAsia="Arial" w:hAnsi="Arial"/>
                <w:sz w:val="14"/>
                <w:szCs w:val="14"/>
                <w:b w:val="1"/>
                <w:bCs w:val="1"/>
                <w:color w:val="E2231A"/>
              </w:rPr>
              <w:t>Awards:</w:t>
            </w:r>
          </w:p>
        </w:tc>
      </w:tr>
      <w:tr>
        <w:trPr>
          <w:trHeight w:val="162"/>
        </w:trPr>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jc w:val="center"/>
              <w:ind w:left="366"/>
              <w:spacing w:after="0"/>
              <w:rPr>
                <w:sz w:val="20"/>
                <w:szCs w:val="20"/>
                <w:color w:val="auto"/>
              </w:rPr>
            </w:pPr>
            <w:r>
              <w:rPr>
                <w:rFonts w:ascii="Arial" w:cs="Arial" w:eastAsia="Arial" w:hAnsi="Arial"/>
                <w:sz w:val="14"/>
                <w:szCs w:val="14"/>
                <w:b w:val="1"/>
                <w:bCs w:val="1"/>
                <w:color w:val="E2231A"/>
              </w:rPr>
              <w:t>Incentive Plan</w:t>
            </w:r>
          </w:p>
        </w:tc>
        <w:tc>
          <w:tcPr>
            <w:tcW w:w="580" w:type="dxa"/>
            <w:vAlign w:val="bottom"/>
          </w:tcPr>
          <w:p>
            <w:pPr>
              <w:spacing w:after="0"/>
              <w:rPr>
                <w:sz w:val="14"/>
                <w:szCs w:val="14"/>
                <w:color w:val="auto"/>
              </w:rPr>
            </w:pPr>
          </w:p>
        </w:tc>
        <w:tc>
          <w:tcPr>
            <w:tcW w:w="1400" w:type="dxa"/>
            <w:vAlign w:val="bottom"/>
          </w:tcPr>
          <w:p>
            <w:pPr>
              <w:jc w:val="center"/>
              <w:ind w:right="565"/>
              <w:spacing w:after="0"/>
              <w:rPr>
                <w:sz w:val="20"/>
                <w:szCs w:val="20"/>
                <w:color w:val="auto"/>
              </w:rPr>
            </w:pPr>
            <w:r>
              <w:rPr>
                <w:rFonts w:ascii="Arial" w:cs="Arial" w:eastAsia="Arial" w:hAnsi="Arial"/>
                <w:sz w:val="14"/>
                <w:szCs w:val="14"/>
                <w:b w:val="1"/>
                <w:bCs w:val="1"/>
                <w:color w:val="E2231A"/>
              </w:rPr>
              <w:t>Market or</w:t>
            </w:r>
          </w:p>
        </w:tc>
      </w:tr>
      <w:tr>
        <w:trPr>
          <w:trHeight w:val="162"/>
        </w:trPr>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jc w:val="center"/>
              <w:ind w:left="366"/>
              <w:spacing w:after="0"/>
              <w:rPr>
                <w:sz w:val="20"/>
                <w:szCs w:val="20"/>
                <w:color w:val="auto"/>
              </w:rPr>
            </w:pPr>
            <w:r>
              <w:rPr>
                <w:rFonts w:ascii="Arial" w:cs="Arial" w:eastAsia="Arial" w:hAnsi="Arial"/>
                <w:sz w:val="14"/>
                <w:szCs w:val="14"/>
                <w:b w:val="1"/>
                <w:bCs w:val="1"/>
                <w:color w:val="E2231A"/>
              </w:rPr>
              <w:t>Awards:</w:t>
            </w:r>
          </w:p>
        </w:tc>
        <w:tc>
          <w:tcPr>
            <w:tcW w:w="580" w:type="dxa"/>
            <w:vAlign w:val="bottom"/>
          </w:tcPr>
          <w:p>
            <w:pPr>
              <w:spacing w:after="0"/>
              <w:rPr>
                <w:sz w:val="14"/>
                <w:szCs w:val="14"/>
                <w:color w:val="auto"/>
              </w:rPr>
            </w:pPr>
          </w:p>
        </w:tc>
        <w:tc>
          <w:tcPr>
            <w:tcW w:w="1400" w:type="dxa"/>
            <w:vAlign w:val="bottom"/>
          </w:tcPr>
          <w:p>
            <w:pPr>
              <w:jc w:val="center"/>
              <w:ind w:right="565"/>
              <w:spacing w:after="0"/>
              <w:rPr>
                <w:sz w:val="20"/>
                <w:szCs w:val="20"/>
                <w:color w:val="auto"/>
              </w:rPr>
            </w:pPr>
            <w:r>
              <w:rPr>
                <w:rFonts w:ascii="Arial" w:cs="Arial" w:eastAsia="Arial" w:hAnsi="Arial"/>
                <w:sz w:val="14"/>
                <w:szCs w:val="14"/>
                <w:b w:val="1"/>
                <w:bCs w:val="1"/>
                <w:color w:val="E2231A"/>
              </w:rPr>
              <w:t>Payout</w:t>
            </w:r>
          </w:p>
        </w:tc>
      </w:tr>
      <w:tr>
        <w:trPr>
          <w:trHeight w:val="162"/>
        </w:trPr>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jc w:val="center"/>
              <w:ind w:left="366"/>
              <w:spacing w:after="0"/>
              <w:rPr>
                <w:sz w:val="20"/>
                <w:szCs w:val="20"/>
                <w:color w:val="auto"/>
              </w:rPr>
            </w:pPr>
            <w:r>
              <w:rPr>
                <w:rFonts w:ascii="Arial" w:cs="Arial" w:eastAsia="Arial" w:hAnsi="Arial"/>
                <w:sz w:val="14"/>
                <w:szCs w:val="14"/>
                <w:b w:val="1"/>
                <w:bCs w:val="1"/>
                <w:color w:val="E2231A"/>
              </w:rPr>
              <w:t>Number of</w:t>
            </w:r>
          </w:p>
        </w:tc>
        <w:tc>
          <w:tcPr>
            <w:tcW w:w="580" w:type="dxa"/>
            <w:vAlign w:val="bottom"/>
          </w:tcPr>
          <w:p>
            <w:pPr>
              <w:spacing w:after="0"/>
              <w:rPr>
                <w:sz w:val="14"/>
                <w:szCs w:val="14"/>
                <w:color w:val="auto"/>
              </w:rPr>
            </w:pPr>
          </w:p>
        </w:tc>
        <w:tc>
          <w:tcPr>
            <w:tcW w:w="1400" w:type="dxa"/>
            <w:vAlign w:val="bottom"/>
          </w:tcPr>
          <w:p>
            <w:pPr>
              <w:jc w:val="center"/>
              <w:ind w:right="565"/>
              <w:spacing w:after="0"/>
              <w:rPr>
                <w:sz w:val="20"/>
                <w:szCs w:val="20"/>
                <w:color w:val="auto"/>
              </w:rPr>
            </w:pPr>
            <w:r>
              <w:rPr>
                <w:rFonts w:ascii="Arial" w:cs="Arial" w:eastAsia="Arial" w:hAnsi="Arial"/>
                <w:sz w:val="14"/>
                <w:szCs w:val="14"/>
                <w:b w:val="1"/>
                <w:bCs w:val="1"/>
                <w:color w:val="E2231A"/>
              </w:rPr>
              <w:t>Value of</w:t>
            </w:r>
          </w:p>
        </w:tc>
      </w:tr>
      <w:tr>
        <w:trPr>
          <w:trHeight w:val="162"/>
        </w:trPr>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20" w:type="dxa"/>
            <w:vAlign w:val="bottom"/>
          </w:tcPr>
          <w:p>
            <w:pPr>
              <w:jc w:val="center"/>
              <w:ind w:left="386"/>
              <w:spacing w:after="0"/>
              <w:rPr>
                <w:sz w:val="20"/>
                <w:szCs w:val="20"/>
                <w:color w:val="auto"/>
              </w:rPr>
            </w:pPr>
            <w:r>
              <w:rPr>
                <w:rFonts w:ascii="Arial" w:cs="Arial" w:eastAsia="Arial" w:hAnsi="Arial"/>
                <w:sz w:val="14"/>
                <w:szCs w:val="14"/>
                <w:b w:val="1"/>
                <w:bCs w:val="1"/>
                <w:color w:val="E2231A"/>
              </w:rPr>
              <w:t>Unearned</w:t>
            </w:r>
          </w:p>
        </w:tc>
        <w:tc>
          <w:tcPr>
            <w:tcW w:w="580" w:type="dxa"/>
            <w:vAlign w:val="bottom"/>
          </w:tcPr>
          <w:p>
            <w:pPr>
              <w:spacing w:after="0"/>
              <w:rPr>
                <w:sz w:val="14"/>
                <w:szCs w:val="14"/>
                <w:color w:val="auto"/>
              </w:rPr>
            </w:pPr>
          </w:p>
        </w:tc>
        <w:tc>
          <w:tcPr>
            <w:tcW w:w="1400" w:type="dxa"/>
            <w:vAlign w:val="bottom"/>
          </w:tcPr>
          <w:p>
            <w:pPr>
              <w:jc w:val="center"/>
              <w:ind w:right="565"/>
              <w:spacing w:after="0"/>
              <w:rPr>
                <w:sz w:val="20"/>
                <w:szCs w:val="20"/>
                <w:color w:val="auto"/>
              </w:rPr>
            </w:pPr>
            <w:r>
              <w:rPr>
                <w:rFonts w:ascii="Arial" w:cs="Arial" w:eastAsia="Arial" w:hAnsi="Arial"/>
                <w:sz w:val="14"/>
                <w:szCs w:val="14"/>
                <w:b w:val="1"/>
                <w:bCs w:val="1"/>
                <w:color w:val="E2231A"/>
              </w:rPr>
              <w:t>Unearned</w:t>
            </w:r>
          </w:p>
        </w:tc>
      </w:tr>
      <w:tr>
        <w:trPr>
          <w:trHeight w:val="162"/>
        </w:trPr>
        <w:tc>
          <w:tcPr>
            <w:tcW w:w="3980" w:type="dxa"/>
            <w:vAlign w:val="bottom"/>
          </w:tcPr>
          <w:p>
            <w:pPr>
              <w:spacing w:after="0"/>
              <w:rPr>
                <w:sz w:val="14"/>
                <w:szCs w:val="14"/>
                <w:color w:val="auto"/>
              </w:rPr>
            </w:pPr>
          </w:p>
        </w:tc>
        <w:tc>
          <w:tcPr>
            <w:tcW w:w="1780" w:type="dxa"/>
            <w:vAlign w:val="bottom"/>
          </w:tcPr>
          <w:p>
            <w:pPr>
              <w:jc w:val="center"/>
              <w:ind w:right="24"/>
              <w:spacing w:after="0"/>
              <w:rPr>
                <w:sz w:val="20"/>
                <w:szCs w:val="20"/>
                <w:color w:val="auto"/>
              </w:rPr>
            </w:pPr>
            <w:r>
              <w:rPr>
                <w:rFonts w:ascii="Arial" w:cs="Arial" w:eastAsia="Arial" w:hAnsi="Arial"/>
                <w:sz w:val="14"/>
                <w:szCs w:val="14"/>
                <w:b w:val="1"/>
                <w:bCs w:val="1"/>
                <w:color w:val="E2231A"/>
              </w:rPr>
              <w:t>Number of</w:t>
            </w:r>
          </w:p>
        </w:tc>
        <w:tc>
          <w:tcPr>
            <w:tcW w:w="1360" w:type="dxa"/>
            <w:vAlign w:val="bottom"/>
            <w:gridSpan w:val="2"/>
          </w:tcPr>
          <w:p>
            <w:pPr>
              <w:jc w:val="center"/>
              <w:ind w:left="324"/>
              <w:spacing w:after="0"/>
              <w:rPr>
                <w:sz w:val="20"/>
                <w:szCs w:val="20"/>
                <w:color w:val="auto"/>
              </w:rPr>
            </w:pPr>
            <w:r>
              <w:rPr>
                <w:rFonts w:ascii="Arial" w:cs="Arial" w:eastAsia="Arial" w:hAnsi="Arial"/>
                <w:sz w:val="14"/>
                <w:szCs w:val="14"/>
                <w:b w:val="1"/>
                <w:bCs w:val="1"/>
                <w:color w:val="E2231A"/>
              </w:rPr>
              <w:t>Market Value</w:t>
            </w:r>
          </w:p>
        </w:tc>
        <w:tc>
          <w:tcPr>
            <w:tcW w:w="2320" w:type="dxa"/>
            <w:vAlign w:val="bottom"/>
          </w:tcPr>
          <w:p>
            <w:pPr>
              <w:jc w:val="center"/>
              <w:ind w:left="366"/>
              <w:spacing w:after="0"/>
              <w:rPr>
                <w:sz w:val="20"/>
                <w:szCs w:val="20"/>
                <w:color w:val="auto"/>
              </w:rPr>
            </w:pPr>
            <w:r>
              <w:rPr>
                <w:rFonts w:ascii="Arial" w:cs="Arial" w:eastAsia="Arial" w:hAnsi="Arial"/>
                <w:sz w:val="14"/>
                <w:szCs w:val="14"/>
                <w:b w:val="1"/>
                <w:bCs w:val="1"/>
                <w:color w:val="E2231A"/>
              </w:rPr>
              <w:t>Shares, Units</w:t>
            </w:r>
          </w:p>
        </w:tc>
        <w:tc>
          <w:tcPr>
            <w:tcW w:w="580" w:type="dxa"/>
            <w:vAlign w:val="bottom"/>
          </w:tcPr>
          <w:p>
            <w:pPr>
              <w:spacing w:after="0"/>
              <w:rPr>
                <w:sz w:val="14"/>
                <w:szCs w:val="14"/>
                <w:color w:val="auto"/>
              </w:rPr>
            </w:pPr>
          </w:p>
        </w:tc>
        <w:tc>
          <w:tcPr>
            <w:tcW w:w="1400" w:type="dxa"/>
            <w:vAlign w:val="bottom"/>
          </w:tcPr>
          <w:p>
            <w:pPr>
              <w:jc w:val="center"/>
              <w:ind w:right="565"/>
              <w:spacing w:after="0"/>
              <w:rPr>
                <w:sz w:val="20"/>
                <w:szCs w:val="20"/>
                <w:color w:val="auto"/>
              </w:rPr>
            </w:pPr>
            <w:r>
              <w:rPr>
                <w:rFonts w:ascii="Arial" w:cs="Arial" w:eastAsia="Arial" w:hAnsi="Arial"/>
                <w:sz w:val="14"/>
                <w:szCs w:val="14"/>
                <w:b w:val="1"/>
                <w:bCs w:val="1"/>
                <w:color w:val="E2231A"/>
              </w:rPr>
              <w:t>Shares,</w:t>
            </w:r>
          </w:p>
        </w:tc>
      </w:tr>
      <w:tr>
        <w:trPr>
          <w:trHeight w:val="162"/>
        </w:trPr>
        <w:tc>
          <w:tcPr>
            <w:tcW w:w="3980" w:type="dxa"/>
            <w:vAlign w:val="bottom"/>
          </w:tcPr>
          <w:p>
            <w:pPr>
              <w:spacing w:after="0"/>
              <w:rPr>
                <w:sz w:val="14"/>
                <w:szCs w:val="14"/>
                <w:color w:val="auto"/>
              </w:rPr>
            </w:pPr>
          </w:p>
        </w:tc>
        <w:tc>
          <w:tcPr>
            <w:tcW w:w="1780" w:type="dxa"/>
            <w:vAlign w:val="bottom"/>
          </w:tcPr>
          <w:p>
            <w:pPr>
              <w:jc w:val="center"/>
              <w:ind w:right="4"/>
              <w:spacing w:after="0"/>
              <w:rPr>
                <w:sz w:val="20"/>
                <w:szCs w:val="20"/>
                <w:color w:val="auto"/>
              </w:rPr>
            </w:pPr>
            <w:r>
              <w:rPr>
                <w:rFonts w:ascii="Arial" w:cs="Arial" w:eastAsia="Arial" w:hAnsi="Arial"/>
                <w:sz w:val="14"/>
                <w:szCs w:val="14"/>
                <w:b w:val="1"/>
                <w:bCs w:val="1"/>
                <w:color w:val="E2231A"/>
              </w:rPr>
              <w:t>Shares or</w:t>
            </w:r>
          </w:p>
        </w:tc>
        <w:tc>
          <w:tcPr>
            <w:tcW w:w="1360" w:type="dxa"/>
            <w:vAlign w:val="bottom"/>
            <w:gridSpan w:val="2"/>
          </w:tcPr>
          <w:p>
            <w:pPr>
              <w:jc w:val="center"/>
              <w:ind w:left="324"/>
              <w:spacing w:after="0"/>
              <w:rPr>
                <w:sz w:val="20"/>
                <w:szCs w:val="20"/>
                <w:color w:val="auto"/>
              </w:rPr>
            </w:pPr>
            <w:r>
              <w:rPr>
                <w:rFonts w:ascii="Arial" w:cs="Arial" w:eastAsia="Arial" w:hAnsi="Arial"/>
                <w:sz w:val="14"/>
                <w:szCs w:val="14"/>
                <w:b w:val="1"/>
                <w:bCs w:val="1"/>
                <w:color w:val="E2231A"/>
              </w:rPr>
              <w:t>of Shares or</w:t>
            </w:r>
          </w:p>
        </w:tc>
        <w:tc>
          <w:tcPr>
            <w:tcW w:w="2320" w:type="dxa"/>
            <w:vAlign w:val="bottom"/>
          </w:tcPr>
          <w:p>
            <w:pPr>
              <w:jc w:val="center"/>
              <w:ind w:left="366"/>
              <w:spacing w:after="0"/>
              <w:rPr>
                <w:sz w:val="20"/>
                <w:szCs w:val="20"/>
                <w:color w:val="auto"/>
              </w:rPr>
            </w:pPr>
            <w:r>
              <w:rPr>
                <w:rFonts w:ascii="Arial" w:cs="Arial" w:eastAsia="Arial" w:hAnsi="Arial"/>
                <w:sz w:val="14"/>
                <w:szCs w:val="14"/>
                <w:b w:val="1"/>
                <w:bCs w:val="1"/>
                <w:color w:val="E2231A"/>
              </w:rPr>
              <w:t>or Other</w:t>
            </w:r>
          </w:p>
        </w:tc>
        <w:tc>
          <w:tcPr>
            <w:tcW w:w="580" w:type="dxa"/>
            <w:vAlign w:val="bottom"/>
          </w:tcPr>
          <w:p>
            <w:pPr>
              <w:spacing w:after="0"/>
              <w:rPr>
                <w:sz w:val="14"/>
                <w:szCs w:val="14"/>
                <w:color w:val="auto"/>
              </w:rPr>
            </w:pPr>
          </w:p>
        </w:tc>
        <w:tc>
          <w:tcPr>
            <w:tcW w:w="1400" w:type="dxa"/>
            <w:vAlign w:val="bottom"/>
          </w:tcPr>
          <w:p>
            <w:pPr>
              <w:jc w:val="center"/>
              <w:ind w:right="565"/>
              <w:spacing w:after="0"/>
              <w:rPr>
                <w:sz w:val="20"/>
                <w:szCs w:val="20"/>
                <w:color w:val="auto"/>
              </w:rPr>
            </w:pPr>
            <w:r>
              <w:rPr>
                <w:rFonts w:ascii="Arial" w:cs="Arial" w:eastAsia="Arial" w:hAnsi="Arial"/>
                <w:sz w:val="14"/>
                <w:szCs w:val="14"/>
                <w:b w:val="1"/>
                <w:bCs w:val="1"/>
                <w:color w:val="E2231A"/>
              </w:rPr>
              <w:t>Units or</w:t>
            </w:r>
          </w:p>
        </w:tc>
      </w:tr>
      <w:tr>
        <w:trPr>
          <w:trHeight w:val="162"/>
        </w:trPr>
        <w:tc>
          <w:tcPr>
            <w:tcW w:w="3980" w:type="dxa"/>
            <w:vAlign w:val="bottom"/>
          </w:tcPr>
          <w:p>
            <w:pPr>
              <w:spacing w:after="0"/>
              <w:rPr>
                <w:sz w:val="14"/>
                <w:szCs w:val="14"/>
                <w:color w:val="auto"/>
              </w:rPr>
            </w:pPr>
          </w:p>
        </w:tc>
        <w:tc>
          <w:tcPr>
            <w:tcW w:w="1780" w:type="dxa"/>
            <w:vAlign w:val="bottom"/>
          </w:tcPr>
          <w:p>
            <w:pPr>
              <w:jc w:val="center"/>
              <w:ind w:right="4"/>
              <w:spacing w:after="0"/>
              <w:rPr>
                <w:sz w:val="20"/>
                <w:szCs w:val="20"/>
                <w:color w:val="auto"/>
              </w:rPr>
            </w:pPr>
            <w:r>
              <w:rPr>
                <w:rFonts w:ascii="Arial" w:cs="Arial" w:eastAsia="Arial" w:hAnsi="Arial"/>
                <w:sz w:val="14"/>
                <w:szCs w:val="14"/>
                <w:b w:val="1"/>
                <w:bCs w:val="1"/>
                <w:color w:val="E2231A"/>
              </w:rPr>
              <w:t>Units of Stock</w:t>
            </w: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E2231A"/>
                <w:w w:val="99"/>
              </w:rPr>
              <w:t>Units of Stock</w:t>
            </w:r>
          </w:p>
        </w:tc>
        <w:tc>
          <w:tcPr>
            <w:tcW w:w="2320" w:type="dxa"/>
            <w:vAlign w:val="bottom"/>
          </w:tcPr>
          <w:p>
            <w:pPr>
              <w:jc w:val="center"/>
              <w:ind w:left="366"/>
              <w:spacing w:after="0"/>
              <w:rPr>
                <w:sz w:val="20"/>
                <w:szCs w:val="20"/>
                <w:color w:val="auto"/>
              </w:rPr>
            </w:pPr>
            <w:r>
              <w:rPr>
                <w:rFonts w:ascii="Arial" w:cs="Arial" w:eastAsia="Arial" w:hAnsi="Arial"/>
                <w:sz w:val="14"/>
                <w:szCs w:val="14"/>
                <w:b w:val="1"/>
                <w:bCs w:val="1"/>
                <w:color w:val="E2231A"/>
              </w:rPr>
              <w:t>Rights that</w:t>
            </w: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Other Rights</w:t>
            </w:r>
          </w:p>
        </w:tc>
      </w:tr>
      <w:tr>
        <w:trPr>
          <w:trHeight w:val="159"/>
        </w:trPr>
        <w:tc>
          <w:tcPr>
            <w:tcW w:w="3980" w:type="dxa"/>
            <w:vAlign w:val="bottom"/>
          </w:tcPr>
          <w:p>
            <w:pPr>
              <w:spacing w:after="0"/>
              <w:rPr>
                <w:sz w:val="13"/>
                <w:szCs w:val="13"/>
                <w:color w:val="auto"/>
              </w:rPr>
            </w:pPr>
          </w:p>
        </w:tc>
        <w:tc>
          <w:tcPr>
            <w:tcW w:w="1780" w:type="dxa"/>
            <w:vAlign w:val="bottom"/>
          </w:tcPr>
          <w:p>
            <w:pPr>
              <w:jc w:val="center"/>
              <w:ind w:right="4"/>
              <w:spacing w:after="0" w:line="159" w:lineRule="exact"/>
              <w:rPr>
                <w:sz w:val="20"/>
                <w:szCs w:val="20"/>
                <w:color w:val="auto"/>
              </w:rPr>
            </w:pPr>
            <w:r>
              <w:rPr>
                <w:rFonts w:ascii="Arial" w:cs="Arial" w:eastAsia="Arial" w:hAnsi="Arial"/>
                <w:sz w:val="14"/>
                <w:szCs w:val="14"/>
                <w:b w:val="1"/>
                <w:bCs w:val="1"/>
                <w:color w:val="E2231A"/>
              </w:rPr>
              <w:t>That Have</w:t>
            </w:r>
          </w:p>
        </w:tc>
        <w:tc>
          <w:tcPr>
            <w:tcW w:w="1360" w:type="dxa"/>
            <w:vAlign w:val="bottom"/>
            <w:gridSpan w:val="2"/>
          </w:tcPr>
          <w:p>
            <w:pPr>
              <w:ind w:left="400"/>
              <w:spacing w:after="0" w:line="159" w:lineRule="exact"/>
              <w:rPr>
                <w:sz w:val="20"/>
                <w:szCs w:val="20"/>
                <w:color w:val="auto"/>
              </w:rPr>
            </w:pPr>
            <w:r>
              <w:rPr>
                <w:rFonts w:ascii="Arial" w:cs="Arial" w:eastAsia="Arial" w:hAnsi="Arial"/>
                <w:sz w:val="14"/>
                <w:szCs w:val="14"/>
                <w:b w:val="1"/>
                <w:bCs w:val="1"/>
                <w:color w:val="E2231A"/>
                <w:w w:val="99"/>
              </w:rPr>
              <w:t>That Have Not</w:t>
            </w:r>
          </w:p>
        </w:tc>
        <w:tc>
          <w:tcPr>
            <w:tcW w:w="2320" w:type="dxa"/>
            <w:vAlign w:val="bottom"/>
          </w:tcPr>
          <w:p>
            <w:pPr>
              <w:jc w:val="center"/>
              <w:ind w:left="366"/>
              <w:spacing w:after="0" w:line="159" w:lineRule="exact"/>
              <w:rPr>
                <w:sz w:val="20"/>
                <w:szCs w:val="20"/>
                <w:color w:val="auto"/>
              </w:rPr>
            </w:pPr>
            <w:r>
              <w:rPr>
                <w:rFonts w:ascii="Arial" w:cs="Arial" w:eastAsia="Arial" w:hAnsi="Arial"/>
                <w:sz w:val="14"/>
                <w:szCs w:val="14"/>
                <w:b w:val="1"/>
                <w:bCs w:val="1"/>
                <w:color w:val="E2231A"/>
              </w:rPr>
              <w:t>have Not</w:t>
            </w:r>
          </w:p>
        </w:tc>
        <w:tc>
          <w:tcPr>
            <w:tcW w:w="580" w:type="dxa"/>
            <w:vAlign w:val="bottom"/>
          </w:tcPr>
          <w:p>
            <w:pPr>
              <w:spacing w:after="0"/>
              <w:rPr>
                <w:sz w:val="13"/>
                <w:szCs w:val="13"/>
                <w:color w:val="auto"/>
              </w:rPr>
            </w:pPr>
          </w:p>
        </w:tc>
        <w:tc>
          <w:tcPr>
            <w:tcW w:w="1400" w:type="dxa"/>
            <w:vAlign w:val="bottom"/>
          </w:tcPr>
          <w:p>
            <w:pPr>
              <w:jc w:val="center"/>
              <w:ind w:right="565"/>
              <w:spacing w:after="0" w:line="159" w:lineRule="exact"/>
              <w:rPr>
                <w:sz w:val="20"/>
                <w:szCs w:val="20"/>
                <w:color w:val="auto"/>
              </w:rPr>
            </w:pPr>
            <w:r>
              <w:rPr>
                <w:rFonts w:ascii="Arial" w:cs="Arial" w:eastAsia="Arial" w:hAnsi="Arial"/>
                <w:sz w:val="14"/>
                <w:szCs w:val="14"/>
                <w:b w:val="1"/>
                <w:bCs w:val="1"/>
                <w:color w:val="E2231A"/>
              </w:rPr>
              <w:t>that have</w:t>
            </w:r>
          </w:p>
        </w:tc>
      </w:tr>
      <w:tr>
        <w:trPr>
          <w:trHeight w:val="179"/>
        </w:trPr>
        <w:tc>
          <w:tcPr>
            <w:tcW w:w="3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1780" w:type="dxa"/>
            <w:vAlign w:val="bottom"/>
            <w:tcBorders>
              <w:bottom w:val="single" w:sz="8" w:color="auto"/>
            </w:tcBorders>
          </w:tcPr>
          <w:p>
            <w:pPr>
              <w:jc w:val="right"/>
              <w:ind w:right="324"/>
              <w:spacing w:after="0" w:line="179" w:lineRule="exact"/>
              <w:rPr>
                <w:sz w:val="20"/>
                <w:szCs w:val="20"/>
                <w:color w:val="auto"/>
              </w:rPr>
            </w:pPr>
            <w:r>
              <w:rPr>
                <w:rFonts w:ascii="Arial" w:cs="Arial" w:eastAsia="Arial" w:hAnsi="Arial"/>
                <w:sz w:val="12"/>
                <w:szCs w:val="12"/>
                <w:b w:val="1"/>
                <w:bCs w:val="1"/>
                <w:color w:val="E2231A"/>
              </w:rPr>
              <w:t>Not Vested</w:t>
            </w:r>
            <w:r>
              <w:rPr>
                <w:rFonts w:ascii="Arial" w:cs="Arial" w:eastAsia="Arial" w:hAnsi="Arial"/>
                <w:sz w:val="20"/>
                <w:szCs w:val="20"/>
                <w:b w:val="1"/>
                <w:bCs w:val="1"/>
                <w:color w:val="E2231A"/>
                <w:vertAlign w:val="superscript"/>
              </w:rPr>
              <w:t>(1)</w:t>
            </w:r>
            <w:r>
              <w:rPr>
                <w:rFonts w:ascii="Arial" w:cs="Arial" w:eastAsia="Arial" w:hAnsi="Arial"/>
                <w:sz w:val="12"/>
                <w:szCs w:val="12"/>
                <w:b w:val="1"/>
                <w:bCs w:val="1"/>
                <w:color w:val="E2231A"/>
              </w:rPr>
              <w:t>(g)</w:t>
            </w:r>
          </w:p>
        </w:tc>
        <w:tc>
          <w:tcPr>
            <w:tcW w:w="1360" w:type="dxa"/>
            <w:vAlign w:val="bottom"/>
            <w:tcBorders>
              <w:bottom w:val="single" w:sz="8" w:color="auto"/>
            </w:tcBorders>
            <w:gridSpan w:val="2"/>
          </w:tcPr>
          <w:p>
            <w:pPr>
              <w:jc w:val="center"/>
              <w:ind w:left="324"/>
              <w:spacing w:after="0" w:line="179" w:lineRule="exact"/>
              <w:rPr>
                <w:sz w:val="20"/>
                <w:szCs w:val="20"/>
                <w:color w:val="auto"/>
              </w:rPr>
            </w:pPr>
            <w:r>
              <w:rPr>
                <w:rFonts w:ascii="Arial" w:cs="Arial" w:eastAsia="Arial" w:hAnsi="Arial"/>
                <w:sz w:val="12"/>
                <w:szCs w:val="12"/>
                <w:b w:val="1"/>
                <w:bCs w:val="1"/>
                <w:color w:val="E2231A"/>
              </w:rPr>
              <w:t>Vested</w:t>
            </w:r>
            <w:r>
              <w:rPr>
                <w:rFonts w:ascii="Arial" w:cs="Arial" w:eastAsia="Arial" w:hAnsi="Arial"/>
                <w:sz w:val="20"/>
                <w:szCs w:val="20"/>
                <w:b w:val="1"/>
                <w:bCs w:val="1"/>
                <w:color w:val="E2231A"/>
                <w:vertAlign w:val="superscript"/>
              </w:rPr>
              <w:t>(2)</w:t>
            </w:r>
            <w:r>
              <w:rPr>
                <w:rFonts w:ascii="Arial" w:cs="Arial" w:eastAsia="Arial" w:hAnsi="Arial"/>
                <w:sz w:val="12"/>
                <w:szCs w:val="12"/>
                <w:b w:val="1"/>
                <w:bCs w:val="1"/>
                <w:color w:val="E2231A"/>
              </w:rPr>
              <w:t>(h)</w:t>
            </w:r>
          </w:p>
        </w:tc>
        <w:tc>
          <w:tcPr>
            <w:tcW w:w="2320" w:type="dxa"/>
            <w:vAlign w:val="bottom"/>
            <w:tcBorders>
              <w:bottom w:val="single" w:sz="8" w:color="auto"/>
            </w:tcBorders>
          </w:tcPr>
          <w:p>
            <w:pPr>
              <w:jc w:val="center"/>
              <w:ind w:left="366"/>
              <w:spacing w:after="0" w:line="179" w:lineRule="exact"/>
              <w:rPr>
                <w:sz w:val="20"/>
                <w:szCs w:val="20"/>
                <w:color w:val="auto"/>
              </w:rPr>
            </w:pPr>
            <w:r>
              <w:rPr>
                <w:rFonts w:ascii="Arial" w:cs="Arial" w:eastAsia="Arial" w:hAnsi="Arial"/>
                <w:sz w:val="12"/>
                <w:szCs w:val="12"/>
                <w:b w:val="1"/>
                <w:bCs w:val="1"/>
                <w:color w:val="E2231A"/>
              </w:rPr>
              <w:t>Vested</w:t>
            </w:r>
            <w:r>
              <w:rPr>
                <w:rFonts w:ascii="Arial" w:cs="Arial" w:eastAsia="Arial" w:hAnsi="Arial"/>
                <w:sz w:val="20"/>
                <w:szCs w:val="20"/>
                <w:b w:val="1"/>
                <w:bCs w:val="1"/>
                <w:color w:val="E2231A"/>
                <w:vertAlign w:val="superscript"/>
              </w:rPr>
              <w:t>(3)</w:t>
            </w:r>
            <w:r>
              <w:rPr>
                <w:rFonts w:ascii="Arial" w:cs="Arial" w:eastAsia="Arial" w:hAnsi="Arial"/>
                <w:sz w:val="12"/>
                <w:szCs w:val="12"/>
                <w:b w:val="1"/>
                <w:bCs w:val="1"/>
                <w:color w:val="E2231A"/>
              </w:rPr>
              <w:t>(i)</w:t>
            </w:r>
          </w:p>
        </w:tc>
        <w:tc>
          <w:tcPr>
            <w:tcW w:w="1980" w:type="dxa"/>
            <w:vAlign w:val="bottom"/>
            <w:tcBorders>
              <w:bottom w:val="single" w:sz="8" w:color="auto"/>
            </w:tcBorders>
            <w:gridSpan w:val="2"/>
          </w:tcPr>
          <w:p>
            <w:pPr>
              <w:jc w:val="center"/>
              <w:spacing w:after="0" w:line="179" w:lineRule="exact"/>
              <w:rPr>
                <w:sz w:val="20"/>
                <w:szCs w:val="20"/>
                <w:color w:val="auto"/>
              </w:rPr>
            </w:pPr>
            <w:r>
              <w:rPr>
                <w:rFonts w:ascii="Arial" w:cs="Arial" w:eastAsia="Arial" w:hAnsi="Arial"/>
                <w:sz w:val="12"/>
                <w:szCs w:val="12"/>
                <w:b w:val="1"/>
                <w:bCs w:val="1"/>
                <w:color w:val="E2231A"/>
              </w:rPr>
              <w:t>Not Vested</w:t>
            </w:r>
            <w:r>
              <w:rPr>
                <w:rFonts w:ascii="Arial" w:cs="Arial" w:eastAsia="Arial" w:hAnsi="Arial"/>
                <w:sz w:val="20"/>
                <w:szCs w:val="20"/>
                <w:b w:val="1"/>
                <w:bCs w:val="1"/>
                <w:color w:val="E2231A"/>
                <w:vertAlign w:val="superscript"/>
              </w:rPr>
              <w:t>(3)</w:t>
            </w:r>
            <w:r>
              <w:rPr>
                <w:rFonts w:ascii="Arial" w:cs="Arial" w:eastAsia="Arial" w:hAnsi="Arial"/>
                <w:sz w:val="12"/>
                <w:szCs w:val="12"/>
                <w:b w:val="1"/>
                <w:bCs w:val="1"/>
                <w:color w:val="E2231A"/>
              </w:rPr>
              <w:t>(j)</w:t>
            </w:r>
          </w:p>
        </w:tc>
      </w:tr>
      <w:tr>
        <w:trPr>
          <w:trHeight w:val="183"/>
        </w:trPr>
        <w:tc>
          <w:tcPr>
            <w:tcW w:w="398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Matthew J. Simoncini</w:t>
            </w:r>
          </w:p>
        </w:tc>
        <w:tc>
          <w:tcPr>
            <w:tcW w:w="1780" w:type="dxa"/>
            <w:vAlign w:val="bottom"/>
            <w:shd w:val="clear" w:color="auto" w:fill="FCE9E8"/>
          </w:tcPr>
          <w:p>
            <w:pPr>
              <w:jc w:val="right"/>
              <w:ind w:right="324"/>
              <w:spacing w:after="0" w:line="183" w:lineRule="exact"/>
              <w:rPr>
                <w:sz w:val="20"/>
                <w:szCs w:val="20"/>
                <w:color w:val="auto"/>
              </w:rPr>
            </w:pPr>
            <w:r>
              <w:rPr>
                <w:rFonts w:ascii="Arial" w:cs="Arial" w:eastAsia="Arial" w:hAnsi="Arial"/>
                <w:sz w:val="16"/>
                <w:szCs w:val="16"/>
                <w:color w:val="auto"/>
              </w:rPr>
              <w:t>73,520</w:t>
            </w:r>
          </w:p>
        </w:tc>
        <w:tc>
          <w:tcPr>
            <w:tcW w:w="560" w:type="dxa"/>
            <w:vAlign w:val="bottom"/>
            <w:shd w:val="clear" w:color="auto" w:fill="FCE9E8"/>
          </w:tcPr>
          <w:p>
            <w:pPr>
              <w:ind w:left="40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9,887,554</w:t>
            </w:r>
          </w:p>
        </w:tc>
        <w:tc>
          <w:tcPr>
            <w:tcW w:w="2320" w:type="dxa"/>
            <w:vAlign w:val="bottom"/>
            <w:shd w:val="clear" w:color="auto" w:fill="FCE9E8"/>
          </w:tcPr>
          <w:p>
            <w:pPr>
              <w:jc w:val="right"/>
              <w:ind w:right="386"/>
              <w:spacing w:after="0" w:line="183" w:lineRule="exact"/>
              <w:rPr>
                <w:sz w:val="20"/>
                <w:szCs w:val="20"/>
                <w:color w:val="auto"/>
              </w:rPr>
            </w:pPr>
            <w:r>
              <w:rPr>
                <w:rFonts w:ascii="Arial" w:cs="Arial" w:eastAsia="Arial" w:hAnsi="Arial"/>
                <w:sz w:val="16"/>
                <w:szCs w:val="16"/>
                <w:color w:val="auto"/>
              </w:rPr>
              <w:t>212,768</w:t>
            </w:r>
          </w:p>
        </w:tc>
        <w:tc>
          <w:tcPr>
            <w:tcW w:w="58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FCE9E8"/>
          </w:tcPr>
          <w:p>
            <w:pPr>
              <w:jc w:val="right"/>
              <w:ind w:right="425"/>
              <w:spacing w:after="0" w:line="183" w:lineRule="exact"/>
              <w:rPr>
                <w:sz w:val="20"/>
                <w:szCs w:val="20"/>
                <w:color w:val="auto"/>
              </w:rPr>
            </w:pPr>
            <w:r>
              <w:rPr>
                <w:rFonts w:ascii="Arial" w:cs="Arial" w:eastAsia="Arial" w:hAnsi="Arial"/>
                <w:sz w:val="16"/>
                <w:szCs w:val="16"/>
                <w:color w:val="auto"/>
              </w:rPr>
              <w:t>28,543,455</w:t>
            </w:r>
          </w:p>
        </w:tc>
      </w:tr>
      <w:tr>
        <w:trPr>
          <w:trHeight w:val="189"/>
        </w:trPr>
        <w:tc>
          <w:tcPr>
            <w:tcW w:w="3980" w:type="dxa"/>
            <w:vAlign w:val="bottom"/>
          </w:tcPr>
          <w:p>
            <w:pPr>
              <w:ind w:left="100"/>
              <w:spacing w:after="0"/>
              <w:rPr>
                <w:sz w:val="20"/>
                <w:szCs w:val="20"/>
                <w:color w:val="auto"/>
              </w:rPr>
            </w:pPr>
            <w:r>
              <w:rPr>
                <w:rFonts w:ascii="Arial" w:cs="Arial" w:eastAsia="Arial" w:hAnsi="Arial"/>
                <w:sz w:val="16"/>
                <w:szCs w:val="16"/>
                <w:color w:val="auto"/>
              </w:rPr>
              <w:t>Jeffrey H. Vanneste</w:t>
            </w:r>
          </w:p>
        </w:tc>
        <w:tc>
          <w:tcPr>
            <w:tcW w:w="1780" w:type="dxa"/>
            <w:vAlign w:val="bottom"/>
          </w:tcPr>
          <w:p>
            <w:pPr>
              <w:jc w:val="right"/>
              <w:ind w:right="324"/>
              <w:spacing w:after="0"/>
              <w:rPr>
                <w:sz w:val="20"/>
                <w:szCs w:val="20"/>
                <w:color w:val="auto"/>
              </w:rPr>
            </w:pPr>
            <w:r>
              <w:rPr>
                <w:rFonts w:ascii="Arial" w:cs="Arial" w:eastAsia="Arial" w:hAnsi="Arial"/>
                <w:sz w:val="16"/>
                <w:szCs w:val="16"/>
                <w:color w:val="auto"/>
              </w:rPr>
              <w:t>21,118</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2,838,534</w:t>
            </w:r>
          </w:p>
        </w:tc>
        <w:tc>
          <w:tcPr>
            <w:tcW w:w="2320" w:type="dxa"/>
            <w:vAlign w:val="bottom"/>
          </w:tcPr>
          <w:p>
            <w:pPr>
              <w:jc w:val="right"/>
              <w:ind w:right="386"/>
              <w:spacing w:after="0"/>
              <w:rPr>
                <w:sz w:val="20"/>
                <w:szCs w:val="20"/>
                <w:color w:val="auto"/>
              </w:rPr>
            </w:pPr>
            <w:r>
              <w:rPr>
                <w:rFonts w:ascii="Arial" w:cs="Arial" w:eastAsia="Arial" w:hAnsi="Arial"/>
                <w:sz w:val="16"/>
                <w:szCs w:val="16"/>
                <w:color w:val="auto"/>
              </w:rPr>
              <w:t>52,285</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25"/>
              <w:spacing w:after="0"/>
              <w:rPr>
                <w:sz w:val="20"/>
                <w:szCs w:val="20"/>
                <w:color w:val="auto"/>
              </w:rPr>
            </w:pPr>
            <w:r>
              <w:rPr>
                <w:rFonts w:ascii="Arial" w:cs="Arial" w:eastAsia="Arial" w:hAnsi="Arial"/>
                <w:sz w:val="16"/>
                <w:szCs w:val="16"/>
                <w:color w:val="auto"/>
              </w:rPr>
              <w:t>7,014,070</w:t>
            </w:r>
          </w:p>
        </w:tc>
      </w:tr>
      <w:tr>
        <w:trPr>
          <w:trHeight w:val="189"/>
        </w:trPr>
        <w:tc>
          <w:tcPr>
            <w:tcW w:w="39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Raymond E. Scott</w:t>
            </w:r>
          </w:p>
        </w:tc>
        <w:tc>
          <w:tcPr>
            <w:tcW w:w="1780" w:type="dxa"/>
            <w:vAlign w:val="bottom"/>
            <w:shd w:val="clear" w:color="auto" w:fill="FCE9E8"/>
          </w:tcPr>
          <w:p>
            <w:pPr>
              <w:jc w:val="right"/>
              <w:ind w:right="324"/>
              <w:spacing w:after="0"/>
              <w:rPr>
                <w:sz w:val="20"/>
                <w:szCs w:val="20"/>
                <w:color w:val="auto"/>
              </w:rPr>
            </w:pPr>
            <w:r>
              <w:rPr>
                <w:rFonts w:ascii="Arial" w:cs="Arial" w:eastAsia="Arial" w:hAnsi="Arial"/>
                <w:sz w:val="16"/>
                <w:szCs w:val="16"/>
                <w:color w:val="auto"/>
              </w:rPr>
              <w:t>23,324</w:t>
            </w:r>
          </w:p>
        </w:tc>
        <w:tc>
          <w:tcPr>
            <w:tcW w:w="56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8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3,136,103</w:t>
            </w:r>
          </w:p>
        </w:tc>
        <w:tc>
          <w:tcPr>
            <w:tcW w:w="2320" w:type="dxa"/>
            <w:vAlign w:val="bottom"/>
            <w:shd w:val="clear" w:color="auto" w:fill="FCE9E8"/>
          </w:tcPr>
          <w:p>
            <w:pPr>
              <w:jc w:val="right"/>
              <w:ind w:right="386"/>
              <w:spacing w:after="0"/>
              <w:rPr>
                <w:sz w:val="20"/>
                <w:szCs w:val="20"/>
                <w:color w:val="auto"/>
              </w:rPr>
            </w:pPr>
            <w:r>
              <w:rPr>
                <w:rFonts w:ascii="Arial" w:cs="Arial" w:eastAsia="Arial" w:hAnsi="Arial"/>
                <w:sz w:val="16"/>
                <w:szCs w:val="16"/>
                <w:color w:val="auto"/>
              </w:rPr>
              <w:t>58,560</w:t>
            </w:r>
          </w:p>
        </w:tc>
        <w:tc>
          <w:tcPr>
            <w:tcW w:w="5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FCE9E8"/>
          </w:tcPr>
          <w:p>
            <w:pPr>
              <w:jc w:val="right"/>
              <w:ind w:right="425"/>
              <w:spacing w:after="0"/>
              <w:rPr>
                <w:sz w:val="20"/>
                <w:szCs w:val="20"/>
                <w:color w:val="auto"/>
              </w:rPr>
            </w:pPr>
            <w:r>
              <w:rPr>
                <w:rFonts w:ascii="Arial" w:cs="Arial" w:eastAsia="Arial" w:hAnsi="Arial"/>
                <w:sz w:val="16"/>
                <w:szCs w:val="16"/>
                <w:color w:val="auto"/>
              </w:rPr>
              <w:t>7,856,253</w:t>
            </w:r>
          </w:p>
        </w:tc>
      </w:tr>
      <w:tr>
        <w:trPr>
          <w:trHeight w:val="189"/>
        </w:trPr>
        <w:tc>
          <w:tcPr>
            <w:tcW w:w="3980" w:type="dxa"/>
            <w:vAlign w:val="bottom"/>
          </w:tcPr>
          <w:p>
            <w:pPr>
              <w:ind w:left="100"/>
              <w:spacing w:after="0"/>
              <w:rPr>
                <w:sz w:val="20"/>
                <w:szCs w:val="20"/>
                <w:color w:val="auto"/>
              </w:rPr>
            </w:pPr>
            <w:r>
              <w:rPr>
                <w:rFonts w:ascii="Arial" w:cs="Arial" w:eastAsia="Arial" w:hAnsi="Arial"/>
                <w:sz w:val="16"/>
                <w:szCs w:val="16"/>
                <w:color w:val="auto"/>
              </w:rPr>
              <w:t>Terrence B. Larkin</w:t>
            </w:r>
          </w:p>
        </w:tc>
        <w:tc>
          <w:tcPr>
            <w:tcW w:w="1780" w:type="dxa"/>
            <w:vAlign w:val="bottom"/>
          </w:tcPr>
          <w:p>
            <w:pPr>
              <w:jc w:val="right"/>
              <w:ind w:right="324"/>
              <w:spacing w:after="0"/>
              <w:rPr>
                <w:sz w:val="20"/>
                <w:szCs w:val="20"/>
                <w:color w:val="auto"/>
              </w:rPr>
            </w:pPr>
            <w:r>
              <w:rPr>
                <w:rFonts w:ascii="Arial" w:cs="Arial" w:eastAsia="Arial" w:hAnsi="Arial"/>
                <w:sz w:val="16"/>
                <w:szCs w:val="16"/>
                <w:color w:val="auto"/>
              </w:rPr>
              <w:t>23,324</w:t>
            </w:r>
          </w:p>
        </w:tc>
        <w:tc>
          <w:tcPr>
            <w:tcW w:w="560" w:type="dxa"/>
            <w:vAlign w:val="bottom"/>
          </w:tcPr>
          <w:p>
            <w:pPr>
              <w:ind w:left="4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3,136,103</w:t>
            </w:r>
          </w:p>
        </w:tc>
        <w:tc>
          <w:tcPr>
            <w:tcW w:w="2320" w:type="dxa"/>
            <w:vAlign w:val="bottom"/>
          </w:tcPr>
          <w:p>
            <w:pPr>
              <w:jc w:val="right"/>
              <w:ind w:right="386"/>
              <w:spacing w:after="0"/>
              <w:rPr>
                <w:sz w:val="20"/>
                <w:szCs w:val="20"/>
                <w:color w:val="auto"/>
              </w:rPr>
            </w:pPr>
            <w:r>
              <w:rPr>
                <w:rFonts w:ascii="Arial" w:cs="Arial" w:eastAsia="Arial" w:hAnsi="Arial"/>
                <w:sz w:val="16"/>
                <w:szCs w:val="16"/>
                <w:color w:val="auto"/>
              </w:rPr>
              <w:t>58,560</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25"/>
              <w:spacing w:after="0"/>
              <w:rPr>
                <w:sz w:val="20"/>
                <w:szCs w:val="20"/>
                <w:color w:val="auto"/>
              </w:rPr>
            </w:pPr>
            <w:r>
              <w:rPr>
                <w:rFonts w:ascii="Arial" w:cs="Arial" w:eastAsia="Arial" w:hAnsi="Arial"/>
                <w:sz w:val="16"/>
                <w:szCs w:val="16"/>
                <w:color w:val="auto"/>
              </w:rPr>
              <w:t>7,856,253</w:t>
            </w:r>
          </w:p>
        </w:tc>
      </w:tr>
      <w:tr>
        <w:trPr>
          <w:trHeight w:val="189"/>
        </w:trPr>
        <w:tc>
          <w:tcPr>
            <w:tcW w:w="398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Frank C. Orsini</w:t>
            </w:r>
          </w:p>
        </w:tc>
        <w:tc>
          <w:tcPr>
            <w:tcW w:w="1780" w:type="dxa"/>
            <w:vAlign w:val="bottom"/>
            <w:tcBorders>
              <w:bottom w:val="single" w:sz="8" w:color="auto"/>
            </w:tcBorders>
            <w:shd w:val="clear" w:color="auto" w:fill="FCE9E8"/>
          </w:tcPr>
          <w:p>
            <w:pPr>
              <w:jc w:val="right"/>
              <w:ind w:right="324"/>
              <w:spacing w:after="0"/>
              <w:rPr>
                <w:sz w:val="20"/>
                <w:szCs w:val="20"/>
                <w:color w:val="auto"/>
              </w:rPr>
            </w:pPr>
            <w:r>
              <w:rPr>
                <w:rFonts w:ascii="Arial" w:cs="Arial" w:eastAsia="Arial" w:hAnsi="Arial"/>
                <w:sz w:val="16"/>
                <w:szCs w:val="16"/>
                <w:color w:val="auto"/>
              </w:rPr>
              <w:t>18,097</w:t>
            </w:r>
          </w:p>
        </w:tc>
        <w:tc>
          <w:tcPr>
            <w:tcW w:w="560" w:type="dxa"/>
            <w:vAlign w:val="bottom"/>
            <w:tcBorders>
              <w:bottom w:val="single" w:sz="8" w:color="auto"/>
            </w:tcBorders>
            <w:shd w:val="clear" w:color="auto" w:fill="FCE9E8"/>
          </w:tcPr>
          <w:p>
            <w:pPr>
              <w:ind w:left="4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2,433,872</w:t>
            </w:r>
          </w:p>
        </w:tc>
        <w:tc>
          <w:tcPr>
            <w:tcW w:w="2320" w:type="dxa"/>
            <w:vAlign w:val="bottom"/>
            <w:tcBorders>
              <w:bottom w:val="single" w:sz="8" w:color="auto"/>
            </w:tcBorders>
            <w:shd w:val="clear" w:color="auto" w:fill="FCE9E8"/>
          </w:tcPr>
          <w:p>
            <w:pPr>
              <w:jc w:val="right"/>
              <w:ind w:right="386"/>
              <w:spacing w:after="0"/>
              <w:rPr>
                <w:sz w:val="20"/>
                <w:szCs w:val="20"/>
                <w:color w:val="auto"/>
              </w:rPr>
            </w:pPr>
            <w:r>
              <w:rPr>
                <w:rFonts w:ascii="Arial" w:cs="Arial" w:eastAsia="Arial" w:hAnsi="Arial"/>
                <w:sz w:val="16"/>
                <w:szCs w:val="16"/>
                <w:color w:val="auto"/>
              </w:rPr>
              <w:t>49,869</w:t>
            </w:r>
          </w:p>
        </w:tc>
        <w:tc>
          <w:tcPr>
            <w:tcW w:w="5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FCE9E8"/>
          </w:tcPr>
          <w:p>
            <w:pPr>
              <w:jc w:val="right"/>
              <w:ind w:right="425"/>
              <w:spacing w:after="0"/>
              <w:rPr>
                <w:sz w:val="20"/>
                <w:szCs w:val="20"/>
                <w:color w:val="auto"/>
              </w:rPr>
            </w:pPr>
            <w:r>
              <w:rPr>
                <w:rFonts w:ascii="Arial" w:cs="Arial" w:eastAsia="Arial" w:hAnsi="Arial"/>
                <w:sz w:val="16"/>
                <w:szCs w:val="16"/>
                <w:color w:val="auto"/>
              </w:rPr>
              <w:t>6,690,025</w:t>
            </w:r>
          </w:p>
        </w:tc>
      </w:tr>
    </w:tbl>
    <w:p>
      <w:pPr>
        <w:spacing w:after="0" w:line="23"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The figures in column (g) represent the following RSU awards granted under the LTSIP (the Career Shares are subject to later payment as discussed above):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740" w:type="dxa"/>
            <w:vAlign w:val="bottom"/>
          </w:tcPr>
          <w:p>
            <w:pPr>
              <w:jc w:val="center"/>
              <w:ind w:left="383"/>
              <w:spacing w:after="0"/>
              <w:rPr>
                <w:sz w:val="20"/>
                <w:szCs w:val="20"/>
                <w:color w:val="auto"/>
              </w:rPr>
            </w:pPr>
            <w:r>
              <w:rPr>
                <w:rFonts w:ascii="Arial" w:cs="Arial" w:eastAsia="Arial" w:hAnsi="Arial"/>
                <w:sz w:val="14"/>
                <w:szCs w:val="14"/>
                <w:b w:val="1"/>
                <w:bCs w:val="1"/>
                <w:color w:val="E2231A"/>
              </w:rPr>
              <w:t>Number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1600" w:type="dxa"/>
            <w:vAlign w:val="bottom"/>
          </w:tcPr>
          <w:p>
            <w:pPr>
              <w:jc w:val="right"/>
              <w:ind w:right="183"/>
              <w:spacing w:after="0"/>
              <w:rPr>
                <w:sz w:val="20"/>
                <w:szCs w:val="20"/>
                <w:color w:val="auto"/>
              </w:rPr>
            </w:pPr>
            <w:r>
              <w:rPr>
                <w:rFonts w:ascii="Arial" w:cs="Arial" w:eastAsia="Arial" w:hAnsi="Arial"/>
                <w:sz w:val="14"/>
                <w:szCs w:val="14"/>
                <w:b w:val="1"/>
                <w:bCs w:val="1"/>
                <w:color w:val="E2231A"/>
              </w:rPr>
              <w:t>Number of 2014</w:t>
            </w:r>
          </w:p>
        </w:tc>
        <w:tc>
          <w:tcPr>
            <w:tcW w:w="1600" w:type="dxa"/>
            <w:vAlign w:val="bottom"/>
          </w:tcPr>
          <w:p>
            <w:pPr>
              <w:jc w:val="right"/>
              <w:ind w:right="183"/>
              <w:spacing w:after="0"/>
              <w:rPr>
                <w:sz w:val="20"/>
                <w:szCs w:val="20"/>
                <w:color w:val="auto"/>
              </w:rPr>
            </w:pPr>
            <w:r>
              <w:rPr>
                <w:rFonts w:ascii="Arial" w:cs="Arial" w:eastAsia="Arial" w:hAnsi="Arial"/>
                <w:sz w:val="14"/>
                <w:szCs w:val="14"/>
                <w:b w:val="1"/>
                <w:bCs w:val="1"/>
                <w:color w:val="E2231A"/>
              </w:rPr>
              <w:t>Number of 2015</w:t>
            </w:r>
          </w:p>
        </w:tc>
        <w:tc>
          <w:tcPr>
            <w:tcW w:w="1600" w:type="dxa"/>
            <w:vAlign w:val="bottom"/>
          </w:tcPr>
          <w:p>
            <w:pPr>
              <w:jc w:val="right"/>
              <w:ind w:right="203"/>
              <w:spacing w:after="0"/>
              <w:rPr>
                <w:sz w:val="20"/>
                <w:szCs w:val="20"/>
                <w:color w:val="auto"/>
              </w:rPr>
            </w:pPr>
            <w:r>
              <w:rPr>
                <w:rFonts w:ascii="Arial" w:cs="Arial" w:eastAsia="Arial" w:hAnsi="Arial"/>
                <w:sz w:val="14"/>
                <w:szCs w:val="14"/>
                <w:b w:val="1"/>
                <w:bCs w:val="1"/>
                <w:color w:val="E2231A"/>
              </w:rPr>
              <w:t>Number of 2016</w:t>
            </w:r>
          </w:p>
        </w:tc>
      </w:tr>
      <w:tr>
        <w:trPr>
          <w:trHeight w:val="162"/>
        </w:trPr>
        <w:tc>
          <w:tcPr>
            <w:tcW w:w="2340" w:type="dxa"/>
            <w:vAlign w:val="bottom"/>
          </w:tcPr>
          <w:p>
            <w:pPr>
              <w:spacing w:after="0"/>
              <w:rPr>
                <w:sz w:val="14"/>
                <w:szCs w:val="14"/>
                <w:color w:val="auto"/>
              </w:rPr>
            </w:pPr>
          </w:p>
        </w:tc>
        <w:tc>
          <w:tcPr>
            <w:tcW w:w="1740" w:type="dxa"/>
            <w:vAlign w:val="bottom"/>
          </w:tcPr>
          <w:p>
            <w:pPr>
              <w:jc w:val="center"/>
              <w:ind w:left="383"/>
              <w:spacing w:after="0"/>
              <w:rPr>
                <w:sz w:val="20"/>
                <w:szCs w:val="20"/>
                <w:color w:val="auto"/>
              </w:rPr>
            </w:pPr>
            <w:r>
              <w:rPr>
                <w:rFonts w:ascii="Arial" w:cs="Arial" w:eastAsia="Arial" w:hAnsi="Arial"/>
                <w:sz w:val="14"/>
                <w:szCs w:val="14"/>
                <w:b w:val="1"/>
                <w:bCs w:val="1"/>
                <w:color w:val="E2231A"/>
              </w:rPr>
              <w:t>2014 RSUs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E2231A"/>
              </w:rPr>
              <w:t>2015 RSUs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E2231A"/>
              </w:rPr>
              <w:t>2016 RSUs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rPr>
              <w:t>Career Shares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rPr>
              <w:t>Career Shares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rPr>
              <w:t>Career Shares</w:t>
            </w:r>
          </w:p>
        </w:tc>
      </w:tr>
      <w:tr>
        <w:trPr>
          <w:trHeight w:val="162"/>
        </w:trPr>
        <w:tc>
          <w:tcPr>
            <w:tcW w:w="2340" w:type="dxa"/>
            <w:vAlign w:val="bottom"/>
          </w:tcPr>
          <w:p>
            <w:pPr>
              <w:spacing w:after="0"/>
              <w:rPr>
                <w:sz w:val="14"/>
                <w:szCs w:val="14"/>
                <w:color w:val="auto"/>
              </w:rPr>
            </w:pPr>
          </w:p>
        </w:tc>
        <w:tc>
          <w:tcPr>
            <w:tcW w:w="1740" w:type="dxa"/>
            <w:vAlign w:val="bottom"/>
          </w:tcPr>
          <w:p>
            <w:pPr>
              <w:jc w:val="center"/>
              <w:ind w:left="383"/>
              <w:spacing w:after="0"/>
              <w:rPr>
                <w:sz w:val="20"/>
                <w:szCs w:val="20"/>
                <w:color w:val="auto"/>
              </w:rPr>
            </w:pPr>
            <w:r>
              <w:rPr>
                <w:rFonts w:ascii="Arial" w:cs="Arial" w:eastAsia="Arial" w:hAnsi="Arial"/>
                <w:sz w:val="14"/>
                <w:szCs w:val="14"/>
                <w:b w:val="1"/>
                <w:bCs w:val="1"/>
                <w:color w:val="E2231A"/>
              </w:rPr>
              <w:t>Vested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E2231A"/>
              </w:rPr>
              <w:t>Vesting</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E2231A"/>
                <w:w w:val="98"/>
              </w:rPr>
              <w:t>Vesting</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rPr>
              <w:t>Vesting</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rPr>
              <w:t>Vesting</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w w:val="98"/>
              </w:rPr>
              <w:t>Vesting</w:t>
            </w:r>
          </w:p>
        </w:tc>
      </w:tr>
      <w:tr>
        <w:trPr>
          <w:trHeight w:val="162"/>
        </w:trPr>
        <w:tc>
          <w:tcPr>
            <w:tcW w:w="2340" w:type="dxa"/>
            <w:vAlign w:val="bottom"/>
          </w:tcPr>
          <w:p>
            <w:pPr>
              <w:spacing w:after="0"/>
              <w:rPr>
                <w:sz w:val="14"/>
                <w:szCs w:val="14"/>
                <w:color w:val="auto"/>
              </w:rPr>
            </w:pPr>
          </w:p>
        </w:tc>
        <w:tc>
          <w:tcPr>
            <w:tcW w:w="1740" w:type="dxa"/>
            <w:vAlign w:val="bottom"/>
          </w:tcPr>
          <w:p>
            <w:pPr>
              <w:jc w:val="center"/>
              <w:ind w:left="383"/>
              <w:spacing w:after="0"/>
              <w:rPr>
                <w:sz w:val="20"/>
                <w:szCs w:val="20"/>
                <w:color w:val="auto"/>
              </w:rPr>
            </w:pPr>
            <w:r>
              <w:rPr>
                <w:rFonts w:ascii="Arial" w:cs="Arial" w:eastAsia="Arial" w:hAnsi="Arial"/>
                <w:sz w:val="14"/>
                <w:szCs w:val="14"/>
                <w:b w:val="1"/>
                <w:bCs w:val="1"/>
                <w:color w:val="E2231A"/>
              </w:rPr>
              <w:t>February 6,</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E2231A"/>
              </w:rPr>
              <w:t>January 2,</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E2231A"/>
              </w:rPr>
              <w:t>January 4,</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rPr>
              <w:t>November 19,</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rPr>
              <w:t>November 18,</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E2231A"/>
              </w:rPr>
              <w:t>November 16,</w:t>
            </w:r>
          </w:p>
        </w:tc>
      </w:tr>
      <w:tr>
        <w:trPr>
          <w:trHeight w:val="175"/>
        </w:trPr>
        <w:tc>
          <w:tcPr>
            <w:tcW w:w="2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left="383"/>
              <w:spacing w:after="0"/>
              <w:rPr>
                <w:sz w:val="20"/>
                <w:szCs w:val="20"/>
                <w:color w:val="auto"/>
              </w:rPr>
            </w:pPr>
            <w:r>
              <w:rPr>
                <w:rFonts w:ascii="Arial" w:cs="Arial" w:eastAsia="Arial" w:hAnsi="Arial"/>
                <w:sz w:val="14"/>
                <w:szCs w:val="14"/>
                <w:b w:val="1"/>
                <w:bCs w:val="1"/>
                <w:color w:val="E2231A"/>
              </w:rPr>
              <w:t>2017</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2018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2019</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2017</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2018</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2019</w:t>
            </w:r>
          </w:p>
        </w:tc>
      </w:tr>
      <w:tr>
        <w:trPr>
          <w:trHeight w:val="183"/>
        </w:trPr>
        <w:tc>
          <w:tcPr>
            <w:tcW w:w="234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Matthew J. Simoncini</w:t>
            </w:r>
          </w:p>
        </w:tc>
        <w:tc>
          <w:tcPr>
            <w:tcW w:w="1740" w:type="dxa"/>
            <w:vAlign w:val="bottom"/>
            <w:shd w:val="clear" w:color="auto" w:fill="FCE9E8"/>
          </w:tcPr>
          <w:p>
            <w:pPr>
              <w:jc w:val="right"/>
              <w:ind w:right="163"/>
              <w:spacing w:after="0" w:line="183" w:lineRule="exact"/>
              <w:rPr>
                <w:sz w:val="20"/>
                <w:szCs w:val="20"/>
                <w:color w:val="auto"/>
              </w:rPr>
            </w:pPr>
            <w:r>
              <w:rPr>
                <w:rFonts w:ascii="Arial" w:cs="Arial" w:eastAsia="Arial" w:hAnsi="Arial"/>
                <w:sz w:val="16"/>
                <w:szCs w:val="16"/>
                <w:color w:val="auto"/>
              </w:rPr>
              <w:t>22,381</w:t>
            </w:r>
          </w:p>
        </w:tc>
        <w:tc>
          <w:tcPr>
            <w:tcW w:w="1280" w:type="dxa"/>
            <w:vAlign w:val="bottom"/>
            <w:shd w:val="clear" w:color="auto" w:fill="FCE9E8"/>
          </w:tcPr>
          <w:p>
            <w:pPr>
              <w:jc w:val="right"/>
              <w:ind w:right="183"/>
              <w:spacing w:after="0" w:line="183" w:lineRule="exact"/>
              <w:rPr>
                <w:sz w:val="20"/>
                <w:szCs w:val="20"/>
                <w:color w:val="auto"/>
              </w:rPr>
            </w:pPr>
            <w:r>
              <w:rPr>
                <w:rFonts w:ascii="Arial" w:cs="Arial" w:eastAsia="Arial" w:hAnsi="Arial"/>
                <w:sz w:val="16"/>
                <w:szCs w:val="16"/>
                <w:color w:val="auto"/>
              </w:rPr>
              <w:t>19,152</w:t>
            </w:r>
          </w:p>
        </w:tc>
        <w:tc>
          <w:tcPr>
            <w:tcW w:w="1260" w:type="dxa"/>
            <w:vAlign w:val="bottom"/>
            <w:shd w:val="clear" w:color="auto" w:fill="FCE9E8"/>
          </w:tcPr>
          <w:p>
            <w:pPr>
              <w:jc w:val="right"/>
              <w:ind w:right="183"/>
              <w:spacing w:after="0" w:line="183" w:lineRule="exact"/>
              <w:rPr>
                <w:sz w:val="20"/>
                <w:szCs w:val="20"/>
                <w:color w:val="auto"/>
              </w:rPr>
            </w:pPr>
            <w:r>
              <w:rPr>
                <w:rFonts w:ascii="Arial" w:cs="Arial" w:eastAsia="Arial" w:hAnsi="Arial"/>
                <w:sz w:val="16"/>
                <w:szCs w:val="16"/>
                <w:color w:val="auto"/>
              </w:rPr>
              <w:t>16,309</w:t>
            </w:r>
          </w:p>
        </w:tc>
        <w:tc>
          <w:tcPr>
            <w:tcW w:w="1600" w:type="dxa"/>
            <w:vAlign w:val="bottom"/>
            <w:shd w:val="clear" w:color="auto" w:fill="FCE9E8"/>
          </w:tcPr>
          <w:p>
            <w:pPr>
              <w:jc w:val="right"/>
              <w:ind w:right="183"/>
              <w:spacing w:after="0" w:line="183" w:lineRule="exact"/>
              <w:rPr>
                <w:sz w:val="20"/>
                <w:szCs w:val="20"/>
                <w:color w:val="auto"/>
              </w:rPr>
            </w:pPr>
            <w:r>
              <w:rPr>
                <w:rFonts w:ascii="Arial" w:cs="Arial" w:eastAsia="Arial" w:hAnsi="Arial"/>
                <w:sz w:val="16"/>
                <w:szCs w:val="16"/>
                <w:color w:val="auto"/>
              </w:rPr>
              <w:t>5,287</w:t>
            </w:r>
          </w:p>
        </w:tc>
        <w:tc>
          <w:tcPr>
            <w:tcW w:w="1600" w:type="dxa"/>
            <w:vAlign w:val="bottom"/>
            <w:shd w:val="clear" w:color="auto" w:fill="FCE9E8"/>
          </w:tcPr>
          <w:p>
            <w:pPr>
              <w:jc w:val="right"/>
              <w:ind w:right="183"/>
              <w:spacing w:after="0" w:line="183" w:lineRule="exact"/>
              <w:rPr>
                <w:sz w:val="20"/>
                <w:szCs w:val="20"/>
                <w:color w:val="auto"/>
              </w:rPr>
            </w:pPr>
            <w:r>
              <w:rPr>
                <w:rFonts w:ascii="Arial" w:cs="Arial" w:eastAsia="Arial" w:hAnsi="Arial"/>
                <w:sz w:val="16"/>
                <w:szCs w:val="16"/>
                <w:color w:val="auto"/>
              </w:rPr>
              <w:t>5,240</w:t>
            </w:r>
          </w:p>
        </w:tc>
        <w:tc>
          <w:tcPr>
            <w:tcW w:w="1600" w:type="dxa"/>
            <w:vAlign w:val="bottom"/>
            <w:shd w:val="clear" w:color="auto" w:fill="FCE9E8"/>
          </w:tcPr>
          <w:p>
            <w:pPr>
              <w:jc w:val="right"/>
              <w:ind w:right="183"/>
              <w:spacing w:after="0" w:line="183" w:lineRule="exact"/>
              <w:rPr>
                <w:sz w:val="20"/>
                <w:szCs w:val="20"/>
                <w:color w:val="auto"/>
              </w:rPr>
            </w:pPr>
            <w:r>
              <w:rPr>
                <w:rFonts w:ascii="Arial" w:cs="Arial" w:eastAsia="Arial" w:hAnsi="Arial"/>
                <w:sz w:val="16"/>
                <w:szCs w:val="16"/>
                <w:color w:val="auto"/>
              </w:rPr>
              <w:t>5,151</w:t>
            </w:r>
          </w:p>
        </w:tc>
      </w:tr>
      <w:tr>
        <w:trPr>
          <w:trHeight w:val="189"/>
        </w:trPr>
        <w:tc>
          <w:tcPr>
            <w:tcW w:w="2340" w:type="dxa"/>
            <w:vAlign w:val="bottom"/>
          </w:tcPr>
          <w:p>
            <w:pPr>
              <w:ind w:left="100"/>
              <w:spacing w:after="0"/>
              <w:rPr>
                <w:sz w:val="20"/>
                <w:szCs w:val="20"/>
                <w:color w:val="auto"/>
              </w:rPr>
            </w:pPr>
            <w:r>
              <w:rPr>
                <w:rFonts w:ascii="Arial" w:cs="Arial" w:eastAsia="Arial" w:hAnsi="Arial"/>
                <w:sz w:val="16"/>
                <w:szCs w:val="16"/>
                <w:color w:val="auto"/>
              </w:rPr>
              <w:t>Jeffrey H. Vanneste</w:t>
            </w:r>
          </w:p>
        </w:tc>
        <w:tc>
          <w:tcPr>
            <w:tcW w:w="1740" w:type="dxa"/>
            <w:vAlign w:val="bottom"/>
          </w:tcPr>
          <w:p>
            <w:pPr>
              <w:jc w:val="right"/>
              <w:ind w:right="163"/>
              <w:spacing w:after="0"/>
              <w:rPr>
                <w:sz w:val="20"/>
                <w:szCs w:val="20"/>
                <w:color w:val="auto"/>
              </w:rPr>
            </w:pPr>
            <w:r>
              <w:rPr>
                <w:rFonts w:ascii="Arial" w:cs="Arial" w:eastAsia="Arial" w:hAnsi="Arial"/>
                <w:sz w:val="16"/>
                <w:szCs w:val="16"/>
                <w:color w:val="auto"/>
              </w:rPr>
              <w:t>5,894</w:t>
            </w:r>
          </w:p>
        </w:tc>
        <w:tc>
          <w:tcPr>
            <w:tcW w:w="1280" w:type="dxa"/>
            <w:vAlign w:val="bottom"/>
          </w:tcPr>
          <w:p>
            <w:pPr>
              <w:jc w:val="right"/>
              <w:ind w:right="183"/>
              <w:spacing w:after="0"/>
              <w:rPr>
                <w:sz w:val="20"/>
                <w:szCs w:val="20"/>
                <w:color w:val="auto"/>
              </w:rPr>
            </w:pPr>
            <w:r>
              <w:rPr>
                <w:rFonts w:ascii="Arial" w:cs="Arial" w:eastAsia="Arial" w:hAnsi="Arial"/>
                <w:sz w:val="16"/>
                <w:szCs w:val="16"/>
                <w:color w:val="auto"/>
              </w:rPr>
              <w:t>4,688</w:t>
            </w:r>
          </w:p>
        </w:tc>
        <w:tc>
          <w:tcPr>
            <w:tcW w:w="1260" w:type="dxa"/>
            <w:vAlign w:val="bottom"/>
          </w:tcPr>
          <w:p>
            <w:pPr>
              <w:jc w:val="right"/>
              <w:ind w:right="183"/>
              <w:spacing w:after="0"/>
              <w:rPr>
                <w:sz w:val="20"/>
                <w:szCs w:val="20"/>
                <w:color w:val="auto"/>
              </w:rPr>
            </w:pPr>
            <w:r>
              <w:rPr>
                <w:rFonts w:ascii="Arial" w:cs="Arial" w:eastAsia="Arial" w:hAnsi="Arial"/>
                <w:sz w:val="16"/>
                <w:szCs w:val="16"/>
                <w:color w:val="auto"/>
              </w:rPr>
              <w:t>4,026</w:t>
            </w:r>
          </w:p>
        </w:tc>
        <w:tc>
          <w:tcPr>
            <w:tcW w:w="1600" w:type="dxa"/>
            <w:vAlign w:val="bottom"/>
          </w:tcPr>
          <w:p>
            <w:pPr>
              <w:jc w:val="right"/>
              <w:ind w:right="183"/>
              <w:spacing w:after="0"/>
              <w:rPr>
                <w:sz w:val="20"/>
                <w:szCs w:val="20"/>
                <w:color w:val="auto"/>
              </w:rPr>
            </w:pPr>
            <w:r>
              <w:rPr>
                <w:rFonts w:ascii="Arial" w:cs="Arial" w:eastAsia="Arial" w:hAnsi="Arial"/>
                <w:sz w:val="16"/>
                <w:szCs w:val="16"/>
                <w:color w:val="auto"/>
              </w:rPr>
              <w:t>2,114</w:t>
            </w:r>
          </w:p>
        </w:tc>
        <w:tc>
          <w:tcPr>
            <w:tcW w:w="1600" w:type="dxa"/>
            <w:vAlign w:val="bottom"/>
          </w:tcPr>
          <w:p>
            <w:pPr>
              <w:jc w:val="right"/>
              <w:ind w:right="183"/>
              <w:spacing w:after="0"/>
              <w:rPr>
                <w:sz w:val="20"/>
                <w:szCs w:val="20"/>
                <w:color w:val="auto"/>
              </w:rPr>
            </w:pPr>
            <w:r>
              <w:rPr>
                <w:rFonts w:ascii="Arial" w:cs="Arial" w:eastAsia="Arial" w:hAnsi="Arial"/>
                <w:sz w:val="16"/>
                <w:szCs w:val="16"/>
                <w:color w:val="auto"/>
              </w:rPr>
              <w:t>2,217</w:t>
            </w:r>
          </w:p>
        </w:tc>
        <w:tc>
          <w:tcPr>
            <w:tcW w:w="1600" w:type="dxa"/>
            <w:vAlign w:val="bottom"/>
          </w:tcPr>
          <w:p>
            <w:pPr>
              <w:jc w:val="right"/>
              <w:ind w:right="183"/>
              <w:spacing w:after="0"/>
              <w:rPr>
                <w:sz w:val="20"/>
                <w:szCs w:val="20"/>
                <w:color w:val="auto"/>
              </w:rPr>
            </w:pPr>
            <w:r>
              <w:rPr>
                <w:rFonts w:ascii="Arial" w:cs="Arial" w:eastAsia="Arial" w:hAnsi="Arial"/>
                <w:sz w:val="16"/>
                <w:szCs w:val="16"/>
                <w:color w:val="auto"/>
              </w:rPr>
              <w:t>2,179</w:t>
            </w:r>
          </w:p>
        </w:tc>
      </w:tr>
      <w:tr>
        <w:trPr>
          <w:trHeight w:val="189"/>
        </w:trPr>
        <w:tc>
          <w:tcPr>
            <w:tcW w:w="23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Raymond E. Scott</w:t>
            </w:r>
          </w:p>
        </w:tc>
        <w:tc>
          <w:tcPr>
            <w:tcW w:w="1740" w:type="dxa"/>
            <w:vAlign w:val="bottom"/>
            <w:shd w:val="clear" w:color="auto" w:fill="FCE9E8"/>
          </w:tcPr>
          <w:p>
            <w:pPr>
              <w:jc w:val="right"/>
              <w:ind w:right="163"/>
              <w:spacing w:after="0"/>
              <w:rPr>
                <w:sz w:val="20"/>
                <w:szCs w:val="20"/>
                <w:color w:val="auto"/>
              </w:rPr>
            </w:pPr>
            <w:r>
              <w:rPr>
                <w:rFonts w:ascii="Arial" w:cs="Arial" w:eastAsia="Arial" w:hAnsi="Arial"/>
                <w:sz w:val="16"/>
                <w:szCs w:val="16"/>
                <w:color w:val="auto"/>
              </w:rPr>
              <w:t>7,054</w:t>
            </w:r>
          </w:p>
        </w:tc>
        <w:tc>
          <w:tcPr>
            <w:tcW w:w="1280" w:type="dxa"/>
            <w:vAlign w:val="bottom"/>
            <w:shd w:val="clear" w:color="auto" w:fill="FCE9E8"/>
          </w:tcPr>
          <w:p>
            <w:pPr>
              <w:jc w:val="right"/>
              <w:ind w:right="183"/>
              <w:spacing w:after="0"/>
              <w:rPr>
                <w:sz w:val="20"/>
                <w:szCs w:val="20"/>
                <w:color w:val="auto"/>
              </w:rPr>
            </w:pPr>
            <w:r>
              <w:rPr>
                <w:rFonts w:ascii="Arial" w:cs="Arial" w:eastAsia="Arial" w:hAnsi="Arial"/>
                <w:sz w:val="16"/>
                <w:szCs w:val="16"/>
                <w:color w:val="auto"/>
              </w:rPr>
              <w:t>5,312</w:t>
            </w:r>
          </w:p>
        </w:tc>
        <w:tc>
          <w:tcPr>
            <w:tcW w:w="1260" w:type="dxa"/>
            <w:vAlign w:val="bottom"/>
            <w:shd w:val="clear" w:color="auto" w:fill="FCE9E8"/>
          </w:tcPr>
          <w:p>
            <w:pPr>
              <w:jc w:val="right"/>
              <w:ind w:right="183"/>
              <w:spacing w:after="0"/>
              <w:rPr>
                <w:sz w:val="20"/>
                <w:szCs w:val="20"/>
                <w:color w:val="auto"/>
              </w:rPr>
            </w:pPr>
            <w:r>
              <w:rPr>
                <w:rFonts w:ascii="Arial" w:cs="Arial" w:eastAsia="Arial" w:hAnsi="Arial"/>
                <w:sz w:val="16"/>
                <w:szCs w:val="16"/>
                <w:color w:val="auto"/>
              </w:rPr>
              <w:t>4,448</w:t>
            </w:r>
          </w:p>
        </w:tc>
        <w:tc>
          <w:tcPr>
            <w:tcW w:w="1600" w:type="dxa"/>
            <w:vAlign w:val="bottom"/>
            <w:shd w:val="clear" w:color="auto" w:fill="FCE9E8"/>
          </w:tcPr>
          <w:p>
            <w:pPr>
              <w:jc w:val="right"/>
              <w:ind w:right="183"/>
              <w:spacing w:after="0"/>
              <w:rPr>
                <w:sz w:val="20"/>
                <w:szCs w:val="20"/>
                <w:color w:val="auto"/>
              </w:rPr>
            </w:pPr>
            <w:r>
              <w:rPr>
                <w:rFonts w:ascii="Arial" w:cs="Arial" w:eastAsia="Arial" w:hAnsi="Arial"/>
                <w:sz w:val="16"/>
                <w:szCs w:val="16"/>
                <w:color w:val="auto"/>
              </w:rPr>
              <w:t>2,114</w:t>
            </w:r>
          </w:p>
        </w:tc>
        <w:tc>
          <w:tcPr>
            <w:tcW w:w="1600" w:type="dxa"/>
            <w:vAlign w:val="bottom"/>
            <w:shd w:val="clear" w:color="auto" w:fill="FCE9E8"/>
          </w:tcPr>
          <w:p>
            <w:pPr>
              <w:jc w:val="right"/>
              <w:ind w:right="183"/>
              <w:spacing w:after="0"/>
              <w:rPr>
                <w:sz w:val="20"/>
                <w:szCs w:val="20"/>
                <w:color w:val="auto"/>
              </w:rPr>
            </w:pPr>
            <w:r>
              <w:rPr>
                <w:rFonts w:ascii="Arial" w:cs="Arial" w:eastAsia="Arial" w:hAnsi="Arial"/>
                <w:sz w:val="16"/>
                <w:szCs w:val="16"/>
                <w:color w:val="auto"/>
              </w:rPr>
              <w:t>2,217</w:t>
            </w:r>
          </w:p>
        </w:tc>
        <w:tc>
          <w:tcPr>
            <w:tcW w:w="1600" w:type="dxa"/>
            <w:vAlign w:val="bottom"/>
            <w:shd w:val="clear" w:color="auto" w:fill="FCE9E8"/>
          </w:tcPr>
          <w:p>
            <w:pPr>
              <w:jc w:val="right"/>
              <w:ind w:right="183"/>
              <w:spacing w:after="0"/>
              <w:rPr>
                <w:sz w:val="20"/>
                <w:szCs w:val="20"/>
                <w:color w:val="auto"/>
              </w:rPr>
            </w:pPr>
            <w:r>
              <w:rPr>
                <w:rFonts w:ascii="Arial" w:cs="Arial" w:eastAsia="Arial" w:hAnsi="Arial"/>
                <w:sz w:val="16"/>
                <w:szCs w:val="16"/>
                <w:color w:val="auto"/>
              </w:rPr>
              <w:t>2,179</w:t>
            </w:r>
          </w:p>
        </w:tc>
      </w:tr>
      <w:tr>
        <w:trPr>
          <w:trHeight w:val="189"/>
        </w:trPr>
        <w:tc>
          <w:tcPr>
            <w:tcW w:w="2340" w:type="dxa"/>
            <w:vAlign w:val="bottom"/>
          </w:tcPr>
          <w:p>
            <w:pPr>
              <w:ind w:left="100"/>
              <w:spacing w:after="0"/>
              <w:rPr>
                <w:sz w:val="20"/>
                <w:szCs w:val="20"/>
                <w:color w:val="auto"/>
              </w:rPr>
            </w:pPr>
            <w:r>
              <w:rPr>
                <w:rFonts w:ascii="Arial" w:cs="Arial" w:eastAsia="Arial" w:hAnsi="Arial"/>
                <w:sz w:val="16"/>
                <w:szCs w:val="16"/>
                <w:color w:val="auto"/>
              </w:rPr>
              <w:t>Terrence B. Larkin</w:t>
            </w:r>
          </w:p>
        </w:tc>
        <w:tc>
          <w:tcPr>
            <w:tcW w:w="1740" w:type="dxa"/>
            <w:vAlign w:val="bottom"/>
          </w:tcPr>
          <w:p>
            <w:pPr>
              <w:jc w:val="right"/>
              <w:ind w:right="163"/>
              <w:spacing w:after="0"/>
              <w:rPr>
                <w:sz w:val="20"/>
                <w:szCs w:val="20"/>
                <w:color w:val="auto"/>
              </w:rPr>
            </w:pPr>
            <w:r>
              <w:rPr>
                <w:rFonts w:ascii="Arial" w:cs="Arial" w:eastAsia="Arial" w:hAnsi="Arial"/>
                <w:sz w:val="16"/>
                <w:szCs w:val="16"/>
                <w:color w:val="auto"/>
              </w:rPr>
              <w:t>7,054</w:t>
            </w:r>
          </w:p>
        </w:tc>
        <w:tc>
          <w:tcPr>
            <w:tcW w:w="1280" w:type="dxa"/>
            <w:vAlign w:val="bottom"/>
          </w:tcPr>
          <w:p>
            <w:pPr>
              <w:jc w:val="right"/>
              <w:ind w:right="183"/>
              <w:spacing w:after="0"/>
              <w:rPr>
                <w:sz w:val="20"/>
                <w:szCs w:val="20"/>
                <w:color w:val="auto"/>
              </w:rPr>
            </w:pPr>
            <w:r>
              <w:rPr>
                <w:rFonts w:ascii="Arial" w:cs="Arial" w:eastAsia="Arial" w:hAnsi="Arial"/>
                <w:sz w:val="16"/>
                <w:szCs w:val="16"/>
                <w:color w:val="auto"/>
              </w:rPr>
              <w:t>5,312</w:t>
            </w:r>
          </w:p>
        </w:tc>
        <w:tc>
          <w:tcPr>
            <w:tcW w:w="1260" w:type="dxa"/>
            <w:vAlign w:val="bottom"/>
          </w:tcPr>
          <w:p>
            <w:pPr>
              <w:jc w:val="right"/>
              <w:ind w:right="183"/>
              <w:spacing w:after="0"/>
              <w:rPr>
                <w:sz w:val="20"/>
                <w:szCs w:val="20"/>
                <w:color w:val="auto"/>
              </w:rPr>
            </w:pPr>
            <w:r>
              <w:rPr>
                <w:rFonts w:ascii="Arial" w:cs="Arial" w:eastAsia="Arial" w:hAnsi="Arial"/>
                <w:sz w:val="16"/>
                <w:szCs w:val="16"/>
                <w:color w:val="auto"/>
              </w:rPr>
              <w:t>4,448</w:t>
            </w:r>
          </w:p>
        </w:tc>
        <w:tc>
          <w:tcPr>
            <w:tcW w:w="1600" w:type="dxa"/>
            <w:vAlign w:val="bottom"/>
          </w:tcPr>
          <w:p>
            <w:pPr>
              <w:jc w:val="right"/>
              <w:ind w:right="183"/>
              <w:spacing w:after="0"/>
              <w:rPr>
                <w:sz w:val="20"/>
                <w:szCs w:val="20"/>
                <w:color w:val="auto"/>
              </w:rPr>
            </w:pPr>
            <w:r>
              <w:rPr>
                <w:rFonts w:ascii="Arial" w:cs="Arial" w:eastAsia="Arial" w:hAnsi="Arial"/>
                <w:sz w:val="16"/>
                <w:szCs w:val="16"/>
                <w:color w:val="auto"/>
              </w:rPr>
              <w:t>2,114</w:t>
            </w:r>
          </w:p>
        </w:tc>
        <w:tc>
          <w:tcPr>
            <w:tcW w:w="1600" w:type="dxa"/>
            <w:vAlign w:val="bottom"/>
          </w:tcPr>
          <w:p>
            <w:pPr>
              <w:jc w:val="right"/>
              <w:ind w:right="183"/>
              <w:spacing w:after="0"/>
              <w:rPr>
                <w:sz w:val="20"/>
                <w:szCs w:val="20"/>
                <w:color w:val="auto"/>
              </w:rPr>
            </w:pPr>
            <w:r>
              <w:rPr>
                <w:rFonts w:ascii="Arial" w:cs="Arial" w:eastAsia="Arial" w:hAnsi="Arial"/>
                <w:sz w:val="16"/>
                <w:szCs w:val="16"/>
                <w:color w:val="auto"/>
              </w:rPr>
              <w:t>2,217</w:t>
            </w:r>
          </w:p>
        </w:tc>
        <w:tc>
          <w:tcPr>
            <w:tcW w:w="1600" w:type="dxa"/>
            <w:vAlign w:val="bottom"/>
          </w:tcPr>
          <w:p>
            <w:pPr>
              <w:jc w:val="right"/>
              <w:ind w:right="183"/>
              <w:spacing w:after="0"/>
              <w:rPr>
                <w:sz w:val="20"/>
                <w:szCs w:val="20"/>
                <w:color w:val="auto"/>
              </w:rPr>
            </w:pPr>
            <w:r>
              <w:rPr>
                <w:rFonts w:ascii="Arial" w:cs="Arial" w:eastAsia="Arial" w:hAnsi="Arial"/>
                <w:sz w:val="16"/>
                <w:szCs w:val="16"/>
                <w:color w:val="auto"/>
              </w:rPr>
              <w:t>2,179</w:t>
            </w:r>
          </w:p>
        </w:tc>
      </w:tr>
      <w:tr>
        <w:trPr>
          <w:trHeight w:val="189"/>
        </w:trPr>
        <w:tc>
          <w:tcPr>
            <w:tcW w:w="234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Frank C. Orsini</w:t>
            </w:r>
          </w:p>
        </w:tc>
        <w:tc>
          <w:tcPr>
            <w:tcW w:w="1740" w:type="dxa"/>
            <w:vAlign w:val="bottom"/>
            <w:tcBorders>
              <w:bottom w:val="single" w:sz="8" w:color="auto"/>
            </w:tcBorders>
            <w:shd w:val="clear" w:color="auto" w:fill="FCE9E8"/>
          </w:tcPr>
          <w:p>
            <w:pPr>
              <w:jc w:val="right"/>
              <w:ind w:right="163"/>
              <w:spacing w:after="0"/>
              <w:rPr>
                <w:sz w:val="20"/>
                <w:szCs w:val="20"/>
                <w:color w:val="auto"/>
              </w:rPr>
            </w:pPr>
            <w:r>
              <w:rPr>
                <w:rFonts w:ascii="Arial" w:cs="Arial" w:eastAsia="Arial" w:hAnsi="Arial"/>
                <w:sz w:val="16"/>
                <w:szCs w:val="16"/>
                <w:color w:val="auto"/>
              </w:rPr>
              <w:t>5,722</w:t>
            </w:r>
          </w:p>
        </w:tc>
        <w:tc>
          <w:tcPr>
            <w:tcW w:w="1280" w:type="dxa"/>
            <w:vAlign w:val="bottom"/>
            <w:tcBorders>
              <w:bottom w:val="single" w:sz="8" w:color="auto"/>
            </w:tcBorders>
            <w:shd w:val="clear" w:color="auto" w:fill="FCE9E8"/>
          </w:tcPr>
          <w:p>
            <w:pPr>
              <w:jc w:val="right"/>
              <w:ind w:right="183"/>
              <w:spacing w:after="0"/>
              <w:rPr>
                <w:sz w:val="20"/>
                <w:szCs w:val="20"/>
                <w:color w:val="auto"/>
              </w:rPr>
            </w:pPr>
            <w:r>
              <w:rPr>
                <w:rFonts w:ascii="Arial" w:cs="Arial" w:eastAsia="Arial" w:hAnsi="Arial"/>
                <w:sz w:val="16"/>
                <w:szCs w:val="16"/>
                <w:color w:val="auto"/>
              </w:rPr>
              <w:t>4,481</w:t>
            </w:r>
          </w:p>
        </w:tc>
        <w:tc>
          <w:tcPr>
            <w:tcW w:w="1260" w:type="dxa"/>
            <w:vAlign w:val="bottom"/>
            <w:tcBorders>
              <w:bottom w:val="single" w:sz="8" w:color="auto"/>
            </w:tcBorders>
            <w:shd w:val="clear" w:color="auto" w:fill="FCE9E8"/>
          </w:tcPr>
          <w:p>
            <w:pPr>
              <w:jc w:val="right"/>
              <w:ind w:right="183"/>
              <w:spacing w:after="0"/>
              <w:rPr>
                <w:sz w:val="20"/>
                <w:szCs w:val="20"/>
                <w:color w:val="auto"/>
              </w:rPr>
            </w:pPr>
            <w:r>
              <w:rPr>
                <w:rFonts w:ascii="Arial" w:cs="Arial" w:eastAsia="Arial" w:hAnsi="Arial"/>
                <w:sz w:val="16"/>
                <w:szCs w:val="16"/>
                <w:color w:val="auto"/>
              </w:rPr>
              <w:t>3,830</w:t>
            </w:r>
          </w:p>
        </w:tc>
        <w:tc>
          <w:tcPr>
            <w:tcW w:w="1600" w:type="dxa"/>
            <w:vAlign w:val="bottom"/>
            <w:tcBorders>
              <w:bottom w:val="single" w:sz="8" w:color="auto"/>
            </w:tcBorders>
            <w:shd w:val="clear" w:color="auto" w:fill="FCE9E8"/>
          </w:tcPr>
          <w:p>
            <w:pPr>
              <w:jc w:val="right"/>
              <w:ind w:right="183"/>
              <w:spacing w:after="0"/>
              <w:rPr>
                <w:sz w:val="20"/>
                <w:szCs w:val="20"/>
                <w:color w:val="auto"/>
              </w:rPr>
            </w:pPr>
            <w:r>
              <w:rPr>
                <w:rFonts w:ascii="Arial" w:cs="Arial" w:eastAsia="Arial" w:hAnsi="Arial"/>
                <w:sz w:val="16"/>
                <w:szCs w:val="16"/>
                <w:color w:val="auto"/>
              </w:rPr>
              <w:t>1,268</w:t>
            </w:r>
          </w:p>
        </w:tc>
        <w:tc>
          <w:tcPr>
            <w:tcW w:w="1600" w:type="dxa"/>
            <w:vAlign w:val="bottom"/>
            <w:tcBorders>
              <w:bottom w:val="single" w:sz="8" w:color="auto"/>
            </w:tcBorders>
            <w:shd w:val="clear" w:color="auto" w:fill="FCE9E8"/>
          </w:tcPr>
          <w:p>
            <w:pPr>
              <w:jc w:val="right"/>
              <w:ind w:right="183"/>
              <w:spacing w:after="0"/>
              <w:rPr>
                <w:sz w:val="20"/>
                <w:szCs w:val="20"/>
                <w:color w:val="auto"/>
              </w:rPr>
            </w:pPr>
            <w:r>
              <w:rPr>
                <w:rFonts w:ascii="Arial" w:cs="Arial" w:eastAsia="Arial" w:hAnsi="Arial"/>
                <w:sz w:val="16"/>
                <w:szCs w:val="16"/>
                <w:color w:val="auto"/>
              </w:rPr>
              <w:t>1,410</w:t>
            </w:r>
          </w:p>
        </w:tc>
        <w:tc>
          <w:tcPr>
            <w:tcW w:w="1600" w:type="dxa"/>
            <w:vAlign w:val="bottom"/>
            <w:tcBorders>
              <w:bottom w:val="single" w:sz="8" w:color="auto"/>
            </w:tcBorders>
            <w:shd w:val="clear" w:color="auto" w:fill="FCE9E8"/>
          </w:tcPr>
          <w:p>
            <w:pPr>
              <w:jc w:val="right"/>
              <w:ind w:right="183"/>
              <w:spacing w:after="0"/>
              <w:rPr>
                <w:sz w:val="20"/>
                <w:szCs w:val="20"/>
                <w:color w:val="auto"/>
              </w:rPr>
            </w:pPr>
            <w:r>
              <w:rPr>
                <w:rFonts w:ascii="Arial" w:cs="Arial" w:eastAsia="Arial" w:hAnsi="Arial"/>
                <w:sz w:val="16"/>
                <w:szCs w:val="16"/>
                <w:color w:val="auto"/>
              </w:rPr>
              <w:t>1,386</w:t>
            </w:r>
          </w:p>
        </w:tc>
      </w:tr>
    </w:tbl>
    <w:p>
      <w:pPr>
        <w:spacing w:after="0" w:line="126" w:lineRule="exact"/>
        <w:rPr>
          <w:sz w:val="20"/>
          <w:szCs w:val="20"/>
          <w:color w:val="auto"/>
        </w:rPr>
      </w:pPr>
    </w:p>
    <w:p>
      <w:pPr>
        <w:ind w:left="340" w:right="20" w:hanging="332"/>
        <w:spacing w:after="0" w:line="199" w:lineRule="auto"/>
        <w:tabs>
          <w:tab w:leader="none" w:pos="34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The total values in column (h) equal the total number of RSUs held by each Named Executive Officer multiplied by the market price of Company common stock at the close of the last trading day in 2016, which was $132.37 per share, plus the following accrued dividend equivalents and interest at the prime rate (which are paid if and when the underlying RSUs vest and are paid):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ind w:right="223"/>
              <w:spacing w:after="0"/>
              <w:rPr>
                <w:sz w:val="20"/>
                <w:szCs w:val="20"/>
                <w:color w:val="auto"/>
              </w:rPr>
            </w:pPr>
            <w:r>
              <w:rPr>
                <w:rFonts w:ascii="Arial" w:cs="Arial" w:eastAsia="Arial" w:hAnsi="Arial"/>
                <w:sz w:val="14"/>
                <w:szCs w:val="14"/>
                <w:b w:val="1"/>
                <w:bCs w:val="1"/>
                <w:color w:val="E2231A"/>
              </w:rPr>
              <w:t>2014</w:t>
            </w:r>
          </w:p>
        </w:tc>
        <w:tc>
          <w:tcPr>
            <w:tcW w:w="280" w:type="dxa"/>
            <w:vAlign w:val="bottom"/>
          </w:tcPr>
          <w:p>
            <w:pPr>
              <w:spacing w:after="0"/>
              <w:rPr>
                <w:sz w:val="14"/>
                <w:szCs w:val="14"/>
                <w:color w:val="auto"/>
              </w:rPr>
            </w:pPr>
          </w:p>
        </w:tc>
        <w:tc>
          <w:tcPr>
            <w:tcW w:w="900" w:type="dxa"/>
            <w:vAlign w:val="bottom"/>
          </w:tcPr>
          <w:p>
            <w:pPr>
              <w:jc w:val="center"/>
              <w:ind w:right="223"/>
              <w:spacing w:after="0"/>
              <w:rPr>
                <w:sz w:val="20"/>
                <w:szCs w:val="20"/>
                <w:color w:val="auto"/>
              </w:rPr>
            </w:pPr>
            <w:r>
              <w:rPr>
                <w:rFonts w:ascii="Arial" w:cs="Arial" w:eastAsia="Arial" w:hAnsi="Arial"/>
                <w:sz w:val="14"/>
                <w:szCs w:val="14"/>
                <w:b w:val="1"/>
                <w:bCs w:val="1"/>
                <w:color w:val="E2231A"/>
              </w:rPr>
              <w:t>2015</w:t>
            </w:r>
          </w:p>
        </w:tc>
        <w:tc>
          <w:tcPr>
            <w:tcW w:w="280" w:type="dxa"/>
            <w:vAlign w:val="bottom"/>
          </w:tcPr>
          <w:p>
            <w:pPr>
              <w:spacing w:after="0"/>
              <w:rPr>
                <w:sz w:val="14"/>
                <w:szCs w:val="14"/>
                <w:color w:val="auto"/>
              </w:rPr>
            </w:pPr>
          </w:p>
        </w:tc>
        <w:tc>
          <w:tcPr>
            <w:tcW w:w="920" w:type="dxa"/>
            <w:vAlign w:val="bottom"/>
          </w:tcPr>
          <w:p>
            <w:pPr>
              <w:jc w:val="center"/>
              <w:ind w:right="203"/>
              <w:spacing w:after="0"/>
              <w:rPr>
                <w:sz w:val="20"/>
                <w:szCs w:val="20"/>
                <w:color w:val="auto"/>
              </w:rPr>
            </w:pPr>
            <w:r>
              <w:rPr>
                <w:rFonts w:ascii="Arial" w:cs="Arial" w:eastAsia="Arial" w:hAnsi="Arial"/>
                <w:sz w:val="14"/>
                <w:szCs w:val="14"/>
                <w:b w:val="1"/>
                <w:bCs w:val="1"/>
                <w:color w:val="E2231A"/>
              </w:rPr>
              <w:t>2016</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center"/>
              <w:ind w:right="223"/>
              <w:spacing w:after="0"/>
              <w:rPr>
                <w:sz w:val="20"/>
                <w:szCs w:val="20"/>
                <w:color w:val="auto"/>
              </w:rPr>
            </w:pPr>
            <w:r>
              <w:rPr>
                <w:rFonts w:ascii="Arial" w:cs="Arial" w:eastAsia="Arial" w:hAnsi="Arial"/>
                <w:sz w:val="14"/>
                <w:szCs w:val="14"/>
                <w:b w:val="1"/>
                <w:bCs w:val="1"/>
                <w:color w:val="E2231A"/>
                <w:w w:val="99"/>
              </w:rPr>
              <w:t>Career</w:t>
            </w:r>
          </w:p>
        </w:tc>
        <w:tc>
          <w:tcPr>
            <w:tcW w:w="280" w:type="dxa"/>
            <w:vAlign w:val="bottom"/>
          </w:tcPr>
          <w:p>
            <w:pPr>
              <w:spacing w:after="0"/>
              <w:rPr>
                <w:sz w:val="14"/>
                <w:szCs w:val="14"/>
                <w:color w:val="auto"/>
              </w:rPr>
            </w:pPr>
          </w:p>
        </w:tc>
        <w:tc>
          <w:tcPr>
            <w:tcW w:w="900" w:type="dxa"/>
            <w:vAlign w:val="bottom"/>
          </w:tcPr>
          <w:p>
            <w:pPr>
              <w:jc w:val="center"/>
              <w:ind w:right="203"/>
              <w:spacing w:after="0"/>
              <w:rPr>
                <w:sz w:val="20"/>
                <w:szCs w:val="20"/>
                <w:color w:val="auto"/>
              </w:rPr>
            </w:pPr>
            <w:r>
              <w:rPr>
                <w:rFonts w:ascii="Arial" w:cs="Arial" w:eastAsia="Arial" w:hAnsi="Arial"/>
                <w:sz w:val="14"/>
                <w:szCs w:val="14"/>
                <w:b w:val="1"/>
                <w:bCs w:val="1"/>
                <w:color w:val="E2231A"/>
              </w:rPr>
              <w:t>Career</w:t>
            </w:r>
          </w:p>
        </w:tc>
        <w:tc>
          <w:tcPr>
            <w:tcW w:w="280" w:type="dxa"/>
            <w:vAlign w:val="bottom"/>
          </w:tcPr>
          <w:p>
            <w:pPr>
              <w:spacing w:after="0"/>
              <w:rPr>
                <w:sz w:val="14"/>
                <w:szCs w:val="14"/>
                <w:color w:val="auto"/>
              </w:rPr>
            </w:pPr>
          </w:p>
        </w:tc>
        <w:tc>
          <w:tcPr>
            <w:tcW w:w="920" w:type="dxa"/>
            <w:vAlign w:val="bottom"/>
          </w:tcPr>
          <w:p>
            <w:pPr>
              <w:jc w:val="center"/>
              <w:ind w:right="223"/>
              <w:spacing w:after="0"/>
              <w:rPr>
                <w:sz w:val="20"/>
                <w:szCs w:val="20"/>
                <w:color w:val="auto"/>
              </w:rPr>
            </w:pPr>
            <w:r>
              <w:rPr>
                <w:rFonts w:ascii="Arial" w:cs="Arial" w:eastAsia="Arial" w:hAnsi="Arial"/>
                <w:sz w:val="14"/>
                <w:szCs w:val="14"/>
                <w:b w:val="1"/>
                <w:bCs w:val="1"/>
                <w:color w:val="E2231A"/>
              </w:rPr>
              <w:t>Career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1820" w:type="dxa"/>
            <w:vAlign w:val="bottom"/>
            <w:gridSpan w:val="2"/>
          </w:tcPr>
          <w:p>
            <w:pPr>
              <w:ind w:left="900"/>
              <w:spacing w:after="0"/>
              <w:rPr>
                <w:sz w:val="20"/>
                <w:szCs w:val="20"/>
                <w:color w:val="auto"/>
              </w:rPr>
            </w:pPr>
            <w:r>
              <w:rPr>
                <w:rFonts w:ascii="Arial" w:cs="Arial" w:eastAsia="Arial" w:hAnsi="Arial"/>
                <w:sz w:val="14"/>
                <w:szCs w:val="14"/>
                <w:b w:val="1"/>
                <w:bCs w:val="1"/>
                <w:color w:val="E2231A"/>
              </w:rPr>
              <w:t>2014 RSU</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E2231A"/>
              </w:rPr>
              <w:t>2015 RSU</w:t>
            </w: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E2231A"/>
              </w:rPr>
              <w:t>2016 RSU</w:t>
            </w:r>
          </w:p>
        </w:tc>
        <w:tc>
          <w:tcPr>
            <w:tcW w:w="300" w:type="dxa"/>
            <w:vAlign w:val="bottom"/>
          </w:tcPr>
          <w:p>
            <w:pPr>
              <w:spacing w:after="0"/>
              <w:rPr>
                <w:sz w:val="14"/>
                <w:szCs w:val="14"/>
                <w:color w:val="auto"/>
              </w:rPr>
            </w:pPr>
          </w:p>
        </w:tc>
        <w:tc>
          <w:tcPr>
            <w:tcW w:w="900" w:type="dxa"/>
            <w:vAlign w:val="bottom"/>
          </w:tcPr>
          <w:p>
            <w:pPr>
              <w:jc w:val="center"/>
              <w:ind w:right="223"/>
              <w:spacing w:after="0"/>
              <w:rPr>
                <w:sz w:val="20"/>
                <w:szCs w:val="20"/>
                <w:color w:val="auto"/>
              </w:rPr>
            </w:pPr>
            <w:r>
              <w:rPr>
                <w:rFonts w:ascii="Arial" w:cs="Arial" w:eastAsia="Arial" w:hAnsi="Arial"/>
                <w:sz w:val="14"/>
                <w:szCs w:val="14"/>
                <w:b w:val="1"/>
                <w:bCs w:val="1"/>
                <w:color w:val="E2231A"/>
              </w:rPr>
              <w:t>Shares</w:t>
            </w:r>
          </w:p>
        </w:tc>
        <w:tc>
          <w:tcPr>
            <w:tcW w:w="280" w:type="dxa"/>
            <w:vAlign w:val="bottom"/>
          </w:tcPr>
          <w:p>
            <w:pPr>
              <w:spacing w:after="0"/>
              <w:rPr>
                <w:sz w:val="14"/>
                <w:szCs w:val="14"/>
                <w:color w:val="auto"/>
              </w:rPr>
            </w:pPr>
          </w:p>
        </w:tc>
        <w:tc>
          <w:tcPr>
            <w:tcW w:w="900" w:type="dxa"/>
            <w:vAlign w:val="bottom"/>
          </w:tcPr>
          <w:p>
            <w:pPr>
              <w:jc w:val="center"/>
              <w:ind w:right="223"/>
              <w:spacing w:after="0"/>
              <w:rPr>
                <w:sz w:val="20"/>
                <w:szCs w:val="20"/>
                <w:color w:val="auto"/>
              </w:rPr>
            </w:pPr>
            <w:r>
              <w:rPr>
                <w:rFonts w:ascii="Arial" w:cs="Arial" w:eastAsia="Arial" w:hAnsi="Arial"/>
                <w:sz w:val="14"/>
                <w:szCs w:val="14"/>
                <w:b w:val="1"/>
                <w:bCs w:val="1"/>
                <w:color w:val="E2231A"/>
              </w:rPr>
              <w:t>Shares</w:t>
            </w:r>
          </w:p>
        </w:tc>
        <w:tc>
          <w:tcPr>
            <w:tcW w:w="280" w:type="dxa"/>
            <w:vAlign w:val="bottom"/>
          </w:tcPr>
          <w:p>
            <w:pPr>
              <w:spacing w:after="0"/>
              <w:rPr>
                <w:sz w:val="14"/>
                <w:szCs w:val="14"/>
                <w:color w:val="auto"/>
              </w:rPr>
            </w:pPr>
          </w:p>
        </w:tc>
        <w:tc>
          <w:tcPr>
            <w:tcW w:w="920" w:type="dxa"/>
            <w:vAlign w:val="bottom"/>
          </w:tcPr>
          <w:p>
            <w:pPr>
              <w:jc w:val="center"/>
              <w:ind w:right="203"/>
              <w:spacing w:after="0"/>
              <w:rPr>
                <w:sz w:val="20"/>
                <w:szCs w:val="20"/>
                <w:color w:val="auto"/>
              </w:rPr>
            </w:pPr>
            <w:r>
              <w:rPr>
                <w:rFonts w:ascii="Arial" w:cs="Arial" w:eastAsia="Arial" w:hAnsi="Arial"/>
                <w:sz w:val="14"/>
                <w:szCs w:val="14"/>
                <w:b w:val="1"/>
                <w:bCs w:val="1"/>
                <w:color w:val="E2231A"/>
              </w:rPr>
              <w:t>Shares</w:t>
            </w:r>
          </w:p>
        </w:tc>
        <w:tc>
          <w:tcPr>
            <w:tcW w:w="280" w:type="dxa"/>
            <w:vAlign w:val="bottom"/>
          </w:tcPr>
          <w:p>
            <w:pPr>
              <w:spacing w:after="0"/>
              <w:rPr>
                <w:sz w:val="14"/>
                <w:szCs w:val="14"/>
                <w:color w:val="auto"/>
              </w:rPr>
            </w:pPr>
          </w:p>
        </w:tc>
        <w:tc>
          <w:tcPr>
            <w:tcW w:w="900" w:type="dxa"/>
            <w:vAlign w:val="bottom"/>
          </w:tcPr>
          <w:p>
            <w:pPr>
              <w:jc w:val="right"/>
              <w:ind w:right="342"/>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jc w:val="right"/>
              <w:ind w:right="200"/>
              <w:spacing w:after="0"/>
              <w:rPr>
                <w:sz w:val="20"/>
                <w:szCs w:val="20"/>
                <w:color w:val="auto"/>
              </w:rPr>
            </w:pPr>
            <w:r>
              <w:rPr>
                <w:rFonts w:ascii="Arial" w:cs="Arial" w:eastAsia="Arial" w:hAnsi="Arial"/>
                <w:sz w:val="14"/>
                <w:szCs w:val="14"/>
                <w:b w:val="1"/>
                <w:bCs w:val="1"/>
                <w:color w:val="E2231A"/>
              </w:rPr>
              <w:t>Dividend</w:t>
            </w:r>
          </w:p>
        </w:tc>
        <w:tc>
          <w:tcPr>
            <w:tcW w:w="30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E2231A"/>
                <w:w w:val="98"/>
              </w:rPr>
              <w:t>Dividend</w:t>
            </w:r>
          </w:p>
        </w:tc>
        <w:tc>
          <w:tcPr>
            <w:tcW w:w="280" w:type="dxa"/>
            <w:vAlign w:val="bottom"/>
          </w:tcPr>
          <w:p>
            <w:pPr>
              <w:spacing w:after="0"/>
              <w:rPr>
                <w:sz w:val="14"/>
                <w:szCs w:val="14"/>
                <w:color w:val="auto"/>
              </w:rPr>
            </w:pPr>
          </w:p>
        </w:tc>
        <w:tc>
          <w:tcPr>
            <w:tcW w:w="900" w:type="dxa"/>
            <w:vAlign w:val="bottom"/>
          </w:tcPr>
          <w:p>
            <w:pPr>
              <w:jc w:val="right"/>
              <w:ind w:right="200"/>
              <w:spacing w:after="0"/>
              <w:rPr>
                <w:sz w:val="20"/>
                <w:szCs w:val="20"/>
                <w:color w:val="auto"/>
              </w:rPr>
            </w:pPr>
            <w:r>
              <w:rPr>
                <w:rFonts w:ascii="Arial" w:cs="Arial" w:eastAsia="Arial" w:hAnsi="Arial"/>
                <w:sz w:val="14"/>
                <w:szCs w:val="14"/>
                <w:b w:val="1"/>
                <w:bCs w:val="1"/>
                <w:color w:val="E2231A"/>
              </w:rPr>
              <w:t>Dividend</w:t>
            </w:r>
          </w:p>
        </w:tc>
        <w:tc>
          <w:tcPr>
            <w:tcW w:w="300" w:type="dxa"/>
            <w:vAlign w:val="bottom"/>
          </w:tcPr>
          <w:p>
            <w:pPr>
              <w:spacing w:after="0"/>
              <w:rPr>
                <w:sz w:val="14"/>
                <w:szCs w:val="14"/>
                <w:color w:val="auto"/>
              </w:rPr>
            </w:pPr>
          </w:p>
        </w:tc>
        <w:tc>
          <w:tcPr>
            <w:tcW w:w="900" w:type="dxa"/>
            <w:vAlign w:val="bottom"/>
          </w:tcPr>
          <w:p>
            <w:pPr>
              <w:jc w:val="center"/>
              <w:ind w:right="223"/>
              <w:spacing w:after="0"/>
              <w:rPr>
                <w:sz w:val="20"/>
                <w:szCs w:val="20"/>
                <w:color w:val="auto"/>
              </w:rPr>
            </w:pPr>
            <w:r>
              <w:rPr>
                <w:rFonts w:ascii="Arial" w:cs="Arial" w:eastAsia="Arial" w:hAnsi="Arial"/>
                <w:sz w:val="14"/>
                <w:szCs w:val="14"/>
                <w:b w:val="1"/>
                <w:bCs w:val="1"/>
                <w:color w:val="E2231A"/>
              </w:rPr>
              <w:t>Dividend</w:t>
            </w:r>
          </w:p>
        </w:tc>
        <w:tc>
          <w:tcPr>
            <w:tcW w:w="280" w:type="dxa"/>
            <w:vAlign w:val="bottom"/>
          </w:tcPr>
          <w:p>
            <w:pPr>
              <w:spacing w:after="0"/>
              <w:rPr>
                <w:sz w:val="14"/>
                <w:szCs w:val="14"/>
                <w:color w:val="auto"/>
              </w:rPr>
            </w:pPr>
          </w:p>
        </w:tc>
        <w:tc>
          <w:tcPr>
            <w:tcW w:w="900" w:type="dxa"/>
            <w:vAlign w:val="bottom"/>
          </w:tcPr>
          <w:p>
            <w:pPr>
              <w:jc w:val="center"/>
              <w:ind w:right="203"/>
              <w:spacing w:after="0"/>
              <w:rPr>
                <w:sz w:val="20"/>
                <w:szCs w:val="20"/>
                <w:color w:val="auto"/>
              </w:rPr>
            </w:pPr>
            <w:r>
              <w:rPr>
                <w:rFonts w:ascii="Arial" w:cs="Arial" w:eastAsia="Arial" w:hAnsi="Arial"/>
                <w:sz w:val="14"/>
                <w:szCs w:val="14"/>
                <w:b w:val="1"/>
                <w:bCs w:val="1"/>
                <w:color w:val="E2231A"/>
              </w:rPr>
              <w:t>Dividend</w:t>
            </w:r>
          </w:p>
        </w:tc>
        <w:tc>
          <w:tcPr>
            <w:tcW w:w="280" w:type="dxa"/>
            <w:vAlign w:val="bottom"/>
          </w:tcPr>
          <w:p>
            <w:pPr>
              <w:spacing w:after="0"/>
              <w:rPr>
                <w:sz w:val="14"/>
                <w:szCs w:val="14"/>
                <w:color w:val="auto"/>
              </w:rPr>
            </w:pPr>
          </w:p>
        </w:tc>
        <w:tc>
          <w:tcPr>
            <w:tcW w:w="920" w:type="dxa"/>
            <w:vAlign w:val="bottom"/>
          </w:tcPr>
          <w:p>
            <w:pPr>
              <w:jc w:val="center"/>
              <w:ind w:right="203"/>
              <w:spacing w:after="0"/>
              <w:rPr>
                <w:sz w:val="20"/>
                <w:szCs w:val="20"/>
                <w:color w:val="auto"/>
              </w:rPr>
            </w:pPr>
            <w:r>
              <w:rPr>
                <w:rFonts w:ascii="Arial" w:cs="Arial" w:eastAsia="Arial" w:hAnsi="Arial"/>
                <w:sz w:val="14"/>
                <w:szCs w:val="14"/>
                <w:b w:val="1"/>
                <w:bCs w:val="1"/>
                <w:color w:val="E2231A"/>
              </w:rPr>
              <w:t>Dividend</w:t>
            </w:r>
          </w:p>
        </w:tc>
        <w:tc>
          <w:tcPr>
            <w:tcW w:w="280" w:type="dxa"/>
            <w:vAlign w:val="bottom"/>
          </w:tcPr>
          <w:p>
            <w:pPr>
              <w:spacing w:after="0"/>
              <w:rPr>
                <w:sz w:val="14"/>
                <w:szCs w:val="14"/>
                <w:color w:val="auto"/>
              </w:rPr>
            </w:pP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E2231A"/>
                <w:w w:val="98"/>
              </w:rPr>
              <w:t>Dividend</w:t>
            </w:r>
          </w:p>
        </w:tc>
      </w:tr>
      <w:tr>
        <w:trPr>
          <w:trHeight w:val="175"/>
        </w:trPr>
        <w:tc>
          <w:tcPr>
            <w:tcW w:w="2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E2231A"/>
              </w:rPr>
              <w:t>Equivalents</w:t>
            </w: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E2231A"/>
              </w:rPr>
              <w:t>Equivalents</w:t>
            </w: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E2231A"/>
              </w:rPr>
              <w:t>Equivalents</w:t>
            </w: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E2231A"/>
              </w:rPr>
              <w:t>Equivalents</w:t>
            </w: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E2231A"/>
              </w:rPr>
              <w:t>Equivalents</w:t>
            </w: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E2231A"/>
              </w:rPr>
              <w:t>Equivalents</w:t>
            </w: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E2231A"/>
              </w:rPr>
              <w:t>Equivalents</w:t>
            </w:r>
          </w:p>
        </w:tc>
      </w:tr>
      <w:tr>
        <w:trPr>
          <w:trHeight w:val="183"/>
        </w:trPr>
        <w:tc>
          <w:tcPr>
            <w:tcW w:w="246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Matthew J. Simoncini</w:t>
            </w:r>
          </w:p>
        </w:tc>
        <w:tc>
          <w:tcPr>
            <w:tcW w:w="920" w:type="dxa"/>
            <w:vAlign w:val="bottom"/>
            <w:shd w:val="clear" w:color="auto" w:fill="FCE9E8"/>
          </w:tcPr>
          <w:p>
            <w:pPr>
              <w:ind w:left="82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00"/>
              <w:spacing w:after="0" w:line="183" w:lineRule="exact"/>
              <w:rPr>
                <w:sz w:val="20"/>
                <w:szCs w:val="20"/>
                <w:color w:val="auto"/>
              </w:rPr>
            </w:pPr>
            <w:r>
              <w:rPr>
                <w:rFonts w:ascii="Arial" w:cs="Arial" w:eastAsia="Arial" w:hAnsi="Arial"/>
                <w:sz w:val="16"/>
                <w:szCs w:val="16"/>
                <w:color w:val="auto"/>
              </w:rPr>
              <w:t>70,102</w:t>
            </w:r>
          </w:p>
        </w:tc>
        <w:tc>
          <w:tcPr>
            <w:tcW w:w="300" w:type="dxa"/>
            <w:vAlign w:val="bottom"/>
            <w:shd w:val="clear" w:color="auto" w:fill="FCE9E8"/>
          </w:tcPr>
          <w:p>
            <w:pPr>
              <w:ind w:left="20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20"/>
              <w:spacing w:after="0" w:line="183" w:lineRule="exact"/>
              <w:rPr>
                <w:sz w:val="20"/>
                <w:szCs w:val="20"/>
                <w:color w:val="auto"/>
              </w:rPr>
            </w:pPr>
            <w:r>
              <w:rPr>
                <w:rFonts w:ascii="Arial" w:cs="Arial" w:eastAsia="Arial" w:hAnsi="Arial"/>
                <w:sz w:val="16"/>
                <w:szCs w:val="16"/>
                <w:color w:val="auto"/>
              </w:rPr>
              <w:t>43,387</w:t>
            </w:r>
          </w:p>
        </w:tc>
        <w:tc>
          <w:tcPr>
            <w:tcW w:w="280" w:type="dxa"/>
            <w:vAlign w:val="bottom"/>
            <w:shd w:val="clear" w:color="auto" w:fill="FCE9E8"/>
          </w:tcPr>
          <w:p>
            <w:pPr>
              <w:ind w:left="18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00"/>
              <w:spacing w:after="0" w:line="183" w:lineRule="exact"/>
              <w:rPr>
                <w:sz w:val="20"/>
                <w:szCs w:val="20"/>
                <w:color w:val="auto"/>
              </w:rPr>
            </w:pPr>
            <w:r>
              <w:rPr>
                <w:rFonts w:ascii="Arial" w:cs="Arial" w:eastAsia="Arial" w:hAnsi="Arial"/>
                <w:sz w:val="16"/>
                <w:szCs w:val="16"/>
                <w:color w:val="auto"/>
              </w:rPr>
              <w:t>19,839</w:t>
            </w:r>
          </w:p>
        </w:tc>
        <w:tc>
          <w:tcPr>
            <w:tcW w:w="300" w:type="dxa"/>
            <w:vAlign w:val="bottom"/>
            <w:shd w:val="clear" w:color="auto" w:fill="FCE9E8"/>
          </w:tcPr>
          <w:p>
            <w:pPr>
              <w:ind w:left="20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23"/>
              <w:spacing w:after="0" w:line="183" w:lineRule="exact"/>
              <w:rPr>
                <w:sz w:val="20"/>
                <w:szCs w:val="20"/>
                <w:color w:val="auto"/>
              </w:rPr>
            </w:pPr>
            <w:r>
              <w:rPr>
                <w:rFonts w:ascii="Arial" w:cs="Arial" w:eastAsia="Arial" w:hAnsi="Arial"/>
                <w:sz w:val="16"/>
                <w:szCs w:val="16"/>
                <w:color w:val="auto"/>
              </w:rPr>
              <w:t>13,108</w:t>
            </w:r>
          </w:p>
        </w:tc>
        <w:tc>
          <w:tcPr>
            <w:tcW w:w="280" w:type="dxa"/>
            <w:vAlign w:val="bottom"/>
            <w:shd w:val="clear" w:color="auto" w:fill="FCE9E8"/>
          </w:tcPr>
          <w:p>
            <w:pPr>
              <w:ind w:left="18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03"/>
              <w:spacing w:after="0" w:line="183" w:lineRule="exact"/>
              <w:rPr>
                <w:sz w:val="20"/>
                <w:szCs w:val="20"/>
                <w:color w:val="auto"/>
              </w:rPr>
            </w:pPr>
            <w:r>
              <w:rPr>
                <w:rFonts w:ascii="Arial" w:cs="Arial" w:eastAsia="Arial" w:hAnsi="Arial"/>
                <w:sz w:val="16"/>
                <w:szCs w:val="16"/>
                <w:color w:val="auto"/>
              </w:rPr>
              <w:t>7,731</w:t>
            </w:r>
          </w:p>
        </w:tc>
        <w:tc>
          <w:tcPr>
            <w:tcW w:w="280" w:type="dxa"/>
            <w:vAlign w:val="bottom"/>
            <w:shd w:val="clear" w:color="auto" w:fill="FCE9E8"/>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CE9E8"/>
          </w:tcPr>
          <w:p>
            <w:pPr>
              <w:jc w:val="right"/>
              <w:ind w:right="123"/>
              <w:spacing w:after="0" w:line="183" w:lineRule="exact"/>
              <w:rPr>
                <w:sz w:val="20"/>
                <w:szCs w:val="20"/>
                <w:color w:val="auto"/>
              </w:rPr>
            </w:pPr>
            <w:r>
              <w:rPr>
                <w:rFonts w:ascii="Arial" w:cs="Arial" w:eastAsia="Arial" w:hAnsi="Arial"/>
                <w:sz w:val="16"/>
                <w:szCs w:val="16"/>
                <w:color w:val="auto"/>
              </w:rPr>
              <w:t>1,545</w:t>
            </w:r>
          </w:p>
        </w:tc>
        <w:tc>
          <w:tcPr>
            <w:tcW w:w="280" w:type="dxa"/>
            <w:vAlign w:val="bottom"/>
            <w:shd w:val="clear" w:color="auto" w:fill="FCE9E8"/>
          </w:tcPr>
          <w:p>
            <w:pPr>
              <w:ind w:left="180"/>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02"/>
              <w:spacing w:after="0" w:line="183" w:lineRule="exact"/>
              <w:rPr>
                <w:sz w:val="20"/>
                <w:szCs w:val="20"/>
                <w:color w:val="auto"/>
              </w:rPr>
            </w:pPr>
            <w:r>
              <w:rPr>
                <w:rFonts w:ascii="Arial" w:cs="Arial" w:eastAsia="Arial" w:hAnsi="Arial"/>
                <w:sz w:val="16"/>
                <w:szCs w:val="16"/>
                <w:color w:val="auto"/>
              </w:rPr>
              <w:t>155,712</w:t>
            </w:r>
          </w:p>
        </w:tc>
      </w:tr>
      <w:tr>
        <w:trPr>
          <w:trHeight w:val="189"/>
        </w:trPr>
        <w:tc>
          <w:tcPr>
            <w:tcW w:w="2460" w:type="dxa"/>
            <w:vAlign w:val="bottom"/>
          </w:tcPr>
          <w:p>
            <w:pPr>
              <w:ind w:left="100"/>
              <w:spacing w:after="0"/>
              <w:rPr>
                <w:sz w:val="20"/>
                <w:szCs w:val="20"/>
                <w:color w:val="auto"/>
              </w:rPr>
            </w:pPr>
            <w:r>
              <w:rPr>
                <w:rFonts w:ascii="Arial" w:cs="Arial" w:eastAsia="Arial" w:hAnsi="Arial"/>
                <w:sz w:val="16"/>
                <w:szCs w:val="16"/>
                <w:color w:val="auto"/>
              </w:rPr>
              <w:t>Jeffrey H. Vanneste</w:t>
            </w:r>
          </w:p>
        </w:tc>
        <w:tc>
          <w:tcPr>
            <w:tcW w:w="920" w:type="dxa"/>
            <w:vAlign w:val="bottom"/>
          </w:tcPr>
          <w:p>
            <w:pPr>
              <w:ind w:left="8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18,461</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10,620</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4,897</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5,241</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03"/>
              <w:spacing w:after="0"/>
              <w:rPr>
                <w:sz w:val="20"/>
                <w:szCs w:val="20"/>
                <w:color w:val="auto"/>
              </w:rPr>
            </w:pPr>
            <w:r>
              <w:rPr>
                <w:rFonts w:ascii="Arial" w:cs="Arial" w:eastAsia="Arial" w:hAnsi="Arial"/>
                <w:sz w:val="16"/>
                <w:szCs w:val="16"/>
                <w:color w:val="auto"/>
              </w:rPr>
              <w:t>3,271</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654</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43,144</w:t>
            </w:r>
          </w:p>
        </w:tc>
      </w:tr>
      <w:tr>
        <w:trPr>
          <w:trHeight w:val="189"/>
        </w:trPr>
        <w:tc>
          <w:tcPr>
            <w:tcW w:w="24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Raymond E. Scott</w:t>
            </w:r>
          </w:p>
        </w:tc>
        <w:tc>
          <w:tcPr>
            <w:tcW w:w="920" w:type="dxa"/>
            <w:vAlign w:val="bottom"/>
            <w:shd w:val="clear" w:color="auto" w:fill="FCE9E8"/>
          </w:tcPr>
          <w:p>
            <w:pPr>
              <w:ind w:left="8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00"/>
              <w:spacing w:after="0"/>
              <w:rPr>
                <w:sz w:val="20"/>
                <w:szCs w:val="20"/>
                <w:color w:val="auto"/>
              </w:rPr>
            </w:pPr>
            <w:r>
              <w:rPr>
                <w:rFonts w:ascii="Arial" w:cs="Arial" w:eastAsia="Arial" w:hAnsi="Arial"/>
                <w:sz w:val="16"/>
                <w:szCs w:val="16"/>
                <w:color w:val="auto"/>
              </w:rPr>
              <w:t>22,094</w:t>
            </w: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12,034</w:t>
            </w:r>
          </w:p>
        </w:tc>
        <w:tc>
          <w:tcPr>
            <w:tcW w:w="280" w:type="dxa"/>
            <w:vAlign w:val="bottom"/>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00"/>
              <w:spacing w:after="0"/>
              <w:rPr>
                <w:sz w:val="20"/>
                <w:szCs w:val="20"/>
                <w:color w:val="auto"/>
              </w:rPr>
            </w:pPr>
            <w:r>
              <w:rPr>
                <w:rFonts w:ascii="Arial" w:cs="Arial" w:eastAsia="Arial" w:hAnsi="Arial"/>
                <w:sz w:val="16"/>
                <w:szCs w:val="16"/>
                <w:color w:val="auto"/>
              </w:rPr>
              <w:t>5,411</w:t>
            </w:r>
          </w:p>
        </w:tc>
        <w:tc>
          <w:tcPr>
            <w:tcW w:w="300" w:type="dxa"/>
            <w:vAlign w:val="bottom"/>
            <w:shd w:val="clear" w:color="auto" w:fill="FCE9E8"/>
          </w:tcPr>
          <w:p>
            <w:pPr>
              <w:ind w:left="20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5,241</w:t>
            </w:r>
          </w:p>
        </w:tc>
        <w:tc>
          <w:tcPr>
            <w:tcW w:w="280" w:type="dxa"/>
            <w:vAlign w:val="bottom"/>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03"/>
              <w:spacing w:after="0"/>
              <w:rPr>
                <w:sz w:val="20"/>
                <w:szCs w:val="20"/>
                <w:color w:val="auto"/>
              </w:rPr>
            </w:pPr>
            <w:r>
              <w:rPr>
                <w:rFonts w:ascii="Arial" w:cs="Arial" w:eastAsia="Arial" w:hAnsi="Arial"/>
                <w:sz w:val="16"/>
                <w:szCs w:val="16"/>
                <w:color w:val="auto"/>
              </w:rPr>
              <w:t>3,271</w:t>
            </w:r>
          </w:p>
        </w:tc>
        <w:tc>
          <w:tcPr>
            <w:tcW w:w="280" w:type="dxa"/>
            <w:vAlign w:val="bottom"/>
            <w:shd w:val="clear" w:color="auto" w:fill="FCE9E8"/>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CE9E8"/>
          </w:tcPr>
          <w:p>
            <w:pPr>
              <w:jc w:val="right"/>
              <w:ind w:right="123"/>
              <w:spacing w:after="0"/>
              <w:rPr>
                <w:sz w:val="20"/>
                <w:szCs w:val="20"/>
                <w:color w:val="auto"/>
              </w:rPr>
            </w:pPr>
            <w:r>
              <w:rPr>
                <w:rFonts w:ascii="Arial" w:cs="Arial" w:eastAsia="Arial" w:hAnsi="Arial"/>
                <w:sz w:val="16"/>
                <w:szCs w:val="16"/>
                <w:color w:val="auto"/>
              </w:rPr>
              <w:t>654</w:t>
            </w:r>
          </w:p>
        </w:tc>
        <w:tc>
          <w:tcPr>
            <w:tcW w:w="280" w:type="dxa"/>
            <w:vAlign w:val="bottom"/>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FCE9E8"/>
          </w:tcPr>
          <w:p>
            <w:pPr>
              <w:jc w:val="right"/>
              <w:ind w:right="102"/>
              <w:spacing w:after="0"/>
              <w:rPr>
                <w:sz w:val="20"/>
                <w:szCs w:val="20"/>
                <w:color w:val="auto"/>
              </w:rPr>
            </w:pPr>
            <w:r>
              <w:rPr>
                <w:rFonts w:ascii="Arial" w:cs="Arial" w:eastAsia="Arial" w:hAnsi="Arial"/>
                <w:sz w:val="16"/>
                <w:szCs w:val="16"/>
                <w:color w:val="auto"/>
              </w:rPr>
              <w:t>48,705</w:t>
            </w:r>
          </w:p>
        </w:tc>
      </w:tr>
      <w:tr>
        <w:trPr>
          <w:trHeight w:val="189"/>
        </w:trPr>
        <w:tc>
          <w:tcPr>
            <w:tcW w:w="2460" w:type="dxa"/>
            <w:vAlign w:val="bottom"/>
          </w:tcPr>
          <w:p>
            <w:pPr>
              <w:ind w:left="100"/>
              <w:spacing w:after="0"/>
              <w:rPr>
                <w:sz w:val="20"/>
                <w:szCs w:val="20"/>
                <w:color w:val="auto"/>
              </w:rPr>
            </w:pPr>
            <w:r>
              <w:rPr>
                <w:rFonts w:ascii="Arial" w:cs="Arial" w:eastAsia="Arial" w:hAnsi="Arial"/>
                <w:sz w:val="16"/>
                <w:szCs w:val="16"/>
                <w:color w:val="auto"/>
              </w:rPr>
              <w:t>Terrence B. Larkin</w:t>
            </w:r>
          </w:p>
        </w:tc>
        <w:tc>
          <w:tcPr>
            <w:tcW w:w="920" w:type="dxa"/>
            <w:vAlign w:val="bottom"/>
          </w:tcPr>
          <w:p>
            <w:pPr>
              <w:ind w:left="8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22,094</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12,034</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5,411</w:t>
            </w:r>
          </w:p>
        </w:tc>
        <w:tc>
          <w:tcPr>
            <w:tcW w:w="300" w:type="dxa"/>
            <w:vAlign w:val="bottom"/>
          </w:tcPr>
          <w:p>
            <w:pPr>
              <w:ind w:left="2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5,241</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03"/>
              <w:spacing w:after="0"/>
              <w:rPr>
                <w:sz w:val="20"/>
                <w:szCs w:val="20"/>
                <w:color w:val="auto"/>
              </w:rPr>
            </w:pPr>
            <w:r>
              <w:rPr>
                <w:rFonts w:ascii="Arial" w:cs="Arial" w:eastAsia="Arial" w:hAnsi="Arial"/>
                <w:sz w:val="16"/>
                <w:szCs w:val="16"/>
                <w:color w:val="auto"/>
              </w:rPr>
              <w:t>3,271</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654</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02"/>
              <w:spacing w:after="0"/>
              <w:rPr>
                <w:sz w:val="20"/>
                <w:szCs w:val="20"/>
                <w:color w:val="auto"/>
              </w:rPr>
            </w:pPr>
            <w:r>
              <w:rPr>
                <w:rFonts w:ascii="Arial" w:cs="Arial" w:eastAsia="Arial" w:hAnsi="Arial"/>
                <w:sz w:val="16"/>
                <w:szCs w:val="16"/>
                <w:color w:val="auto"/>
              </w:rPr>
              <w:t>48,705</w:t>
            </w:r>
          </w:p>
        </w:tc>
      </w:tr>
      <w:tr>
        <w:trPr>
          <w:trHeight w:val="189"/>
        </w:trPr>
        <w:tc>
          <w:tcPr>
            <w:tcW w:w="246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Frank C. Orsini</w:t>
            </w:r>
          </w:p>
        </w:tc>
        <w:tc>
          <w:tcPr>
            <w:tcW w:w="920" w:type="dxa"/>
            <w:vAlign w:val="bottom"/>
            <w:tcBorders>
              <w:bottom w:val="single" w:sz="8" w:color="auto"/>
            </w:tcBorders>
            <w:shd w:val="clear" w:color="auto" w:fill="FCE9E8"/>
          </w:tcPr>
          <w:p>
            <w:pPr>
              <w:ind w:left="8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CE9E8"/>
          </w:tcPr>
          <w:p>
            <w:pPr>
              <w:jc w:val="right"/>
              <w:ind w:right="100"/>
              <w:spacing w:after="0"/>
              <w:rPr>
                <w:sz w:val="20"/>
                <w:szCs w:val="20"/>
                <w:color w:val="auto"/>
              </w:rPr>
            </w:pPr>
            <w:r>
              <w:rPr>
                <w:rFonts w:ascii="Arial" w:cs="Arial" w:eastAsia="Arial" w:hAnsi="Arial"/>
                <w:sz w:val="16"/>
                <w:szCs w:val="16"/>
                <w:color w:val="auto"/>
              </w:rPr>
              <w:t>17,922</w:t>
            </w:r>
          </w:p>
        </w:tc>
        <w:tc>
          <w:tcPr>
            <w:tcW w:w="300" w:type="dxa"/>
            <w:vAlign w:val="bottom"/>
            <w:tcBorders>
              <w:bottom w:val="single" w:sz="8" w:color="auto"/>
            </w:tcBorders>
            <w:shd w:val="clear" w:color="auto" w:fill="FCE9E8"/>
          </w:tcPr>
          <w:p>
            <w:pPr>
              <w:ind w:left="20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CE9E8"/>
          </w:tcPr>
          <w:p>
            <w:pPr>
              <w:jc w:val="right"/>
              <w:ind w:right="120"/>
              <w:spacing w:after="0"/>
              <w:rPr>
                <w:sz w:val="20"/>
                <w:szCs w:val="20"/>
                <w:color w:val="auto"/>
              </w:rPr>
            </w:pPr>
            <w:r>
              <w:rPr>
                <w:rFonts w:ascii="Arial" w:cs="Arial" w:eastAsia="Arial" w:hAnsi="Arial"/>
                <w:sz w:val="16"/>
                <w:szCs w:val="16"/>
                <w:color w:val="auto"/>
              </w:rPr>
              <w:t>10,151</w:t>
            </w:r>
          </w:p>
        </w:tc>
        <w:tc>
          <w:tcPr>
            <w:tcW w:w="280" w:type="dxa"/>
            <w:vAlign w:val="bottom"/>
            <w:tcBorders>
              <w:bottom w:val="single" w:sz="8" w:color="auto"/>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CE9E8"/>
          </w:tcPr>
          <w:p>
            <w:pPr>
              <w:jc w:val="right"/>
              <w:ind w:right="100"/>
              <w:spacing w:after="0"/>
              <w:rPr>
                <w:sz w:val="20"/>
                <w:szCs w:val="20"/>
                <w:color w:val="auto"/>
              </w:rPr>
            </w:pPr>
            <w:r>
              <w:rPr>
                <w:rFonts w:ascii="Arial" w:cs="Arial" w:eastAsia="Arial" w:hAnsi="Arial"/>
                <w:sz w:val="16"/>
                <w:szCs w:val="16"/>
                <w:color w:val="auto"/>
              </w:rPr>
              <w:t>4,659</w:t>
            </w:r>
          </w:p>
        </w:tc>
        <w:tc>
          <w:tcPr>
            <w:tcW w:w="300" w:type="dxa"/>
            <w:vAlign w:val="bottom"/>
            <w:tcBorders>
              <w:bottom w:val="single" w:sz="8" w:color="auto"/>
            </w:tcBorders>
            <w:shd w:val="clear" w:color="auto" w:fill="FCE9E8"/>
          </w:tcPr>
          <w:p>
            <w:pPr>
              <w:ind w:left="20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CE9E8"/>
          </w:tcPr>
          <w:p>
            <w:pPr>
              <w:jc w:val="right"/>
              <w:ind w:right="123"/>
              <w:spacing w:after="0"/>
              <w:rPr>
                <w:sz w:val="20"/>
                <w:szCs w:val="20"/>
                <w:color w:val="auto"/>
              </w:rPr>
            </w:pPr>
            <w:r>
              <w:rPr>
                <w:rFonts w:ascii="Arial" w:cs="Arial" w:eastAsia="Arial" w:hAnsi="Arial"/>
                <w:sz w:val="16"/>
                <w:szCs w:val="16"/>
                <w:color w:val="auto"/>
              </w:rPr>
              <w:t>3,144</w:t>
            </w:r>
          </w:p>
        </w:tc>
        <w:tc>
          <w:tcPr>
            <w:tcW w:w="280" w:type="dxa"/>
            <w:vAlign w:val="bottom"/>
            <w:tcBorders>
              <w:bottom w:val="single" w:sz="8" w:color="auto"/>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CE9E8"/>
          </w:tcPr>
          <w:p>
            <w:pPr>
              <w:jc w:val="right"/>
              <w:ind w:right="103"/>
              <w:spacing w:after="0"/>
              <w:rPr>
                <w:sz w:val="20"/>
                <w:szCs w:val="20"/>
                <w:color w:val="auto"/>
              </w:rPr>
            </w:pPr>
            <w:r>
              <w:rPr>
                <w:rFonts w:ascii="Arial" w:cs="Arial" w:eastAsia="Arial" w:hAnsi="Arial"/>
                <w:sz w:val="16"/>
                <w:szCs w:val="16"/>
                <w:color w:val="auto"/>
              </w:rPr>
              <w:t>2,080</w:t>
            </w:r>
          </w:p>
        </w:tc>
        <w:tc>
          <w:tcPr>
            <w:tcW w:w="280" w:type="dxa"/>
            <w:vAlign w:val="bottom"/>
            <w:tcBorders>
              <w:bottom w:val="single" w:sz="8" w:color="auto"/>
            </w:tcBorders>
            <w:shd w:val="clear" w:color="auto" w:fill="FCE9E8"/>
          </w:tcPr>
          <w:p>
            <w:pPr>
              <w:ind w:left="20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CE9E8"/>
          </w:tcPr>
          <w:p>
            <w:pPr>
              <w:jc w:val="right"/>
              <w:ind w:right="123"/>
              <w:spacing w:after="0"/>
              <w:rPr>
                <w:sz w:val="20"/>
                <w:szCs w:val="20"/>
                <w:color w:val="auto"/>
              </w:rPr>
            </w:pPr>
            <w:r>
              <w:rPr>
                <w:rFonts w:ascii="Arial" w:cs="Arial" w:eastAsia="Arial" w:hAnsi="Arial"/>
                <w:sz w:val="16"/>
                <w:szCs w:val="16"/>
                <w:color w:val="auto"/>
              </w:rPr>
              <w:t>416</w:t>
            </w:r>
          </w:p>
        </w:tc>
        <w:tc>
          <w:tcPr>
            <w:tcW w:w="280" w:type="dxa"/>
            <w:vAlign w:val="bottom"/>
            <w:tcBorders>
              <w:bottom w:val="single" w:sz="8" w:color="auto"/>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CE9E8"/>
          </w:tcPr>
          <w:p>
            <w:pPr>
              <w:jc w:val="right"/>
              <w:ind w:right="102"/>
              <w:spacing w:after="0"/>
              <w:rPr>
                <w:sz w:val="20"/>
                <w:szCs w:val="20"/>
                <w:color w:val="auto"/>
              </w:rPr>
            </w:pPr>
            <w:r>
              <w:rPr>
                <w:rFonts w:ascii="Arial" w:cs="Arial" w:eastAsia="Arial" w:hAnsi="Arial"/>
                <w:sz w:val="16"/>
                <w:szCs w:val="16"/>
                <w:color w:val="auto"/>
              </w:rPr>
              <w:t>38,372</w:t>
            </w:r>
          </w:p>
        </w:tc>
      </w:tr>
    </w:tbl>
    <w:p>
      <w:pPr>
        <w:spacing w:after="0" w:line="126"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45</w:t>
      </w:r>
    </w:p>
    <w:p>
      <w:pPr>
        <w:sectPr>
          <w:pgSz w:w="11900" w:h="16838" w:orient="portrait"/>
          <w:cols w:equalWidth="0" w:num="1">
            <w:col w:w="11420"/>
          </w:cols>
          <w:pgMar w:left="240" w:top="267" w:right="23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286"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24"/>
          <w:szCs w:val="24"/>
          <w:color w:val="auto"/>
          <w:vertAlign w:val="superscript"/>
        </w:rPr>
      </w:pPr>
      <w:r>
        <w:rPr>
          <w:rFonts w:ascii="Arial" w:cs="Arial" w:eastAsia="Arial" w:hAnsi="Arial"/>
          <w:sz w:val="14"/>
          <w:szCs w:val="14"/>
          <w:color w:val="auto"/>
        </w:rPr>
        <w:t>The total amounts and values in columns (i) and (j) equal the total number of Performance Shares, at the maximum level, held by each Named Executive Officer multiplied by the market price of Company common stock at the close of the last trading day in 2016, which was $132.37 per share. These amounts exclude the Performance Shares for the 2014-2016 performance period that vested based on performance through December 31, 2016 and are reported in the “2016 Option Exercises and Stock Vested” table. In calculating the number of Performance Shares and their value, we are required by SEC rules to compare our performance through 2016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For example, if performance through the previous year exceeded target, even by only a modest amount, and even if it is unlikely that we will achieve the results that would dictate the payment of the maximum amount, we are required by SEC rules to report the maximum potential payouts. For the first year of the 2016-2018 performance period and through the second year of the 2015-2017 performance period, we exceeded target levels of Adjusted ROIC and Cumulative Pre-Tax Income (Cumulative Adjusted Pre-Tax Income for the first year of the 2016-2018 performance period) (on a combined, pro-rated basis) and have accordingly reported the following Performance Shares at the maximum award level for each of these two performance periods. Amounts also include the following accrued dividend equivalents at the maximum level (which are not paid unless the performance goals are met with respect to the underlying Performance Shares):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1860" w:type="dxa"/>
            <w:vAlign w:val="bottom"/>
          </w:tcPr>
          <w:p>
            <w:pPr>
              <w:jc w:val="center"/>
              <w:ind w:left="143"/>
              <w:spacing w:after="0"/>
              <w:rPr>
                <w:sz w:val="20"/>
                <w:szCs w:val="20"/>
                <w:color w:val="auto"/>
              </w:rPr>
            </w:pPr>
            <w:r>
              <w:rPr>
                <w:rFonts w:ascii="Arial" w:cs="Arial" w:eastAsia="Arial" w:hAnsi="Arial"/>
                <w:sz w:val="14"/>
                <w:szCs w:val="14"/>
                <w:b w:val="1"/>
                <w:bCs w:val="1"/>
                <w:color w:val="E2231A"/>
              </w:rPr>
              <w:t>Number of 2015</w:t>
            </w:r>
          </w:p>
        </w:tc>
        <w:tc>
          <w:tcPr>
            <w:tcW w:w="1620" w:type="dxa"/>
            <w:vAlign w:val="bottom"/>
          </w:tcPr>
          <w:p>
            <w:pPr>
              <w:jc w:val="right"/>
              <w:ind w:right="203"/>
              <w:spacing w:after="0"/>
              <w:rPr>
                <w:sz w:val="20"/>
                <w:szCs w:val="20"/>
                <w:color w:val="auto"/>
              </w:rPr>
            </w:pPr>
            <w:r>
              <w:rPr>
                <w:rFonts w:ascii="Arial" w:cs="Arial" w:eastAsia="Arial" w:hAnsi="Arial"/>
                <w:sz w:val="14"/>
                <w:szCs w:val="14"/>
                <w:b w:val="1"/>
                <w:bCs w:val="1"/>
                <w:color w:val="E2231A"/>
              </w:rPr>
              <w:t>Number of 2016</w:t>
            </w: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2015 Performance</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2016 Performance</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140" w:type="dxa"/>
            <w:vAlign w:val="bottom"/>
          </w:tcPr>
          <w:p>
            <w:pPr>
              <w:spacing w:after="0"/>
              <w:rPr>
                <w:sz w:val="14"/>
                <w:szCs w:val="14"/>
                <w:color w:val="auto"/>
              </w:rPr>
            </w:pPr>
          </w:p>
        </w:tc>
        <w:tc>
          <w:tcPr>
            <w:tcW w:w="1860" w:type="dxa"/>
            <w:vAlign w:val="bottom"/>
          </w:tcPr>
          <w:p>
            <w:pPr>
              <w:jc w:val="center"/>
              <w:ind w:left="143"/>
              <w:spacing w:after="0"/>
              <w:rPr>
                <w:sz w:val="20"/>
                <w:szCs w:val="20"/>
                <w:color w:val="auto"/>
              </w:rPr>
            </w:pPr>
            <w:r>
              <w:rPr>
                <w:rFonts w:ascii="Arial" w:cs="Arial" w:eastAsia="Arial" w:hAnsi="Arial"/>
                <w:sz w:val="14"/>
                <w:szCs w:val="14"/>
                <w:b w:val="1"/>
                <w:bCs w:val="1"/>
                <w:color w:val="E2231A"/>
              </w:rPr>
              <w:t>Performance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E2231A"/>
              </w:rPr>
              <w:t>Performance</w:t>
            </w:r>
          </w:p>
        </w:tc>
        <w:tc>
          <w:tcPr>
            <w:tcW w:w="380" w:type="dxa"/>
            <w:vAlign w:val="bottom"/>
          </w:tcPr>
          <w:p>
            <w:pPr>
              <w:spacing w:after="0"/>
              <w:rPr>
                <w:sz w:val="14"/>
                <w:szCs w:val="14"/>
                <w:color w:val="auto"/>
              </w:rPr>
            </w:pPr>
          </w:p>
        </w:tc>
        <w:tc>
          <w:tcPr>
            <w:tcW w:w="1480" w:type="dxa"/>
            <w:vAlign w:val="bottom"/>
          </w:tcPr>
          <w:p>
            <w:pPr>
              <w:jc w:val="center"/>
              <w:ind w:right="302"/>
              <w:spacing w:after="0"/>
              <w:rPr>
                <w:sz w:val="20"/>
                <w:szCs w:val="20"/>
                <w:color w:val="auto"/>
              </w:rPr>
            </w:pPr>
            <w:r>
              <w:rPr>
                <w:rFonts w:ascii="Arial" w:cs="Arial" w:eastAsia="Arial" w:hAnsi="Arial"/>
                <w:sz w:val="14"/>
                <w:szCs w:val="14"/>
                <w:b w:val="1"/>
                <w:bCs w:val="1"/>
                <w:color w:val="E2231A"/>
              </w:rPr>
              <w:t>Share Dividend</w:t>
            </w:r>
          </w:p>
        </w:tc>
        <w:tc>
          <w:tcPr>
            <w:tcW w:w="400" w:type="dxa"/>
            <w:vAlign w:val="bottom"/>
          </w:tcPr>
          <w:p>
            <w:pPr>
              <w:spacing w:after="0"/>
              <w:rPr>
                <w:sz w:val="14"/>
                <w:szCs w:val="14"/>
                <w:color w:val="auto"/>
              </w:rPr>
            </w:pPr>
          </w:p>
        </w:tc>
        <w:tc>
          <w:tcPr>
            <w:tcW w:w="1480" w:type="dxa"/>
            <w:vAlign w:val="bottom"/>
          </w:tcPr>
          <w:p>
            <w:pPr>
              <w:jc w:val="center"/>
              <w:ind w:right="302"/>
              <w:spacing w:after="0"/>
              <w:rPr>
                <w:sz w:val="20"/>
                <w:szCs w:val="20"/>
                <w:color w:val="auto"/>
              </w:rPr>
            </w:pPr>
            <w:r>
              <w:rPr>
                <w:rFonts w:ascii="Arial" w:cs="Arial" w:eastAsia="Arial" w:hAnsi="Arial"/>
                <w:sz w:val="14"/>
                <w:szCs w:val="14"/>
                <w:b w:val="1"/>
                <w:bCs w:val="1"/>
                <w:color w:val="E2231A"/>
              </w:rPr>
              <w:t>Share Dividend</w:t>
            </w:r>
          </w:p>
        </w:tc>
        <w:tc>
          <w:tcPr>
            <w:tcW w:w="380" w:type="dxa"/>
            <w:vAlign w:val="bottom"/>
          </w:tcPr>
          <w:p>
            <w:pPr>
              <w:spacing w:after="0"/>
              <w:rPr>
                <w:sz w:val="14"/>
                <w:szCs w:val="14"/>
                <w:color w:val="auto"/>
              </w:rPr>
            </w:pPr>
          </w:p>
        </w:tc>
        <w:tc>
          <w:tcPr>
            <w:tcW w:w="760" w:type="dxa"/>
            <w:vAlign w:val="bottom"/>
          </w:tcPr>
          <w:p>
            <w:pPr>
              <w:jc w:val="right"/>
              <w:ind w:right="222"/>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140" w:type="dxa"/>
            <w:vAlign w:val="bottom"/>
          </w:tcPr>
          <w:p>
            <w:pPr>
              <w:spacing w:after="0"/>
              <w:rPr>
                <w:sz w:val="14"/>
                <w:szCs w:val="14"/>
                <w:color w:val="auto"/>
              </w:rPr>
            </w:pPr>
          </w:p>
        </w:tc>
        <w:tc>
          <w:tcPr>
            <w:tcW w:w="1860" w:type="dxa"/>
            <w:vAlign w:val="bottom"/>
          </w:tcPr>
          <w:p>
            <w:pPr>
              <w:jc w:val="center"/>
              <w:ind w:left="143"/>
              <w:spacing w:after="0"/>
              <w:rPr>
                <w:sz w:val="20"/>
                <w:szCs w:val="20"/>
                <w:color w:val="auto"/>
              </w:rPr>
            </w:pPr>
            <w:r>
              <w:rPr>
                <w:rFonts w:ascii="Arial" w:cs="Arial" w:eastAsia="Arial" w:hAnsi="Arial"/>
                <w:sz w:val="14"/>
                <w:szCs w:val="14"/>
                <w:b w:val="1"/>
                <w:bCs w:val="1"/>
                <w:color w:val="E2231A"/>
              </w:rPr>
              <w:t>Shares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380" w:type="dxa"/>
            <w:vAlign w:val="bottom"/>
          </w:tcPr>
          <w:p>
            <w:pPr>
              <w:spacing w:after="0"/>
              <w:rPr>
                <w:sz w:val="14"/>
                <w:szCs w:val="14"/>
                <w:color w:val="auto"/>
              </w:rPr>
            </w:pPr>
          </w:p>
        </w:tc>
        <w:tc>
          <w:tcPr>
            <w:tcW w:w="1480" w:type="dxa"/>
            <w:vAlign w:val="bottom"/>
          </w:tcPr>
          <w:p>
            <w:pPr>
              <w:jc w:val="center"/>
              <w:ind w:right="302"/>
              <w:spacing w:after="0"/>
              <w:rPr>
                <w:sz w:val="20"/>
                <w:szCs w:val="20"/>
                <w:color w:val="auto"/>
              </w:rPr>
            </w:pPr>
            <w:r>
              <w:rPr>
                <w:rFonts w:ascii="Arial" w:cs="Arial" w:eastAsia="Arial" w:hAnsi="Arial"/>
                <w:sz w:val="14"/>
                <w:szCs w:val="14"/>
                <w:b w:val="1"/>
                <w:bCs w:val="1"/>
                <w:color w:val="E2231A"/>
              </w:rPr>
              <w:t>Equivalents</w:t>
            </w:r>
          </w:p>
        </w:tc>
        <w:tc>
          <w:tcPr>
            <w:tcW w:w="400" w:type="dxa"/>
            <w:vAlign w:val="bottom"/>
          </w:tcPr>
          <w:p>
            <w:pPr>
              <w:spacing w:after="0"/>
              <w:rPr>
                <w:sz w:val="14"/>
                <w:szCs w:val="14"/>
                <w:color w:val="auto"/>
              </w:rPr>
            </w:pPr>
          </w:p>
        </w:tc>
        <w:tc>
          <w:tcPr>
            <w:tcW w:w="1480" w:type="dxa"/>
            <w:vAlign w:val="bottom"/>
          </w:tcPr>
          <w:p>
            <w:pPr>
              <w:jc w:val="center"/>
              <w:ind w:right="302"/>
              <w:spacing w:after="0"/>
              <w:rPr>
                <w:sz w:val="20"/>
                <w:szCs w:val="20"/>
                <w:color w:val="auto"/>
              </w:rPr>
            </w:pPr>
            <w:r>
              <w:rPr>
                <w:rFonts w:ascii="Arial" w:cs="Arial" w:eastAsia="Arial" w:hAnsi="Arial"/>
                <w:sz w:val="14"/>
                <w:szCs w:val="14"/>
                <w:b w:val="1"/>
                <w:bCs w:val="1"/>
                <w:color w:val="E2231A"/>
              </w:rPr>
              <w:t>Equivalents</w:t>
            </w:r>
          </w:p>
        </w:tc>
        <w:tc>
          <w:tcPr>
            <w:tcW w:w="380" w:type="dxa"/>
            <w:vAlign w:val="bottom"/>
          </w:tcPr>
          <w:p>
            <w:pPr>
              <w:spacing w:after="0"/>
              <w:rPr>
                <w:sz w:val="14"/>
                <w:szCs w:val="14"/>
                <w:color w:val="auto"/>
              </w:rPr>
            </w:pPr>
          </w:p>
        </w:tc>
        <w:tc>
          <w:tcPr>
            <w:tcW w:w="760" w:type="dxa"/>
            <w:vAlign w:val="bottom"/>
          </w:tcPr>
          <w:p>
            <w:pPr>
              <w:jc w:val="right"/>
              <w:ind w:right="82"/>
              <w:spacing w:after="0"/>
              <w:rPr>
                <w:sz w:val="20"/>
                <w:szCs w:val="20"/>
                <w:color w:val="auto"/>
              </w:rPr>
            </w:pPr>
            <w:r>
              <w:rPr>
                <w:rFonts w:ascii="Arial" w:cs="Arial" w:eastAsia="Arial" w:hAnsi="Arial"/>
                <w:sz w:val="14"/>
                <w:szCs w:val="14"/>
                <w:b w:val="1"/>
                <w:bCs w:val="1"/>
                <w:color w:val="E2231A"/>
                <w:w w:val="98"/>
              </w:rPr>
              <w:t>Dividend</w:t>
            </w:r>
          </w:p>
        </w:tc>
      </w:tr>
      <w:tr>
        <w:trPr>
          <w:trHeight w:val="175"/>
        </w:trPr>
        <w:tc>
          <w:tcPr>
            <w:tcW w:w="2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b w:val="1"/>
                <w:bCs w:val="1"/>
                <w:color w:val="E2231A"/>
              </w:rPr>
              <w:t>(Maximum)</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(Maximum)</w:t>
            </w:r>
          </w:p>
        </w:tc>
        <w:tc>
          <w:tcPr>
            <w:tcW w:w="18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E2231A"/>
              </w:rPr>
              <w:t>(2015-2017 Awards)</w:t>
            </w:r>
          </w:p>
        </w:tc>
        <w:tc>
          <w:tcPr>
            <w:tcW w:w="18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E2231A"/>
              </w:rPr>
              <w:t>(2016-2018 Awards)</w:t>
            </w:r>
          </w:p>
        </w:tc>
        <w:tc>
          <w:tcPr>
            <w:tcW w:w="11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E2231A"/>
              </w:rPr>
              <w:t>Equivalents</w:t>
            </w:r>
          </w:p>
        </w:tc>
      </w:tr>
      <w:tr>
        <w:trPr>
          <w:trHeight w:val="183"/>
        </w:trPr>
        <w:tc>
          <w:tcPr>
            <w:tcW w:w="214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Matthew J. Simoncini</w:t>
            </w:r>
          </w:p>
        </w:tc>
        <w:tc>
          <w:tcPr>
            <w:tcW w:w="1860" w:type="dxa"/>
            <w:vAlign w:val="bottom"/>
            <w:shd w:val="clear" w:color="auto" w:fill="FCE9E8"/>
          </w:tcPr>
          <w:p>
            <w:pPr>
              <w:jc w:val="right"/>
              <w:ind w:right="203"/>
              <w:spacing w:after="0" w:line="183" w:lineRule="exact"/>
              <w:rPr>
                <w:sz w:val="20"/>
                <w:szCs w:val="20"/>
                <w:color w:val="auto"/>
              </w:rPr>
            </w:pPr>
            <w:r>
              <w:rPr>
                <w:rFonts w:ascii="Arial" w:cs="Arial" w:eastAsia="Arial" w:hAnsi="Arial"/>
                <w:sz w:val="16"/>
                <w:szCs w:val="16"/>
                <w:color w:val="auto"/>
              </w:rPr>
              <w:t>114,912</w:t>
            </w:r>
          </w:p>
        </w:tc>
        <w:tc>
          <w:tcPr>
            <w:tcW w:w="1620" w:type="dxa"/>
            <w:vAlign w:val="bottom"/>
            <w:shd w:val="clear" w:color="auto" w:fill="FCE9E8"/>
          </w:tcPr>
          <w:p>
            <w:pPr>
              <w:jc w:val="right"/>
              <w:ind w:right="203"/>
              <w:spacing w:after="0" w:line="183" w:lineRule="exact"/>
              <w:rPr>
                <w:sz w:val="20"/>
                <w:szCs w:val="20"/>
                <w:color w:val="auto"/>
              </w:rPr>
            </w:pPr>
            <w:r>
              <w:rPr>
                <w:rFonts w:ascii="Arial" w:cs="Arial" w:eastAsia="Arial" w:hAnsi="Arial"/>
                <w:sz w:val="16"/>
                <w:szCs w:val="16"/>
                <w:color w:val="auto"/>
              </w:rPr>
              <w:t>97,856</w:t>
            </w:r>
          </w:p>
        </w:tc>
        <w:tc>
          <w:tcPr>
            <w:tcW w:w="38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182"/>
              <w:spacing w:after="0" w:line="183" w:lineRule="exact"/>
              <w:rPr>
                <w:sz w:val="20"/>
                <w:szCs w:val="20"/>
                <w:color w:val="auto"/>
              </w:rPr>
            </w:pPr>
            <w:r>
              <w:rPr>
                <w:rFonts w:ascii="Arial" w:cs="Arial" w:eastAsia="Arial" w:hAnsi="Arial"/>
                <w:sz w:val="16"/>
                <w:szCs w:val="16"/>
                <w:color w:val="auto"/>
              </w:rPr>
              <w:t>260,319</w:t>
            </w:r>
          </w:p>
        </w:tc>
        <w:tc>
          <w:tcPr>
            <w:tcW w:w="400" w:type="dxa"/>
            <w:vAlign w:val="bottom"/>
            <w:shd w:val="clear" w:color="auto" w:fill="FCE9E8"/>
          </w:tcPr>
          <w:p>
            <w:pPr>
              <w:ind w:left="280"/>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182"/>
              <w:spacing w:after="0" w:line="183" w:lineRule="exact"/>
              <w:rPr>
                <w:sz w:val="20"/>
                <w:szCs w:val="20"/>
                <w:color w:val="auto"/>
              </w:rPr>
            </w:pPr>
            <w:r>
              <w:rPr>
                <w:rFonts w:ascii="Arial" w:cs="Arial" w:eastAsia="Arial" w:hAnsi="Arial"/>
                <w:sz w:val="16"/>
                <w:szCs w:val="16"/>
                <w:color w:val="auto"/>
              </w:rPr>
              <w:t>119,036</w:t>
            </w:r>
          </w:p>
        </w:tc>
        <w:tc>
          <w:tcPr>
            <w:tcW w:w="380" w:type="dxa"/>
            <w:vAlign w:val="bottom"/>
            <w:shd w:val="clear" w:color="auto" w:fill="FCE9E8"/>
          </w:tcPr>
          <w:p>
            <w:pPr>
              <w:ind w:left="280"/>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379,355</w:t>
            </w:r>
          </w:p>
        </w:tc>
      </w:tr>
      <w:tr>
        <w:trPr>
          <w:trHeight w:val="189"/>
        </w:trPr>
        <w:tc>
          <w:tcPr>
            <w:tcW w:w="2140" w:type="dxa"/>
            <w:vAlign w:val="bottom"/>
          </w:tcPr>
          <w:p>
            <w:pPr>
              <w:ind w:left="100"/>
              <w:spacing w:after="0"/>
              <w:rPr>
                <w:sz w:val="20"/>
                <w:szCs w:val="20"/>
                <w:color w:val="auto"/>
              </w:rPr>
            </w:pPr>
            <w:r>
              <w:rPr>
                <w:rFonts w:ascii="Arial" w:cs="Arial" w:eastAsia="Arial" w:hAnsi="Arial"/>
                <w:sz w:val="16"/>
                <w:szCs w:val="16"/>
                <w:color w:val="auto"/>
              </w:rPr>
              <w:t>Jeffrey H. Vanneste</w:t>
            </w:r>
          </w:p>
        </w:tc>
        <w:tc>
          <w:tcPr>
            <w:tcW w:w="1860" w:type="dxa"/>
            <w:vAlign w:val="bottom"/>
          </w:tcPr>
          <w:p>
            <w:pPr>
              <w:jc w:val="right"/>
              <w:ind w:right="203"/>
              <w:spacing w:after="0"/>
              <w:rPr>
                <w:sz w:val="20"/>
                <w:szCs w:val="20"/>
                <w:color w:val="auto"/>
              </w:rPr>
            </w:pPr>
            <w:r>
              <w:rPr>
                <w:rFonts w:ascii="Arial" w:cs="Arial" w:eastAsia="Arial" w:hAnsi="Arial"/>
                <w:sz w:val="16"/>
                <w:szCs w:val="16"/>
                <w:color w:val="auto"/>
              </w:rPr>
              <w:t>28,129</w:t>
            </w:r>
          </w:p>
        </w:tc>
        <w:tc>
          <w:tcPr>
            <w:tcW w:w="1620" w:type="dxa"/>
            <w:vAlign w:val="bottom"/>
          </w:tcPr>
          <w:p>
            <w:pPr>
              <w:jc w:val="right"/>
              <w:ind w:right="203"/>
              <w:spacing w:after="0"/>
              <w:rPr>
                <w:sz w:val="20"/>
                <w:szCs w:val="20"/>
                <w:color w:val="auto"/>
              </w:rPr>
            </w:pPr>
            <w:r>
              <w:rPr>
                <w:rFonts w:ascii="Arial" w:cs="Arial" w:eastAsia="Arial" w:hAnsi="Arial"/>
                <w:sz w:val="16"/>
                <w:szCs w:val="16"/>
                <w:color w:val="auto"/>
              </w:rPr>
              <w:t>24,156</w:t>
            </w:r>
          </w:p>
        </w:tc>
        <w:tc>
          <w:tcPr>
            <w:tcW w:w="380" w:type="dxa"/>
            <w:vAlign w:val="bottom"/>
          </w:tcPr>
          <w:p>
            <w:pPr>
              <w:ind w:left="2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82"/>
              <w:spacing w:after="0"/>
              <w:rPr>
                <w:sz w:val="20"/>
                <w:szCs w:val="20"/>
                <w:color w:val="auto"/>
              </w:rPr>
            </w:pPr>
            <w:r>
              <w:rPr>
                <w:rFonts w:ascii="Arial" w:cs="Arial" w:eastAsia="Arial" w:hAnsi="Arial"/>
                <w:sz w:val="16"/>
                <w:szCs w:val="16"/>
                <w:color w:val="auto"/>
              </w:rPr>
              <w:t>63,721</w:t>
            </w:r>
          </w:p>
        </w:tc>
        <w:tc>
          <w:tcPr>
            <w:tcW w:w="400" w:type="dxa"/>
            <w:vAlign w:val="bottom"/>
          </w:tcPr>
          <w:p>
            <w:pPr>
              <w:ind w:lef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82"/>
              <w:spacing w:after="0"/>
              <w:rPr>
                <w:sz w:val="20"/>
                <w:szCs w:val="20"/>
                <w:color w:val="auto"/>
              </w:rPr>
            </w:pPr>
            <w:r>
              <w:rPr>
                <w:rFonts w:ascii="Arial" w:cs="Arial" w:eastAsia="Arial" w:hAnsi="Arial"/>
                <w:sz w:val="16"/>
                <w:szCs w:val="16"/>
                <w:color w:val="auto"/>
              </w:rPr>
              <w:t>29,384</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93,105</w:t>
            </w:r>
          </w:p>
        </w:tc>
      </w:tr>
      <w:tr>
        <w:trPr>
          <w:trHeight w:val="189"/>
        </w:trPr>
        <w:tc>
          <w:tcPr>
            <w:tcW w:w="21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Raymond E. Scott</w:t>
            </w:r>
          </w:p>
        </w:tc>
        <w:tc>
          <w:tcPr>
            <w:tcW w:w="1860" w:type="dxa"/>
            <w:vAlign w:val="bottom"/>
            <w:shd w:val="clear" w:color="auto" w:fill="FCE9E8"/>
          </w:tcPr>
          <w:p>
            <w:pPr>
              <w:jc w:val="right"/>
              <w:ind w:right="203"/>
              <w:spacing w:after="0"/>
              <w:rPr>
                <w:sz w:val="20"/>
                <w:szCs w:val="20"/>
                <w:color w:val="auto"/>
              </w:rPr>
            </w:pPr>
            <w:r>
              <w:rPr>
                <w:rFonts w:ascii="Arial" w:cs="Arial" w:eastAsia="Arial" w:hAnsi="Arial"/>
                <w:sz w:val="16"/>
                <w:szCs w:val="16"/>
                <w:color w:val="auto"/>
              </w:rPr>
              <w:t>31,872</w:t>
            </w:r>
          </w:p>
        </w:tc>
        <w:tc>
          <w:tcPr>
            <w:tcW w:w="1620" w:type="dxa"/>
            <w:vAlign w:val="bottom"/>
            <w:shd w:val="clear" w:color="auto" w:fill="FCE9E8"/>
          </w:tcPr>
          <w:p>
            <w:pPr>
              <w:jc w:val="right"/>
              <w:ind w:right="203"/>
              <w:spacing w:after="0"/>
              <w:rPr>
                <w:sz w:val="20"/>
                <w:szCs w:val="20"/>
                <w:color w:val="auto"/>
              </w:rPr>
            </w:pPr>
            <w:r>
              <w:rPr>
                <w:rFonts w:ascii="Arial" w:cs="Arial" w:eastAsia="Arial" w:hAnsi="Arial"/>
                <w:sz w:val="16"/>
                <w:szCs w:val="16"/>
                <w:color w:val="auto"/>
              </w:rPr>
              <w:t>26,688</w:t>
            </w:r>
          </w:p>
        </w:tc>
        <w:tc>
          <w:tcPr>
            <w:tcW w:w="3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72,202</w:t>
            </w:r>
          </w:p>
        </w:tc>
        <w:tc>
          <w:tcPr>
            <w:tcW w:w="400" w:type="dxa"/>
            <w:vAlign w:val="bottom"/>
            <w:shd w:val="clear" w:color="auto" w:fill="FCE9E8"/>
          </w:tcPr>
          <w:p>
            <w:pPr>
              <w:ind w:left="2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32,464</w:t>
            </w:r>
          </w:p>
        </w:tc>
        <w:tc>
          <w:tcPr>
            <w:tcW w:w="380" w:type="dxa"/>
            <w:vAlign w:val="bottom"/>
            <w:shd w:val="clear" w:color="auto" w:fill="FCE9E8"/>
          </w:tcPr>
          <w:p>
            <w:pPr>
              <w:ind w:left="28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104,666</w:t>
            </w:r>
          </w:p>
        </w:tc>
      </w:tr>
      <w:tr>
        <w:trPr>
          <w:trHeight w:val="189"/>
        </w:trPr>
        <w:tc>
          <w:tcPr>
            <w:tcW w:w="2140" w:type="dxa"/>
            <w:vAlign w:val="bottom"/>
          </w:tcPr>
          <w:p>
            <w:pPr>
              <w:ind w:left="100"/>
              <w:spacing w:after="0"/>
              <w:rPr>
                <w:sz w:val="20"/>
                <w:szCs w:val="20"/>
                <w:color w:val="auto"/>
              </w:rPr>
            </w:pPr>
            <w:r>
              <w:rPr>
                <w:rFonts w:ascii="Arial" w:cs="Arial" w:eastAsia="Arial" w:hAnsi="Arial"/>
                <w:sz w:val="16"/>
                <w:szCs w:val="16"/>
                <w:color w:val="auto"/>
              </w:rPr>
              <w:t>Terrence B. Larkin</w:t>
            </w:r>
          </w:p>
        </w:tc>
        <w:tc>
          <w:tcPr>
            <w:tcW w:w="1860" w:type="dxa"/>
            <w:vAlign w:val="bottom"/>
          </w:tcPr>
          <w:p>
            <w:pPr>
              <w:jc w:val="right"/>
              <w:ind w:right="203"/>
              <w:spacing w:after="0"/>
              <w:rPr>
                <w:sz w:val="20"/>
                <w:szCs w:val="20"/>
                <w:color w:val="auto"/>
              </w:rPr>
            </w:pPr>
            <w:r>
              <w:rPr>
                <w:rFonts w:ascii="Arial" w:cs="Arial" w:eastAsia="Arial" w:hAnsi="Arial"/>
                <w:sz w:val="16"/>
                <w:szCs w:val="16"/>
                <w:color w:val="auto"/>
              </w:rPr>
              <w:t>31,872</w:t>
            </w:r>
          </w:p>
        </w:tc>
        <w:tc>
          <w:tcPr>
            <w:tcW w:w="1620" w:type="dxa"/>
            <w:vAlign w:val="bottom"/>
          </w:tcPr>
          <w:p>
            <w:pPr>
              <w:jc w:val="right"/>
              <w:ind w:right="203"/>
              <w:spacing w:after="0"/>
              <w:rPr>
                <w:sz w:val="20"/>
                <w:szCs w:val="20"/>
                <w:color w:val="auto"/>
              </w:rPr>
            </w:pPr>
            <w:r>
              <w:rPr>
                <w:rFonts w:ascii="Arial" w:cs="Arial" w:eastAsia="Arial" w:hAnsi="Arial"/>
                <w:sz w:val="16"/>
                <w:szCs w:val="16"/>
                <w:color w:val="auto"/>
              </w:rPr>
              <w:t>26,688</w:t>
            </w:r>
          </w:p>
        </w:tc>
        <w:tc>
          <w:tcPr>
            <w:tcW w:w="380" w:type="dxa"/>
            <w:vAlign w:val="bottom"/>
          </w:tcPr>
          <w:p>
            <w:pPr>
              <w:ind w:left="2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82"/>
              <w:spacing w:after="0"/>
              <w:rPr>
                <w:sz w:val="20"/>
                <w:szCs w:val="20"/>
                <w:color w:val="auto"/>
              </w:rPr>
            </w:pPr>
            <w:r>
              <w:rPr>
                <w:rFonts w:ascii="Arial" w:cs="Arial" w:eastAsia="Arial" w:hAnsi="Arial"/>
                <w:sz w:val="16"/>
                <w:szCs w:val="16"/>
                <w:color w:val="auto"/>
              </w:rPr>
              <w:t>72,202</w:t>
            </w:r>
          </w:p>
        </w:tc>
        <w:tc>
          <w:tcPr>
            <w:tcW w:w="400" w:type="dxa"/>
            <w:vAlign w:val="bottom"/>
          </w:tcPr>
          <w:p>
            <w:pPr>
              <w:ind w:lef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82"/>
              <w:spacing w:after="0"/>
              <w:rPr>
                <w:sz w:val="20"/>
                <w:szCs w:val="20"/>
                <w:color w:val="auto"/>
              </w:rPr>
            </w:pPr>
            <w:r>
              <w:rPr>
                <w:rFonts w:ascii="Arial" w:cs="Arial" w:eastAsia="Arial" w:hAnsi="Arial"/>
                <w:sz w:val="16"/>
                <w:szCs w:val="16"/>
                <w:color w:val="auto"/>
              </w:rPr>
              <w:t>32,464</w:t>
            </w:r>
          </w:p>
        </w:tc>
        <w:tc>
          <w:tcPr>
            <w:tcW w:w="380" w:type="dxa"/>
            <w:vAlign w:val="bottom"/>
          </w:tcPr>
          <w:p>
            <w:pPr>
              <w:ind w:left="2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104,666</w:t>
            </w:r>
          </w:p>
        </w:tc>
      </w:tr>
      <w:tr>
        <w:trPr>
          <w:trHeight w:val="189"/>
        </w:trPr>
        <w:tc>
          <w:tcPr>
            <w:tcW w:w="214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Frank C. Orsini</w:t>
            </w:r>
          </w:p>
        </w:tc>
        <w:tc>
          <w:tcPr>
            <w:tcW w:w="1860" w:type="dxa"/>
            <w:vAlign w:val="bottom"/>
            <w:tcBorders>
              <w:bottom w:val="single" w:sz="8" w:color="auto"/>
            </w:tcBorders>
            <w:shd w:val="clear" w:color="auto" w:fill="FCE9E8"/>
          </w:tcPr>
          <w:p>
            <w:pPr>
              <w:jc w:val="right"/>
              <w:ind w:right="203"/>
              <w:spacing w:after="0"/>
              <w:rPr>
                <w:sz w:val="20"/>
                <w:szCs w:val="20"/>
                <w:color w:val="auto"/>
              </w:rPr>
            </w:pPr>
            <w:r>
              <w:rPr>
                <w:rFonts w:ascii="Arial" w:cs="Arial" w:eastAsia="Arial" w:hAnsi="Arial"/>
                <w:sz w:val="16"/>
                <w:szCs w:val="16"/>
                <w:color w:val="auto"/>
              </w:rPr>
              <w:t>26,889</w:t>
            </w:r>
          </w:p>
        </w:tc>
        <w:tc>
          <w:tcPr>
            <w:tcW w:w="1620" w:type="dxa"/>
            <w:vAlign w:val="bottom"/>
            <w:tcBorders>
              <w:bottom w:val="single" w:sz="8" w:color="auto"/>
            </w:tcBorders>
            <w:shd w:val="clear" w:color="auto" w:fill="FCE9E8"/>
          </w:tcPr>
          <w:p>
            <w:pPr>
              <w:jc w:val="right"/>
              <w:ind w:right="203"/>
              <w:spacing w:after="0"/>
              <w:rPr>
                <w:sz w:val="20"/>
                <w:szCs w:val="20"/>
                <w:color w:val="auto"/>
              </w:rPr>
            </w:pPr>
            <w:r>
              <w:rPr>
                <w:rFonts w:ascii="Arial" w:cs="Arial" w:eastAsia="Arial" w:hAnsi="Arial"/>
                <w:sz w:val="16"/>
                <w:szCs w:val="16"/>
                <w:color w:val="auto"/>
              </w:rPr>
              <w:t>22,980</w:t>
            </w:r>
          </w:p>
        </w:tc>
        <w:tc>
          <w:tcPr>
            <w:tcW w:w="380" w:type="dxa"/>
            <w:vAlign w:val="bottom"/>
            <w:tcBorders>
              <w:bottom w:val="single" w:sz="8" w:color="auto"/>
            </w:tcBorders>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FCE9E8"/>
          </w:tcPr>
          <w:p>
            <w:pPr>
              <w:jc w:val="right"/>
              <w:ind w:right="182"/>
              <w:spacing w:after="0"/>
              <w:rPr>
                <w:sz w:val="20"/>
                <w:szCs w:val="20"/>
                <w:color w:val="auto"/>
              </w:rPr>
            </w:pPr>
            <w:r>
              <w:rPr>
                <w:rFonts w:ascii="Arial" w:cs="Arial" w:eastAsia="Arial" w:hAnsi="Arial"/>
                <w:sz w:val="16"/>
                <w:szCs w:val="16"/>
                <w:color w:val="auto"/>
              </w:rPr>
              <w:t>60,911</w:t>
            </w:r>
          </w:p>
        </w:tc>
        <w:tc>
          <w:tcPr>
            <w:tcW w:w="400" w:type="dxa"/>
            <w:vAlign w:val="bottom"/>
            <w:tcBorders>
              <w:bottom w:val="single" w:sz="8" w:color="auto"/>
            </w:tcBorders>
            <w:shd w:val="clear" w:color="auto" w:fill="FCE9E8"/>
          </w:tcPr>
          <w:p>
            <w:pPr>
              <w:ind w:left="28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FCE9E8"/>
          </w:tcPr>
          <w:p>
            <w:pPr>
              <w:jc w:val="right"/>
              <w:ind w:right="182"/>
              <w:spacing w:after="0"/>
              <w:rPr>
                <w:sz w:val="20"/>
                <w:szCs w:val="20"/>
                <w:color w:val="auto"/>
              </w:rPr>
            </w:pPr>
            <w:r>
              <w:rPr>
                <w:rFonts w:ascii="Arial" w:cs="Arial" w:eastAsia="Arial" w:hAnsi="Arial"/>
                <w:sz w:val="16"/>
                <w:szCs w:val="16"/>
                <w:color w:val="auto"/>
              </w:rPr>
              <w:t>27,954</w:t>
            </w:r>
          </w:p>
        </w:tc>
        <w:tc>
          <w:tcPr>
            <w:tcW w:w="380" w:type="dxa"/>
            <w:vAlign w:val="bottom"/>
            <w:tcBorders>
              <w:bottom w:val="single" w:sz="8" w:color="auto"/>
            </w:tcBorders>
            <w:shd w:val="clear" w:color="auto" w:fill="FCE9E8"/>
          </w:tcPr>
          <w:p>
            <w:pPr>
              <w:ind w:left="2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88,865</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2016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21" w:lineRule="exact"/>
        <w:rPr>
          <w:sz w:val="20"/>
          <w:szCs w:val="20"/>
          <w:color w:val="auto"/>
        </w:rPr>
      </w:pPr>
    </w:p>
    <w:p>
      <w:pPr>
        <w:jc w:val="both"/>
        <w:ind w:right="440"/>
        <w:spacing w:after="0" w:line="260" w:lineRule="auto"/>
        <w:rPr>
          <w:sz w:val="20"/>
          <w:szCs w:val="20"/>
          <w:color w:val="auto"/>
        </w:rPr>
      </w:pPr>
      <w:r>
        <w:rPr>
          <w:rFonts w:ascii="Arial" w:cs="Arial" w:eastAsia="Arial" w:hAnsi="Arial"/>
          <w:sz w:val="16"/>
          <w:szCs w:val="16"/>
          <w:color w:val="auto"/>
        </w:rPr>
        <w:t>The following table sets forth certain information regarding stock-based awards that vested during 2016 for our Named Executive Officers. No options are outstanding and none were exercised in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80" w:type="dxa"/>
            <w:vAlign w:val="bottom"/>
          </w:tcPr>
          <w:p>
            <w:pPr>
              <w:spacing w:after="0"/>
              <w:rPr>
                <w:sz w:val="15"/>
                <w:szCs w:val="15"/>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Stock Awards</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80" w:type="dxa"/>
            <w:vAlign w:val="bottom"/>
          </w:tcPr>
          <w:p>
            <w:pPr>
              <w:spacing w:after="0"/>
              <w:rPr>
                <w:sz w:val="13"/>
                <w:szCs w:val="13"/>
                <w:color w:val="auto"/>
              </w:rPr>
            </w:pPr>
          </w:p>
        </w:tc>
        <w:tc>
          <w:tcPr>
            <w:tcW w:w="2500" w:type="dxa"/>
            <w:vAlign w:val="bottom"/>
          </w:tcPr>
          <w:p>
            <w:pPr>
              <w:jc w:val="center"/>
              <w:ind w:right="425"/>
              <w:spacing w:after="0" w:line="155" w:lineRule="exact"/>
              <w:rPr>
                <w:sz w:val="20"/>
                <w:szCs w:val="20"/>
                <w:color w:val="auto"/>
              </w:rPr>
            </w:pPr>
            <w:r>
              <w:rPr>
                <w:rFonts w:ascii="Arial" w:cs="Arial" w:eastAsia="Arial" w:hAnsi="Arial"/>
                <w:sz w:val="14"/>
                <w:szCs w:val="14"/>
                <w:b w:val="1"/>
                <w:bCs w:val="1"/>
                <w:color w:val="E2231A"/>
              </w:rPr>
              <w:t>Number of</w:t>
            </w:r>
          </w:p>
        </w:tc>
        <w:tc>
          <w:tcPr>
            <w:tcW w:w="160" w:type="dxa"/>
            <w:vAlign w:val="bottom"/>
          </w:tcPr>
          <w:p>
            <w:pPr>
              <w:spacing w:after="0"/>
              <w:rPr>
                <w:sz w:val="13"/>
                <w:szCs w:val="13"/>
                <w:color w:val="auto"/>
              </w:rPr>
            </w:pPr>
          </w:p>
        </w:tc>
        <w:tc>
          <w:tcPr>
            <w:tcW w:w="1380" w:type="dxa"/>
            <w:vAlign w:val="bottom"/>
          </w:tcPr>
          <w:p>
            <w:pPr>
              <w:jc w:val="center"/>
              <w:ind w:right="563"/>
              <w:spacing w:after="0" w:line="155" w:lineRule="exact"/>
              <w:rPr>
                <w:sz w:val="20"/>
                <w:szCs w:val="20"/>
                <w:color w:val="auto"/>
              </w:rPr>
            </w:pPr>
            <w:r>
              <w:rPr>
                <w:rFonts w:ascii="Arial" w:cs="Arial" w:eastAsia="Arial" w:hAnsi="Arial"/>
                <w:sz w:val="14"/>
                <w:szCs w:val="14"/>
                <w:b w:val="1"/>
                <w:bCs w:val="1"/>
                <w:color w:val="E2231A"/>
              </w:rPr>
              <w:t>Value</w:t>
            </w:r>
          </w:p>
        </w:tc>
        <w:tc>
          <w:tcPr>
            <w:tcW w:w="0" w:type="dxa"/>
            <w:vAlign w:val="bottom"/>
          </w:tcPr>
          <w:p>
            <w:pPr>
              <w:spacing w:after="0"/>
              <w:rPr>
                <w:sz w:val="1"/>
                <w:szCs w:val="1"/>
                <w:color w:val="auto"/>
              </w:rPr>
            </w:pPr>
          </w:p>
        </w:tc>
      </w:tr>
      <w:tr>
        <w:trPr>
          <w:trHeight w:val="162"/>
        </w:trPr>
        <w:tc>
          <w:tcPr>
            <w:tcW w:w="7380" w:type="dxa"/>
            <w:vAlign w:val="bottom"/>
          </w:tcPr>
          <w:p>
            <w:pPr>
              <w:spacing w:after="0"/>
              <w:rPr>
                <w:sz w:val="14"/>
                <w:szCs w:val="14"/>
                <w:color w:val="auto"/>
              </w:rPr>
            </w:pPr>
          </w:p>
        </w:tc>
        <w:tc>
          <w:tcPr>
            <w:tcW w:w="2500" w:type="dxa"/>
            <w:vAlign w:val="bottom"/>
          </w:tcPr>
          <w:p>
            <w:pPr>
              <w:jc w:val="center"/>
              <w:ind w:right="405"/>
              <w:spacing w:after="0"/>
              <w:rPr>
                <w:sz w:val="20"/>
                <w:szCs w:val="20"/>
                <w:color w:val="auto"/>
              </w:rPr>
            </w:pPr>
            <w:r>
              <w:rPr>
                <w:rFonts w:ascii="Arial" w:cs="Arial" w:eastAsia="Arial" w:hAnsi="Arial"/>
                <w:sz w:val="14"/>
                <w:szCs w:val="14"/>
                <w:b w:val="1"/>
                <w:bCs w:val="1"/>
                <w:color w:val="E2231A"/>
              </w:rPr>
              <w:t>Shares Acquired</w:t>
            </w:r>
          </w:p>
        </w:tc>
        <w:tc>
          <w:tcPr>
            <w:tcW w:w="1540" w:type="dxa"/>
            <w:vAlign w:val="bottom"/>
            <w:gridSpan w:val="2"/>
          </w:tcPr>
          <w:p>
            <w:pPr>
              <w:jc w:val="center"/>
              <w:ind w:right="423"/>
              <w:spacing w:after="0"/>
              <w:rPr>
                <w:sz w:val="20"/>
                <w:szCs w:val="20"/>
                <w:color w:val="auto"/>
              </w:rPr>
            </w:pPr>
            <w:r>
              <w:rPr>
                <w:rFonts w:ascii="Arial" w:cs="Arial" w:eastAsia="Arial" w:hAnsi="Arial"/>
                <w:sz w:val="14"/>
                <w:szCs w:val="14"/>
                <w:b w:val="1"/>
                <w:bCs w:val="1"/>
                <w:color w:val="E2231A"/>
              </w:rPr>
              <w:t>Realized on</w:t>
            </w:r>
          </w:p>
        </w:tc>
        <w:tc>
          <w:tcPr>
            <w:tcW w:w="0" w:type="dxa"/>
            <w:vAlign w:val="bottom"/>
          </w:tcPr>
          <w:p>
            <w:pPr>
              <w:spacing w:after="0"/>
              <w:rPr>
                <w:sz w:val="1"/>
                <w:szCs w:val="1"/>
                <w:color w:val="auto"/>
              </w:rPr>
            </w:pPr>
          </w:p>
        </w:tc>
      </w:tr>
      <w:tr>
        <w:trPr>
          <w:trHeight w:val="162"/>
        </w:trPr>
        <w:tc>
          <w:tcPr>
            <w:tcW w:w="7380" w:type="dxa"/>
            <w:vAlign w:val="bottom"/>
            <w:vMerge w:val="restart"/>
          </w:tcPr>
          <w:p>
            <w:pPr>
              <w:ind w:left="80"/>
              <w:spacing w:after="0"/>
              <w:rPr>
                <w:sz w:val="20"/>
                <w:szCs w:val="20"/>
                <w:color w:val="auto"/>
              </w:rPr>
            </w:pPr>
            <w:r>
              <w:rPr>
                <w:rFonts w:ascii="Arial" w:cs="Arial" w:eastAsia="Arial" w:hAnsi="Arial"/>
                <w:sz w:val="14"/>
                <w:szCs w:val="14"/>
                <w:b w:val="1"/>
                <w:bCs w:val="1"/>
                <w:color w:val="E2231A"/>
              </w:rPr>
              <w:t>Name(a)</w:t>
            </w:r>
          </w:p>
        </w:tc>
        <w:tc>
          <w:tcPr>
            <w:tcW w:w="2500" w:type="dxa"/>
            <w:vAlign w:val="bottom"/>
          </w:tcPr>
          <w:p>
            <w:pPr>
              <w:jc w:val="center"/>
              <w:ind w:right="405"/>
              <w:spacing w:after="0"/>
              <w:rPr>
                <w:sz w:val="20"/>
                <w:szCs w:val="20"/>
                <w:color w:val="auto"/>
              </w:rPr>
            </w:pPr>
            <w:r>
              <w:rPr>
                <w:rFonts w:ascii="Arial" w:cs="Arial" w:eastAsia="Arial" w:hAnsi="Arial"/>
                <w:sz w:val="14"/>
                <w:szCs w:val="14"/>
                <w:b w:val="1"/>
                <w:bCs w:val="1"/>
                <w:color w:val="E2231A"/>
              </w:rPr>
              <w:t>on Vesting</w:t>
            </w:r>
          </w:p>
        </w:tc>
        <w:tc>
          <w:tcPr>
            <w:tcW w:w="1540" w:type="dxa"/>
            <w:vAlign w:val="bottom"/>
            <w:gridSpan w:val="2"/>
          </w:tcPr>
          <w:p>
            <w:pPr>
              <w:ind w:left="80"/>
              <w:spacing w:after="0" w:line="162" w:lineRule="exact"/>
              <w:rPr>
                <w:sz w:val="20"/>
                <w:szCs w:val="20"/>
                <w:color w:val="auto"/>
              </w:rPr>
            </w:pPr>
            <w:r>
              <w:rPr>
                <w:rFonts w:ascii="Arial" w:cs="Arial" w:eastAsia="Arial" w:hAnsi="Arial"/>
                <w:sz w:val="11"/>
                <w:szCs w:val="11"/>
                <w:b w:val="1"/>
                <w:bCs w:val="1"/>
                <w:color w:val="E2231A"/>
              </w:rPr>
              <w:t>Vesting (e)</w:t>
            </w:r>
            <w:r>
              <w:rPr>
                <w:rFonts w:ascii="Arial" w:cs="Arial" w:eastAsia="Arial" w:hAnsi="Arial"/>
                <w:sz w:val="18"/>
                <w:szCs w:val="18"/>
                <w:b w:val="1"/>
                <w:bCs w:val="1"/>
                <w:color w:val="E2231A"/>
                <w:vertAlign w:val="superscript"/>
              </w:rPr>
              <w:t>(1)</w:t>
            </w:r>
          </w:p>
        </w:tc>
        <w:tc>
          <w:tcPr>
            <w:tcW w:w="0" w:type="dxa"/>
            <w:vAlign w:val="bottom"/>
          </w:tcPr>
          <w:p>
            <w:pPr>
              <w:spacing w:after="0"/>
              <w:rPr>
                <w:sz w:val="1"/>
                <w:szCs w:val="1"/>
                <w:color w:val="auto"/>
              </w:rPr>
            </w:pPr>
          </w:p>
        </w:tc>
      </w:tr>
      <w:tr>
        <w:trPr>
          <w:trHeight w:val="162"/>
        </w:trPr>
        <w:tc>
          <w:tcPr>
            <w:tcW w:w="738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auto"/>
            </w:tcBorders>
          </w:tcPr>
          <w:p>
            <w:pPr>
              <w:jc w:val="center"/>
              <w:ind w:right="405"/>
              <w:spacing w:after="0" w:line="162" w:lineRule="exact"/>
              <w:rPr>
                <w:sz w:val="20"/>
                <w:szCs w:val="20"/>
                <w:color w:val="auto"/>
              </w:rPr>
            </w:pPr>
            <w:r>
              <w:rPr>
                <w:rFonts w:ascii="Arial" w:cs="Arial" w:eastAsia="Arial" w:hAnsi="Arial"/>
                <w:sz w:val="11"/>
                <w:szCs w:val="11"/>
                <w:b w:val="1"/>
                <w:bCs w:val="1"/>
                <w:color w:val="E2231A"/>
              </w:rPr>
              <w:t>(d)</w:t>
            </w:r>
            <w:r>
              <w:rPr>
                <w:rFonts w:ascii="Arial" w:cs="Arial" w:eastAsia="Arial" w:hAnsi="Arial"/>
                <w:sz w:val="18"/>
                <w:szCs w:val="18"/>
                <w:b w:val="1"/>
                <w:bCs w:val="1"/>
                <w:color w:val="E2231A"/>
                <w:vertAlign w:val="superscript"/>
              </w:rPr>
              <w:t>(1)</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563"/>
              <w:spacing w:after="0"/>
              <w:rPr>
                <w:sz w:val="20"/>
                <w:szCs w:val="20"/>
                <w:color w:val="auto"/>
              </w:rPr>
            </w:pPr>
            <w:r>
              <w:rPr>
                <w:rFonts w:ascii="Arial" w:cs="Arial" w:eastAsia="Arial" w:hAnsi="Arial"/>
                <w:sz w:val="12"/>
                <w:szCs w:val="12"/>
                <w:b w:val="1"/>
                <w:bCs w:val="1"/>
                <w:color w:val="E2231A"/>
                <w:w w:val="95"/>
              </w:rPr>
              <w:t>(2)</w:t>
            </w:r>
          </w:p>
        </w:tc>
        <w:tc>
          <w:tcPr>
            <w:tcW w:w="0" w:type="dxa"/>
            <w:vAlign w:val="bottom"/>
          </w:tcPr>
          <w:p>
            <w:pPr>
              <w:spacing w:after="0"/>
              <w:rPr>
                <w:sz w:val="1"/>
                <w:szCs w:val="1"/>
                <w:color w:val="auto"/>
              </w:rPr>
            </w:pPr>
          </w:p>
        </w:tc>
      </w:tr>
      <w:tr>
        <w:trPr>
          <w:trHeight w:val="183"/>
        </w:trPr>
        <w:tc>
          <w:tcPr>
            <w:tcW w:w="738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Matthew J. Simoncini</w:t>
            </w:r>
          </w:p>
        </w:tc>
        <w:tc>
          <w:tcPr>
            <w:tcW w:w="2500" w:type="dxa"/>
            <w:vAlign w:val="bottom"/>
            <w:shd w:val="clear" w:color="auto" w:fill="FCE9E8"/>
          </w:tcPr>
          <w:p>
            <w:pPr>
              <w:jc w:val="right"/>
              <w:ind w:right="845"/>
              <w:spacing w:after="0" w:line="183" w:lineRule="exact"/>
              <w:rPr>
                <w:sz w:val="20"/>
                <w:szCs w:val="20"/>
                <w:color w:val="auto"/>
              </w:rPr>
            </w:pPr>
            <w:r>
              <w:rPr>
                <w:rFonts w:ascii="Arial" w:cs="Arial" w:eastAsia="Arial" w:hAnsi="Arial"/>
                <w:sz w:val="16"/>
                <w:szCs w:val="16"/>
                <w:color w:val="auto"/>
              </w:rPr>
              <w:t>167,213</w:t>
            </w:r>
          </w:p>
        </w:tc>
        <w:tc>
          <w:tcPr>
            <w:tcW w:w="160" w:type="dxa"/>
            <w:vAlign w:val="bottom"/>
            <w:shd w:val="clear" w:color="auto" w:fill="FCE9E8"/>
          </w:tcPr>
          <w:p>
            <w:pPr>
              <w:ind w:left="60"/>
              <w:spacing w:after="0" w:line="183" w:lineRule="exact"/>
              <w:rPr>
                <w:sz w:val="20"/>
                <w:szCs w:val="20"/>
                <w:color w:val="auto"/>
              </w:rPr>
            </w:pPr>
            <w:r>
              <w:rPr>
                <w:rFonts w:ascii="Arial" w:cs="Arial" w:eastAsia="Arial" w:hAnsi="Arial"/>
                <w:sz w:val="16"/>
                <w:szCs w:val="16"/>
                <w:color w:val="auto"/>
                <w:w w:val="89"/>
              </w:rPr>
              <w:t>$</w:t>
            </w:r>
          </w:p>
        </w:tc>
        <w:tc>
          <w:tcPr>
            <w:tcW w:w="1380" w:type="dxa"/>
            <w:vAlign w:val="bottom"/>
            <w:shd w:val="clear" w:color="auto" w:fill="FCE9E8"/>
          </w:tcPr>
          <w:p>
            <w:pPr>
              <w:jc w:val="right"/>
              <w:ind w:right="483"/>
              <w:spacing w:after="0" w:line="183" w:lineRule="exact"/>
              <w:rPr>
                <w:sz w:val="20"/>
                <w:szCs w:val="20"/>
                <w:color w:val="auto"/>
              </w:rPr>
            </w:pPr>
            <w:r>
              <w:rPr>
                <w:rFonts w:ascii="Arial" w:cs="Arial" w:eastAsia="Arial" w:hAnsi="Arial"/>
                <w:sz w:val="16"/>
                <w:szCs w:val="16"/>
                <w:color w:val="auto"/>
                <w:w w:val="99"/>
              </w:rPr>
              <w:t>22,546,442</w:t>
            </w:r>
          </w:p>
        </w:tc>
        <w:tc>
          <w:tcPr>
            <w:tcW w:w="0" w:type="dxa"/>
            <w:vAlign w:val="bottom"/>
          </w:tcPr>
          <w:p>
            <w:pPr>
              <w:spacing w:after="0"/>
              <w:rPr>
                <w:sz w:val="1"/>
                <w:szCs w:val="1"/>
                <w:color w:val="auto"/>
              </w:rPr>
            </w:pPr>
          </w:p>
        </w:tc>
      </w:tr>
      <w:tr>
        <w:trPr>
          <w:trHeight w:val="189"/>
        </w:trPr>
        <w:tc>
          <w:tcPr>
            <w:tcW w:w="7380" w:type="dxa"/>
            <w:vAlign w:val="bottom"/>
          </w:tcPr>
          <w:p>
            <w:pPr>
              <w:ind w:left="100"/>
              <w:spacing w:after="0"/>
              <w:rPr>
                <w:sz w:val="20"/>
                <w:szCs w:val="20"/>
                <w:color w:val="auto"/>
              </w:rPr>
            </w:pPr>
            <w:r>
              <w:rPr>
                <w:rFonts w:ascii="Arial" w:cs="Arial" w:eastAsia="Arial" w:hAnsi="Arial"/>
                <w:sz w:val="16"/>
                <w:szCs w:val="16"/>
                <w:color w:val="auto"/>
              </w:rPr>
              <w:t>Jeffrey H. Vanneste</w:t>
            </w:r>
          </w:p>
        </w:tc>
        <w:tc>
          <w:tcPr>
            <w:tcW w:w="2500" w:type="dxa"/>
            <w:vAlign w:val="bottom"/>
          </w:tcPr>
          <w:p>
            <w:pPr>
              <w:jc w:val="right"/>
              <w:ind w:right="845"/>
              <w:spacing w:after="0"/>
              <w:rPr>
                <w:sz w:val="20"/>
                <w:szCs w:val="20"/>
                <w:color w:val="auto"/>
              </w:rPr>
            </w:pPr>
            <w:r>
              <w:rPr>
                <w:rFonts w:ascii="Arial" w:cs="Arial" w:eastAsia="Arial" w:hAnsi="Arial"/>
                <w:sz w:val="16"/>
                <w:szCs w:val="16"/>
                <w:color w:val="auto"/>
              </w:rPr>
              <w:t>44,706</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83"/>
              <w:spacing w:after="0"/>
              <w:rPr>
                <w:sz w:val="20"/>
                <w:szCs w:val="20"/>
                <w:color w:val="auto"/>
              </w:rPr>
            </w:pPr>
            <w:r>
              <w:rPr>
                <w:rFonts w:ascii="Arial" w:cs="Arial" w:eastAsia="Arial" w:hAnsi="Arial"/>
                <w:sz w:val="16"/>
                <w:szCs w:val="16"/>
                <w:color w:val="auto"/>
              </w:rPr>
              <w:t>6,018,135</w:t>
            </w:r>
          </w:p>
        </w:tc>
        <w:tc>
          <w:tcPr>
            <w:tcW w:w="0" w:type="dxa"/>
            <w:vAlign w:val="bottom"/>
          </w:tcPr>
          <w:p>
            <w:pPr>
              <w:spacing w:after="0"/>
              <w:rPr>
                <w:sz w:val="1"/>
                <w:szCs w:val="1"/>
                <w:color w:val="auto"/>
              </w:rPr>
            </w:pPr>
          </w:p>
        </w:tc>
      </w:tr>
      <w:tr>
        <w:trPr>
          <w:trHeight w:val="189"/>
        </w:trPr>
        <w:tc>
          <w:tcPr>
            <w:tcW w:w="73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Raymond E. Scott</w:t>
            </w:r>
          </w:p>
        </w:tc>
        <w:tc>
          <w:tcPr>
            <w:tcW w:w="2500" w:type="dxa"/>
            <w:vAlign w:val="bottom"/>
            <w:shd w:val="clear" w:color="auto" w:fill="FCE9E8"/>
          </w:tcPr>
          <w:p>
            <w:pPr>
              <w:jc w:val="right"/>
              <w:ind w:right="845"/>
              <w:spacing w:after="0"/>
              <w:rPr>
                <w:sz w:val="20"/>
                <w:szCs w:val="20"/>
                <w:color w:val="auto"/>
              </w:rPr>
            </w:pPr>
            <w:r>
              <w:rPr>
                <w:rFonts w:ascii="Arial" w:cs="Arial" w:eastAsia="Arial" w:hAnsi="Arial"/>
                <w:sz w:val="16"/>
                <w:szCs w:val="16"/>
                <w:color w:val="auto"/>
              </w:rPr>
              <w:t>53,309</w:t>
            </w:r>
          </w:p>
        </w:tc>
        <w:tc>
          <w:tcPr>
            <w:tcW w:w="160" w:type="dxa"/>
            <w:vAlign w:val="bottom"/>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FCE9E8"/>
          </w:tcPr>
          <w:p>
            <w:pPr>
              <w:jc w:val="right"/>
              <w:ind w:right="483"/>
              <w:spacing w:after="0"/>
              <w:rPr>
                <w:sz w:val="20"/>
                <w:szCs w:val="20"/>
                <w:color w:val="auto"/>
              </w:rPr>
            </w:pPr>
            <w:r>
              <w:rPr>
                <w:rFonts w:ascii="Arial" w:cs="Arial" w:eastAsia="Arial" w:hAnsi="Arial"/>
                <w:sz w:val="16"/>
                <w:szCs w:val="16"/>
                <w:color w:val="auto"/>
              </w:rPr>
              <w:t>7,178,689</w:t>
            </w:r>
          </w:p>
        </w:tc>
        <w:tc>
          <w:tcPr>
            <w:tcW w:w="0" w:type="dxa"/>
            <w:vAlign w:val="bottom"/>
          </w:tcPr>
          <w:p>
            <w:pPr>
              <w:spacing w:after="0"/>
              <w:rPr>
                <w:sz w:val="1"/>
                <w:szCs w:val="1"/>
                <w:color w:val="auto"/>
              </w:rPr>
            </w:pPr>
          </w:p>
        </w:tc>
      </w:tr>
      <w:tr>
        <w:trPr>
          <w:trHeight w:val="189"/>
        </w:trPr>
        <w:tc>
          <w:tcPr>
            <w:tcW w:w="7380" w:type="dxa"/>
            <w:vAlign w:val="bottom"/>
          </w:tcPr>
          <w:p>
            <w:pPr>
              <w:ind w:left="100"/>
              <w:spacing w:after="0"/>
              <w:rPr>
                <w:sz w:val="20"/>
                <w:szCs w:val="20"/>
                <w:color w:val="auto"/>
              </w:rPr>
            </w:pPr>
            <w:r>
              <w:rPr>
                <w:rFonts w:ascii="Arial" w:cs="Arial" w:eastAsia="Arial" w:hAnsi="Arial"/>
                <w:sz w:val="16"/>
                <w:szCs w:val="16"/>
                <w:color w:val="auto"/>
              </w:rPr>
              <w:t>Terrence B. Larkin</w:t>
            </w:r>
          </w:p>
        </w:tc>
        <w:tc>
          <w:tcPr>
            <w:tcW w:w="2500" w:type="dxa"/>
            <w:vAlign w:val="bottom"/>
          </w:tcPr>
          <w:p>
            <w:pPr>
              <w:jc w:val="right"/>
              <w:ind w:right="845"/>
              <w:spacing w:after="0"/>
              <w:rPr>
                <w:sz w:val="20"/>
                <w:szCs w:val="20"/>
                <w:color w:val="auto"/>
              </w:rPr>
            </w:pPr>
            <w:r>
              <w:rPr>
                <w:rFonts w:ascii="Arial" w:cs="Arial" w:eastAsia="Arial" w:hAnsi="Arial"/>
                <w:sz w:val="16"/>
                <w:szCs w:val="16"/>
                <w:color w:val="auto"/>
              </w:rPr>
              <w:t>53,309</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83"/>
              <w:spacing w:after="0"/>
              <w:rPr>
                <w:sz w:val="20"/>
                <w:szCs w:val="20"/>
                <w:color w:val="auto"/>
              </w:rPr>
            </w:pPr>
            <w:r>
              <w:rPr>
                <w:rFonts w:ascii="Arial" w:cs="Arial" w:eastAsia="Arial" w:hAnsi="Arial"/>
                <w:sz w:val="16"/>
                <w:szCs w:val="16"/>
                <w:color w:val="auto"/>
              </w:rPr>
              <w:t>7,178,689</w:t>
            </w:r>
          </w:p>
        </w:tc>
        <w:tc>
          <w:tcPr>
            <w:tcW w:w="0" w:type="dxa"/>
            <w:vAlign w:val="bottom"/>
          </w:tcPr>
          <w:p>
            <w:pPr>
              <w:spacing w:after="0"/>
              <w:rPr>
                <w:sz w:val="1"/>
                <w:szCs w:val="1"/>
                <w:color w:val="auto"/>
              </w:rPr>
            </w:pPr>
          </w:p>
        </w:tc>
      </w:tr>
      <w:tr>
        <w:trPr>
          <w:trHeight w:val="189"/>
        </w:trPr>
        <w:tc>
          <w:tcPr>
            <w:tcW w:w="73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Frank C. Orsini</w:t>
            </w:r>
          </w:p>
        </w:tc>
        <w:tc>
          <w:tcPr>
            <w:tcW w:w="2500" w:type="dxa"/>
            <w:vAlign w:val="bottom"/>
            <w:shd w:val="clear" w:color="auto" w:fill="FCE9E8"/>
          </w:tcPr>
          <w:p>
            <w:pPr>
              <w:jc w:val="right"/>
              <w:ind w:right="845"/>
              <w:spacing w:after="0"/>
              <w:rPr>
                <w:sz w:val="20"/>
                <w:szCs w:val="20"/>
                <w:color w:val="auto"/>
              </w:rPr>
            </w:pPr>
            <w:r>
              <w:rPr>
                <w:rFonts w:ascii="Arial" w:cs="Arial" w:eastAsia="Arial" w:hAnsi="Arial"/>
                <w:sz w:val="16"/>
                <w:szCs w:val="16"/>
                <w:color w:val="auto"/>
              </w:rPr>
              <w:t>41,958</w:t>
            </w:r>
          </w:p>
        </w:tc>
        <w:tc>
          <w:tcPr>
            <w:tcW w:w="160" w:type="dxa"/>
            <w:vAlign w:val="bottom"/>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FCE9E8"/>
          </w:tcPr>
          <w:p>
            <w:pPr>
              <w:jc w:val="right"/>
              <w:ind w:right="483"/>
              <w:spacing w:after="0"/>
              <w:rPr>
                <w:sz w:val="20"/>
                <w:szCs w:val="20"/>
                <w:color w:val="auto"/>
              </w:rPr>
            </w:pPr>
            <w:r>
              <w:rPr>
                <w:rFonts w:ascii="Arial" w:cs="Arial" w:eastAsia="Arial" w:hAnsi="Arial"/>
                <w:sz w:val="16"/>
                <w:szCs w:val="16"/>
                <w:color w:val="auto"/>
              </w:rPr>
              <w:t>5,682,130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440" w:hanging="332"/>
        <w:spacing w:after="0" w:line="183" w:lineRule="auto"/>
        <w:tabs>
          <w:tab w:leader="none" w:pos="340" w:val="left"/>
        </w:tabs>
        <w:numPr>
          <w:ilvl w:val="0"/>
          <w:numId w:val="85"/>
        </w:numPr>
        <w:rPr>
          <w:rFonts w:ascii="Arial" w:cs="Arial" w:eastAsia="Arial" w:hAnsi="Arial"/>
          <w:sz w:val="24"/>
          <w:szCs w:val="24"/>
          <w:color w:val="auto"/>
          <w:vertAlign w:val="superscript"/>
        </w:rPr>
      </w:pPr>
      <w:r>
        <w:rPr>
          <w:rFonts w:ascii="Arial" w:cs="Arial" w:eastAsia="Arial" w:hAnsi="Arial"/>
          <w:sz w:val="14"/>
          <w:szCs w:val="14"/>
          <w:color w:val="auto"/>
        </w:rPr>
        <w:t>Consists of 2013 RSU awards that vested on February 7, 2016, 2013 Career Shares that vested on November 13, 2016, and performance shares that vested based on performance during the three-year period ended December 31, 2016 (which were paid in 2017), in the following amounts:</w:t>
      </w:r>
    </w:p>
    <w:p>
      <w:pPr>
        <w:spacing w:after="0" w:line="94"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E2231A"/>
              </w:rPr>
              <w:t>2013</w:t>
            </w: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E2231A"/>
              </w:rPr>
              <w:t>2014</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E2231A"/>
              </w:rPr>
              <w:t>2014</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980" w:type="dxa"/>
            <w:vAlign w:val="bottom"/>
          </w:tcPr>
          <w:p>
            <w:pPr>
              <w:jc w:val="center"/>
              <w:ind w:left="828"/>
              <w:spacing w:after="0"/>
              <w:rPr>
                <w:sz w:val="20"/>
                <w:szCs w:val="20"/>
                <w:color w:val="auto"/>
              </w:rPr>
            </w:pPr>
            <w:r>
              <w:rPr>
                <w:rFonts w:ascii="Arial" w:cs="Arial" w:eastAsia="Arial" w:hAnsi="Arial"/>
                <w:sz w:val="14"/>
                <w:szCs w:val="14"/>
                <w:b w:val="1"/>
                <w:bCs w:val="1"/>
                <w:color w:val="E2231A"/>
              </w:rPr>
              <w:t>Number of</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2013</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E2231A"/>
              </w:rPr>
              <w:t>Career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Performance</w:t>
            </w: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E2231A"/>
              </w:rPr>
              <w:t>Performance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980" w:type="dxa"/>
            <w:vAlign w:val="bottom"/>
          </w:tcPr>
          <w:p>
            <w:pPr>
              <w:jc w:val="center"/>
              <w:ind w:left="828"/>
              <w:spacing w:after="0"/>
              <w:rPr>
                <w:sz w:val="20"/>
                <w:szCs w:val="20"/>
                <w:color w:val="auto"/>
              </w:rPr>
            </w:pPr>
            <w:r>
              <w:rPr>
                <w:rFonts w:ascii="Arial" w:cs="Arial" w:eastAsia="Arial" w:hAnsi="Arial"/>
                <w:sz w:val="14"/>
                <w:szCs w:val="14"/>
                <w:b w:val="1"/>
                <w:bCs w:val="1"/>
                <w:color w:val="E2231A"/>
              </w:rPr>
              <w:t>2013</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2013 RSU</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Career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Share Value</w:t>
            </w:r>
          </w:p>
        </w:tc>
        <w:tc>
          <w:tcPr>
            <w:tcW w:w="20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E2231A"/>
              </w:rPr>
              <w:t>Total</w:t>
            </w:r>
          </w:p>
        </w:tc>
      </w:tr>
      <w:tr>
        <w:trPr>
          <w:trHeight w:val="162"/>
        </w:trPr>
        <w:tc>
          <w:tcPr>
            <w:tcW w:w="2480" w:type="dxa"/>
            <w:vAlign w:val="bottom"/>
          </w:tcPr>
          <w:p>
            <w:pPr>
              <w:spacing w:after="0"/>
              <w:rPr>
                <w:sz w:val="14"/>
                <w:szCs w:val="14"/>
                <w:color w:val="auto"/>
              </w:rPr>
            </w:pPr>
          </w:p>
        </w:tc>
        <w:tc>
          <w:tcPr>
            <w:tcW w:w="1980" w:type="dxa"/>
            <w:vAlign w:val="bottom"/>
          </w:tcPr>
          <w:p>
            <w:pPr>
              <w:jc w:val="center"/>
              <w:ind w:left="808"/>
              <w:spacing w:after="0"/>
              <w:rPr>
                <w:sz w:val="20"/>
                <w:szCs w:val="20"/>
                <w:color w:val="auto"/>
              </w:rPr>
            </w:pPr>
            <w:r>
              <w:rPr>
                <w:rFonts w:ascii="Arial" w:cs="Arial" w:eastAsia="Arial" w:hAnsi="Arial"/>
                <w:sz w:val="14"/>
                <w:szCs w:val="14"/>
                <w:b w:val="1"/>
                <w:bCs w:val="1"/>
                <w:color w:val="E2231A"/>
              </w:rPr>
              <w:t>RSU</w:t>
            </w:r>
          </w:p>
        </w:tc>
        <w:tc>
          <w:tcPr>
            <w:tcW w:w="2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b w:val="1"/>
                <w:bCs w:val="1"/>
                <w:color w:val="E2231A"/>
              </w:rPr>
              <w:t>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E2231A"/>
              </w:rPr>
              <w:t>Value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Acquired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Realized on</w:t>
            </w:r>
          </w:p>
        </w:tc>
        <w:tc>
          <w:tcPr>
            <w:tcW w:w="1040" w:type="dxa"/>
            <w:vAlign w:val="bottom"/>
            <w:gridSpan w:val="2"/>
          </w:tcPr>
          <w:p>
            <w:pPr>
              <w:jc w:val="center"/>
              <w:ind w:left="8"/>
              <w:spacing w:after="0"/>
              <w:rPr>
                <w:sz w:val="20"/>
                <w:szCs w:val="20"/>
                <w:color w:val="auto"/>
              </w:rPr>
            </w:pPr>
            <w:r>
              <w:rPr>
                <w:rFonts w:ascii="Arial" w:cs="Arial" w:eastAsia="Arial" w:hAnsi="Arial"/>
                <w:sz w:val="14"/>
                <w:szCs w:val="14"/>
                <w:b w:val="1"/>
                <w:bCs w:val="1"/>
                <w:color w:val="E2231A"/>
              </w:rPr>
              <w:t>RSU, Career</w:t>
            </w:r>
          </w:p>
        </w:tc>
      </w:tr>
      <w:tr>
        <w:trPr>
          <w:trHeight w:val="162"/>
        </w:trPr>
        <w:tc>
          <w:tcPr>
            <w:tcW w:w="2480" w:type="dxa"/>
            <w:vAlign w:val="bottom"/>
          </w:tcPr>
          <w:p>
            <w:pPr>
              <w:spacing w:after="0"/>
              <w:rPr>
                <w:sz w:val="14"/>
                <w:szCs w:val="14"/>
                <w:color w:val="auto"/>
              </w:rPr>
            </w:pPr>
          </w:p>
        </w:tc>
        <w:tc>
          <w:tcPr>
            <w:tcW w:w="1980" w:type="dxa"/>
            <w:vAlign w:val="bottom"/>
          </w:tcPr>
          <w:p>
            <w:pPr>
              <w:jc w:val="center"/>
              <w:ind w:left="828"/>
              <w:spacing w:after="0"/>
              <w:rPr>
                <w:sz w:val="20"/>
                <w:szCs w:val="20"/>
                <w:color w:val="auto"/>
              </w:rPr>
            </w:pPr>
            <w:r>
              <w:rPr>
                <w:rFonts w:ascii="Arial" w:cs="Arial" w:eastAsia="Arial" w:hAnsi="Arial"/>
                <w:sz w:val="14"/>
                <w:szCs w:val="14"/>
                <w:b w:val="1"/>
                <w:bCs w:val="1"/>
                <w:color w:val="E2231A"/>
              </w:rPr>
              <w:t>Shares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Realized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Acquired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E2231A"/>
              </w:rPr>
              <w:t>Realized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E2231A"/>
              </w:rPr>
              <w:t>On Vesting</w:t>
            </w:r>
          </w:p>
        </w:tc>
        <w:tc>
          <w:tcPr>
            <w:tcW w:w="220" w:type="dxa"/>
            <w:vAlign w:val="bottom"/>
          </w:tcPr>
          <w:p>
            <w:pPr>
              <w:spacing w:after="0"/>
              <w:rPr>
                <w:sz w:val="14"/>
                <w:szCs w:val="14"/>
                <w:color w:val="auto"/>
              </w:rPr>
            </w:pPr>
          </w:p>
        </w:tc>
        <w:tc>
          <w:tcPr>
            <w:tcW w:w="900" w:type="dxa"/>
            <w:vAlign w:val="bottom"/>
          </w:tcPr>
          <w:p>
            <w:pPr>
              <w:jc w:val="center"/>
              <w:ind w:right="168"/>
              <w:spacing w:after="0"/>
              <w:rPr>
                <w:sz w:val="20"/>
                <w:szCs w:val="20"/>
                <w:color w:val="auto"/>
              </w:rPr>
            </w:pPr>
            <w:r>
              <w:rPr>
                <w:rFonts w:ascii="Arial" w:cs="Arial" w:eastAsia="Arial" w:hAnsi="Arial"/>
                <w:sz w:val="14"/>
                <w:szCs w:val="14"/>
                <w:b w:val="1"/>
                <w:bCs w:val="1"/>
                <w:color w:val="E2231A"/>
                <w:w w:val="98"/>
              </w:rPr>
              <w:t>Vesting</w:t>
            </w:r>
          </w:p>
        </w:tc>
        <w:tc>
          <w:tcPr>
            <w:tcW w:w="20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E2231A"/>
              </w:rPr>
              <w:t>Share and</w:t>
            </w:r>
          </w:p>
        </w:tc>
      </w:tr>
      <w:tr>
        <w:trPr>
          <w:trHeight w:val="162"/>
        </w:trPr>
        <w:tc>
          <w:tcPr>
            <w:tcW w:w="2480" w:type="dxa"/>
            <w:vAlign w:val="bottom"/>
          </w:tcPr>
          <w:p>
            <w:pPr>
              <w:spacing w:after="0"/>
              <w:rPr>
                <w:sz w:val="14"/>
                <w:szCs w:val="14"/>
                <w:color w:val="auto"/>
              </w:rPr>
            </w:pPr>
          </w:p>
        </w:tc>
        <w:tc>
          <w:tcPr>
            <w:tcW w:w="1980" w:type="dxa"/>
            <w:vAlign w:val="bottom"/>
          </w:tcPr>
          <w:p>
            <w:pPr>
              <w:jc w:val="center"/>
              <w:ind w:left="828"/>
              <w:spacing w:after="0"/>
              <w:rPr>
                <w:sz w:val="20"/>
                <w:szCs w:val="20"/>
                <w:color w:val="auto"/>
              </w:rPr>
            </w:pPr>
            <w:r>
              <w:rPr>
                <w:rFonts w:ascii="Arial" w:cs="Arial" w:eastAsia="Arial" w:hAnsi="Arial"/>
                <w:sz w:val="14"/>
                <w:szCs w:val="14"/>
                <w:b w:val="1"/>
                <w:bCs w:val="1"/>
                <w:color w:val="E2231A"/>
              </w:rPr>
              <w:t>Acquired on</w:t>
            </w:r>
          </w:p>
        </w:tc>
        <w:tc>
          <w:tcPr>
            <w:tcW w:w="2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b w:val="1"/>
                <w:bCs w:val="1"/>
                <w:color w:val="E2231A"/>
              </w:rPr>
              <w:t>on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on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E2231A"/>
              </w:rPr>
              <w:t>on</w:t>
            </w: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E2231A"/>
              </w:rPr>
              <w:t>(2014-2016</w:t>
            </w:r>
          </w:p>
        </w:tc>
        <w:tc>
          <w:tcPr>
            <w:tcW w:w="11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E2231A"/>
              </w:rPr>
              <w:t>(2014-2016</w:t>
            </w: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E2231A"/>
              </w:rPr>
              <w:t>Performance</w:t>
            </w:r>
          </w:p>
        </w:tc>
      </w:tr>
      <w:tr>
        <w:trPr>
          <w:trHeight w:val="189"/>
        </w:trPr>
        <w:tc>
          <w:tcPr>
            <w:tcW w:w="24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left="828"/>
              <w:spacing w:after="0"/>
              <w:rPr>
                <w:sz w:val="20"/>
                <w:szCs w:val="20"/>
                <w:color w:val="auto"/>
              </w:rPr>
            </w:pPr>
            <w:r>
              <w:rPr>
                <w:rFonts w:ascii="Arial" w:cs="Arial" w:eastAsia="Arial" w:hAnsi="Arial"/>
                <w:sz w:val="14"/>
                <w:szCs w:val="14"/>
                <w:b w:val="1"/>
                <w:bCs w:val="1"/>
                <w:color w:val="E2231A"/>
              </w:rPr>
              <w:t>Vesting</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E2231A"/>
              </w:rPr>
              <w:t>Vesting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Vesting</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8"/>
              </w:rPr>
              <w:t>Vesting</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Awards)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E2231A"/>
              </w:rPr>
              <w:t>Awards)</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E2231A"/>
              </w:rPr>
              <w:t>Share Value</w:t>
            </w:r>
          </w:p>
        </w:tc>
      </w:tr>
      <w:tr>
        <w:trPr>
          <w:trHeight w:val="156"/>
        </w:trPr>
        <w:tc>
          <w:tcPr>
            <w:tcW w:w="2480" w:type="dxa"/>
            <w:vAlign w:val="bottom"/>
            <w:shd w:val="clear" w:color="auto" w:fill="FCE9E8"/>
          </w:tcPr>
          <w:p>
            <w:pPr>
              <w:ind w:left="80"/>
              <w:spacing w:after="0" w:line="155" w:lineRule="exact"/>
              <w:rPr>
                <w:sz w:val="20"/>
                <w:szCs w:val="20"/>
                <w:color w:val="auto"/>
              </w:rPr>
            </w:pPr>
            <w:r>
              <w:rPr>
                <w:rFonts w:ascii="Arial" w:cs="Arial" w:eastAsia="Arial" w:hAnsi="Arial"/>
                <w:sz w:val="14"/>
                <w:szCs w:val="14"/>
                <w:color w:val="auto"/>
              </w:rPr>
              <w:t>Matthew J. Simoncini</w:t>
            </w:r>
          </w:p>
        </w:tc>
        <w:tc>
          <w:tcPr>
            <w:tcW w:w="1980" w:type="dxa"/>
            <w:vAlign w:val="bottom"/>
            <w:shd w:val="clear" w:color="auto" w:fill="FCE9E8"/>
          </w:tcPr>
          <w:p>
            <w:pPr>
              <w:jc w:val="right"/>
              <w:ind w:right="48"/>
              <w:spacing w:after="0" w:line="155" w:lineRule="exact"/>
              <w:rPr>
                <w:sz w:val="20"/>
                <w:szCs w:val="20"/>
                <w:color w:val="auto"/>
              </w:rPr>
            </w:pPr>
            <w:r>
              <w:rPr>
                <w:rFonts w:ascii="Arial" w:cs="Arial" w:eastAsia="Arial" w:hAnsi="Arial"/>
                <w:sz w:val="14"/>
                <w:szCs w:val="14"/>
                <w:color w:val="auto"/>
              </w:rPr>
              <w:t>31,317</w:t>
            </w:r>
          </w:p>
        </w:tc>
        <w:tc>
          <w:tcPr>
            <w:tcW w:w="200" w:type="dxa"/>
            <w:vAlign w:val="bottom"/>
            <w:shd w:val="clear" w:color="auto" w:fill="FCE9E8"/>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FCE9E8"/>
          </w:tcPr>
          <w:p>
            <w:pPr>
              <w:jc w:val="right"/>
              <w:ind w:right="48"/>
              <w:spacing w:after="0" w:line="155" w:lineRule="exact"/>
              <w:rPr>
                <w:sz w:val="20"/>
                <w:szCs w:val="20"/>
                <w:color w:val="auto"/>
              </w:rPr>
            </w:pPr>
            <w:r>
              <w:rPr>
                <w:rFonts w:ascii="Arial" w:cs="Arial" w:eastAsia="Arial" w:hAnsi="Arial"/>
                <w:sz w:val="14"/>
                <w:szCs w:val="14"/>
                <w:color w:val="auto"/>
                <w:w w:val="99"/>
              </w:rPr>
              <w:t>3,087,543</w:t>
            </w:r>
          </w:p>
        </w:tc>
        <w:tc>
          <w:tcPr>
            <w:tcW w:w="960" w:type="dxa"/>
            <w:vAlign w:val="bottom"/>
            <w:shd w:val="clear" w:color="auto" w:fill="FCE9E8"/>
          </w:tcPr>
          <w:p>
            <w:pPr>
              <w:jc w:val="right"/>
              <w:ind w:right="48"/>
              <w:spacing w:after="0" w:line="155" w:lineRule="exact"/>
              <w:rPr>
                <w:sz w:val="20"/>
                <w:szCs w:val="20"/>
                <w:color w:val="auto"/>
              </w:rPr>
            </w:pPr>
            <w:r>
              <w:rPr>
                <w:rFonts w:ascii="Arial" w:cs="Arial" w:eastAsia="Arial" w:hAnsi="Arial"/>
                <w:sz w:val="14"/>
                <w:szCs w:val="14"/>
                <w:color w:val="auto"/>
              </w:rPr>
              <w:t>6,309</w:t>
            </w:r>
          </w:p>
        </w:tc>
        <w:tc>
          <w:tcPr>
            <w:tcW w:w="840" w:type="dxa"/>
            <w:vAlign w:val="bottom"/>
            <w:shd w:val="clear" w:color="auto" w:fill="FCE9E8"/>
          </w:tcPr>
          <w:p>
            <w:pPr>
              <w:jc w:val="center"/>
              <w:spacing w:after="0" w:line="155" w:lineRule="exact"/>
              <w:rPr>
                <w:sz w:val="20"/>
                <w:szCs w:val="20"/>
                <w:color w:val="auto"/>
              </w:rPr>
            </w:pPr>
            <w:r>
              <w:rPr>
                <w:rFonts w:ascii="Arial" w:cs="Arial" w:eastAsia="Arial" w:hAnsi="Arial"/>
                <w:sz w:val="14"/>
                <w:szCs w:val="14"/>
                <w:color w:val="auto"/>
              </w:rPr>
              <w:t>$751,086</w:t>
            </w:r>
          </w:p>
        </w:tc>
        <w:tc>
          <w:tcPr>
            <w:tcW w:w="1120" w:type="dxa"/>
            <w:vAlign w:val="bottom"/>
            <w:shd w:val="clear" w:color="auto" w:fill="FCE9E8"/>
          </w:tcPr>
          <w:p>
            <w:pPr>
              <w:jc w:val="right"/>
              <w:ind w:right="48"/>
              <w:spacing w:after="0" w:line="155" w:lineRule="exact"/>
              <w:rPr>
                <w:sz w:val="20"/>
                <w:szCs w:val="20"/>
                <w:color w:val="auto"/>
              </w:rPr>
            </w:pPr>
            <w:r>
              <w:rPr>
                <w:rFonts w:ascii="Arial" w:cs="Arial" w:eastAsia="Arial" w:hAnsi="Arial"/>
                <w:sz w:val="14"/>
                <w:szCs w:val="14"/>
                <w:color w:val="auto"/>
              </w:rPr>
              <w:t>129,587</w:t>
            </w:r>
          </w:p>
        </w:tc>
        <w:tc>
          <w:tcPr>
            <w:tcW w:w="220" w:type="dxa"/>
            <w:vAlign w:val="bottom"/>
            <w:shd w:val="clear" w:color="auto" w:fill="FCE9E8"/>
          </w:tcPr>
          <w:p>
            <w:pPr>
              <w:ind w:left="10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48"/>
              <w:spacing w:after="0" w:line="155" w:lineRule="exact"/>
              <w:rPr>
                <w:sz w:val="20"/>
                <w:szCs w:val="20"/>
                <w:color w:val="auto"/>
              </w:rPr>
            </w:pPr>
            <w:r>
              <w:rPr>
                <w:rFonts w:ascii="Arial" w:cs="Arial" w:eastAsia="Arial" w:hAnsi="Arial"/>
                <w:sz w:val="14"/>
                <w:szCs w:val="14"/>
                <w:color w:val="auto"/>
              </w:rPr>
              <w:t>18,200,494</w:t>
            </w:r>
          </w:p>
        </w:tc>
        <w:tc>
          <w:tcPr>
            <w:tcW w:w="200" w:type="dxa"/>
            <w:vAlign w:val="bottom"/>
            <w:shd w:val="clear" w:color="auto" w:fill="FCE9E8"/>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spacing w:after="0" w:line="155" w:lineRule="exact"/>
              <w:rPr>
                <w:sz w:val="20"/>
                <w:szCs w:val="20"/>
                <w:color w:val="auto"/>
              </w:rPr>
            </w:pPr>
            <w:r>
              <w:rPr>
                <w:rFonts w:ascii="Arial" w:cs="Arial" w:eastAsia="Arial" w:hAnsi="Arial"/>
                <w:sz w:val="14"/>
                <w:szCs w:val="14"/>
                <w:color w:val="auto"/>
              </w:rPr>
              <w:t>22,039,123</w:t>
            </w:r>
          </w:p>
        </w:tc>
      </w:tr>
      <w:tr>
        <w:trPr>
          <w:trHeight w:val="162"/>
        </w:trPr>
        <w:tc>
          <w:tcPr>
            <w:tcW w:w="2480" w:type="dxa"/>
            <w:vAlign w:val="bottom"/>
          </w:tcPr>
          <w:p>
            <w:pPr>
              <w:ind w:left="80"/>
              <w:spacing w:after="0"/>
              <w:rPr>
                <w:sz w:val="20"/>
                <w:szCs w:val="20"/>
                <w:color w:val="auto"/>
              </w:rPr>
            </w:pPr>
            <w:r>
              <w:rPr>
                <w:rFonts w:ascii="Arial" w:cs="Arial" w:eastAsia="Arial" w:hAnsi="Arial"/>
                <w:sz w:val="14"/>
                <w:szCs w:val="14"/>
                <w:color w:val="auto"/>
              </w:rPr>
              <w:t>Jeffrey H. Vanneste</w:t>
            </w:r>
          </w:p>
        </w:tc>
        <w:tc>
          <w:tcPr>
            <w:tcW w:w="1980" w:type="dxa"/>
            <w:vAlign w:val="bottom"/>
          </w:tcPr>
          <w:p>
            <w:pPr>
              <w:jc w:val="right"/>
              <w:ind w:right="48"/>
              <w:spacing w:after="0"/>
              <w:rPr>
                <w:sz w:val="20"/>
                <w:szCs w:val="20"/>
                <w:color w:val="auto"/>
              </w:rPr>
            </w:pPr>
            <w:r>
              <w:rPr>
                <w:rFonts w:ascii="Arial" w:cs="Arial" w:eastAsia="Arial" w:hAnsi="Arial"/>
                <w:sz w:val="14"/>
                <w:szCs w:val="14"/>
                <w:color w:val="auto"/>
              </w:rPr>
              <w:t>8,309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819,184</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2,271</w:t>
            </w:r>
          </w:p>
        </w:tc>
        <w:tc>
          <w:tcPr>
            <w:tcW w:w="840" w:type="dxa"/>
            <w:vAlign w:val="bottom"/>
          </w:tcPr>
          <w:p>
            <w:pPr>
              <w:jc w:val="center"/>
              <w:spacing w:after="0"/>
              <w:rPr>
                <w:sz w:val="20"/>
                <w:szCs w:val="20"/>
                <w:color w:val="auto"/>
              </w:rPr>
            </w:pPr>
            <w:r>
              <w:rPr>
                <w:rFonts w:ascii="Arial" w:cs="Arial" w:eastAsia="Arial" w:hAnsi="Arial"/>
                <w:sz w:val="14"/>
                <w:szCs w:val="14"/>
                <w:color w:val="auto"/>
              </w:rPr>
              <w:t>$270,363</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34,126</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4,792,997</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5,882,544</w:t>
            </w:r>
          </w:p>
        </w:tc>
      </w:tr>
      <w:tr>
        <w:trPr>
          <w:trHeight w:val="162"/>
        </w:trPr>
        <w:tc>
          <w:tcPr>
            <w:tcW w:w="248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198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9,944</w:t>
            </w:r>
          </w:p>
        </w:tc>
        <w:tc>
          <w:tcPr>
            <w:tcW w:w="2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980,379</w:t>
            </w:r>
          </w:p>
        </w:tc>
        <w:tc>
          <w:tcPr>
            <w:tcW w:w="96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2,523</w:t>
            </w:r>
          </w:p>
        </w:tc>
        <w:tc>
          <w:tcPr>
            <w:tcW w:w="84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$300,363</w:t>
            </w:r>
          </w:p>
        </w:tc>
        <w:tc>
          <w:tcPr>
            <w:tcW w:w="112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40,842</w:t>
            </w:r>
          </w:p>
        </w:tc>
        <w:tc>
          <w:tcPr>
            <w:tcW w:w="220" w:type="dxa"/>
            <w:vAlign w:val="bottom"/>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FCE9E8"/>
          </w:tcPr>
          <w:p>
            <w:pPr>
              <w:jc w:val="right"/>
              <w:ind w:right="48"/>
              <w:spacing w:after="0"/>
              <w:rPr>
                <w:sz w:val="20"/>
                <w:szCs w:val="20"/>
                <w:color w:val="auto"/>
              </w:rPr>
            </w:pPr>
            <w:r>
              <w:rPr>
                <w:rFonts w:ascii="Arial" w:cs="Arial" w:eastAsia="Arial" w:hAnsi="Arial"/>
                <w:sz w:val="14"/>
                <w:szCs w:val="14"/>
                <w:color w:val="auto"/>
              </w:rPr>
              <w:t>5,736,259</w:t>
            </w:r>
          </w:p>
        </w:tc>
        <w:tc>
          <w:tcPr>
            <w:tcW w:w="200" w:type="dxa"/>
            <w:vAlign w:val="bottom"/>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7,017,001</w:t>
            </w:r>
          </w:p>
        </w:tc>
      </w:tr>
      <w:tr>
        <w:trPr>
          <w:trHeight w:val="162"/>
        </w:trPr>
        <w:tc>
          <w:tcPr>
            <w:tcW w:w="2480" w:type="dxa"/>
            <w:vAlign w:val="bottom"/>
          </w:tcPr>
          <w:p>
            <w:pPr>
              <w:ind w:left="80"/>
              <w:spacing w:after="0"/>
              <w:rPr>
                <w:sz w:val="20"/>
                <w:szCs w:val="20"/>
                <w:color w:val="auto"/>
              </w:rPr>
            </w:pPr>
            <w:r>
              <w:rPr>
                <w:rFonts w:ascii="Arial" w:cs="Arial" w:eastAsia="Arial" w:hAnsi="Arial"/>
                <w:sz w:val="14"/>
                <w:szCs w:val="14"/>
                <w:color w:val="auto"/>
              </w:rPr>
              <w:t>Terrence B. Larkin</w:t>
            </w:r>
          </w:p>
        </w:tc>
        <w:tc>
          <w:tcPr>
            <w:tcW w:w="1980" w:type="dxa"/>
            <w:vAlign w:val="bottom"/>
          </w:tcPr>
          <w:p>
            <w:pPr>
              <w:jc w:val="right"/>
              <w:ind w:right="48"/>
              <w:spacing w:after="0"/>
              <w:rPr>
                <w:sz w:val="20"/>
                <w:szCs w:val="20"/>
                <w:color w:val="auto"/>
              </w:rPr>
            </w:pPr>
            <w:r>
              <w:rPr>
                <w:rFonts w:ascii="Arial" w:cs="Arial" w:eastAsia="Arial" w:hAnsi="Arial"/>
                <w:sz w:val="14"/>
                <w:szCs w:val="14"/>
                <w:color w:val="auto"/>
              </w:rPr>
              <w:t>9,944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980,379</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2,523</w:t>
            </w:r>
          </w:p>
        </w:tc>
        <w:tc>
          <w:tcPr>
            <w:tcW w:w="840" w:type="dxa"/>
            <w:vAlign w:val="bottom"/>
          </w:tcPr>
          <w:p>
            <w:pPr>
              <w:jc w:val="center"/>
              <w:spacing w:after="0"/>
              <w:rPr>
                <w:sz w:val="20"/>
                <w:szCs w:val="20"/>
                <w:color w:val="auto"/>
              </w:rPr>
            </w:pPr>
            <w:r>
              <w:rPr>
                <w:rFonts w:ascii="Arial" w:cs="Arial" w:eastAsia="Arial" w:hAnsi="Arial"/>
                <w:sz w:val="14"/>
                <w:szCs w:val="14"/>
                <w:color w:val="auto"/>
              </w:rPr>
              <w:t>$300,363</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40,842</w:t>
            </w: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5,736,259</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7,017,001</w:t>
            </w:r>
          </w:p>
        </w:tc>
      </w:tr>
      <w:tr>
        <w:trPr>
          <w:trHeight w:val="162"/>
        </w:trPr>
        <w:tc>
          <w:tcPr>
            <w:tcW w:w="24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198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7,312</w:t>
            </w:r>
          </w:p>
        </w:tc>
        <w:tc>
          <w:tcPr>
            <w:tcW w:w="2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720,890</w:t>
            </w:r>
          </w:p>
        </w:tc>
        <w:tc>
          <w:tcPr>
            <w:tcW w:w="96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1,514</w:t>
            </w:r>
          </w:p>
        </w:tc>
        <w:tc>
          <w:tcPr>
            <w:tcW w:w="84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4"/>
                <w:szCs w:val="14"/>
                <w:color w:val="auto"/>
              </w:rPr>
              <w:t>$180,242</w:t>
            </w:r>
          </w:p>
        </w:tc>
        <w:tc>
          <w:tcPr>
            <w:tcW w:w="112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33,132</w:t>
            </w:r>
          </w:p>
        </w:tc>
        <w:tc>
          <w:tcPr>
            <w:tcW w:w="22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CE9E8"/>
          </w:tcPr>
          <w:p>
            <w:pPr>
              <w:jc w:val="right"/>
              <w:ind w:right="48"/>
              <w:spacing w:after="0"/>
              <w:rPr>
                <w:sz w:val="20"/>
                <w:szCs w:val="20"/>
                <w:color w:val="auto"/>
              </w:rPr>
            </w:pPr>
            <w:r>
              <w:rPr>
                <w:rFonts w:ascii="Arial" w:cs="Arial" w:eastAsia="Arial" w:hAnsi="Arial"/>
                <w:sz w:val="14"/>
                <w:szCs w:val="14"/>
                <w:color w:val="auto"/>
              </w:rPr>
              <w:t>4,653,389</w:t>
            </w:r>
          </w:p>
        </w:tc>
        <w:tc>
          <w:tcPr>
            <w:tcW w:w="20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5,554,521</w:t>
            </w:r>
          </w:p>
        </w:tc>
      </w:tr>
    </w:tbl>
    <w:p>
      <w:pPr>
        <w:spacing w:after="0" w:line="126" w:lineRule="exact"/>
        <w:rPr>
          <w:sz w:val="20"/>
          <w:szCs w:val="20"/>
          <w:color w:val="auto"/>
        </w:rPr>
      </w:pPr>
    </w:p>
    <w:p>
      <w:pPr>
        <w:ind w:left="460" w:hanging="349"/>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20"/>
          </w:cols>
          <w:pgMar w:left="240" w:top="267"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82"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24"/>
          <w:szCs w:val="24"/>
          <w:color w:val="auto"/>
          <w:vertAlign w:val="superscript"/>
        </w:rPr>
      </w:pPr>
      <w:r>
        <w:rPr>
          <w:rFonts w:ascii="Arial" w:cs="Arial" w:eastAsia="Arial" w:hAnsi="Arial"/>
          <w:sz w:val="14"/>
          <w:szCs w:val="14"/>
          <w:color w:val="auto"/>
        </w:rPr>
        <w:t>Includes dividend equivalent payments, including interest, in the following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40" w:type="dxa"/>
            <w:vAlign w:val="bottom"/>
            <w:gridSpan w:val="2"/>
          </w:tcPr>
          <w:p>
            <w:pPr>
              <w:jc w:val="center"/>
              <w:ind w:right="2"/>
              <w:spacing w:after="0"/>
              <w:rPr>
                <w:sz w:val="20"/>
                <w:szCs w:val="20"/>
                <w:color w:val="auto"/>
              </w:rPr>
            </w:pPr>
            <w:r>
              <w:rPr>
                <w:rFonts w:ascii="Arial" w:cs="Arial" w:eastAsia="Arial" w:hAnsi="Arial"/>
                <w:sz w:val="14"/>
                <w:szCs w:val="14"/>
                <w:b w:val="1"/>
                <w:bCs w:val="1"/>
                <w:color w:val="E2231A"/>
              </w:rPr>
              <w:t>2014 Performance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E2231A"/>
                <w:w w:val="95"/>
              </w:rPr>
              <w:t>Total</w:t>
            </w:r>
          </w:p>
        </w:tc>
      </w:tr>
      <w:tr>
        <w:trPr>
          <w:trHeight w:val="162"/>
        </w:trPr>
        <w:tc>
          <w:tcPr>
            <w:tcW w:w="2560" w:type="dxa"/>
            <w:vAlign w:val="bottom"/>
          </w:tcPr>
          <w:p>
            <w:pPr>
              <w:spacing w:after="0"/>
              <w:rPr>
                <w:sz w:val="14"/>
                <w:szCs w:val="14"/>
                <w:color w:val="auto"/>
              </w:rPr>
            </w:pPr>
          </w:p>
        </w:tc>
        <w:tc>
          <w:tcPr>
            <w:tcW w:w="2260" w:type="dxa"/>
            <w:vAlign w:val="bottom"/>
            <w:gridSpan w:val="2"/>
          </w:tcPr>
          <w:p>
            <w:pPr>
              <w:ind w:left="1020"/>
              <w:spacing w:after="0"/>
              <w:rPr>
                <w:sz w:val="20"/>
                <w:szCs w:val="20"/>
                <w:color w:val="auto"/>
              </w:rPr>
            </w:pPr>
            <w:r>
              <w:rPr>
                <w:rFonts w:ascii="Arial" w:cs="Arial" w:eastAsia="Arial" w:hAnsi="Arial"/>
                <w:sz w:val="14"/>
                <w:szCs w:val="14"/>
                <w:b w:val="1"/>
                <w:bCs w:val="1"/>
                <w:color w:val="E2231A"/>
              </w:rPr>
              <w:t>2013 RSU</w:t>
            </w:r>
          </w:p>
        </w:tc>
        <w:tc>
          <w:tcPr>
            <w:tcW w:w="2280" w:type="dxa"/>
            <w:vAlign w:val="bottom"/>
            <w:gridSpan w:val="2"/>
          </w:tcPr>
          <w:p>
            <w:pPr>
              <w:ind w:left="520"/>
              <w:spacing w:after="0"/>
              <w:rPr>
                <w:sz w:val="20"/>
                <w:szCs w:val="20"/>
                <w:color w:val="auto"/>
              </w:rPr>
            </w:pPr>
            <w:r>
              <w:rPr>
                <w:rFonts w:ascii="Arial" w:cs="Arial" w:eastAsia="Arial" w:hAnsi="Arial"/>
                <w:sz w:val="14"/>
                <w:szCs w:val="14"/>
                <w:b w:val="1"/>
                <w:bCs w:val="1"/>
                <w:color w:val="E2231A"/>
              </w:rPr>
              <w:t>2013 Career Share</w:t>
            </w:r>
          </w:p>
        </w:tc>
        <w:tc>
          <w:tcPr>
            <w:tcW w:w="620" w:type="dxa"/>
            <w:vAlign w:val="bottom"/>
          </w:tcPr>
          <w:p>
            <w:pPr>
              <w:spacing w:after="0"/>
              <w:rPr>
                <w:sz w:val="14"/>
                <w:szCs w:val="14"/>
                <w:color w:val="auto"/>
              </w:rPr>
            </w:pPr>
          </w:p>
        </w:tc>
        <w:tc>
          <w:tcPr>
            <w:tcW w:w="1820" w:type="dxa"/>
            <w:vAlign w:val="bottom"/>
          </w:tcPr>
          <w:p>
            <w:pPr>
              <w:jc w:val="center"/>
              <w:ind w:right="622"/>
              <w:spacing w:after="0"/>
              <w:rPr>
                <w:sz w:val="20"/>
                <w:szCs w:val="20"/>
                <w:color w:val="auto"/>
              </w:rPr>
            </w:pPr>
            <w:r>
              <w:rPr>
                <w:rFonts w:ascii="Arial" w:cs="Arial" w:eastAsia="Arial" w:hAnsi="Arial"/>
                <w:sz w:val="14"/>
                <w:szCs w:val="14"/>
                <w:b w:val="1"/>
                <w:bCs w:val="1"/>
                <w:color w:val="E2231A"/>
              </w:rPr>
              <w:t>Share Dividend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E2231A"/>
              </w:rPr>
              <w:t>Dividend</w:t>
            </w:r>
          </w:p>
        </w:tc>
      </w:tr>
      <w:tr>
        <w:trPr>
          <w:trHeight w:val="162"/>
        </w:trPr>
        <w:tc>
          <w:tcPr>
            <w:tcW w:w="2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520"/>
              <w:spacing w:after="0"/>
              <w:rPr>
                <w:sz w:val="20"/>
                <w:szCs w:val="20"/>
                <w:color w:val="auto"/>
              </w:rPr>
            </w:pPr>
            <w:r>
              <w:rPr>
                <w:rFonts w:ascii="Arial" w:cs="Arial" w:eastAsia="Arial" w:hAnsi="Arial"/>
                <w:sz w:val="14"/>
                <w:szCs w:val="14"/>
                <w:b w:val="1"/>
                <w:bCs w:val="1"/>
                <w:color w:val="E2231A"/>
              </w:rPr>
              <w:t>Dividend</w:t>
            </w:r>
          </w:p>
        </w:tc>
        <w:tc>
          <w:tcPr>
            <w:tcW w:w="660" w:type="dxa"/>
            <w:vAlign w:val="bottom"/>
          </w:tcPr>
          <w:p>
            <w:pPr>
              <w:spacing w:after="0"/>
              <w:rPr>
                <w:sz w:val="14"/>
                <w:szCs w:val="14"/>
                <w:color w:val="auto"/>
              </w:rPr>
            </w:pPr>
          </w:p>
        </w:tc>
        <w:tc>
          <w:tcPr>
            <w:tcW w:w="1620" w:type="dxa"/>
            <w:vAlign w:val="bottom"/>
          </w:tcPr>
          <w:p>
            <w:pPr>
              <w:jc w:val="right"/>
              <w:ind w:right="762"/>
              <w:spacing w:after="0"/>
              <w:rPr>
                <w:sz w:val="20"/>
                <w:szCs w:val="20"/>
                <w:color w:val="auto"/>
              </w:rPr>
            </w:pPr>
            <w:r>
              <w:rPr>
                <w:rFonts w:ascii="Arial" w:cs="Arial" w:eastAsia="Arial" w:hAnsi="Arial"/>
                <w:sz w:val="14"/>
                <w:szCs w:val="14"/>
                <w:b w:val="1"/>
                <w:bCs w:val="1"/>
                <w:color w:val="E2231A"/>
              </w:rPr>
              <w:t>Dividend</w:t>
            </w:r>
          </w:p>
        </w:tc>
        <w:tc>
          <w:tcPr>
            <w:tcW w:w="620" w:type="dxa"/>
            <w:vAlign w:val="bottom"/>
          </w:tcPr>
          <w:p>
            <w:pPr>
              <w:spacing w:after="0"/>
              <w:rPr>
                <w:sz w:val="14"/>
                <w:szCs w:val="14"/>
                <w:color w:val="auto"/>
              </w:rPr>
            </w:pPr>
          </w:p>
        </w:tc>
        <w:tc>
          <w:tcPr>
            <w:tcW w:w="1820" w:type="dxa"/>
            <w:vAlign w:val="bottom"/>
          </w:tcPr>
          <w:p>
            <w:pPr>
              <w:jc w:val="center"/>
              <w:ind w:right="622"/>
              <w:spacing w:after="0"/>
              <w:rPr>
                <w:sz w:val="20"/>
                <w:szCs w:val="20"/>
                <w:color w:val="auto"/>
              </w:rPr>
            </w:pPr>
            <w:r>
              <w:rPr>
                <w:rFonts w:ascii="Arial" w:cs="Arial" w:eastAsia="Arial" w:hAnsi="Arial"/>
                <w:sz w:val="14"/>
                <w:szCs w:val="14"/>
                <w:b w:val="1"/>
                <w:bCs w:val="1"/>
                <w:color w:val="E2231A"/>
              </w:rPr>
              <w:t>Equivalents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E2231A"/>
              </w:rPr>
              <w:t>Equivalent</w:t>
            </w:r>
          </w:p>
        </w:tc>
      </w:tr>
      <w:tr>
        <w:trPr>
          <w:trHeight w:val="175"/>
        </w:trPr>
        <w:tc>
          <w:tcPr>
            <w:tcW w:w="2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E2231A"/>
              </w:rPr>
              <w:t>Equivalents</w:t>
            </w:r>
          </w:p>
        </w:tc>
        <w:tc>
          <w:tcPr>
            <w:tcW w:w="6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E2231A"/>
              </w:rPr>
              <w:t>Equivalents</w:t>
            </w:r>
          </w:p>
        </w:tc>
        <w:tc>
          <w:tcPr>
            <w:tcW w:w="244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E2231A"/>
              </w:rPr>
              <w:t>(2014-2016 Awards)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Payments</w:t>
            </w:r>
          </w:p>
        </w:tc>
      </w:tr>
      <w:tr>
        <w:trPr>
          <w:trHeight w:val="183"/>
        </w:trPr>
        <w:tc>
          <w:tcPr>
            <w:tcW w:w="256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Matthew J. Simoncini</w:t>
            </w:r>
          </w:p>
        </w:tc>
        <w:tc>
          <w:tcPr>
            <w:tcW w:w="1040" w:type="dxa"/>
            <w:vAlign w:val="bottom"/>
            <w:shd w:val="clear" w:color="auto" w:fill="FCE9E8"/>
          </w:tcPr>
          <w:p>
            <w:pPr>
              <w:ind w:left="940"/>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shd w:val="clear" w:color="auto" w:fill="FCE9E8"/>
          </w:tcPr>
          <w:p>
            <w:pPr>
              <w:jc w:val="right"/>
              <w:ind w:right="420"/>
              <w:spacing w:after="0" w:line="183" w:lineRule="exact"/>
              <w:rPr>
                <w:sz w:val="20"/>
                <w:szCs w:val="20"/>
                <w:color w:val="auto"/>
              </w:rPr>
            </w:pPr>
            <w:r>
              <w:rPr>
                <w:rFonts w:ascii="Arial" w:cs="Arial" w:eastAsia="Arial" w:hAnsi="Arial"/>
                <w:sz w:val="16"/>
                <w:szCs w:val="16"/>
                <w:color w:val="auto"/>
              </w:rPr>
              <w:t>81,192</w:t>
            </w:r>
          </w:p>
        </w:tc>
        <w:tc>
          <w:tcPr>
            <w:tcW w:w="660" w:type="dxa"/>
            <w:vAlign w:val="bottom"/>
            <w:shd w:val="clear" w:color="auto" w:fill="FCE9E8"/>
          </w:tcPr>
          <w:p>
            <w:pPr>
              <w:ind w:left="500"/>
              <w:spacing w:after="0" w:line="183" w:lineRule="exact"/>
              <w:rPr>
                <w:sz w:val="20"/>
                <w:szCs w:val="20"/>
                <w:color w:val="auto"/>
              </w:rPr>
            </w:pPr>
            <w:r>
              <w:rPr>
                <w:rFonts w:ascii="Arial" w:cs="Arial" w:eastAsia="Arial" w:hAnsi="Arial"/>
                <w:sz w:val="16"/>
                <w:szCs w:val="16"/>
                <w:color w:val="auto"/>
              </w:rPr>
              <w:t>$</w:t>
            </w:r>
          </w:p>
        </w:tc>
        <w:tc>
          <w:tcPr>
            <w:tcW w:w="1620" w:type="dxa"/>
            <w:vAlign w:val="bottom"/>
            <w:shd w:val="clear" w:color="auto" w:fill="FCE9E8"/>
          </w:tcPr>
          <w:p>
            <w:pPr>
              <w:jc w:val="right"/>
              <w:ind w:right="422"/>
              <w:spacing w:after="0" w:line="183" w:lineRule="exact"/>
              <w:rPr>
                <w:sz w:val="20"/>
                <w:szCs w:val="20"/>
                <w:color w:val="auto"/>
              </w:rPr>
            </w:pPr>
            <w:r>
              <w:rPr>
                <w:rFonts w:ascii="Arial" w:cs="Arial" w:eastAsia="Arial" w:hAnsi="Arial"/>
                <w:sz w:val="16"/>
                <w:szCs w:val="16"/>
                <w:color w:val="auto"/>
              </w:rPr>
              <w:t>18,943</w:t>
            </w:r>
          </w:p>
        </w:tc>
        <w:tc>
          <w:tcPr>
            <w:tcW w:w="620" w:type="dxa"/>
            <w:vAlign w:val="bottom"/>
            <w:shd w:val="clear" w:color="auto" w:fill="FCE9E8"/>
          </w:tcPr>
          <w:p>
            <w:pPr>
              <w:ind w:left="520"/>
              <w:spacing w:after="0" w:line="183" w:lineRule="exact"/>
              <w:rPr>
                <w:sz w:val="20"/>
                <w:szCs w:val="20"/>
                <w:color w:val="auto"/>
              </w:rPr>
            </w:pPr>
            <w:r>
              <w:rPr>
                <w:rFonts w:ascii="Arial" w:cs="Arial" w:eastAsia="Arial" w:hAnsi="Arial"/>
                <w:sz w:val="16"/>
                <w:szCs w:val="16"/>
                <w:color w:val="auto"/>
                <w:w w:val="89"/>
              </w:rPr>
              <w:t>$</w:t>
            </w:r>
          </w:p>
        </w:tc>
        <w:tc>
          <w:tcPr>
            <w:tcW w:w="1820" w:type="dxa"/>
            <w:vAlign w:val="bottom"/>
            <w:shd w:val="clear" w:color="auto" w:fill="FCE9E8"/>
          </w:tcPr>
          <w:p>
            <w:pPr>
              <w:jc w:val="right"/>
              <w:ind w:right="522"/>
              <w:spacing w:after="0" w:line="183" w:lineRule="exact"/>
              <w:rPr>
                <w:sz w:val="20"/>
                <w:szCs w:val="20"/>
                <w:color w:val="auto"/>
              </w:rPr>
            </w:pPr>
            <w:r>
              <w:rPr>
                <w:rFonts w:ascii="Arial" w:cs="Arial" w:eastAsia="Arial" w:hAnsi="Arial"/>
                <w:sz w:val="16"/>
                <w:szCs w:val="16"/>
                <w:color w:val="auto"/>
              </w:rPr>
              <w:t>407,184</w:t>
            </w:r>
          </w:p>
        </w:tc>
        <w:tc>
          <w:tcPr>
            <w:tcW w:w="1880" w:type="dxa"/>
            <w:vAlign w:val="bottom"/>
            <w:shd w:val="clear" w:color="auto" w:fill="FCE9E8"/>
          </w:tcPr>
          <w:p>
            <w:pPr>
              <w:jc w:val="center"/>
              <w:spacing w:after="0" w:line="183" w:lineRule="exact"/>
              <w:rPr>
                <w:sz w:val="20"/>
                <w:szCs w:val="20"/>
                <w:color w:val="auto"/>
              </w:rPr>
            </w:pPr>
            <w:r>
              <w:rPr>
                <w:rFonts w:ascii="Arial" w:cs="Arial" w:eastAsia="Arial" w:hAnsi="Arial"/>
                <w:sz w:val="16"/>
                <w:szCs w:val="16"/>
                <w:color w:val="auto"/>
              </w:rPr>
              <w:t>$ 507,319</w:t>
            </w:r>
          </w:p>
        </w:tc>
      </w:tr>
      <w:tr>
        <w:trPr>
          <w:trHeight w:val="189"/>
        </w:trPr>
        <w:tc>
          <w:tcPr>
            <w:tcW w:w="2560" w:type="dxa"/>
            <w:vAlign w:val="bottom"/>
          </w:tcPr>
          <w:p>
            <w:pPr>
              <w:ind w:left="100"/>
              <w:spacing w:after="0"/>
              <w:rPr>
                <w:sz w:val="20"/>
                <w:szCs w:val="20"/>
                <w:color w:val="auto"/>
              </w:rPr>
            </w:pPr>
            <w:r>
              <w:rPr>
                <w:rFonts w:ascii="Arial" w:cs="Arial" w:eastAsia="Arial" w:hAnsi="Arial"/>
                <w:sz w:val="16"/>
                <w:szCs w:val="16"/>
                <w:color w:val="auto"/>
              </w:rPr>
              <w:t>Jeffrey H. Vanneste</w:t>
            </w:r>
          </w:p>
        </w:tc>
        <w:tc>
          <w:tcPr>
            <w:tcW w:w="1040" w:type="dxa"/>
            <w:vAlign w:val="bottom"/>
          </w:tcPr>
          <w:p>
            <w:pPr>
              <w:ind w:left="9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0"/>
              <w:spacing w:after="0"/>
              <w:rPr>
                <w:sz w:val="20"/>
                <w:szCs w:val="20"/>
                <w:color w:val="auto"/>
              </w:rPr>
            </w:pPr>
            <w:r>
              <w:rPr>
                <w:rFonts w:ascii="Arial" w:cs="Arial" w:eastAsia="Arial" w:hAnsi="Arial"/>
                <w:sz w:val="16"/>
                <w:szCs w:val="16"/>
                <w:color w:val="auto"/>
              </w:rPr>
              <w:t>21,542</w:t>
            </w:r>
          </w:p>
        </w:tc>
        <w:tc>
          <w:tcPr>
            <w:tcW w:w="660" w:type="dxa"/>
            <w:vAlign w:val="bottom"/>
          </w:tcPr>
          <w:p>
            <w:pPr>
              <w:ind w:left="50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22"/>
              <w:spacing w:after="0"/>
              <w:rPr>
                <w:sz w:val="20"/>
                <w:szCs w:val="20"/>
                <w:color w:val="auto"/>
              </w:rPr>
            </w:pPr>
            <w:r>
              <w:rPr>
                <w:rFonts w:ascii="Arial" w:cs="Arial" w:eastAsia="Arial" w:hAnsi="Arial"/>
                <w:sz w:val="16"/>
                <w:szCs w:val="16"/>
                <w:color w:val="auto"/>
              </w:rPr>
              <w:t>6,819</w:t>
            </w:r>
          </w:p>
        </w:tc>
        <w:tc>
          <w:tcPr>
            <w:tcW w:w="620" w:type="dxa"/>
            <w:vAlign w:val="bottom"/>
          </w:tcPr>
          <w:p>
            <w:pPr>
              <w:ind w:left="520"/>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522"/>
              <w:spacing w:after="0"/>
              <w:rPr>
                <w:sz w:val="20"/>
                <w:szCs w:val="20"/>
                <w:color w:val="auto"/>
              </w:rPr>
            </w:pPr>
            <w:r>
              <w:rPr>
                <w:rFonts w:ascii="Arial" w:cs="Arial" w:eastAsia="Arial" w:hAnsi="Arial"/>
                <w:sz w:val="16"/>
                <w:szCs w:val="16"/>
                <w:color w:val="auto"/>
              </w:rPr>
              <w:t>107,230</w:t>
            </w:r>
          </w:p>
        </w:tc>
        <w:tc>
          <w:tcPr>
            <w:tcW w:w="1880" w:type="dxa"/>
            <w:vAlign w:val="bottom"/>
          </w:tcPr>
          <w:p>
            <w:pPr>
              <w:jc w:val="center"/>
              <w:spacing w:after="0"/>
              <w:rPr>
                <w:sz w:val="20"/>
                <w:szCs w:val="20"/>
                <w:color w:val="auto"/>
              </w:rPr>
            </w:pPr>
            <w:r>
              <w:rPr>
                <w:rFonts w:ascii="Arial" w:cs="Arial" w:eastAsia="Arial" w:hAnsi="Arial"/>
                <w:sz w:val="16"/>
                <w:szCs w:val="16"/>
                <w:color w:val="auto"/>
              </w:rPr>
              <w:t>$ 135,591</w:t>
            </w:r>
          </w:p>
        </w:tc>
      </w:tr>
      <w:tr>
        <w:trPr>
          <w:trHeight w:val="189"/>
        </w:trPr>
        <w:tc>
          <w:tcPr>
            <w:tcW w:w="25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Raymond E. Scott</w:t>
            </w:r>
          </w:p>
        </w:tc>
        <w:tc>
          <w:tcPr>
            <w:tcW w:w="1040" w:type="dxa"/>
            <w:vAlign w:val="bottom"/>
            <w:shd w:val="clear" w:color="auto" w:fill="FCE9E8"/>
          </w:tcPr>
          <w:p>
            <w:pPr>
              <w:ind w:left="94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FCE9E8"/>
          </w:tcPr>
          <w:p>
            <w:pPr>
              <w:jc w:val="right"/>
              <w:ind w:right="420"/>
              <w:spacing w:after="0"/>
              <w:rPr>
                <w:sz w:val="20"/>
                <w:szCs w:val="20"/>
                <w:color w:val="auto"/>
              </w:rPr>
            </w:pPr>
            <w:r>
              <w:rPr>
                <w:rFonts w:ascii="Arial" w:cs="Arial" w:eastAsia="Arial" w:hAnsi="Arial"/>
                <w:sz w:val="16"/>
                <w:szCs w:val="16"/>
                <w:color w:val="auto"/>
              </w:rPr>
              <w:t>25,781</w:t>
            </w:r>
          </w:p>
        </w:tc>
        <w:tc>
          <w:tcPr>
            <w:tcW w:w="660" w:type="dxa"/>
            <w:vAlign w:val="bottom"/>
            <w:shd w:val="clear" w:color="auto" w:fill="FCE9E8"/>
          </w:tcPr>
          <w:p>
            <w:pPr>
              <w:ind w:left="5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FCE9E8"/>
          </w:tcPr>
          <w:p>
            <w:pPr>
              <w:jc w:val="right"/>
              <w:ind w:right="422"/>
              <w:spacing w:after="0"/>
              <w:rPr>
                <w:sz w:val="20"/>
                <w:szCs w:val="20"/>
                <w:color w:val="auto"/>
              </w:rPr>
            </w:pPr>
            <w:r>
              <w:rPr>
                <w:rFonts w:ascii="Arial" w:cs="Arial" w:eastAsia="Arial" w:hAnsi="Arial"/>
                <w:sz w:val="16"/>
                <w:szCs w:val="16"/>
                <w:color w:val="auto"/>
              </w:rPr>
              <w:t>7,575</w:t>
            </w:r>
          </w:p>
        </w:tc>
        <w:tc>
          <w:tcPr>
            <w:tcW w:w="620" w:type="dxa"/>
            <w:vAlign w:val="bottom"/>
            <w:shd w:val="clear" w:color="auto" w:fill="FCE9E8"/>
          </w:tcPr>
          <w:p>
            <w:pPr>
              <w:ind w:left="520"/>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FCE9E8"/>
          </w:tcPr>
          <w:p>
            <w:pPr>
              <w:jc w:val="right"/>
              <w:ind w:right="522"/>
              <w:spacing w:after="0"/>
              <w:rPr>
                <w:sz w:val="20"/>
                <w:szCs w:val="20"/>
                <w:color w:val="auto"/>
              </w:rPr>
            </w:pPr>
            <w:r>
              <w:rPr>
                <w:rFonts w:ascii="Arial" w:cs="Arial" w:eastAsia="Arial" w:hAnsi="Arial"/>
                <w:sz w:val="16"/>
                <w:szCs w:val="16"/>
                <w:color w:val="auto"/>
              </w:rPr>
              <w:t>128,332</w:t>
            </w:r>
          </w:p>
        </w:tc>
        <w:tc>
          <w:tcPr>
            <w:tcW w:w="18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$ 161,688</w:t>
            </w:r>
          </w:p>
        </w:tc>
      </w:tr>
      <w:tr>
        <w:trPr>
          <w:trHeight w:val="189"/>
        </w:trPr>
        <w:tc>
          <w:tcPr>
            <w:tcW w:w="2560" w:type="dxa"/>
            <w:vAlign w:val="bottom"/>
          </w:tcPr>
          <w:p>
            <w:pPr>
              <w:ind w:left="100"/>
              <w:spacing w:after="0"/>
              <w:rPr>
                <w:sz w:val="20"/>
                <w:szCs w:val="20"/>
                <w:color w:val="auto"/>
              </w:rPr>
            </w:pPr>
            <w:r>
              <w:rPr>
                <w:rFonts w:ascii="Arial" w:cs="Arial" w:eastAsia="Arial" w:hAnsi="Arial"/>
                <w:sz w:val="16"/>
                <w:szCs w:val="16"/>
                <w:color w:val="auto"/>
              </w:rPr>
              <w:t>Terrence B. Larkin</w:t>
            </w:r>
          </w:p>
        </w:tc>
        <w:tc>
          <w:tcPr>
            <w:tcW w:w="1040" w:type="dxa"/>
            <w:vAlign w:val="bottom"/>
          </w:tcPr>
          <w:p>
            <w:pPr>
              <w:ind w:left="94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20"/>
              <w:spacing w:after="0"/>
              <w:rPr>
                <w:sz w:val="20"/>
                <w:szCs w:val="20"/>
                <w:color w:val="auto"/>
              </w:rPr>
            </w:pPr>
            <w:r>
              <w:rPr>
                <w:rFonts w:ascii="Arial" w:cs="Arial" w:eastAsia="Arial" w:hAnsi="Arial"/>
                <w:sz w:val="16"/>
                <w:szCs w:val="16"/>
                <w:color w:val="auto"/>
              </w:rPr>
              <w:t>25,781</w:t>
            </w:r>
          </w:p>
        </w:tc>
        <w:tc>
          <w:tcPr>
            <w:tcW w:w="660" w:type="dxa"/>
            <w:vAlign w:val="bottom"/>
          </w:tcPr>
          <w:p>
            <w:pPr>
              <w:ind w:left="50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22"/>
              <w:spacing w:after="0"/>
              <w:rPr>
                <w:sz w:val="20"/>
                <w:szCs w:val="20"/>
                <w:color w:val="auto"/>
              </w:rPr>
            </w:pPr>
            <w:r>
              <w:rPr>
                <w:rFonts w:ascii="Arial" w:cs="Arial" w:eastAsia="Arial" w:hAnsi="Arial"/>
                <w:sz w:val="16"/>
                <w:szCs w:val="16"/>
                <w:color w:val="auto"/>
              </w:rPr>
              <w:t>7,575</w:t>
            </w:r>
          </w:p>
        </w:tc>
        <w:tc>
          <w:tcPr>
            <w:tcW w:w="620" w:type="dxa"/>
            <w:vAlign w:val="bottom"/>
          </w:tcPr>
          <w:p>
            <w:pPr>
              <w:ind w:left="520"/>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522"/>
              <w:spacing w:after="0"/>
              <w:rPr>
                <w:sz w:val="20"/>
                <w:szCs w:val="20"/>
                <w:color w:val="auto"/>
              </w:rPr>
            </w:pPr>
            <w:r>
              <w:rPr>
                <w:rFonts w:ascii="Arial" w:cs="Arial" w:eastAsia="Arial" w:hAnsi="Arial"/>
                <w:sz w:val="16"/>
                <w:szCs w:val="16"/>
                <w:color w:val="auto"/>
              </w:rPr>
              <w:t>128,332</w:t>
            </w:r>
          </w:p>
        </w:tc>
        <w:tc>
          <w:tcPr>
            <w:tcW w:w="1880" w:type="dxa"/>
            <w:vAlign w:val="bottom"/>
          </w:tcPr>
          <w:p>
            <w:pPr>
              <w:jc w:val="center"/>
              <w:spacing w:after="0"/>
              <w:rPr>
                <w:sz w:val="20"/>
                <w:szCs w:val="20"/>
                <w:color w:val="auto"/>
              </w:rPr>
            </w:pPr>
            <w:r>
              <w:rPr>
                <w:rFonts w:ascii="Arial" w:cs="Arial" w:eastAsia="Arial" w:hAnsi="Arial"/>
                <w:sz w:val="16"/>
                <w:szCs w:val="16"/>
                <w:color w:val="auto"/>
              </w:rPr>
              <w:t>$ 161,688</w:t>
            </w:r>
          </w:p>
        </w:tc>
      </w:tr>
      <w:tr>
        <w:trPr>
          <w:trHeight w:val="189"/>
        </w:trPr>
        <w:tc>
          <w:tcPr>
            <w:tcW w:w="256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Frank C. Orsini</w:t>
            </w:r>
          </w:p>
        </w:tc>
        <w:tc>
          <w:tcPr>
            <w:tcW w:w="1040" w:type="dxa"/>
            <w:vAlign w:val="bottom"/>
            <w:tcBorders>
              <w:bottom w:val="single" w:sz="8" w:color="auto"/>
            </w:tcBorders>
            <w:shd w:val="clear" w:color="auto" w:fill="FCE9E8"/>
          </w:tcPr>
          <w:p>
            <w:pPr>
              <w:ind w:left="94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FCE9E8"/>
          </w:tcPr>
          <w:p>
            <w:pPr>
              <w:jc w:val="right"/>
              <w:ind w:right="420"/>
              <w:spacing w:after="0"/>
              <w:rPr>
                <w:sz w:val="20"/>
                <w:szCs w:val="20"/>
                <w:color w:val="auto"/>
              </w:rPr>
            </w:pPr>
            <w:r>
              <w:rPr>
                <w:rFonts w:ascii="Arial" w:cs="Arial" w:eastAsia="Arial" w:hAnsi="Arial"/>
                <w:sz w:val="16"/>
                <w:szCs w:val="16"/>
                <w:color w:val="auto"/>
              </w:rPr>
              <w:t>18,957</w:t>
            </w:r>
          </w:p>
        </w:tc>
        <w:tc>
          <w:tcPr>
            <w:tcW w:w="660" w:type="dxa"/>
            <w:vAlign w:val="bottom"/>
            <w:tcBorders>
              <w:bottom w:val="single" w:sz="8" w:color="auto"/>
            </w:tcBorders>
            <w:shd w:val="clear" w:color="auto" w:fill="FCE9E8"/>
          </w:tcPr>
          <w:p>
            <w:pPr>
              <w:ind w:left="50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FCE9E8"/>
          </w:tcPr>
          <w:p>
            <w:pPr>
              <w:jc w:val="right"/>
              <w:ind w:right="422"/>
              <w:spacing w:after="0"/>
              <w:rPr>
                <w:sz w:val="20"/>
                <w:szCs w:val="20"/>
                <w:color w:val="auto"/>
              </w:rPr>
            </w:pPr>
            <w:r>
              <w:rPr>
                <w:rFonts w:ascii="Arial" w:cs="Arial" w:eastAsia="Arial" w:hAnsi="Arial"/>
                <w:sz w:val="16"/>
                <w:szCs w:val="16"/>
                <w:color w:val="auto"/>
              </w:rPr>
              <w:t>4,546</w:t>
            </w:r>
          </w:p>
        </w:tc>
        <w:tc>
          <w:tcPr>
            <w:tcW w:w="620" w:type="dxa"/>
            <w:vAlign w:val="bottom"/>
            <w:tcBorders>
              <w:bottom w:val="single" w:sz="8" w:color="auto"/>
            </w:tcBorders>
            <w:shd w:val="clear" w:color="auto" w:fill="FCE9E8"/>
          </w:tcPr>
          <w:p>
            <w:pPr>
              <w:ind w:left="520"/>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FCE9E8"/>
          </w:tcPr>
          <w:p>
            <w:pPr>
              <w:jc w:val="right"/>
              <w:ind w:right="522"/>
              <w:spacing w:after="0"/>
              <w:rPr>
                <w:sz w:val="20"/>
                <w:szCs w:val="20"/>
                <w:color w:val="auto"/>
              </w:rPr>
            </w:pPr>
            <w:r>
              <w:rPr>
                <w:rFonts w:ascii="Arial" w:cs="Arial" w:eastAsia="Arial" w:hAnsi="Arial"/>
                <w:sz w:val="16"/>
                <w:szCs w:val="16"/>
                <w:color w:val="auto"/>
              </w:rPr>
              <w:t>104,106</w:t>
            </w:r>
          </w:p>
        </w:tc>
        <w:tc>
          <w:tcPr>
            <w:tcW w:w="188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$ 127,609</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2016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530" w:type="dxa"/>
            <w:vAlign w:val="bottom"/>
          </w:tcPr>
          <w:p>
            <w:pPr>
              <w:spacing w:after="0"/>
              <w:rPr>
                <w:sz w:val="14"/>
                <w:szCs w:val="14"/>
                <w:color w:val="auto"/>
              </w:rPr>
            </w:pPr>
          </w:p>
        </w:tc>
        <w:tc>
          <w:tcPr>
            <w:tcW w:w="411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530" w:type="dxa"/>
            <w:vAlign w:val="bottom"/>
          </w:tcPr>
          <w:p>
            <w:pPr>
              <w:spacing w:after="0"/>
              <w:rPr>
                <w:sz w:val="14"/>
                <w:szCs w:val="14"/>
                <w:color w:val="auto"/>
              </w:rPr>
            </w:pPr>
          </w:p>
        </w:tc>
        <w:tc>
          <w:tcPr>
            <w:tcW w:w="411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of Years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E2231A"/>
              </w:rPr>
              <w:t>of Years</w:t>
            </w:r>
          </w:p>
        </w:tc>
        <w:tc>
          <w:tcPr>
            <w:tcW w:w="400" w:type="dxa"/>
            <w:vAlign w:val="bottom"/>
          </w:tcPr>
          <w:p>
            <w:pPr>
              <w:spacing w:after="0"/>
              <w:rPr>
                <w:sz w:val="14"/>
                <w:szCs w:val="14"/>
                <w:color w:val="auto"/>
              </w:rPr>
            </w:pPr>
          </w:p>
        </w:tc>
        <w:tc>
          <w:tcPr>
            <w:tcW w:w="1020" w:type="dxa"/>
            <w:vAlign w:val="bottom"/>
          </w:tcPr>
          <w:p>
            <w:pPr>
              <w:jc w:val="center"/>
              <w:ind w:right="320"/>
              <w:spacing w:after="0"/>
              <w:rPr>
                <w:sz w:val="20"/>
                <w:szCs w:val="20"/>
                <w:color w:val="auto"/>
              </w:rPr>
            </w:pPr>
            <w:r>
              <w:rPr>
                <w:rFonts w:ascii="Arial" w:cs="Arial" w:eastAsia="Arial" w:hAnsi="Arial"/>
                <w:sz w:val="14"/>
                <w:szCs w:val="14"/>
                <w:b w:val="1"/>
                <w:bCs w:val="1"/>
                <w:color w:val="E2231A"/>
              </w:rPr>
              <w:t>Present</w:t>
            </w:r>
          </w:p>
        </w:tc>
        <w:tc>
          <w:tcPr>
            <w:tcW w:w="108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E2231A"/>
              </w:rPr>
              <w:t>Payments</w:t>
            </w:r>
          </w:p>
        </w:tc>
      </w:tr>
      <w:tr>
        <w:trPr>
          <w:trHeight w:val="162"/>
        </w:trPr>
        <w:tc>
          <w:tcPr>
            <w:tcW w:w="2530" w:type="dxa"/>
            <w:vAlign w:val="bottom"/>
          </w:tcPr>
          <w:p>
            <w:pPr>
              <w:spacing w:after="0"/>
              <w:rPr>
                <w:sz w:val="14"/>
                <w:szCs w:val="14"/>
                <w:color w:val="auto"/>
              </w:rPr>
            </w:pPr>
          </w:p>
        </w:tc>
        <w:tc>
          <w:tcPr>
            <w:tcW w:w="411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Credited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E2231A"/>
                <w:w w:val="90"/>
              </w:rPr>
              <w:t>of</w:t>
            </w:r>
          </w:p>
        </w:tc>
        <w:tc>
          <w:tcPr>
            <w:tcW w:w="400" w:type="dxa"/>
            <w:vAlign w:val="bottom"/>
          </w:tcPr>
          <w:p>
            <w:pPr>
              <w:spacing w:after="0"/>
              <w:rPr>
                <w:sz w:val="14"/>
                <w:szCs w:val="14"/>
                <w:color w:val="auto"/>
              </w:rPr>
            </w:pPr>
          </w:p>
        </w:tc>
        <w:tc>
          <w:tcPr>
            <w:tcW w:w="1020" w:type="dxa"/>
            <w:vAlign w:val="bottom"/>
          </w:tcPr>
          <w:p>
            <w:pPr>
              <w:jc w:val="center"/>
              <w:ind w:right="320"/>
              <w:spacing w:after="0"/>
              <w:rPr>
                <w:sz w:val="20"/>
                <w:szCs w:val="20"/>
                <w:color w:val="auto"/>
              </w:rPr>
            </w:pPr>
            <w:r>
              <w:rPr>
                <w:rFonts w:ascii="Arial" w:cs="Arial" w:eastAsia="Arial" w:hAnsi="Arial"/>
                <w:sz w:val="14"/>
                <w:szCs w:val="14"/>
                <w:b w:val="1"/>
                <w:bCs w:val="1"/>
                <w:color w:val="E2231A"/>
                <w:w w:val="99"/>
              </w:rPr>
              <w:t>Value of</w:t>
            </w:r>
          </w:p>
        </w:tc>
        <w:tc>
          <w:tcPr>
            <w:tcW w:w="380" w:type="dxa"/>
            <w:vAlign w:val="bottom"/>
          </w:tcPr>
          <w:p>
            <w:pPr>
              <w:spacing w:after="0"/>
              <w:rPr>
                <w:sz w:val="14"/>
                <w:szCs w:val="14"/>
                <w:color w:val="auto"/>
              </w:rPr>
            </w:pPr>
          </w:p>
        </w:tc>
        <w:tc>
          <w:tcPr>
            <w:tcW w:w="700" w:type="dxa"/>
            <w:vAlign w:val="bottom"/>
          </w:tcPr>
          <w:p>
            <w:pPr>
              <w:jc w:val="center"/>
              <w:ind w:right="80"/>
              <w:spacing w:after="0"/>
              <w:rPr>
                <w:sz w:val="20"/>
                <w:szCs w:val="20"/>
                <w:color w:val="auto"/>
              </w:rPr>
            </w:pPr>
            <w:r>
              <w:rPr>
                <w:rFonts w:ascii="Arial" w:cs="Arial" w:eastAsia="Arial" w:hAnsi="Arial"/>
                <w:sz w:val="14"/>
                <w:szCs w:val="14"/>
                <w:b w:val="1"/>
                <w:bCs w:val="1"/>
                <w:color w:val="E2231A"/>
              </w:rPr>
              <w:t>During</w:t>
            </w:r>
          </w:p>
        </w:tc>
      </w:tr>
      <w:tr>
        <w:trPr>
          <w:trHeight w:val="159"/>
        </w:trPr>
        <w:tc>
          <w:tcPr>
            <w:tcW w:w="2530" w:type="dxa"/>
            <w:vAlign w:val="bottom"/>
          </w:tcPr>
          <w:p>
            <w:pPr>
              <w:spacing w:after="0"/>
              <w:rPr>
                <w:sz w:val="13"/>
                <w:szCs w:val="13"/>
                <w:color w:val="auto"/>
              </w:rPr>
            </w:pPr>
          </w:p>
        </w:tc>
        <w:tc>
          <w:tcPr>
            <w:tcW w:w="411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Service</w:t>
            </w:r>
          </w:p>
        </w:tc>
        <w:tc>
          <w:tcPr>
            <w:tcW w:w="1200" w:type="dxa"/>
            <w:vAlign w:val="bottom"/>
          </w:tcPr>
          <w:p>
            <w:pPr>
              <w:jc w:val="center"/>
              <w:spacing w:after="0" w:line="159" w:lineRule="exact"/>
              <w:rPr>
                <w:sz w:val="20"/>
                <w:szCs w:val="20"/>
                <w:color w:val="auto"/>
              </w:rPr>
            </w:pPr>
            <w:r>
              <w:rPr>
                <w:rFonts w:ascii="Arial" w:cs="Arial" w:eastAsia="Arial" w:hAnsi="Arial"/>
                <w:sz w:val="14"/>
                <w:szCs w:val="14"/>
                <w:b w:val="1"/>
                <w:bCs w:val="1"/>
                <w:color w:val="E2231A"/>
              </w:rPr>
              <w:t>Vesting</w:t>
            </w:r>
          </w:p>
        </w:tc>
        <w:tc>
          <w:tcPr>
            <w:tcW w:w="1420" w:type="dxa"/>
            <w:vAlign w:val="bottom"/>
            <w:gridSpan w:val="2"/>
          </w:tcPr>
          <w:p>
            <w:pPr>
              <w:ind w:left="260"/>
              <w:spacing w:after="0" w:line="159" w:lineRule="exact"/>
              <w:rPr>
                <w:sz w:val="20"/>
                <w:szCs w:val="20"/>
                <w:color w:val="auto"/>
              </w:rPr>
            </w:pPr>
            <w:r>
              <w:rPr>
                <w:rFonts w:ascii="Arial" w:cs="Arial" w:eastAsia="Arial" w:hAnsi="Arial"/>
                <w:sz w:val="14"/>
                <w:szCs w:val="14"/>
                <w:b w:val="1"/>
                <w:bCs w:val="1"/>
                <w:color w:val="E2231A"/>
              </w:rPr>
              <w:t>Accumulated</w:t>
            </w:r>
          </w:p>
        </w:tc>
        <w:tc>
          <w:tcPr>
            <w:tcW w:w="1080" w:type="dxa"/>
            <w:vAlign w:val="bottom"/>
            <w:gridSpan w:val="2"/>
          </w:tcPr>
          <w:p>
            <w:pPr>
              <w:ind w:left="280"/>
              <w:spacing w:after="0" w:line="159" w:lineRule="exact"/>
              <w:rPr>
                <w:sz w:val="20"/>
                <w:szCs w:val="20"/>
                <w:color w:val="auto"/>
              </w:rPr>
            </w:pPr>
            <w:r>
              <w:rPr>
                <w:rFonts w:ascii="Arial" w:cs="Arial" w:eastAsia="Arial" w:hAnsi="Arial"/>
                <w:sz w:val="14"/>
                <w:szCs w:val="14"/>
                <w:b w:val="1"/>
                <w:bCs w:val="1"/>
                <w:color w:val="E2231A"/>
              </w:rPr>
              <w:t>Last Fiscal</w:t>
            </w:r>
          </w:p>
        </w:tc>
      </w:tr>
      <w:tr>
        <w:trPr>
          <w:trHeight w:val="179"/>
        </w:trPr>
        <w:tc>
          <w:tcPr>
            <w:tcW w:w="253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4110" w:type="dxa"/>
            <w:vAlign w:val="bottom"/>
            <w:tcBorders>
              <w:bottom w:val="single" w:sz="8" w:color="auto"/>
            </w:tcBorders>
          </w:tcPr>
          <w:p>
            <w:pPr>
              <w:jc w:val="right"/>
              <w:ind w:right="1440"/>
              <w:spacing w:after="0"/>
              <w:rPr>
                <w:sz w:val="20"/>
                <w:szCs w:val="20"/>
                <w:color w:val="auto"/>
              </w:rPr>
            </w:pPr>
            <w:r>
              <w:rPr>
                <w:rFonts w:ascii="Arial" w:cs="Arial" w:eastAsia="Arial" w:hAnsi="Arial"/>
                <w:sz w:val="14"/>
                <w:szCs w:val="14"/>
                <w:b w:val="1"/>
                <w:bCs w:val="1"/>
                <w:color w:val="E2231A"/>
              </w:rPr>
              <w:t>Plan Name(s)(b)</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w:t>
            </w:r>
          </w:p>
        </w:tc>
        <w:tc>
          <w:tcPr>
            <w:tcW w:w="1200" w:type="dxa"/>
            <w:vAlign w:val="bottom"/>
            <w:tcBorders>
              <w:bottom w:val="single" w:sz="8" w:color="auto"/>
            </w:tcBorders>
          </w:tcPr>
          <w:p>
            <w:pPr>
              <w:jc w:val="right"/>
              <w:ind w:right="182"/>
              <w:spacing w:after="0" w:line="179" w:lineRule="exact"/>
              <w:rPr>
                <w:sz w:val="20"/>
                <w:szCs w:val="20"/>
                <w:color w:val="auto"/>
              </w:rPr>
            </w:pPr>
            <w:r>
              <w:rPr>
                <w:rFonts w:ascii="Arial" w:cs="Arial" w:eastAsia="Arial" w:hAnsi="Arial"/>
                <w:sz w:val="12"/>
                <w:szCs w:val="12"/>
                <w:b w:val="1"/>
                <w:bCs w:val="1"/>
                <w:color w:val="E2231A"/>
              </w:rPr>
              <w:t>Service</w:t>
            </w:r>
            <w:r>
              <w:rPr>
                <w:rFonts w:ascii="Arial" w:cs="Arial" w:eastAsia="Arial" w:hAnsi="Arial"/>
                <w:sz w:val="20"/>
                <w:szCs w:val="20"/>
                <w:b w:val="1"/>
                <w:bCs w:val="1"/>
                <w:color w:val="E2231A"/>
                <w:vertAlign w:val="superscript"/>
              </w:rPr>
              <w:t>(1)</w:t>
            </w:r>
          </w:p>
        </w:tc>
        <w:tc>
          <w:tcPr>
            <w:tcW w:w="1420" w:type="dxa"/>
            <w:vAlign w:val="bottom"/>
            <w:tcBorders>
              <w:bottom w:val="single" w:sz="8" w:color="auto"/>
            </w:tcBorders>
            <w:gridSpan w:val="2"/>
          </w:tcPr>
          <w:p>
            <w:pPr>
              <w:jc w:val="center"/>
              <w:spacing w:after="0" w:line="179" w:lineRule="exact"/>
              <w:rPr>
                <w:sz w:val="20"/>
                <w:szCs w:val="20"/>
                <w:color w:val="auto"/>
              </w:rPr>
            </w:pPr>
            <w:r>
              <w:rPr>
                <w:rFonts w:ascii="Arial" w:cs="Arial" w:eastAsia="Arial" w:hAnsi="Arial"/>
                <w:sz w:val="12"/>
                <w:szCs w:val="12"/>
                <w:b w:val="1"/>
                <w:bCs w:val="1"/>
                <w:color w:val="E2231A"/>
              </w:rPr>
              <w:t>Benefit</w:t>
            </w:r>
            <w:r>
              <w:rPr>
                <w:rFonts w:ascii="Arial" w:cs="Arial" w:eastAsia="Arial" w:hAnsi="Arial"/>
                <w:sz w:val="20"/>
                <w:szCs w:val="20"/>
                <w:b w:val="1"/>
                <w:bCs w:val="1"/>
                <w:color w:val="E2231A"/>
                <w:vertAlign w:val="superscript"/>
              </w:rPr>
              <w:t>(2)</w:t>
            </w:r>
            <w:r>
              <w:rPr>
                <w:rFonts w:ascii="Arial" w:cs="Arial" w:eastAsia="Arial" w:hAnsi="Arial"/>
                <w:sz w:val="12"/>
                <w:szCs w:val="12"/>
                <w:b w:val="1"/>
                <w:bCs w:val="1"/>
                <w:color w:val="E2231A"/>
              </w:rPr>
              <w:t>(d)</w:t>
            </w: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E2231A"/>
              </w:rPr>
              <w:t>Year(e)</w:t>
            </w:r>
          </w:p>
        </w:tc>
      </w:tr>
      <w:tr>
        <w:trPr>
          <w:trHeight w:val="183"/>
        </w:trPr>
        <w:tc>
          <w:tcPr>
            <w:tcW w:w="253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Matthew J. Simoncini</w:t>
            </w:r>
          </w:p>
        </w:tc>
        <w:tc>
          <w:tcPr>
            <w:tcW w:w="4110" w:type="dxa"/>
            <w:vAlign w:val="bottom"/>
            <w:shd w:val="clear" w:color="auto" w:fill="FCE9E8"/>
          </w:tcPr>
          <w:p>
            <w:pPr>
              <w:jc w:val="right"/>
              <w:ind w:right="160"/>
              <w:spacing w:after="0" w:line="183" w:lineRule="exact"/>
              <w:rPr>
                <w:sz w:val="20"/>
                <w:szCs w:val="20"/>
                <w:color w:val="auto"/>
              </w:rPr>
            </w:pPr>
            <w:r>
              <w:rPr>
                <w:rFonts w:ascii="Arial" w:cs="Arial" w:eastAsia="Arial" w:hAnsi="Arial"/>
                <w:sz w:val="16"/>
                <w:szCs w:val="16"/>
                <w:color w:val="auto"/>
              </w:rPr>
              <w:t>Pension Plan (tax-qualified plan)</w:t>
            </w:r>
          </w:p>
        </w:tc>
        <w:tc>
          <w:tcPr>
            <w:tcW w:w="1080" w:type="dxa"/>
            <w:vAlign w:val="bottom"/>
            <w:shd w:val="clear" w:color="auto" w:fill="FCE9E8"/>
          </w:tcPr>
          <w:p>
            <w:pPr>
              <w:jc w:val="right"/>
              <w:ind w:right="182"/>
              <w:spacing w:after="0" w:line="183" w:lineRule="exact"/>
              <w:rPr>
                <w:sz w:val="20"/>
                <w:szCs w:val="20"/>
                <w:color w:val="auto"/>
              </w:rPr>
            </w:pPr>
            <w:r>
              <w:rPr>
                <w:rFonts w:ascii="Arial" w:cs="Arial" w:eastAsia="Arial" w:hAnsi="Arial"/>
                <w:sz w:val="16"/>
                <w:szCs w:val="16"/>
                <w:color w:val="auto"/>
              </w:rPr>
              <w:t>7.7</w:t>
            </w:r>
          </w:p>
        </w:tc>
        <w:tc>
          <w:tcPr>
            <w:tcW w:w="1200" w:type="dxa"/>
            <w:vAlign w:val="bottom"/>
            <w:shd w:val="clear" w:color="auto" w:fill="FCE9E8"/>
          </w:tcPr>
          <w:p>
            <w:pPr>
              <w:jc w:val="right"/>
              <w:ind w:right="182"/>
              <w:spacing w:after="0" w:line="183" w:lineRule="exact"/>
              <w:rPr>
                <w:sz w:val="20"/>
                <w:szCs w:val="20"/>
                <w:color w:val="auto"/>
              </w:rPr>
            </w:pPr>
            <w:r>
              <w:rPr>
                <w:rFonts w:ascii="Arial" w:cs="Arial" w:eastAsia="Arial" w:hAnsi="Arial"/>
                <w:sz w:val="16"/>
                <w:szCs w:val="16"/>
                <w:color w:val="auto"/>
              </w:rPr>
              <w:t>17.7</w:t>
            </w:r>
          </w:p>
        </w:tc>
        <w:tc>
          <w:tcPr>
            <w:tcW w:w="40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80"/>
              <w:spacing w:after="0" w:line="183" w:lineRule="exact"/>
              <w:rPr>
                <w:sz w:val="20"/>
                <w:szCs w:val="20"/>
                <w:color w:val="auto"/>
              </w:rPr>
            </w:pPr>
            <w:r>
              <w:rPr>
                <w:rFonts w:ascii="Arial" w:cs="Arial" w:eastAsia="Arial" w:hAnsi="Arial"/>
                <w:sz w:val="16"/>
                <w:szCs w:val="16"/>
                <w:color w:val="auto"/>
              </w:rPr>
              <w:t>206,879</w:t>
            </w:r>
          </w:p>
        </w:tc>
        <w:tc>
          <w:tcPr>
            <w:tcW w:w="38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00"/>
              <w:spacing w:after="0" w:line="183" w:lineRule="exact"/>
              <w:rPr>
                <w:sz w:val="20"/>
                <w:szCs w:val="20"/>
                <w:color w:val="auto"/>
              </w:rPr>
            </w:pPr>
            <w:r>
              <w:rPr>
                <w:rFonts w:ascii="Arial" w:cs="Arial" w:eastAsia="Arial" w:hAnsi="Arial"/>
                <w:sz w:val="16"/>
                <w:szCs w:val="16"/>
                <w:color w:val="auto"/>
              </w:rPr>
              <w:t>—</w:t>
            </w:r>
          </w:p>
        </w:tc>
      </w:tr>
      <w:tr>
        <w:trPr>
          <w:trHeight w:val="189"/>
        </w:trPr>
        <w:tc>
          <w:tcPr>
            <w:tcW w:w="2530" w:type="dxa"/>
            <w:vAlign w:val="bottom"/>
            <w:shd w:val="clear" w:color="auto" w:fill="FCE9E8"/>
          </w:tcPr>
          <w:p>
            <w:pPr>
              <w:spacing w:after="0"/>
              <w:rPr>
                <w:sz w:val="16"/>
                <w:szCs w:val="16"/>
                <w:color w:val="auto"/>
              </w:rPr>
            </w:pPr>
          </w:p>
        </w:tc>
        <w:tc>
          <w:tcPr>
            <w:tcW w:w="411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Pension Equalization Program</w:t>
            </w:r>
          </w:p>
        </w:tc>
        <w:tc>
          <w:tcPr>
            <w:tcW w:w="108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7.7</w:t>
            </w:r>
          </w:p>
        </w:tc>
        <w:tc>
          <w:tcPr>
            <w:tcW w:w="120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17.7</w:t>
            </w:r>
          </w:p>
        </w:tc>
        <w:tc>
          <w:tcPr>
            <w:tcW w:w="40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80"/>
              <w:spacing w:after="0"/>
              <w:rPr>
                <w:sz w:val="20"/>
                <w:szCs w:val="20"/>
                <w:color w:val="auto"/>
              </w:rPr>
            </w:pPr>
            <w:r>
              <w:rPr>
                <w:rFonts w:ascii="Arial" w:cs="Arial" w:eastAsia="Arial" w:hAnsi="Arial"/>
                <w:sz w:val="16"/>
                <w:szCs w:val="16"/>
                <w:color w:val="auto"/>
              </w:rPr>
              <w:t>95,780</w:t>
            </w:r>
          </w:p>
        </w:tc>
        <w:tc>
          <w:tcPr>
            <w:tcW w:w="3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89"/>
        </w:trPr>
        <w:tc>
          <w:tcPr>
            <w:tcW w:w="2530" w:type="dxa"/>
            <w:vAlign w:val="bottom"/>
            <w:tcBorders>
              <w:bottom w:val="single" w:sz="8" w:color="auto"/>
            </w:tcBorders>
            <w:shd w:val="clear" w:color="auto" w:fill="FCE9E8"/>
          </w:tcPr>
          <w:p>
            <w:pPr>
              <w:spacing w:after="0"/>
              <w:rPr>
                <w:sz w:val="16"/>
                <w:szCs w:val="16"/>
                <w:color w:val="auto"/>
              </w:rPr>
            </w:pPr>
          </w:p>
        </w:tc>
        <w:tc>
          <w:tcPr>
            <w:tcW w:w="4110" w:type="dxa"/>
            <w:vAlign w:val="bottom"/>
            <w:tcBorders>
              <w:bottom w:val="single" w:sz="8" w:color="auto"/>
            </w:tcBorders>
            <w:shd w:val="clear" w:color="auto" w:fill="FCE9E8"/>
          </w:tcPr>
          <w:p>
            <w:pPr>
              <w:jc w:val="right"/>
              <w:ind w:right="160"/>
              <w:spacing w:after="0"/>
              <w:rPr>
                <w:sz w:val="20"/>
                <w:szCs w:val="20"/>
                <w:color w:val="auto"/>
              </w:rPr>
            </w:pPr>
            <w:r>
              <w:rPr>
                <w:rFonts w:ascii="Arial" w:cs="Arial" w:eastAsia="Arial" w:hAnsi="Arial"/>
                <w:sz w:val="16"/>
                <w:szCs w:val="16"/>
                <w:color w:val="auto"/>
              </w:rPr>
              <w:t>Salaried Retirement Restoration Program</w:t>
            </w:r>
          </w:p>
        </w:tc>
        <w:tc>
          <w:tcPr>
            <w:tcW w:w="1080" w:type="dxa"/>
            <w:vAlign w:val="bottom"/>
            <w:tcBorders>
              <w:bottom w:val="single" w:sz="8" w:color="auto"/>
            </w:tcBorders>
            <w:shd w:val="clear" w:color="auto" w:fill="FCE9E8"/>
          </w:tcPr>
          <w:p>
            <w:pPr>
              <w:jc w:val="right"/>
              <w:ind w:right="182"/>
              <w:spacing w:after="0"/>
              <w:rPr>
                <w:sz w:val="20"/>
                <w:szCs w:val="20"/>
                <w:color w:val="auto"/>
              </w:rPr>
            </w:pPr>
            <w:r>
              <w:rPr>
                <w:rFonts w:ascii="Arial" w:cs="Arial" w:eastAsia="Arial" w:hAnsi="Arial"/>
                <w:sz w:val="16"/>
                <w:szCs w:val="16"/>
                <w:color w:val="auto"/>
              </w:rPr>
              <w:t>7.7</w:t>
            </w:r>
          </w:p>
        </w:tc>
        <w:tc>
          <w:tcPr>
            <w:tcW w:w="1200" w:type="dxa"/>
            <w:vAlign w:val="bottom"/>
            <w:tcBorders>
              <w:bottom w:val="single" w:sz="8" w:color="auto"/>
            </w:tcBorders>
            <w:shd w:val="clear" w:color="auto" w:fill="FCE9E8"/>
          </w:tcPr>
          <w:p>
            <w:pPr>
              <w:jc w:val="right"/>
              <w:ind w:right="182"/>
              <w:spacing w:after="0"/>
              <w:rPr>
                <w:sz w:val="20"/>
                <w:szCs w:val="20"/>
                <w:color w:val="auto"/>
              </w:rPr>
            </w:pPr>
            <w:r>
              <w:rPr>
                <w:rFonts w:ascii="Arial" w:cs="Arial" w:eastAsia="Arial" w:hAnsi="Arial"/>
                <w:sz w:val="16"/>
                <w:szCs w:val="16"/>
                <w:color w:val="auto"/>
              </w:rPr>
              <w:t>17.7</w:t>
            </w:r>
          </w:p>
        </w:tc>
        <w:tc>
          <w:tcPr>
            <w:tcW w:w="400" w:type="dxa"/>
            <w:vAlign w:val="bottom"/>
            <w:tcBorders>
              <w:bottom w:val="single" w:sz="8" w:color="auto"/>
            </w:tcBorders>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FCE9E8"/>
          </w:tcPr>
          <w:p>
            <w:pPr>
              <w:jc w:val="right"/>
              <w:ind w:right="180"/>
              <w:spacing w:after="0"/>
              <w:rPr>
                <w:sz w:val="20"/>
                <w:szCs w:val="20"/>
                <w:color w:val="auto"/>
              </w:rPr>
            </w:pPr>
            <w:r>
              <w:rPr>
                <w:rFonts w:ascii="Arial" w:cs="Arial" w:eastAsia="Arial" w:hAnsi="Arial"/>
                <w:sz w:val="16"/>
                <w:szCs w:val="16"/>
                <w:color w:val="auto"/>
              </w:rPr>
              <w:t>107,043</w:t>
            </w:r>
          </w:p>
        </w:tc>
        <w:tc>
          <w:tcPr>
            <w:tcW w:w="380" w:type="dxa"/>
            <w:vAlign w:val="bottom"/>
            <w:tcBorders>
              <w:bottom w:val="single" w:sz="8" w:color="auto"/>
            </w:tcBorders>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84"/>
        </w:trPr>
        <w:tc>
          <w:tcPr>
            <w:tcW w:w="2530" w:type="dxa"/>
            <w:vAlign w:val="bottom"/>
          </w:tcPr>
          <w:p>
            <w:pPr>
              <w:ind w:left="100"/>
              <w:spacing w:after="0" w:line="185" w:lineRule="exact"/>
              <w:rPr>
                <w:sz w:val="20"/>
                <w:szCs w:val="20"/>
                <w:color w:val="auto"/>
              </w:rPr>
            </w:pPr>
            <w:r>
              <w:rPr>
                <w:rFonts w:ascii="Arial" w:cs="Arial" w:eastAsia="Arial" w:hAnsi="Arial"/>
                <w:sz w:val="13"/>
                <w:szCs w:val="13"/>
                <w:color w:val="auto"/>
              </w:rPr>
              <w:t>Jeffrey H. Vanneste</w:t>
            </w:r>
            <w:r>
              <w:rPr>
                <w:rFonts w:ascii="Arial" w:cs="Arial" w:eastAsia="Arial" w:hAnsi="Arial"/>
                <w:sz w:val="21"/>
                <w:szCs w:val="21"/>
                <w:color w:val="auto"/>
                <w:vertAlign w:val="superscript"/>
              </w:rPr>
              <w:t>(3)</w:t>
            </w:r>
          </w:p>
        </w:tc>
        <w:tc>
          <w:tcPr>
            <w:tcW w:w="4110" w:type="dxa"/>
            <w:vAlign w:val="bottom"/>
          </w:tcPr>
          <w:p>
            <w:pPr>
              <w:jc w:val="right"/>
              <w:ind w:right="160"/>
              <w:spacing w:after="0"/>
              <w:rPr>
                <w:sz w:val="20"/>
                <w:szCs w:val="20"/>
                <w:color w:val="auto"/>
              </w:rPr>
            </w:pPr>
            <w:r>
              <w:rPr>
                <w:rFonts w:ascii="Arial" w:cs="Arial" w:eastAsia="Arial" w:hAnsi="Arial"/>
                <w:sz w:val="16"/>
                <w:szCs w:val="16"/>
                <w:color w:val="auto"/>
              </w:rPr>
              <w:t>Pension Plan (tax-qualified plan)</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15.3</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25.3</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440,864</w:t>
            </w:r>
          </w:p>
        </w:tc>
        <w:tc>
          <w:tcPr>
            <w:tcW w:w="380" w:type="dxa"/>
            <w:vAlign w:val="bottom"/>
          </w:tcPr>
          <w:p>
            <w:pPr>
              <w:ind w:left="260"/>
              <w:spacing w:after="0"/>
              <w:rPr>
                <w:sz w:val="20"/>
                <w:szCs w:val="20"/>
                <w:color w:val="auto"/>
              </w:rPr>
            </w:pPr>
            <w:r>
              <w:rPr>
                <w:rFonts w:ascii="Arial" w:cs="Arial" w:eastAsia="Arial" w:hAnsi="Arial"/>
                <w:sz w:val="16"/>
                <w:szCs w:val="16"/>
                <w:color w:val="auto"/>
              </w:rPr>
              <w:t>$</w:t>
            </w:r>
          </w:p>
        </w:tc>
        <w:tc>
          <w:tcPr>
            <w:tcW w:w="700" w:type="dxa"/>
            <w:vAlign w:val="bottom"/>
          </w:tcPr>
          <w:p>
            <w:pPr>
              <w:ind w:left="400"/>
              <w:spacing w:after="0"/>
              <w:rPr>
                <w:sz w:val="20"/>
                <w:szCs w:val="20"/>
                <w:color w:val="auto"/>
              </w:rPr>
            </w:pPr>
            <w:r>
              <w:rPr>
                <w:rFonts w:ascii="Arial" w:cs="Arial" w:eastAsia="Arial" w:hAnsi="Arial"/>
                <w:sz w:val="16"/>
                <w:szCs w:val="16"/>
                <w:color w:val="auto"/>
              </w:rPr>
              <w:t>—</w:t>
            </w:r>
          </w:p>
        </w:tc>
      </w:tr>
      <w:tr>
        <w:trPr>
          <w:trHeight w:val="189"/>
        </w:trPr>
        <w:tc>
          <w:tcPr>
            <w:tcW w:w="2530" w:type="dxa"/>
            <w:vAlign w:val="bottom"/>
          </w:tcPr>
          <w:p>
            <w:pPr>
              <w:spacing w:after="0"/>
              <w:rPr>
                <w:sz w:val="16"/>
                <w:szCs w:val="16"/>
                <w:color w:val="auto"/>
              </w:rPr>
            </w:pPr>
          </w:p>
        </w:tc>
        <w:tc>
          <w:tcPr>
            <w:tcW w:w="4110" w:type="dxa"/>
            <w:vAlign w:val="bottom"/>
          </w:tcPr>
          <w:p>
            <w:pPr>
              <w:jc w:val="right"/>
              <w:ind w:right="160"/>
              <w:spacing w:after="0"/>
              <w:rPr>
                <w:sz w:val="20"/>
                <w:szCs w:val="20"/>
                <w:color w:val="auto"/>
              </w:rPr>
            </w:pPr>
            <w:r>
              <w:rPr>
                <w:rFonts w:ascii="Arial" w:cs="Arial" w:eastAsia="Arial" w:hAnsi="Arial"/>
                <w:sz w:val="16"/>
                <w:szCs w:val="16"/>
                <w:color w:val="auto"/>
              </w:rPr>
              <w:t>Pension Equalization Program</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15.3</w:t>
            </w:r>
          </w:p>
        </w:tc>
        <w:tc>
          <w:tcPr>
            <w:tcW w:w="1200" w:type="dxa"/>
            <w:vAlign w:val="bottom"/>
          </w:tcPr>
          <w:p>
            <w:pPr>
              <w:jc w:val="right"/>
              <w:ind w:right="182"/>
              <w:spacing w:after="0"/>
              <w:rPr>
                <w:sz w:val="20"/>
                <w:szCs w:val="20"/>
                <w:color w:val="auto"/>
              </w:rPr>
            </w:pPr>
            <w:r>
              <w:rPr>
                <w:rFonts w:ascii="Arial" w:cs="Arial" w:eastAsia="Arial" w:hAnsi="Arial"/>
                <w:sz w:val="16"/>
                <w:szCs w:val="16"/>
                <w:color w:val="auto"/>
              </w:rPr>
              <w:t>25.3</w:t>
            </w:r>
          </w:p>
        </w:tc>
        <w:tc>
          <w:tcPr>
            <w:tcW w:w="400" w:type="dxa"/>
            <w:vAlign w:val="bottom"/>
          </w:tcPr>
          <w:p>
            <w:pPr>
              <w:ind w:left="2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87,484</w:t>
            </w:r>
          </w:p>
        </w:tc>
        <w:tc>
          <w:tcPr>
            <w:tcW w:w="380" w:type="dxa"/>
            <w:vAlign w:val="bottom"/>
          </w:tcPr>
          <w:p>
            <w:pPr>
              <w:ind w:left="260"/>
              <w:spacing w:after="0"/>
              <w:rPr>
                <w:sz w:val="20"/>
                <w:szCs w:val="20"/>
                <w:color w:val="auto"/>
              </w:rPr>
            </w:pPr>
            <w:r>
              <w:rPr>
                <w:rFonts w:ascii="Arial" w:cs="Arial" w:eastAsia="Arial" w:hAnsi="Arial"/>
                <w:sz w:val="16"/>
                <w:szCs w:val="16"/>
                <w:color w:val="auto"/>
              </w:rPr>
              <w:t>$</w:t>
            </w:r>
          </w:p>
        </w:tc>
        <w:tc>
          <w:tcPr>
            <w:tcW w:w="700" w:type="dxa"/>
            <w:vAlign w:val="bottom"/>
          </w:tcPr>
          <w:p>
            <w:pPr>
              <w:ind w:left="400"/>
              <w:spacing w:after="0"/>
              <w:rPr>
                <w:sz w:val="20"/>
                <w:szCs w:val="20"/>
                <w:color w:val="auto"/>
              </w:rPr>
            </w:pPr>
            <w:r>
              <w:rPr>
                <w:rFonts w:ascii="Arial" w:cs="Arial" w:eastAsia="Arial" w:hAnsi="Arial"/>
                <w:sz w:val="16"/>
                <w:szCs w:val="16"/>
                <w:color w:val="auto"/>
              </w:rPr>
              <w:t>—</w:t>
            </w:r>
          </w:p>
        </w:tc>
      </w:tr>
      <w:tr>
        <w:trPr>
          <w:trHeight w:val="187"/>
        </w:trPr>
        <w:tc>
          <w:tcPr>
            <w:tcW w:w="2530" w:type="dxa"/>
            <w:vAlign w:val="bottom"/>
            <w:tcBorders>
              <w:bottom w:val="single" w:sz="8" w:color="auto"/>
            </w:tcBorders>
          </w:tcPr>
          <w:p>
            <w:pPr>
              <w:spacing w:after="0"/>
              <w:rPr>
                <w:sz w:val="16"/>
                <w:szCs w:val="16"/>
                <w:color w:val="auto"/>
              </w:rPr>
            </w:pPr>
          </w:p>
        </w:tc>
        <w:tc>
          <w:tcPr>
            <w:tcW w:w="411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Salaried Retirement Restoration Program</w:t>
            </w: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15.3</w:t>
            </w: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25.3</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376,764</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w:t>
            </w:r>
          </w:p>
        </w:tc>
      </w:tr>
      <w:tr>
        <w:trPr>
          <w:trHeight w:val="183"/>
        </w:trPr>
        <w:tc>
          <w:tcPr>
            <w:tcW w:w="253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Raymond E. Scott</w:t>
            </w:r>
          </w:p>
        </w:tc>
        <w:tc>
          <w:tcPr>
            <w:tcW w:w="4110" w:type="dxa"/>
            <w:vAlign w:val="bottom"/>
            <w:shd w:val="clear" w:color="auto" w:fill="FCE9E8"/>
          </w:tcPr>
          <w:p>
            <w:pPr>
              <w:jc w:val="right"/>
              <w:ind w:right="160"/>
              <w:spacing w:after="0" w:line="183" w:lineRule="exact"/>
              <w:rPr>
                <w:sz w:val="20"/>
                <w:szCs w:val="20"/>
                <w:color w:val="auto"/>
              </w:rPr>
            </w:pPr>
            <w:r>
              <w:rPr>
                <w:rFonts w:ascii="Arial" w:cs="Arial" w:eastAsia="Arial" w:hAnsi="Arial"/>
                <w:sz w:val="16"/>
                <w:szCs w:val="16"/>
                <w:color w:val="auto"/>
              </w:rPr>
              <w:t>Pension Plan (tax-qualified plan)</w:t>
            </w:r>
          </w:p>
        </w:tc>
        <w:tc>
          <w:tcPr>
            <w:tcW w:w="1080" w:type="dxa"/>
            <w:vAlign w:val="bottom"/>
            <w:shd w:val="clear" w:color="auto" w:fill="FCE9E8"/>
          </w:tcPr>
          <w:p>
            <w:pPr>
              <w:jc w:val="right"/>
              <w:ind w:right="182"/>
              <w:spacing w:after="0" w:line="183" w:lineRule="exact"/>
              <w:rPr>
                <w:sz w:val="20"/>
                <w:szCs w:val="20"/>
                <w:color w:val="auto"/>
              </w:rPr>
            </w:pPr>
            <w:r>
              <w:rPr>
                <w:rFonts w:ascii="Arial" w:cs="Arial" w:eastAsia="Arial" w:hAnsi="Arial"/>
                <w:sz w:val="16"/>
                <w:szCs w:val="16"/>
                <w:color w:val="auto"/>
              </w:rPr>
              <w:t>18.4</w:t>
            </w:r>
          </w:p>
        </w:tc>
        <w:tc>
          <w:tcPr>
            <w:tcW w:w="1200" w:type="dxa"/>
            <w:vAlign w:val="bottom"/>
            <w:shd w:val="clear" w:color="auto" w:fill="FCE9E8"/>
          </w:tcPr>
          <w:p>
            <w:pPr>
              <w:jc w:val="right"/>
              <w:ind w:right="182"/>
              <w:spacing w:after="0" w:line="183" w:lineRule="exact"/>
              <w:rPr>
                <w:sz w:val="20"/>
                <w:szCs w:val="20"/>
                <w:color w:val="auto"/>
              </w:rPr>
            </w:pPr>
            <w:r>
              <w:rPr>
                <w:rFonts w:ascii="Arial" w:cs="Arial" w:eastAsia="Arial" w:hAnsi="Arial"/>
                <w:sz w:val="16"/>
                <w:szCs w:val="16"/>
                <w:color w:val="auto"/>
              </w:rPr>
              <w:t>28.4</w:t>
            </w:r>
          </w:p>
        </w:tc>
        <w:tc>
          <w:tcPr>
            <w:tcW w:w="40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80"/>
              <w:spacing w:after="0" w:line="183" w:lineRule="exact"/>
              <w:rPr>
                <w:sz w:val="20"/>
                <w:szCs w:val="20"/>
                <w:color w:val="auto"/>
              </w:rPr>
            </w:pPr>
            <w:r>
              <w:rPr>
                <w:rFonts w:ascii="Arial" w:cs="Arial" w:eastAsia="Arial" w:hAnsi="Arial"/>
                <w:sz w:val="16"/>
                <w:szCs w:val="16"/>
                <w:color w:val="auto"/>
              </w:rPr>
              <w:t>423,196</w:t>
            </w:r>
          </w:p>
        </w:tc>
        <w:tc>
          <w:tcPr>
            <w:tcW w:w="38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00"/>
              <w:spacing w:after="0" w:line="183" w:lineRule="exact"/>
              <w:rPr>
                <w:sz w:val="20"/>
                <w:szCs w:val="20"/>
                <w:color w:val="auto"/>
              </w:rPr>
            </w:pPr>
            <w:r>
              <w:rPr>
                <w:rFonts w:ascii="Arial" w:cs="Arial" w:eastAsia="Arial" w:hAnsi="Arial"/>
                <w:sz w:val="16"/>
                <w:szCs w:val="16"/>
                <w:color w:val="auto"/>
              </w:rPr>
              <w:t>—</w:t>
            </w:r>
          </w:p>
        </w:tc>
      </w:tr>
      <w:tr>
        <w:trPr>
          <w:trHeight w:val="189"/>
        </w:trPr>
        <w:tc>
          <w:tcPr>
            <w:tcW w:w="2530" w:type="dxa"/>
            <w:vAlign w:val="bottom"/>
            <w:shd w:val="clear" w:color="auto" w:fill="FCE9E8"/>
          </w:tcPr>
          <w:p>
            <w:pPr>
              <w:spacing w:after="0"/>
              <w:rPr>
                <w:sz w:val="16"/>
                <w:szCs w:val="16"/>
                <w:color w:val="auto"/>
              </w:rPr>
            </w:pPr>
          </w:p>
        </w:tc>
        <w:tc>
          <w:tcPr>
            <w:tcW w:w="411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Pension Equalization Program</w:t>
            </w:r>
          </w:p>
        </w:tc>
        <w:tc>
          <w:tcPr>
            <w:tcW w:w="108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18.4</w:t>
            </w:r>
          </w:p>
        </w:tc>
        <w:tc>
          <w:tcPr>
            <w:tcW w:w="120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28.4</w:t>
            </w:r>
          </w:p>
        </w:tc>
        <w:tc>
          <w:tcPr>
            <w:tcW w:w="40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80"/>
              <w:spacing w:after="0"/>
              <w:rPr>
                <w:sz w:val="20"/>
                <w:szCs w:val="20"/>
                <w:color w:val="auto"/>
              </w:rPr>
            </w:pPr>
            <w:r>
              <w:rPr>
                <w:rFonts w:ascii="Arial" w:cs="Arial" w:eastAsia="Arial" w:hAnsi="Arial"/>
                <w:sz w:val="16"/>
                <w:szCs w:val="16"/>
                <w:color w:val="auto"/>
              </w:rPr>
              <w:t>560,898</w:t>
            </w:r>
          </w:p>
        </w:tc>
        <w:tc>
          <w:tcPr>
            <w:tcW w:w="3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89"/>
        </w:trPr>
        <w:tc>
          <w:tcPr>
            <w:tcW w:w="2530" w:type="dxa"/>
            <w:vAlign w:val="bottom"/>
            <w:tcBorders>
              <w:bottom w:val="single" w:sz="8" w:color="auto"/>
            </w:tcBorders>
            <w:shd w:val="clear" w:color="auto" w:fill="FCE9E8"/>
          </w:tcPr>
          <w:p>
            <w:pPr>
              <w:spacing w:after="0"/>
              <w:rPr>
                <w:sz w:val="16"/>
                <w:szCs w:val="16"/>
                <w:color w:val="auto"/>
              </w:rPr>
            </w:pPr>
          </w:p>
        </w:tc>
        <w:tc>
          <w:tcPr>
            <w:tcW w:w="4110" w:type="dxa"/>
            <w:vAlign w:val="bottom"/>
            <w:tcBorders>
              <w:bottom w:val="single" w:sz="8" w:color="auto"/>
            </w:tcBorders>
            <w:shd w:val="clear" w:color="auto" w:fill="FCE9E8"/>
          </w:tcPr>
          <w:p>
            <w:pPr>
              <w:jc w:val="right"/>
              <w:ind w:right="160"/>
              <w:spacing w:after="0"/>
              <w:rPr>
                <w:sz w:val="20"/>
                <w:szCs w:val="20"/>
                <w:color w:val="auto"/>
              </w:rPr>
            </w:pPr>
            <w:r>
              <w:rPr>
                <w:rFonts w:ascii="Arial" w:cs="Arial" w:eastAsia="Arial" w:hAnsi="Arial"/>
                <w:sz w:val="16"/>
                <w:szCs w:val="16"/>
                <w:color w:val="auto"/>
              </w:rPr>
              <w:t>Salaried Retirement Restoration Program</w:t>
            </w:r>
          </w:p>
        </w:tc>
        <w:tc>
          <w:tcPr>
            <w:tcW w:w="1080" w:type="dxa"/>
            <w:vAlign w:val="bottom"/>
            <w:tcBorders>
              <w:bottom w:val="single" w:sz="8" w:color="auto"/>
            </w:tcBorders>
            <w:shd w:val="clear" w:color="auto" w:fill="FCE9E8"/>
          </w:tcPr>
          <w:p>
            <w:pPr>
              <w:jc w:val="right"/>
              <w:ind w:right="182"/>
              <w:spacing w:after="0"/>
              <w:rPr>
                <w:sz w:val="20"/>
                <w:szCs w:val="20"/>
                <w:color w:val="auto"/>
              </w:rPr>
            </w:pPr>
            <w:r>
              <w:rPr>
                <w:rFonts w:ascii="Arial" w:cs="Arial" w:eastAsia="Arial" w:hAnsi="Arial"/>
                <w:sz w:val="16"/>
                <w:szCs w:val="16"/>
                <w:color w:val="auto"/>
              </w:rPr>
              <w:t>18.4</w:t>
            </w:r>
          </w:p>
        </w:tc>
        <w:tc>
          <w:tcPr>
            <w:tcW w:w="1200" w:type="dxa"/>
            <w:vAlign w:val="bottom"/>
            <w:tcBorders>
              <w:bottom w:val="single" w:sz="8" w:color="auto"/>
            </w:tcBorders>
            <w:shd w:val="clear" w:color="auto" w:fill="FCE9E8"/>
          </w:tcPr>
          <w:p>
            <w:pPr>
              <w:jc w:val="right"/>
              <w:ind w:right="182"/>
              <w:spacing w:after="0"/>
              <w:rPr>
                <w:sz w:val="20"/>
                <w:szCs w:val="20"/>
                <w:color w:val="auto"/>
              </w:rPr>
            </w:pPr>
            <w:r>
              <w:rPr>
                <w:rFonts w:ascii="Arial" w:cs="Arial" w:eastAsia="Arial" w:hAnsi="Arial"/>
                <w:sz w:val="16"/>
                <w:szCs w:val="16"/>
                <w:color w:val="auto"/>
              </w:rPr>
              <w:t>28.4</w:t>
            </w:r>
          </w:p>
        </w:tc>
        <w:tc>
          <w:tcPr>
            <w:tcW w:w="400" w:type="dxa"/>
            <w:vAlign w:val="bottom"/>
            <w:tcBorders>
              <w:bottom w:val="single" w:sz="8" w:color="auto"/>
            </w:tcBorders>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FCE9E8"/>
          </w:tcPr>
          <w:p>
            <w:pPr>
              <w:jc w:val="right"/>
              <w:ind w:right="180"/>
              <w:spacing w:after="0"/>
              <w:rPr>
                <w:sz w:val="20"/>
                <w:szCs w:val="20"/>
                <w:color w:val="auto"/>
              </w:rPr>
            </w:pPr>
            <w:r>
              <w:rPr>
                <w:rFonts w:ascii="Arial" w:cs="Arial" w:eastAsia="Arial" w:hAnsi="Arial"/>
                <w:sz w:val="16"/>
                <w:szCs w:val="16"/>
                <w:color w:val="auto"/>
              </w:rPr>
              <w:t>363,704</w:t>
            </w:r>
          </w:p>
        </w:tc>
        <w:tc>
          <w:tcPr>
            <w:tcW w:w="380" w:type="dxa"/>
            <w:vAlign w:val="bottom"/>
            <w:tcBorders>
              <w:bottom w:val="single" w:sz="8" w:color="auto"/>
            </w:tcBorders>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83"/>
        </w:trPr>
        <w:tc>
          <w:tcPr>
            <w:tcW w:w="253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3"/>
                <w:szCs w:val="13"/>
                <w:color w:val="auto"/>
              </w:rPr>
              <w:t>Terrence B. Larkin</w:t>
            </w:r>
            <w:r>
              <w:rPr>
                <w:rFonts w:ascii="Arial" w:cs="Arial" w:eastAsia="Arial" w:hAnsi="Arial"/>
                <w:sz w:val="21"/>
                <w:szCs w:val="21"/>
                <w:color w:val="auto"/>
                <w:vertAlign w:val="superscript"/>
              </w:rPr>
              <w:t>(4)</w:t>
            </w:r>
          </w:p>
        </w:tc>
        <w:tc>
          <w:tcPr>
            <w:tcW w:w="411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color w:val="auto"/>
              </w:rPr>
              <w:t>N/A</w:t>
            </w:r>
          </w:p>
        </w:tc>
        <w:tc>
          <w:tcPr>
            <w:tcW w:w="10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83"/>
        </w:trPr>
        <w:tc>
          <w:tcPr>
            <w:tcW w:w="253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Frank C. Orsini</w:t>
            </w:r>
          </w:p>
        </w:tc>
        <w:tc>
          <w:tcPr>
            <w:tcW w:w="4110" w:type="dxa"/>
            <w:vAlign w:val="bottom"/>
            <w:shd w:val="clear" w:color="auto" w:fill="FCE9E8"/>
          </w:tcPr>
          <w:p>
            <w:pPr>
              <w:jc w:val="right"/>
              <w:ind w:right="160"/>
              <w:spacing w:after="0" w:line="183" w:lineRule="exact"/>
              <w:rPr>
                <w:sz w:val="20"/>
                <w:szCs w:val="20"/>
                <w:color w:val="auto"/>
              </w:rPr>
            </w:pPr>
            <w:r>
              <w:rPr>
                <w:rFonts w:ascii="Arial" w:cs="Arial" w:eastAsia="Arial" w:hAnsi="Arial"/>
                <w:sz w:val="16"/>
                <w:szCs w:val="16"/>
                <w:color w:val="auto"/>
              </w:rPr>
              <w:t>Pension Plan (tax-qualified plan)</w:t>
            </w:r>
          </w:p>
        </w:tc>
        <w:tc>
          <w:tcPr>
            <w:tcW w:w="1080" w:type="dxa"/>
            <w:vAlign w:val="bottom"/>
            <w:shd w:val="clear" w:color="auto" w:fill="FCE9E8"/>
          </w:tcPr>
          <w:p>
            <w:pPr>
              <w:jc w:val="right"/>
              <w:ind w:right="182"/>
              <w:spacing w:after="0" w:line="183" w:lineRule="exact"/>
              <w:rPr>
                <w:sz w:val="20"/>
                <w:szCs w:val="20"/>
                <w:color w:val="auto"/>
              </w:rPr>
            </w:pPr>
            <w:r>
              <w:rPr>
                <w:rFonts w:ascii="Arial" w:cs="Arial" w:eastAsia="Arial" w:hAnsi="Arial"/>
                <w:sz w:val="16"/>
                <w:szCs w:val="16"/>
                <w:color w:val="auto"/>
              </w:rPr>
              <w:t>12.7</w:t>
            </w:r>
          </w:p>
        </w:tc>
        <w:tc>
          <w:tcPr>
            <w:tcW w:w="1200" w:type="dxa"/>
            <w:vAlign w:val="bottom"/>
            <w:shd w:val="clear" w:color="auto" w:fill="FCE9E8"/>
          </w:tcPr>
          <w:p>
            <w:pPr>
              <w:jc w:val="right"/>
              <w:ind w:right="182"/>
              <w:spacing w:after="0" w:line="183" w:lineRule="exact"/>
              <w:rPr>
                <w:sz w:val="20"/>
                <w:szCs w:val="20"/>
                <w:color w:val="auto"/>
              </w:rPr>
            </w:pPr>
            <w:r>
              <w:rPr>
                <w:rFonts w:ascii="Arial" w:cs="Arial" w:eastAsia="Arial" w:hAnsi="Arial"/>
                <w:sz w:val="16"/>
                <w:szCs w:val="16"/>
                <w:color w:val="auto"/>
              </w:rPr>
              <w:t>22.7</w:t>
            </w:r>
          </w:p>
        </w:tc>
        <w:tc>
          <w:tcPr>
            <w:tcW w:w="40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80"/>
              <w:spacing w:after="0" w:line="183" w:lineRule="exact"/>
              <w:rPr>
                <w:sz w:val="20"/>
                <w:szCs w:val="20"/>
                <w:color w:val="auto"/>
              </w:rPr>
            </w:pPr>
            <w:r>
              <w:rPr>
                <w:rFonts w:ascii="Arial" w:cs="Arial" w:eastAsia="Arial" w:hAnsi="Arial"/>
                <w:sz w:val="16"/>
                <w:szCs w:val="16"/>
                <w:color w:val="auto"/>
              </w:rPr>
              <w:t>218,928</w:t>
            </w:r>
          </w:p>
        </w:tc>
        <w:tc>
          <w:tcPr>
            <w:tcW w:w="380" w:type="dxa"/>
            <w:vAlign w:val="bottom"/>
            <w:shd w:val="clear" w:color="auto" w:fill="FCE9E8"/>
          </w:tcPr>
          <w:p>
            <w:pPr>
              <w:ind w:left="260"/>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00"/>
              <w:spacing w:after="0" w:line="183" w:lineRule="exact"/>
              <w:rPr>
                <w:sz w:val="20"/>
                <w:szCs w:val="20"/>
                <w:color w:val="auto"/>
              </w:rPr>
            </w:pPr>
            <w:r>
              <w:rPr>
                <w:rFonts w:ascii="Arial" w:cs="Arial" w:eastAsia="Arial" w:hAnsi="Arial"/>
                <w:sz w:val="16"/>
                <w:szCs w:val="16"/>
                <w:color w:val="auto"/>
              </w:rPr>
              <w:t>—</w:t>
            </w:r>
          </w:p>
        </w:tc>
      </w:tr>
      <w:tr>
        <w:trPr>
          <w:trHeight w:val="189"/>
        </w:trPr>
        <w:tc>
          <w:tcPr>
            <w:tcW w:w="2530" w:type="dxa"/>
            <w:vAlign w:val="bottom"/>
            <w:shd w:val="clear" w:color="auto" w:fill="FCE9E8"/>
          </w:tcPr>
          <w:p>
            <w:pPr>
              <w:spacing w:after="0"/>
              <w:rPr>
                <w:sz w:val="16"/>
                <w:szCs w:val="16"/>
                <w:color w:val="auto"/>
              </w:rPr>
            </w:pPr>
          </w:p>
        </w:tc>
        <w:tc>
          <w:tcPr>
            <w:tcW w:w="411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Pension Equalization Program</w:t>
            </w:r>
          </w:p>
        </w:tc>
        <w:tc>
          <w:tcPr>
            <w:tcW w:w="108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12.7</w:t>
            </w:r>
          </w:p>
        </w:tc>
        <w:tc>
          <w:tcPr>
            <w:tcW w:w="120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22.7</w:t>
            </w:r>
          </w:p>
        </w:tc>
        <w:tc>
          <w:tcPr>
            <w:tcW w:w="40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80"/>
              <w:spacing w:after="0"/>
              <w:rPr>
                <w:sz w:val="20"/>
                <w:szCs w:val="20"/>
                <w:color w:val="auto"/>
              </w:rPr>
            </w:pPr>
            <w:r>
              <w:rPr>
                <w:rFonts w:ascii="Arial" w:cs="Arial" w:eastAsia="Arial" w:hAnsi="Arial"/>
                <w:sz w:val="16"/>
                <w:szCs w:val="16"/>
                <w:color w:val="auto"/>
              </w:rPr>
              <w:t>87,105</w:t>
            </w:r>
          </w:p>
        </w:tc>
        <w:tc>
          <w:tcPr>
            <w:tcW w:w="3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r>
        <w:trPr>
          <w:trHeight w:val="189"/>
        </w:trPr>
        <w:tc>
          <w:tcPr>
            <w:tcW w:w="2530" w:type="dxa"/>
            <w:vAlign w:val="bottom"/>
            <w:shd w:val="clear" w:color="auto" w:fill="FCE9E8"/>
          </w:tcPr>
          <w:p>
            <w:pPr>
              <w:spacing w:after="0"/>
              <w:rPr>
                <w:sz w:val="16"/>
                <w:szCs w:val="16"/>
                <w:color w:val="auto"/>
              </w:rPr>
            </w:pPr>
          </w:p>
        </w:tc>
        <w:tc>
          <w:tcPr>
            <w:tcW w:w="411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Salaried Retirement Restoration Program</w:t>
            </w:r>
          </w:p>
        </w:tc>
        <w:tc>
          <w:tcPr>
            <w:tcW w:w="108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12.7</w:t>
            </w:r>
          </w:p>
        </w:tc>
        <w:tc>
          <w:tcPr>
            <w:tcW w:w="120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22.7</w:t>
            </w:r>
          </w:p>
        </w:tc>
        <w:tc>
          <w:tcPr>
            <w:tcW w:w="40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80"/>
              <w:spacing w:after="0"/>
              <w:rPr>
                <w:sz w:val="20"/>
                <w:szCs w:val="20"/>
                <w:color w:val="auto"/>
              </w:rPr>
            </w:pPr>
            <w:r>
              <w:rPr>
                <w:rFonts w:ascii="Arial" w:cs="Arial" w:eastAsia="Arial" w:hAnsi="Arial"/>
                <w:sz w:val="16"/>
                <w:szCs w:val="16"/>
                <w:color w:val="auto"/>
              </w:rPr>
              <w:t>111,422</w:t>
            </w:r>
          </w:p>
        </w:tc>
        <w:tc>
          <w:tcPr>
            <w:tcW w:w="3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700" w:type="dxa"/>
            <w:vAlign w:val="bottom"/>
            <w:shd w:val="clear" w:color="auto" w:fill="FCE9E8"/>
          </w:tcPr>
          <w:p>
            <w:pPr>
              <w:ind w:left="4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500" w:hanging="332"/>
        <w:spacing w:after="0" w:line="183" w:lineRule="auto"/>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The pension programs were frozen with respect to any new benefits as of December 31, 2006, but vesting service continues to accrue after such date towards vesting requirements. As a result of their vesting service and/or age and service, all participating NEOs are vested in their pension benefits.</w:t>
      </w:r>
    </w:p>
    <w:p>
      <w:pPr>
        <w:spacing w:after="0" w:line="71" w:lineRule="exact"/>
        <w:rPr>
          <w:rFonts w:ascii="Arial" w:cs="Arial" w:eastAsia="Arial" w:hAnsi="Arial"/>
          <w:sz w:val="24"/>
          <w:szCs w:val="24"/>
          <w:color w:val="auto"/>
          <w:vertAlign w:val="superscript"/>
        </w:rPr>
      </w:pPr>
    </w:p>
    <w:p>
      <w:pPr>
        <w:ind w:left="340" w:right="140" w:hanging="332"/>
        <w:spacing w:after="0"/>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Present values determined using a December 31, 2016 measurement date and reflect benefits accrued based on service and pay earned through such date. Figures for the tax-qualified pension plan are determined based on post-commencement valuation mortality (RP-2014 with a modified MP-2014 generational projection), commencement of benefits at age 65 and an assumed discount rate of 4.15% as of the measurement date. Figures for the Pension Equalization Program and the Salaried Retirement Restoration Program (collectively, the “SERP”) are determined based on the mortality prescribed by Revenue Ruling 2001-62, commencement of benefits at the later of age 60 and full vesting and an assumed discount rate of 3.25% as of the measurement date. The assumed future SERP present value conversion rate for those not yet in payment is 2.86%.</w:t>
      </w:r>
    </w:p>
    <w:p>
      <w:pPr>
        <w:spacing w:after="0" w:line="62" w:lineRule="exact"/>
        <w:rPr>
          <w:rFonts w:ascii="Arial" w:cs="Arial" w:eastAsia="Arial" w:hAnsi="Arial"/>
          <w:sz w:val="24"/>
          <w:szCs w:val="24"/>
          <w:color w:val="auto"/>
          <w:vertAlign w:val="superscript"/>
        </w:rPr>
      </w:pPr>
    </w:p>
    <w:p>
      <w:pPr>
        <w:ind w:left="340" w:hanging="332"/>
        <w:spacing w:after="0" w:line="211" w:lineRule="auto"/>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Mr. Vanneste was credited with prior service for his past affiliation with the Company in accordance with plan provisions.</w:t>
      </w:r>
    </w:p>
    <w:p>
      <w:pPr>
        <w:spacing w:after="0" w:line="71" w:lineRule="exact"/>
        <w:rPr>
          <w:rFonts w:ascii="Arial" w:cs="Arial" w:eastAsia="Arial" w:hAnsi="Arial"/>
          <w:sz w:val="24"/>
          <w:szCs w:val="24"/>
          <w:color w:val="auto"/>
          <w:vertAlign w:val="superscript"/>
        </w:rPr>
      </w:pPr>
    </w:p>
    <w:p>
      <w:pPr>
        <w:ind w:left="340" w:right="120" w:hanging="332"/>
        <w:spacing w:after="0" w:line="183" w:lineRule="auto"/>
        <w:tabs>
          <w:tab w:leader="none" w:pos="3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Mr. Larkin is not a participant in the Pension Plan, Pension Equalization Program or Salaried Retirement Restoration Program pension make-up account (“Pension Make-Up Account”).</w:t>
      </w:r>
    </w:p>
    <w:p>
      <w:pPr>
        <w:spacing w:after="0" w:line="112"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47</w:t>
      </w:r>
    </w:p>
    <w:p>
      <w:pPr>
        <w:sectPr>
          <w:pgSz w:w="11900" w:h="16838" w:orient="portrait"/>
          <w:cols w:equalWidth="0" w:num="1">
            <w:col w:w="11420"/>
          </w:cols>
          <w:pgMar w:left="240" w:top="267" w:right="23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Named Executive Officers (as well as other eligible employees), other than Mr. Larkin,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10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Named Executive Officers, pension benefits are based on a participant’s “final average pay,” which is the average of the participant’s compensation for the five calendar years in the last ten years of employment in which the participant had his highest earnings. Compensation is generally defined under the plan to mean (i) all cash compensation reported for federal income tax purposes other than long-term incentive bonuses, and (ii) any elective contributions that are not includable in gross income under Internal Revenue Code Section 125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401(k). A participant’s annual retirement benefit, payable as a life annuity at age 65, equals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-785495</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1" w:lineRule="exact"/>
        <w:rPr>
          <w:sz w:val="20"/>
          <w:szCs w:val="20"/>
          <w:color w:val="auto"/>
        </w:rPr>
      </w:pPr>
    </w:p>
    <w:p>
      <w:pPr>
        <w:ind w:left="220" w:right="20" w:hanging="212"/>
        <w:spacing w:after="0" w:line="248" w:lineRule="auto"/>
        <w:tabs>
          <w:tab w:leader="none" w:pos="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spacing w:after="0" w:line="114" w:lineRule="exact"/>
        <w:rPr>
          <w:rFonts w:ascii="Arial" w:cs="Arial" w:eastAsia="Arial" w:hAnsi="Arial"/>
          <w:sz w:val="16"/>
          <w:szCs w:val="16"/>
          <w:color w:val="auto"/>
        </w:rPr>
      </w:pPr>
    </w:p>
    <w:p>
      <w:pPr>
        <w:ind w:left="220" w:hanging="212"/>
        <w:spacing w:after="0"/>
        <w:tabs>
          <w:tab w:leader="none" w:pos="2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$360.00 times years of credited service.</w:t>
      </w:r>
    </w:p>
    <w:p>
      <w:pPr>
        <w:spacing w:after="0" w:line="11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Any employee who on December 31, 1996 was an active participant and age 50 or older earned benefits under the 1.10% formula for years of credited service through 2001.</w:t>
      </w:r>
    </w:p>
    <w:p>
      <w:pPr>
        <w:spacing w:after="0" w:line="93"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 Service performed after December 31, 2006 will continue to count towards vesting credit even though no additional benefits will accrue under the plan after that date.</w:t>
      </w:r>
    </w:p>
    <w:p>
      <w:pPr>
        <w:spacing w:after="0" w:line="200" w:lineRule="exact"/>
        <w:rPr>
          <w:sz w:val="20"/>
          <w:szCs w:val="20"/>
          <w:color w:val="auto"/>
        </w:rPr>
      </w:pPr>
    </w:p>
    <w:p>
      <w:pPr>
        <w:sectPr>
          <w:pgSz w:w="11900" w:h="16838" w:orient="portrait"/>
          <w:cols w:equalWidth="0" w:num="2">
            <w:col w:w="5440" w:space="380"/>
            <w:col w:w="5460"/>
          </w:cols>
          <w:pgMar w:left="240" w:top="267" w:right="37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Equalization Program</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Named Executive</w:t>
      </w:r>
    </w:p>
    <w:p>
      <w:pPr>
        <w:spacing w:after="0" w:line="254" w:lineRule="exact"/>
        <w:rPr>
          <w:sz w:val="20"/>
          <w:szCs w:val="20"/>
          <w:color w:val="auto"/>
        </w:rPr>
      </w:pPr>
    </w:p>
    <w:p>
      <w:pPr>
        <w:ind w:left="460" w:hanging="349"/>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Officers other than Mr. Larkin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 party annuity or other investment vehicle. In such event, the participant will not receive any cash payments until the participant retires or otherwise terminates employment with the Company.</w:t>
      </w:r>
    </w:p>
    <w:p>
      <w:pPr>
        <w:sectPr>
          <w:pgSz w:w="11900" w:h="16838" w:orient="portrait"/>
          <w:cols w:equalWidth="0" w:num="2">
            <w:col w:w="5480" w:space="340"/>
            <w:col w:w="5460"/>
          </w:cols>
          <w:pgMar w:left="240" w:top="267" w:right="379" w:bottom="1440" w:gutter="0" w:footer="0" w:header="0"/>
          <w:type w:val="continuous"/>
        </w:sectPr>
      </w:pPr>
    </w:p>
    <w:bookmarkStart w:id="54" w:name="page55"/>
    <w:bookmarkEnd w:id="54"/>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Lear Corporation Salaried Retirement Restoration Program</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established the Lear Corporation Salaried Retirement Restoration Program, which was previously named the Lear Corporation PSP Excess Plan and before that, the Lear Corporation Executive Supplemental Savings Plan.</w:t>
      </w:r>
    </w:p>
    <w:p>
      <w:pPr>
        <w:spacing w:after="0" w:line="20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Salaried Retirement Restoration Program has both defined benefit and defined contribution elements. The defined benefit element has been quantified and described in the 2016 Pension Benefits table and in the narrative below. The 2016 Nonqualified Deferred Compensation table below identifies the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-189865</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defined contribution components of the Salaried Retirement Restoration Program.</w:t>
      </w:r>
    </w:p>
    <w:p>
      <w:pPr>
        <w:spacing w:after="0" w:line="196"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On November 14, 2012, the Compensation Committee approved an amendment and restatement of the Lear Corporation Salaried Retirement Restoration Program. The amendment renamed the plan to its current name and, for eligible participants, reinstated, effective January 1, 2013, non-qualified elective deferrals of salary and annual incentive award/bonus and associated Company matching contributions into the plan.</w:t>
      </w:r>
    </w:p>
    <w:p>
      <w:pPr>
        <w:spacing w:after="0" w:line="391" w:lineRule="exact"/>
        <w:rPr>
          <w:sz w:val="20"/>
          <w:szCs w:val="20"/>
          <w:color w:val="auto"/>
        </w:rPr>
      </w:pPr>
    </w:p>
    <w:p>
      <w:pPr>
        <w:sectPr>
          <w:pgSz w:w="11900" w:h="16838" w:orient="portrait"/>
          <w:cols w:equalWidth="0" w:num="2">
            <w:col w:w="5440" w:space="380"/>
            <w:col w:w="5600"/>
          </w:cols>
          <w:pgMar w:left="240" w:top="267"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Element</w:t>
      </w:r>
    </w:p>
    <w:p>
      <w:pPr>
        <w:spacing w:after="0" w:line="19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Salaried Retirement Restoration Program (through a Pension Make-up Account) provides retirement benefits that would have been accrued through December 31, 2006 under the Pension Plan and/or the Pension Equalization Program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 participant had not elected to defer compensation under the Salaried Retirement Restoration Program as from time to time was in effect.</w:t>
      </w:r>
    </w:p>
    <w:p>
      <w:pPr>
        <w:spacing w:after="0" w:line="571" w:lineRule="exact"/>
        <w:rPr>
          <w:sz w:val="20"/>
          <w:szCs w:val="20"/>
          <w:color w:val="auto"/>
        </w:rPr>
      </w:pPr>
    </w:p>
    <w:p>
      <w:pPr>
        <w:sectPr>
          <w:pgSz w:w="11900" w:h="16838" w:orient="portrait"/>
          <w:cols w:equalWidth="0" w:num="2">
            <w:col w:w="5400" w:space="420"/>
            <w:col w:w="5600"/>
          </w:cols>
          <w:pgMar w:left="240" w:top="267" w:right="23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Element</w:t>
      </w:r>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2016, the defined contribution component of the Salaried Retirement Restoration Program generally provided a defined contribution benefit of an amount that the participant would have received under the Pension Savings Plan but could not 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 Salaried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Retirement Restoration Program after three years of vesting service. Distributions of the excess Pension Savings Plan contributions, deferral contributions and Company matching contributions are made in a lump sum in the calendar year following the year of the participant’s termination of employment.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390" w:lineRule="exact"/>
        <w:rPr>
          <w:sz w:val="20"/>
          <w:szCs w:val="20"/>
          <w:color w:val="auto"/>
        </w:rPr>
      </w:pPr>
    </w:p>
    <w:p>
      <w:pPr>
        <w:sectPr>
          <w:pgSz w:w="11900" w:h="16838" w:orient="portrait"/>
          <w:cols w:equalWidth="0" w:num="2">
            <w:col w:w="5440" w:space="380"/>
            <w:col w:w="5600"/>
          </w:cols>
          <w:pgMar w:left="240" w:top="267" w:right="239" w:bottom="1440" w:gutter="0" w:footer="0" w:header="0"/>
          <w:type w:val="continuous"/>
        </w:sectPr>
      </w:pPr>
    </w:p>
    <w:p>
      <w:pPr>
        <w:spacing w:after="0" w:line="154" w:lineRule="exact"/>
        <w:rPr>
          <w:sz w:val="20"/>
          <w:szCs w:val="20"/>
          <w:color w:val="auto"/>
        </w:rPr>
      </w:pPr>
    </w:p>
    <w:p>
      <w:pPr>
        <w:jc w:val="center"/>
        <w:ind w:right="200"/>
        <w:spacing w:after="0"/>
        <w:rPr>
          <w:sz w:val="20"/>
          <w:szCs w:val="20"/>
          <w:color w:val="auto"/>
        </w:rPr>
      </w:pPr>
      <w:r>
        <w:rPr>
          <w:rFonts w:ascii="Arial" w:cs="Arial" w:eastAsia="Arial" w:hAnsi="Arial"/>
          <w:sz w:val="17"/>
          <w:szCs w:val="17"/>
          <w:b w:val="1"/>
          <w:bCs w:val="1"/>
          <w:color w:val="FFFFFF"/>
        </w:rPr>
        <w:t>2016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E2231A"/>
              </w:rPr>
              <w:t>Aggregate</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Arial" w:cs="Arial" w:eastAsia="Arial" w:hAnsi="Arial"/>
                <w:sz w:val="14"/>
                <w:szCs w:val="14"/>
                <w:b w:val="1"/>
                <w:bCs w:val="1"/>
                <w:color w:val="E2231A"/>
              </w:rPr>
              <w:t>Executive</w:t>
            </w:r>
          </w:p>
        </w:tc>
        <w:tc>
          <w:tcPr>
            <w:tcW w:w="34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Arial" w:cs="Arial" w:eastAsia="Arial" w:hAnsi="Arial"/>
                <w:sz w:val="14"/>
                <w:szCs w:val="14"/>
                <w:b w:val="1"/>
                <w:bCs w:val="1"/>
                <w:color w:val="E2231A"/>
              </w:rPr>
              <w:t>Company</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Earnings</w:t>
            </w:r>
          </w:p>
        </w:tc>
        <w:tc>
          <w:tcPr>
            <w:tcW w:w="320" w:type="dxa"/>
            <w:vAlign w:val="bottom"/>
          </w:tcPr>
          <w:p>
            <w:pPr>
              <w:spacing w:after="0"/>
              <w:rPr>
                <w:sz w:val="14"/>
                <w:szCs w:val="14"/>
                <w:color w:val="auto"/>
              </w:rPr>
            </w:pPr>
          </w:p>
        </w:tc>
        <w:tc>
          <w:tcPr>
            <w:tcW w:w="1300" w:type="dxa"/>
            <w:vAlign w:val="bottom"/>
          </w:tcPr>
          <w:p>
            <w:pPr>
              <w:jc w:val="right"/>
              <w:ind w:right="388"/>
              <w:spacing w:after="0"/>
              <w:rPr>
                <w:sz w:val="20"/>
                <w:szCs w:val="20"/>
                <w:color w:val="auto"/>
              </w:rPr>
            </w:pPr>
            <w:r>
              <w:rPr>
                <w:rFonts w:ascii="Arial" w:cs="Arial" w:eastAsia="Arial" w:hAnsi="Arial"/>
                <w:sz w:val="14"/>
                <w:szCs w:val="14"/>
                <w:b w:val="1"/>
                <w:bCs w:val="1"/>
                <w:color w:val="E2231A"/>
              </w:rPr>
              <w:t>Aggregate</w:t>
            </w:r>
          </w:p>
        </w:tc>
        <w:tc>
          <w:tcPr>
            <w:tcW w:w="2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E2231A"/>
              </w:rPr>
              <w:t>Aggregate</w:t>
            </w:r>
          </w:p>
        </w:tc>
      </w:tr>
      <w:tr>
        <w:trPr>
          <w:trHeight w:val="159"/>
        </w:trPr>
        <w:tc>
          <w:tcPr>
            <w:tcW w:w="27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340" w:type="dxa"/>
            <w:vAlign w:val="bottom"/>
            <w:gridSpan w:val="2"/>
          </w:tcPr>
          <w:p>
            <w:pPr>
              <w:ind w:left="200"/>
              <w:spacing w:after="0" w:line="159" w:lineRule="exact"/>
              <w:rPr>
                <w:sz w:val="20"/>
                <w:szCs w:val="20"/>
                <w:color w:val="auto"/>
              </w:rPr>
            </w:pPr>
            <w:r>
              <w:rPr>
                <w:rFonts w:ascii="Arial" w:cs="Arial" w:eastAsia="Arial" w:hAnsi="Arial"/>
                <w:sz w:val="14"/>
                <w:szCs w:val="14"/>
                <w:b w:val="1"/>
                <w:bCs w:val="1"/>
                <w:color w:val="E2231A"/>
              </w:rPr>
              <w:t>Contributions</w:t>
            </w:r>
          </w:p>
        </w:tc>
        <w:tc>
          <w:tcPr>
            <w:tcW w:w="144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E2231A"/>
              </w:rPr>
              <w:t>Contributions</w:t>
            </w:r>
          </w:p>
        </w:tc>
        <w:tc>
          <w:tcPr>
            <w:tcW w:w="280" w:type="dxa"/>
            <w:vAlign w:val="bottom"/>
          </w:tcPr>
          <w:p>
            <w:pPr>
              <w:spacing w:after="0"/>
              <w:rPr>
                <w:sz w:val="13"/>
                <w:szCs w:val="13"/>
                <w:color w:val="auto"/>
              </w:rPr>
            </w:pPr>
          </w:p>
        </w:tc>
        <w:tc>
          <w:tcPr>
            <w:tcW w:w="840" w:type="dxa"/>
            <w:vAlign w:val="bottom"/>
          </w:tcPr>
          <w:p>
            <w:pPr>
              <w:jc w:val="center"/>
              <w:ind w:right="229"/>
              <w:spacing w:after="0" w:line="159" w:lineRule="exact"/>
              <w:rPr>
                <w:sz w:val="20"/>
                <w:szCs w:val="20"/>
                <w:color w:val="auto"/>
              </w:rPr>
            </w:pPr>
            <w:r>
              <w:rPr>
                <w:rFonts w:ascii="Arial" w:cs="Arial" w:eastAsia="Arial" w:hAnsi="Arial"/>
                <w:sz w:val="14"/>
                <w:szCs w:val="14"/>
                <w:b w:val="1"/>
                <w:bCs w:val="1"/>
                <w:color w:val="E2231A"/>
              </w:rPr>
              <w:t>in Last</w:t>
            </w:r>
          </w:p>
        </w:tc>
        <w:tc>
          <w:tcPr>
            <w:tcW w:w="320" w:type="dxa"/>
            <w:vAlign w:val="bottom"/>
          </w:tcPr>
          <w:p>
            <w:pPr>
              <w:spacing w:after="0"/>
              <w:rPr>
                <w:sz w:val="13"/>
                <w:szCs w:val="13"/>
                <w:color w:val="auto"/>
              </w:rPr>
            </w:pPr>
          </w:p>
        </w:tc>
        <w:tc>
          <w:tcPr>
            <w:tcW w:w="1300" w:type="dxa"/>
            <w:vAlign w:val="bottom"/>
          </w:tcPr>
          <w:p>
            <w:pPr>
              <w:jc w:val="right"/>
              <w:ind w:right="308"/>
              <w:spacing w:after="0" w:line="159" w:lineRule="exact"/>
              <w:rPr>
                <w:sz w:val="20"/>
                <w:szCs w:val="20"/>
                <w:color w:val="auto"/>
              </w:rPr>
            </w:pPr>
            <w:r>
              <w:rPr>
                <w:rFonts w:ascii="Arial" w:cs="Arial" w:eastAsia="Arial" w:hAnsi="Arial"/>
                <w:sz w:val="14"/>
                <w:szCs w:val="14"/>
                <w:b w:val="1"/>
                <w:bCs w:val="1"/>
                <w:color w:val="E2231A"/>
              </w:rPr>
              <w:t>Withdrawals/</w:t>
            </w:r>
          </w:p>
        </w:tc>
        <w:tc>
          <w:tcPr>
            <w:tcW w:w="280" w:type="dxa"/>
            <w:vAlign w:val="bottom"/>
          </w:tcPr>
          <w:p>
            <w:pPr>
              <w:spacing w:after="0"/>
              <w:rPr>
                <w:sz w:val="13"/>
                <w:szCs w:val="13"/>
                <w:color w:val="auto"/>
              </w:rPr>
            </w:pPr>
          </w:p>
        </w:tc>
        <w:tc>
          <w:tcPr>
            <w:tcW w:w="1040" w:type="dxa"/>
            <w:vAlign w:val="bottom"/>
          </w:tcPr>
          <w:p>
            <w:pPr>
              <w:jc w:val="right"/>
              <w:ind w:right="228"/>
              <w:spacing w:after="0" w:line="159" w:lineRule="exact"/>
              <w:rPr>
                <w:sz w:val="20"/>
                <w:szCs w:val="20"/>
                <w:color w:val="auto"/>
              </w:rPr>
            </w:pPr>
            <w:r>
              <w:rPr>
                <w:rFonts w:ascii="Arial" w:cs="Arial" w:eastAsia="Arial" w:hAnsi="Arial"/>
                <w:sz w:val="14"/>
                <w:szCs w:val="14"/>
                <w:b w:val="1"/>
                <w:bCs w:val="1"/>
                <w:color w:val="E2231A"/>
              </w:rPr>
              <w:t>Balance at</w:t>
            </w:r>
          </w:p>
        </w:tc>
      </w:tr>
      <w:tr>
        <w:trPr>
          <w:trHeight w:val="179"/>
        </w:trPr>
        <w:tc>
          <w:tcPr>
            <w:tcW w:w="27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18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E2231A"/>
              </w:rPr>
              <w:t>Plan Name</w:t>
            </w: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E2231A"/>
              </w:rPr>
              <w:t>in Last FY(b)</w:t>
            </w:r>
          </w:p>
        </w:tc>
        <w:tc>
          <w:tcPr>
            <w:tcW w:w="1440" w:type="dxa"/>
            <w:vAlign w:val="bottom"/>
            <w:tcBorders>
              <w:bottom w:val="single" w:sz="8" w:color="auto"/>
            </w:tcBorders>
            <w:gridSpan w:val="2"/>
          </w:tcPr>
          <w:p>
            <w:pPr>
              <w:ind w:left="220"/>
              <w:spacing w:after="0" w:line="179" w:lineRule="exact"/>
              <w:rPr>
                <w:sz w:val="20"/>
                <w:szCs w:val="20"/>
                <w:color w:val="auto"/>
              </w:rPr>
            </w:pPr>
            <w:r>
              <w:rPr>
                <w:rFonts w:ascii="Arial" w:cs="Arial" w:eastAsia="Arial" w:hAnsi="Arial"/>
                <w:sz w:val="12"/>
                <w:szCs w:val="12"/>
                <w:b w:val="1"/>
                <w:bCs w:val="1"/>
                <w:color w:val="E2231A"/>
              </w:rPr>
              <w:t>in Last FY</w:t>
            </w:r>
            <w:r>
              <w:rPr>
                <w:rFonts w:ascii="Arial" w:cs="Arial" w:eastAsia="Arial" w:hAnsi="Arial"/>
                <w:sz w:val="20"/>
                <w:szCs w:val="20"/>
                <w:b w:val="1"/>
                <w:bCs w:val="1"/>
                <w:color w:val="E2231A"/>
                <w:vertAlign w:val="superscript"/>
              </w:rPr>
              <w:t>(1)</w:t>
            </w:r>
            <w:r>
              <w:rPr>
                <w:rFonts w:ascii="Arial" w:cs="Arial" w:eastAsia="Arial" w:hAnsi="Arial"/>
                <w:sz w:val="12"/>
                <w:szCs w:val="12"/>
                <w:b w:val="1"/>
                <w:bCs w:val="1"/>
                <w:color w:val="E2231A"/>
              </w:rPr>
              <w:t>(c)</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09"/>
              <w:spacing w:after="0" w:line="179" w:lineRule="exact"/>
              <w:rPr>
                <w:sz w:val="20"/>
                <w:szCs w:val="20"/>
                <w:color w:val="auto"/>
              </w:rPr>
            </w:pPr>
            <w:r>
              <w:rPr>
                <w:rFonts w:ascii="Arial" w:cs="Arial" w:eastAsia="Arial" w:hAnsi="Arial"/>
                <w:sz w:val="12"/>
                <w:szCs w:val="12"/>
                <w:b w:val="1"/>
                <w:bCs w:val="1"/>
                <w:color w:val="E2231A"/>
              </w:rPr>
              <w:t>FY(d)</w:t>
            </w:r>
            <w:r>
              <w:rPr>
                <w:rFonts w:ascii="Arial" w:cs="Arial" w:eastAsia="Arial" w:hAnsi="Arial"/>
                <w:sz w:val="20"/>
                <w:szCs w:val="20"/>
                <w:b w:val="1"/>
                <w:bCs w:val="1"/>
                <w:color w:val="E2231A"/>
                <w:vertAlign w:val="superscript"/>
              </w:rPr>
              <w:t>(2)</w:t>
            </w:r>
          </w:p>
        </w:tc>
        <w:tc>
          <w:tcPr>
            <w:tcW w:w="1620" w:type="dxa"/>
            <w:vAlign w:val="bottom"/>
            <w:tcBorders>
              <w:bottom w:val="single" w:sz="8" w:color="auto"/>
            </w:tcBorders>
            <w:gridSpan w:val="2"/>
          </w:tcPr>
          <w:p>
            <w:pPr>
              <w:ind w:left="200"/>
              <w:spacing w:after="0" w:line="179" w:lineRule="exact"/>
              <w:rPr>
                <w:sz w:val="20"/>
                <w:szCs w:val="20"/>
                <w:color w:val="auto"/>
              </w:rPr>
            </w:pPr>
            <w:r>
              <w:rPr>
                <w:rFonts w:ascii="Arial" w:cs="Arial" w:eastAsia="Arial" w:hAnsi="Arial"/>
                <w:sz w:val="12"/>
                <w:szCs w:val="12"/>
                <w:b w:val="1"/>
                <w:bCs w:val="1"/>
                <w:color w:val="E2231A"/>
              </w:rPr>
              <w:t>Distributions(e)</w:t>
            </w:r>
            <w:r>
              <w:rPr>
                <w:rFonts w:ascii="Arial" w:cs="Arial" w:eastAsia="Arial" w:hAnsi="Arial"/>
                <w:sz w:val="20"/>
                <w:szCs w:val="20"/>
                <w:b w:val="1"/>
                <w:bCs w:val="1"/>
                <w:color w:val="E2231A"/>
                <w:vertAlign w:val="superscript"/>
              </w:rPr>
              <w:t>(3)</w:t>
            </w:r>
          </w:p>
        </w:tc>
        <w:tc>
          <w:tcPr>
            <w:tcW w:w="1320" w:type="dxa"/>
            <w:vAlign w:val="bottom"/>
            <w:tcBorders>
              <w:bottom w:val="single" w:sz="8" w:color="auto"/>
            </w:tcBorders>
            <w:gridSpan w:val="2"/>
          </w:tcPr>
          <w:p>
            <w:pPr>
              <w:ind w:left="200"/>
              <w:spacing w:after="0" w:line="179" w:lineRule="exact"/>
              <w:rPr>
                <w:sz w:val="20"/>
                <w:szCs w:val="20"/>
                <w:color w:val="auto"/>
              </w:rPr>
            </w:pPr>
            <w:r>
              <w:rPr>
                <w:rFonts w:ascii="Arial" w:cs="Arial" w:eastAsia="Arial" w:hAnsi="Arial"/>
                <w:sz w:val="12"/>
                <w:szCs w:val="12"/>
                <w:b w:val="1"/>
                <w:bCs w:val="1"/>
                <w:color w:val="E2231A"/>
              </w:rPr>
              <w:t>Last FYE(f)</w:t>
            </w:r>
            <w:r>
              <w:rPr>
                <w:rFonts w:ascii="Arial" w:cs="Arial" w:eastAsia="Arial" w:hAnsi="Arial"/>
                <w:sz w:val="20"/>
                <w:szCs w:val="20"/>
                <w:b w:val="1"/>
                <w:bCs w:val="1"/>
                <w:color w:val="E2231A"/>
                <w:vertAlign w:val="superscript"/>
              </w:rPr>
              <w:t>(4)</w:t>
            </w:r>
          </w:p>
        </w:tc>
      </w:tr>
      <w:tr>
        <w:trPr>
          <w:trHeight w:val="160"/>
        </w:trPr>
        <w:tc>
          <w:tcPr>
            <w:tcW w:w="2720" w:type="dxa"/>
            <w:vAlign w:val="bottom"/>
            <w:shd w:val="clear" w:color="auto" w:fill="FCE9E8"/>
          </w:tcPr>
          <w:p>
            <w:pPr>
              <w:ind w:left="80"/>
              <w:spacing w:after="0"/>
              <w:rPr>
                <w:sz w:val="20"/>
                <w:szCs w:val="20"/>
                <w:color w:val="auto"/>
              </w:rPr>
            </w:pPr>
            <w:r>
              <w:rPr>
                <w:rFonts w:ascii="Arial" w:cs="Arial" w:eastAsia="Arial" w:hAnsi="Arial"/>
                <w:sz w:val="14"/>
                <w:szCs w:val="14"/>
                <w:color w:val="auto"/>
              </w:rPr>
              <w:t>Matthew J. Simoncini</w:t>
            </w:r>
          </w:p>
        </w:tc>
        <w:tc>
          <w:tcPr>
            <w:tcW w:w="186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Salaried Retirement</w:t>
            </w:r>
          </w:p>
        </w:tc>
        <w:tc>
          <w:tcPr>
            <w:tcW w:w="300" w:type="dxa"/>
            <w:vAlign w:val="bottom"/>
            <w:shd w:val="clear" w:color="auto" w:fill="FCE9E8"/>
          </w:tcPr>
          <w:p>
            <w:pPr>
              <w:spacing w:after="0"/>
              <w:rPr>
                <w:sz w:val="13"/>
                <w:szCs w:val="13"/>
                <w:color w:val="auto"/>
              </w:rPr>
            </w:pPr>
          </w:p>
        </w:tc>
        <w:tc>
          <w:tcPr>
            <w:tcW w:w="1040" w:type="dxa"/>
            <w:vAlign w:val="bottom"/>
            <w:shd w:val="clear" w:color="auto" w:fill="FCE9E8"/>
          </w:tcPr>
          <w:p>
            <w:pPr>
              <w:spacing w:after="0"/>
              <w:rPr>
                <w:sz w:val="13"/>
                <w:szCs w:val="13"/>
                <w:color w:val="auto"/>
              </w:rPr>
            </w:pPr>
          </w:p>
        </w:tc>
        <w:tc>
          <w:tcPr>
            <w:tcW w:w="340" w:type="dxa"/>
            <w:vAlign w:val="bottom"/>
            <w:shd w:val="clear" w:color="auto" w:fill="FCE9E8"/>
          </w:tcPr>
          <w:p>
            <w:pPr>
              <w:spacing w:after="0"/>
              <w:rPr>
                <w:sz w:val="13"/>
                <w:szCs w:val="13"/>
                <w:color w:val="auto"/>
              </w:rPr>
            </w:pPr>
          </w:p>
        </w:tc>
        <w:tc>
          <w:tcPr>
            <w:tcW w:w="1100" w:type="dxa"/>
            <w:vAlign w:val="bottom"/>
            <w:shd w:val="clear" w:color="auto" w:fill="FCE9E8"/>
          </w:tcPr>
          <w:p>
            <w:pPr>
              <w:spacing w:after="0"/>
              <w:rPr>
                <w:sz w:val="13"/>
                <w:szCs w:val="13"/>
                <w:color w:val="auto"/>
              </w:rPr>
            </w:pPr>
          </w:p>
        </w:tc>
        <w:tc>
          <w:tcPr>
            <w:tcW w:w="280" w:type="dxa"/>
            <w:vAlign w:val="bottom"/>
            <w:shd w:val="clear" w:color="auto" w:fill="FCE9E8"/>
          </w:tcPr>
          <w:p>
            <w:pPr>
              <w:spacing w:after="0"/>
              <w:rPr>
                <w:sz w:val="13"/>
                <w:szCs w:val="13"/>
                <w:color w:val="auto"/>
              </w:rPr>
            </w:pPr>
          </w:p>
        </w:tc>
        <w:tc>
          <w:tcPr>
            <w:tcW w:w="840" w:type="dxa"/>
            <w:vAlign w:val="bottom"/>
            <w:shd w:val="clear" w:color="auto" w:fill="FCE9E8"/>
          </w:tcPr>
          <w:p>
            <w:pPr>
              <w:spacing w:after="0"/>
              <w:rPr>
                <w:sz w:val="13"/>
                <w:szCs w:val="13"/>
                <w:color w:val="auto"/>
              </w:rPr>
            </w:pPr>
          </w:p>
        </w:tc>
        <w:tc>
          <w:tcPr>
            <w:tcW w:w="320" w:type="dxa"/>
            <w:vAlign w:val="bottom"/>
            <w:shd w:val="clear" w:color="auto" w:fill="FCE9E8"/>
          </w:tcPr>
          <w:p>
            <w:pPr>
              <w:spacing w:after="0"/>
              <w:rPr>
                <w:sz w:val="13"/>
                <w:szCs w:val="13"/>
                <w:color w:val="auto"/>
              </w:rPr>
            </w:pPr>
          </w:p>
        </w:tc>
        <w:tc>
          <w:tcPr>
            <w:tcW w:w="1300" w:type="dxa"/>
            <w:vAlign w:val="bottom"/>
            <w:shd w:val="clear" w:color="auto" w:fill="FCE9E8"/>
          </w:tcPr>
          <w:p>
            <w:pPr>
              <w:spacing w:after="0"/>
              <w:rPr>
                <w:sz w:val="13"/>
                <w:szCs w:val="13"/>
                <w:color w:val="auto"/>
              </w:rPr>
            </w:pPr>
          </w:p>
        </w:tc>
        <w:tc>
          <w:tcPr>
            <w:tcW w:w="280" w:type="dxa"/>
            <w:vAlign w:val="bottom"/>
            <w:shd w:val="clear" w:color="auto" w:fill="FCE9E8"/>
          </w:tcPr>
          <w:p>
            <w:pPr>
              <w:spacing w:after="0"/>
              <w:rPr>
                <w:sz w:val="13"/>
                <w:szCs w:val="13"/>
                <w:color w:val="auto"/>
              </w:rPr>
            </w:pPr>
          </w:p>
        </w:tc>
        <w:tc>
          <w:tcPr>
            <w:tcW w:w="1040" w:type="dxa"/>
            <w:vAlign w:val="bottom"/>
            <w:shd w:val="clear" w:color="auto" w:fill="FCE9E8"/>
          </w:tcPr>
          <w:p>
            <w:pPr>
              <w:spacing w:after="0"/>
              <w:rPr>
                <w:sz w:val="13"/>
                <w:szCs w:val="13"/>
                <w:color w:val="auto"/>
              </w:rPr>
            </w:pPr>
          </w:p>
        </w:tc>
      </w:tr>
      <w:tr>
        <w:trPr>
          <w:trHeight w:val="171"/>
        </w:trPr>
        <w:tc>
          <w:tcPr>
            <w:tcW w:w="2720" w:type="dxa"/>
            <w:vAlign w:val="bottom"/>
            <w:shd w:val="clear" w:color="auto" w:fill="FCE9E8"/>
          </w:tcPr>
          <w:p>
            <w:pPr>
              <w:spacing w:after="0"/>
              <w:rPr>
                <w:sz w:val="14"/>
                <w:szCs w:val="14"/>
                <w:color w:val="auto"/>
              </w:rPr>
            </w:pPr>
          </w:p>
        </w:tc>
        <w:tc>
          <w:tcPr>
            <w:tcW w:w="186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Restoration Program</w:t>
            </w:r>
          </w:p>
        </w:tc>
        <w:tc>
          <w:tcPr>
            <w:tcW w:w="3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290,531</w:t>
            </w:r>
          </w:p>
        </w:tc>
        <w:tc>
          <w:tcPr>
            <w:tcW w:w="34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687,180</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29"/>
              <w:spacing w:after="0"/>
              <w:rPr>
                <w:sz w:val="20"/>
                <w:szCs w:val="20"/>
                <w:color w:val="auto"/>
              </w:rPr>
            </w:pPr>
            <w:r>
              <w:rPr>
                <w:rFonts w:ascii="Arial" w:cs="Arial" w:eastAsia="Arial" w:hAnsi="Arial"/>
                <w:sz w:val="14"/>
                <w:szCs w:val="14"/>
                <w:color w:val="auto"/>
              </w:rPr>
              <w:t>513,517</w:t>
            </w:r>
          </w:p>
        </w:tc>
        <w:tc>
          <w:tcPr>
            <w:tcW w:w="32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4,600,023</w:t>
            </w:r>
          </w:p>
        </w:tc>
      </w:tr>
      <w:tr>
        <w:trPr>
          <w:trHeight w:val="162"/>
        </w:trPr>
        <w:tc>
          <w:tcPr>
            <w:tcW w:w="2720" w:type="dxa"/>
            <w:vAlign w:val="bottom"/>
            <w:shd w:val="clear" w:color="auto" w:fill="FCE9E8"/>
          </w:tcPr>
          <w:p>
            <w:pPr>
              <w:spacing w:after="0"/>
              <w:rPr>
                <w:sz w:val="14"/>
                <w:szCs w:val="14"/>
                <w:color w:val="auto"/>
              </w:rPr>
            </w:pPr>
          </w:p>
        </w:tc>
        <w:tc>
          <w:tcPr>
            <w:tcW w:w="186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Vested Career Shares</w:t>
            </w:r>
          </w:p>
        </w:tc>
        <w:tc>
          <w:tcPr>
            <w:tcW w:w="3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770,029</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29"/>
              <w:spacing w:after="0"/>
              <w:rPr>
                <w:sz w:val="20"/>
                <w:szCs w:val="20"/>
                <w:color w:val="auto"/>
              </w:rPr>
            </w:pPr>
            <w:r>
              <w:rPr>
                <w:rFonts w:ascii="Arial" w:cs="Arial" w:eastAsia="Arial" w:hAnsi="Arial"/>
                <w:sz w:val="14"/>
                <w:szCs w:val="14"/>
                <w:color w:val="auto"/>
              </w:rPr>
              <w:t>220,367</w:t>
            </w:r>
          </w:p>
        </w:tc>
        <w:tc>
          <w:tcPr>
            <w:tcW w:w="32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2,544,442</w:t>
            </w:r>
          </w:p>
        </w:tc>
      </w:tr>
      <w:tr>
        <w:trPr>
          <w:trHeight w:val="167"/>
        </w:trPr>
        <w:tc>
          <w:tcPr>
            <w:tcW w:w="2720" w:type="dxa"/>
            <w:vAlign w:val="bottom"/>
          </w:tcPr>
          <w:p>
            <w:pPr>
              <w:ind w:left="80"/>
              <w:spacing w:after="0"/>
              <w:rPr>
                <w:sz w:val="20"/>
                <w:szCs w:val="20"/>
                <w:color w:val="auto"/>
              </w:rPr>
            </w:pPr>
            <w:r>
              <w:rPr>
                <w:rFonts w:ascii="Arial" w:cs="Arial" w:eastAsia="Arial" w:hAnsi="Arial"/>
                <w:sz w:val="14"/>
                <w:szCs w:val="14"/>
                <w:color w:val="auto"/>
              </w:rPr>
              <w:t>Jeffrey H. Vanneste</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Salaried Retirement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Restoration Program</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107,035</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228,440</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99,416</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1,288,209</w:t>
            </w:r>
          </w:p>
        </w:tc>
      </w:tr>
      <w:tr>
        <w:trPr>
          <w:trHeight w:val="157"/>
        </w:trPr>
        <w:tc>
          <w:tcPr>
            <w:tcW w:w="2720" w:type="dxa"/>
            <w:vAlign w:val="bottom"/>
          </w:tcPr>
          <w:p>
            <w:pPr>
              <w:spacing w:after="0"/>
              <w:rPr>
                <w:sz w:val="13"/>
                <w:szCs w:val="13"/>
                <w:color w:val="auto"/>
              </w:rPr>
            </w:pPr>
          </w:p>
        </w:tc>
        <w:tc>
          <w:tcPr>
            <w:tcW w:w="1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Vested Career Shares</w:t>
            </w:r>
          </w:p>
        </w:tc>
        <w:tc>
          <w:tcPr>
            <w:tcW w:w="30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277,182</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9"/>
              <w:spacing w:after="0" w:line="157" w:lineRule="exact"/>
              <w:rPr>
                <w:sz w:val="20"/>
                <w:szCs w:val="20"/>
                <w:color w:val="auto"/>
              </w:rPr>
            </w:pPr>
            <w:r>
              <w:rPr>
                <w:rFonts w:ascii="Arial" w:cs="Arial" w:eastAsia="Arial" w:hAnsi="Arial"/>
                <w:sz w:val="14"/>
                <w:szCs w:val="14"/>
                <w:color w:val="auto"/>
              </w:rPr>
              <w:t>73,951</w:t>
            </w:r>
          </w:p>
        </w:tc>
        <w:tc>
          <w:tcPr>
            <w:tcW w:w="32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848,388</w:t>
            </w:r>
          </w:p>
        </w:tc>
      </w:tr>
      <w:tr>
        <w:trPr>
          <w:trHeight w:val="167"/>
        </w:trPr>
        <w:tc>
          <w:tcPr>
            <w:tcW w:w="272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186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Salaried Retirement</w:t>
            </w:r>
          </w:p>
        </w:tc>
        <w:tc>
          <w:tcPr>
            <w:tcW w:w="30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340" w:type="dxa"/>
            <w:vAlign w:val="bottom"/>
            <w:shd w:val="clear" w:color="auto" w:fill="FCE9E8"/>
          </w:tcPr>
          <w:p>
            <w:pPr>
              <w:spacing w:after="0"/>
              <w:rPr>
                <w:sz w:val="14"/>
                <w:szCs w:val="14"/>
                <w:color w:val="auto"/>
              </w:rPr>
            </w:pPr>
          </w:p>
        </w:tc>
        <w:tc>
          <w:tcPr>
            <w:tcW w:w="110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130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r>
      <w:tr>
        <w:trPr>
          <w:trHeight w:val="157"/>
        </w:trPr>
        <w:tc>
          <w:tcPr>
            <w:tcW w:w="2720" w:type="dxa"/>
            <w:vAlign w:val="bottom"/>
            <w:shd w:val="clear" w:color="auto" w:fill="FCE9E8"/>
          </w:tcPr>
          <w:p>
            <w:pPr>
              <w:spacing w:after="0"/>
              <w:rPr>
                <w:sz w:val="13"/>
                <w:szCs w:val="13"/>
                <w:color w:val="auto"/>
              </w:rPr>
            </w:pPr>
          </w:p>
        </w:tc>
        <w:tc>
          <w:tcPr>
            <w:tcW w:w="186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Restoration Program</w:t>
            </w:r>
          </w:p>
        </w:tc>
        <w:tc>
          <w:tcPr>
            <w:tcW w:w="30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117,359</w:t>
            </w:r>
          </w:p>
        </w:tc>
        <w:tc>
          <w:tcPr>
            <w:tcW w:w="34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254,251</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29"/>
              <w:spacing w:after="0" w:line="157" w:lineRule="exact"/>
              <w:rPr>
                <w:sz w:val="20"/>
                <w:szCs w:val="20"/>
                <w:color w:val="auto"/>
              </w:rPr>
            </w:pPr>
            <w:r>
              <w:rPr>
                <w:rFonts w:ascii="Arial" w:cs="Arial" w:eastAsia="Arial" w:hAnsi="Arial"/>
                <w:sz w:val="14"/>
                <w:szCs w:val="14"/>
                <w:color w:val="auto"/>
              </w:rPr>
              <w:t>156,593</w:t>
            </w:r>
          </w:p>
        </w:tc>
        <w:tc>
          <w:tcPr>
            <w:tcW w:w="32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rPr>
              <w:t>$</w:t>
            </w:r>
          </w:p>
        </w:tc>
        <w:tc>
          <w:tcPr>
            <w:tcW w:w="130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2,304,495</w:t>
            </w:r>
          </w:p>
        </w:tc>
      </w:tr>
      <w:tr>
        <w:trPr>
          <w:trHeight w:val="162"/>
        </w:trPr>
        <w:tc>
          <w:tcPr>
            <w:tcW w:w="2720" w:type="dxa"/>
            <w:vAlign w:val="bottom"/>
            <w:shd w:val="clear" w:color="auto" w:fill="FCE9E8"/>
          </w:tcPr>
          <w:p>
            <w:pPr>
              <w:spacing w:after="0"/>
              <w:rPr>
                <w:sz w:val="14"/>
                <w:szCs w:val="14"/>
                <w:color w:val="auto"/>
              </w:rPr>
            </w:pPr>
          </w:p>
        </w:tc>
        <w:tc>
          <w:tcPr>
            <w:tcW w:w="186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Vested Career Shares</w:t>
            </w:r>
          </w:p>
        </w:tc>
        <w:tc>
          <w:tcPr>
            <w:tcW w:w="3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307,938</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29"/>
              <w:spacing w:after="0"/>
              <w:rPr>
                <w:sz w:val="20"/>
                <w:szCs w:val="20"/>
                <w:color w:val="auto"/>
              </w:rPr>
            </w:pPr>
            <w:r>
              <w:rPr>
                <w:rFonts w:ascii="Arial" w:cs="Arial" w:eastAsia="Arial" w:hAnsi="Arial"/>
                <w:sz w:val="14"/>
                <w:szCs w:val="14"/>
                <w:color w:val="auto"/>
              </w:rPr>
              <w:t>76,449</w:t>
            </w:r>
          </w:p>
        </w:tc>
        <w:tc>
          <w:tcPr>
            <w:tcW w:w="32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1,005,956</w:t>
            </w:r>
          </w:p>
        </w:tc>
      </w:tr>
      <w:tr>
        <w:trPr>
          <w:trHeight w:val="167"/>
        </w:trPr>
        <w:tc>
          <w:tcPr>
            <w:tcW w:w="2720" w:type="dxa"/>
            <w:vAlign w:val="bottom"/>
          </w:tcPr>
          <w:p>
            <w:pPr>
              <w:ind w:left="80"/>
              <w:spacing w:after="0"/>
              <w:rPr>
                <w:sz w:val="20"/>
                <w:szCs w:val="20"/>
                <w:color w:val="auto"/>
              </w:rPr>
            </w:pPr>
            <w:r>
              <w:rPr>
                <w:rFonts w:ascii="Arial" w:cs="Arial" w:eastAsia="Arial" w:hAnsi="Arial"/>
                <w:sz w:val="14"/>
                <w:szCs w:val="14"/>
                <w:color w:val="auto"/>
              </w:rPr>
              <w:t>Terrence B. Larkin</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Salaried Retirement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Restoration Program</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117,359</w:t>
            </w: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228,283</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142,661</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2,034,949</w:t>
            </w:r>
          </w:p>
        </w:tc>
      </w:tr>
      <w:tr>
        <w:trPr>
          <w:trHeight w:val="157"/>
        </w:trPr>
        <w:tc>
          <w:tcPr>
            <w:tcW w:w="2720" w:type="dxa"/>
            <w:vAlign w:val="bottom"/>
          </w:tcPr>
          <w:p>
            <w:pPr>
              <w:spacing w:after="0"/>
              <w:rPr>
                <w:sz w:val="13"/>
                <w:szCs w:val="13"/>
                <w:color w:val="auto"/>
              </w:rPr>
            </w:pPr>
          </w:p>
        </w:tc>
        <w:tc>
          <w:tcPr>
            <w:tcW w:w="1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Vested Career Shares</w:t>
            </w:r>
          </w:p>
        </w:tc>
        <w:tc>
          <w:tcPr>
            <w:tcW w:w="30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34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307,938</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9"/>
              <w:spacing w:after="0" w:line="157" w:lineRule="exact"/>
              <w:rPr>
                <w:sz w:val="20"/>
                <w:szCs w:val="20"/>
                <w:color w:val="auto"/>
              </w:rPr>
            </w:pPr>
            <w:r>
              <w:rPr>
                <w:rFonts w:ascii="Arial" w:cs="Arial" w:eastAsia="Arial" w:hAnsi="Arial"/>
                <w:sz w:val="14"/>
                <w:szCs w:val="14"/>
                <w:color w:val="auto"/>
              </w:rPr>
              <w:t>133,866</w:t>
            </w:r>
          </w:p>
        </w:tc>
        <w:tc>
          <w:tcPr>
            <w:tcW w:w="320" w:type="dxa"/>
            <w:vAlign w:val="bottom"/>
          </w:tcPr>
          <w:p>
            <w:pPr>
              <w:ind w:left="200"/>
              <w:spacing w:after="0" w:line="157"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1,063,373</w:t>
            </w:r>
          </w:p>
        </w:tc>
        <w:tc>
          <w:tcPr>
            <w:tcW w:w="280" w:type="dxa"/>
            <w:vAlign w:val="bottom"/>
          </w:tcPr>
          <w:p>
            <w:pPr>
              <w:ind w:left="200"/>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w:t>
            </w:r>
          </w:p>
        </w:tc>
      </w:tr>
      <w:tr>
        <w:trPr>
          <w:trHeight w:val="167"/>
        </w:trPr>
        <w:tc>
          <w:tcPr>
            <w:tcW w:w="272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186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Salaried Retirement</w:t>
            </w:r>
          </w:p>
        </w:tc>
        <w:tc>
          <w:tcPr>
            <w:tcW w:w="30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340" w:type="dxa"/>
            <w:vAlign w:val="bottom"/>
            <w:shd w:val="clear" w:color="auto" w:fill="FCE9E8"/>
          </w:tcPr>
          <w:p>
            <w:pPr>
              <w:spacing w:after="0"/>
              <w:rPr>
                <w:sz w:val="14"/>
                <w:szCs w:val="14"/>
                <w:color w:val="auto"/>
              </w:rPr>
            </w:pPr>
          </w:p>
        </w:tc>
        <w:tc>
          <w:tcPr>
            <w:tcW w:w="110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840" w:type="dxa"/>
            <w:vAlign w:val="bottom"/>
            <w:shd w:val="clear" w:color="auto" w:fill="FCE9E8"/>
          </w:tcPr>
          <w:p>
            <w:pPr>
              <w:spacing w:after="0"/>
              <w:rPr>
                <w:sz w:val="14"/>
                <w:szCs w:val="14"/>
                <w:color w:val="auto"/>
              </w:rPr>
            </w:pPr>
          </w:p>
        </w:tc>
        <w:tc>
          <w:tcPr>
            <w:tcW w:w="320" w:type="dxa"/>
            <w:vAlign w:val="bottom"/>
            <w:shd w:val="clear" w:color="auto" w:fill="FCE9E8"/>
          </w:tcPr>
          <w:p>
            <w:pPr>
              <w:spacing w:after="0"/>
              <w:rPr>
                <w:sz w:val="14"/>
                <w:szCs w:val="14"/>
                <w:color w:val="auto"/>
              </w:rPr>
            </w:pPr>
          </w:p>
        </w:tc>
        <w:tc>
          <w:tcPr>
            <w:tcW w:w="1300" w:type="dxa"/>
            <w:vAlign w:val="bottom"/>
            <w:shd w:val="clear" w:color="auto" w:fill="FCE9E8"/>
          </w:tcPr>
          <w:p>
            <w:pPr>
              <w:spacing w:after="0"/>
              <w:rPr>
                <w:sz w:val="14"/>
                <w:szCs w:val="14"/>
                <w:color w:val="auto"/>
              </w:rPr>
            </w:pPr>
          </w:p>
        </w:tc>
        <w:tc>
          <w:tcPr>
            <w:tcW w:w="28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r>
      <w:tr>
        <w:trPr>
          <w:trHeight w:val="157"/>
        </w:trPr>
        <w:tc>
          <w:tcPr>
            <w:tcW w:w="2720" w:type="dxa"/>
            <w:vAlign w:val="bottom"/>
            <w:shd w:val="clear" w:color="auto" w:fill="FCE9E8"/>
          </w:tcPr>
          <w:p>
            <w:pPr>
              <w:spacing w:after="0"/>
              <w:rPr>
                <w:sz w:val="13"/>
                <w:szCs w:val="13"/>
                <w:color w:val="auto"/>
              </w:rPr>
            </w:pPr>
          </w:p>
        </w:tc>
        <w:tc>
          <w:tcPr>
            <w:tcW w:w="186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Restoration Program</w:t>
            </w:r>
          </w:p>
        </w:tc>
        <w:tc>
          <w:tcPr>
            <w:tcW w:w="30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101,065</w:t>
            </w:r>
          </w:p>
        </w:tc>
        <w:tc>
          <w:tcPr>
            <w:tcW w:w="34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191,621</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29"/>
              <w:spacing w:after="0" w:line="157" w:lineRule="exact"/>
              <w:rPr>
                <w:sz w:val="20"/>
                <w:szCs w:val="20"/>
                <w:color w:val="auto"/>
              </w:rPr>
            </w:pPr>
            <w:r>
              <w:rPr>
                <w:rFonts w:ascii="Arial" w:cs="Arial" w:eastAsia="Arial" w:hAnsi="Arial"/>
                <w:sz w:val="14"/>
                <w:szCs w:val="14"/>
                <w:color w:val="auto"/>
              </w:rPr>
              <w:t>92,346</w:t>
            </w:r>
          </w:p>
        </w:tc>
        <w:tc>
          <w:tcPr>
            <w:tcW w:w="32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rPr>
              <w:t>$</w:t>
            </w:r>
          </w:p>
        </w:tc>
        <w:tc>
          <w:tcPr>
            <w:tcW w:w="130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line="157"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line="157" w:lineRule="exact"/>
              <w:rPr>
                <w:sz w:val="20"/>
                <w:szCs w:val="20"/>
                <w:color w:val="auto"/>
              </w:rPr>
            </w:pPr>
            <w:r>
              <w:rPr>
                <w:rFonts w:ascii="Arial" w:cs="Arial" w:eastAsia="Arial" w:hAnsi="Arial"/>
                <w:sz w:val="14"/>
                <w:szCs w:val="14"/>
                <w:color w:val="auto"/>
              </w:rPr>
              <w:t>1,189,343</w:t>
            </w:r>
          </w:p>
        </w:tc>
      </w:tr>
      <w:tr>
        <w:trPr>
          <w:trHeight w:val="162"/>
        </w:trPr>
        <w:tc>
          <w:tcPr>
            <w:tcW w:w="2720" w:type="dxa"/>
            <w:vAlign w:val="bottom"/>
            <w:shd w:val="clear" w:color="auto" w:fill="FCE9E8"/>
          </w:tcPr>
          <w:p>
            <w:pPr>
              <w:spacing w:after="0"/>
              <w:rPr>
                <w:sz w:val="14"/>
                <w:szCs w:val="14"/>
                <w:color w:val="auto"/>
              </w:rPr>
            </w:pPr>
          </w:p>
        </w:tc>
        <w:tc>
          <w:tcPr>
            <w:tcW w:w="186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Vested Career Shares</w:t>
            </w:r>
          </w:p>
        </w:tc>
        <w:tc>
          <w:tcPr>
            <w:tcW w:w="3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184,788</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CE9E8"/>
          </w:tcPr>
          <w:p>
            <w:pPr>
              <w:jc w:val="right"/>
              <w:ind w:right="129"/>
              <w:spacing w:after="0"/>
              <w:rPr>
                <w:sz w:val="20"/>
                <w:szCs w:val="20"/>
                <w:color w:val="auto"/>
              </w:rPr>
            </w:pPr>
            <w:r>
              <w:rPr>
                <w:rFonts w:ascii="Arial" w:cs="Arial" w:eastAsia="Arial" w:hAnsi="Arial"/>
                <w:sz w:val="14"/>
                <w:szCs w:val="14"/>
                <w:color w:val="auto"/>
              </w:rPr>
              <w:t>45,872</w:t>
            </w:r>
          </w:p>
        </w:tc>
        <w:tc>
          <w:tcPr>
            <w:tcW w:w="320" w:type="dxa"/>
            <w:vAlign w:val="bottom"/>
            <w:shd w:val="clear" w:color="auto" w:fill="FCE9E8"/>
          </w:tcPr>
          <w:p>
            <w:pPr>
              <w:ind w:left="20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w:t>
            </w:r>
          </w:p>
        </w:tc>
        <w:tc>
          <w:tcPr>
            <w:tcW w:w="280" w:type="dxa"/>
            <w:vAlign w:val="bottom"/>
            <w:shd w:val="clear" w:color="auto" w:fill="FCE9E8"/>
          </w:tcPr>
          <w:p>
            <w:pPr>
              <w:ind w:left="20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CE9E8"/>
          </w:tcPr>
          <w:p>
            <w:pPr>
              <w:jc w:val="right"/>
              <w:ind w:right="128"/>
              <w:spacing w:after="0"/>
              <w:rPr>
                <w:sz w:val="20"/>
                <w:szCs w:val="20"/>
                <w:color w:val="auto"/>
              </w:rPr>
            </w:pPr>
            <w:r>
              <w:rPr>
                <w:rFonts w:ascii="Arial" w:cs="Arial" w:eastAsia="Arial" w:hAnsi="Arial"/>
                <w:sz w:val="14"/>
                <w:szCs w:val="14"/>
                <w:color w:val="auto"/>
              </w:rPr>
              <w:t>603,601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160" w:hanging="332"/>
        <w:spacing w:after="0" w:line="183" w:lineRule="auto"/>
        <w:tabs>
          <w:tab w:leader="none" w:pos="340" w:val="left"/>
        </w:tabs>
        <w:numPr>
          <w:ilvl w:val="0"/>
          <w:numId w:val="91"/>
        </w:numPr>
        <w:rPr>
          <w:rFonts w:ascii="Arial" w:cs="Arial" w:eastAsia="Arial" w:hAnsi="Arial"/>
          <w:sz w:val="24"/>
          <w:szCs w:val="24"/>
          <w:color w:val="auto"/>
          <w:vertAlign w:val="superscript"/>
        </w:rPr>
      </w:pPr>
      <w:r>
        <w:rPr>
          <w:rFonts w:ascii="Arial" w:cs="Arial" w:eastAsia="Arial" w:hAnsi="Arial"/>
          <w:sz w:val="14"/>
          <w:szCs w:val="14"/>
          <w:color w:val="auto"/>
        </w:rPr>
        <w:t>Salaried Retirement Restoration Program amounts are included in column (i) of the 2016 Summary Compensation Table. For Vested Career Shares, amounts represent the value of the Vested Career Shares (and accrued dividend equivalents) on November 13, 2016, the vesting date.</w:t>
      </w:r>
    </w:p>
    <w:p>
      <w:pPr>
        <w:spacing w:after="0" w:line="112"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49</w:t>
      </w:r>
    </w:p>
    <w:p>
      <w:pPr>
        <w:sectPr>
          <w:pgSz w:w="11900" w:h="16838" w:orient="portrait"/>
          <w:cols w:equalWidth="0" w:num="1">
            <w:col w:w="11420"/>
          </w:cols>
          <w:pgMar w:left="240" w:top="267"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142"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represent accrued dividend equivalents plus stock price appreciation or depreciation.</w:t>
      </w:r>
    </w:p>
    <w:p>
      <w:pPr>
        <w:spacing w:after="0" w:line="70" w:lineRule="exact"/>
        <w:rPr>
          <w:rFonts w:ascii="Arial" w:cs="Arial" w:eastAsia="Arial" w:hAnsi="Arial"/>
          <w:sz w:val="24"/>
          <w:szCs w:val="24"/>
          <w:color w:val="auto"/>
          <w:vertAlign w:val="superscript"/>
        </w:rPr>
      </w:pPr>
    </w:p>
    <w:p>
      <w:pPr>
        <w:jc w:val="both"/>
        <w:ind w:left="340" w:right="140" w:hanging="332"/>
        <w:spacing w:after="0" w:line="199"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For Mr. Larkin, the number in this column represents the value realized upon the delivery of shares of the Company’s common stock underlying the Vested Career Shares that had been considered vested in 2015 and 2016 due to Mr. Larkin turning age 62, based upon the closing price of the Company’s common stock on the date of delivery, December 11, 2016.</w:t>
      </w:r>
    </w:p>
    <w:p>
      <w:pPr>
        <w:spacing w:after="0" w:line="71"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92"/>
        </w:numPr>
        <w:rPr>
          <w:rFonts w:ascii="Arial" w:cs="Arial" w:eastAsia="Arial" w:hAnsi="Arial"/>
          <w:sz w:val="24"/>
          <w:szCs w:val="24"/>
          <w:color w:val="auto"/>
          <w:vertAlign w:val="superscript"/>
        </w:rPr>
      </w:pPr>
      <w:r>
        <w:rPr>
          <w:rFonts w:ascii="Arial" w:cs="Arial" w:eastAsia="Arial" w:hAnsi="Arial"/>
          <w:sz w:val="14"/>
          <w:szCs w:val="14"/>
          <w:color w:val="auto"/>
        </w:rPr>
        <w:t>For Vested Career Shares, amounts reflect the closing price of the Company’s common stock on December 31, 2016, which was $132.37, and accrued dividend equivalents (see the 2016 Options Exercised and Stock Vested table for more information).</w:t>
      </w:r>
    </w:p>
    <w:p>
      <w:pPr>
        <w:sectPr>
          <w:pgSz w:w="11900" w:h="16838" w:orient="portrait"/>
          <w:cols w:equalWidth="0" w:num="1">
            <w:col w:w="11320"/>
          </w:cols>
          <w:pgMar w:left="240" w:top="267" w:right="3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Salaried Retirement Restoration Program</w:t>
      </w:r>
    </w:p>
    <w:p>
      <w:pPr>
        <w:spacing w:after="0" w:line="192"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The defined contribution element of the Salaried Retirement Restoration Program is described in the narrative accompanying the 2016 Pension Benefits table above and is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Vested Career Shares</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included the Vested Career Shares in the 2016 Nonqualified Deferred Compensation table because they vested in a previous year(s) but distribution of the underlying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quantified in the 2016 Nonqualified Deferred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shares of common stock is deferred, as described above in the narrative on the Career Shares program accompanying the 2016 Grants of Plan-Based Awards table.</w:t>
      </w:r>
    </w:p>
    <w:p>
      <w:pPr>
        <w:spacing w:after="0" w:line="200" w:lineRule="exact"/>
        <w:rPr>
          <w:sz w:val="20"/>
          <w:szCs w:val="20"/>
          <w:color w:val="auto"/>
        </w:rPr>
      </w:pPr>
    </w:p>
    <w:p>
      <w:pPr>
        <w:sectPr>
          <w:pgSz w:w="11900" w:h="16838" w:orient="portrait"/>
          <w:cols w:equalWidth="0" w:num="2">
            <w:col w:w="5440" w:space="380"/>
            <w:col w:w="5500"/>
          </w:cols>
          <w:pgMar w:left="240" w:top="267" w:right="339"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23"/>
          <w:szCs w:val="23"/>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67" w:right="339"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estimates of the compensation payable to each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upon his termination of employment with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Company. The amount each executive will actually receive depends on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circumstances surrounding his termination of employment. The amount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payable is shown for each of six categories of termination triggers. All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amounts are calculated as if the executive terminated effective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Values of accelerated equity awards are based on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closing price of</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common stock on December 31, 2016, which was $132.37. The actual amounts due to any one of the Named Executive Officers on his termination of employment can only be determined at the time of his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562" w:lineRule="exact"/>
        <w:rPr>
          <w:sz w:val="20"/>
          <w:szCs w:val="20"/>
          <w:color w:val="auto"/>
        </w:rPr>
      </w:pPr>
    </w:p>
    <w:p>
      <w:pPr>
        <w:sectPr>
          <w:pgSz w:w="11900" w:h="16838" w:orient="portrait"/>
          <w:cols w:equalWidth="0" w:num="2">
            <w:col w:w="5380" w:space="440"/>
            <w:col w:w="5500"/>
          </w:cols>
          <w:pgMar w:left="240" w:top="267" w:right="339" w:bottom="1440" w:gutter="0" w:footer="0" w:header="0"/>
          <w:type w:val="continuous"/>
        </w:sectPr>
      </w:pPr>
    </w:p>
    <w:p>
      <w:pPr>
        <w:spacing w:after="0" w:line="77" w:lineRule="exact"/>
        <w:rPr>
          <w:sz w:val="20"/>
          <w:szCs w:val="20"/>
          <w:color w:val="auto"/>
        </w:rPr>
      </w:pPr>
    </w:p>
    <w:p>
      <w:pPr>
        <w:ind w:left="460" w:hanging="349"/>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20"/>
          </w:cols>
          <w:pgMar w:left="240" w:top="267" w:right="339" w:bottom="1440" w:gutter="0" w:footer="0" w:header="0"/>
          <w:type w:val="continuous"/>
        </w:sectPr>
      </w:pPr>
    </w:p>
    <w:bookmarkStart w:id="56" w:name="page57"/>
    <w:bookmarkEnd w:id="56"/>
    <w:p>
      <w:pPr>
        <w:ind w:left="9280"/>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6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Accrued amounts under the Company’s pension and deferred compensation plans are not included in this table. For these amounts, see the 2016 Pension Benefits table above and the 2016 Nonqualified Deferred Compensation table 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gridSpan w:val="2"/>
          </w:tcPr>
          <w:p>
            <w:pPr>
              <w:ind w:left="380"/>
              <w:spacing w:after="0"/>
              <w:rPr>
                <w:sz w:val="20"/>
                <w:szCs w:val="20"/>
                <w:color w:val="auto"/>
              </w:rPr>
            </w:pPr>
            <w:r>
              <w:rPr>
                <w:rFonts w:ascii="Arial" w:cs="Arial" w:eastAsia="Arial" w:hAnsi="Arial"/>
                <w:sz w:val="14"/>
                <w:szCs w:val="14"/>
                <w:b w:val="1"/>
                <w:bCs w:val="1"/>
                <w:color w:val="E2231A"/>
              </w:rPr>
              <w:t>Accelerated</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E2231A"/>
              </w:rPr>
              <w:t>Named Executive Officer</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Continuation of</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Vesting or</w:t>
            </w: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E2231A"/>
              </w:rPr>
              <w:t>Medical/Welfare</w:t>
            </w:r>
          </w:p>
        </w:tc>
        <w:tc>
          <w:tcPr>
            <w:tcW w:w="460" w:type="dxa"/>
            <w:vAlign w:val="bottom"/>
          </w:tcPr>
          <w:p>
            <w:pPr>
              <w:spacing w:after="0"/>
              <w:rPr>
                <w:sz w:val="12"/>
                <w:szCs w:val="12"/>
                <w:color w:val="auto"/>
              </w:rPr>
            </w:pPr>
          </w:p>
        </w:tc>
        <w:tc>
          <w:tcPr>
            <w:tcW w:w="1100" w:type="dxa"/>
            <w:vAlign w:val="bottom"/>
          </w:tcPr>
          <w:p>
            <w:pPr>
              <w:jc w:val="center"/>
              <w:ind w:right="368"/>
              <w:spacing w:after="0" w:line="149" w:lineRule="exact"/>
              <w:rPr>
                <w:sz w:val="20"/>
                <w:szCs w:val="20"/>
                <w:color w:val="auto"/>
              </w:rPr>
            </w:pPr>
            <w:r>
              <w:rPr>
                <w:rFonts w:ascii="Arial" w:cs="Arial" w:eastAsia="Arial" w:hAnsi="Arial"/>
                <w:sz w:val="14"/>
                <w:szCs w:val="14"/>
                <w:b w:val="1"/>
                <w:bCs w:val="1"/>
                <w:color w:val="E2231A"/>
              </w:rPr>
              <w:t>Payout of</w:t>
            </w:r>
          </w:p>
        </w:tc>
        <w:tc>
          <w:tcPr>
            <w:tcW w:w="460" w:type="dxa"/>
            <w:vAlign w:val="bottom"/>
          </w:tcPr>
          <w:p>
            <w:pPr>
              <w:spacing w:after="0"/>
              <w:rPr>
                <w:sz w:val="12"/>
                <w:szCs w:val="12"/>
                <w:color w:val="auto"/>
              </w:rPr>
            </w:pPr>
          </w:p>
        </w:tc>
        <w:tc>
          <w:tcPr>
            <w:tcW w:w="1160" w:type="dxa"/>
            <w:vAlign w:val="bottom"/>
          </w:tcPr>
          <w:p>
            <w:pPr>
              <w:jc w:val="right"/>
              <w:ind w:right="588"/>
              <w:spacing w:after="0" w:line="149" w:lineRule="exact"/>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b w:val="1"/>
                <w:bCs w:val="1"/>
                <w:color w:val="E2231A"/>
              </w:rPr>
              <w:t>and</w:t>
            </w:r>
          </w:p>
        </w:tc>
        <w:tc>
          <w:tcPr>
            <w:tcW w:w="340" w:type="dxa"/>
            <w:vAlign w:val="bottom"/>
          </w:tcPr>
          <w:p>
            <w:pPr>
              <w:spacing w:after="0"/>
              <w:rPr>
                <w:sz w:val="14"/>
                <w:szCs w:val="14"/>
                <w:color w:val="auto"/>
              </w:rPr>
            </w:pPr>
          </w:p>
        </w:tc>
        <w:tc>
          <w:tcPr>
            <w:tcW w:w="1040" w:type="dxa"/>
            <w:vAlign w:val="bottom"/>
          </w:tcPr>
          <w:p>
            <w:pPr>
              <w:jc w:val="right"/>
              <w:ind w:right="508"/>
              <w:spacing w:after="0"/>
              <w:rPr>
                <w:sz w:val="20"/>
                <w:szCs w:val="20"/>
                <w:color w:val="auto"/>
              </w:rPr>
            </w:pPr>
            <w:r>
              <w:rPr>
                <w:rFonts w:ascii="Arial" w:cs="Arial" w:eastAsia="Arial" w:hAnsi="Arial"/>
                <w:sz w:val="14"/>
                <w:szCs w:val="14"/>
                <w:b w:val="1"/>
                <w:bCs w:val="1"/>
                <w:color w:val="E2231A"/>
              </w:rPr>
              <w:t>Cash</w:t>
            </w:r>
          </w:p>
        </w:tc>
        <w:tc>
          <w:tcPr>
            <w:tcW w:w="1880" w:type="dxa"/>
            <w:vAlign w:val="bottom"/>
            <w:gridSpan w:val="2"/>
          </w:tcPr>
          <w:p>
            <w:pPr>
              <w:ind w:left="320"/>
              <w:spacing w:after="0"/>
              <w:rPr>
                <w:sz w:val="20"/>
                <w:szCs w:val="20"/>
                <w:color w:val="auto"/>
              </w:rPr>
            </w:pPr>
            <w:r>
              <w:rPr>
                <w:rFonts w:ascii="Arial" w:cs="Arial" w:eastAsia="Arial" w:hAnsi="Arial"/>
                <w:sz w:val="14"/>
                <w:szCs w:val="14"/>
                <w:b w:val="1"/>
                <w:bCs w:val="1"/>
                <w:color w:val="E2231A"/>
              </w:rPr>
              <w:t>Benefits (Present</w:t>
            </w:r>
          </w:p>
        </w:tc>
        <w:tc>
          <w:tcPr>
            <w:tcW w:w="460" w:type="dxa"/>
            <w:vAlign w:val="bottom"/>
          </w:tcPr>
          <w:p>
            <w:pPr>
              <w:spacing w:after="0"/>
              <w:rPr>
                <w:sz w:val="14"/>
                <w:szCs w:val="14"/>
                <w:color w:val="auto"/>
              </w:rPr>
            </w:pPr>
          </w:p>
        </w:tc>
        <w:tc>
          <w:tcPr>
            <w:tcW w:w="1100" w:type="dxa"/>
            <w:vAlign w:val="bottom"/>
          </w:tcPr>
          <w:p>
            <w:pPr>
              <w:jc w:val="center"/>
              <w:ind w:right="388"/>
              <w:spacing w:after="0"/>
              <w:rPr>
                <w:sz w:val="20"/>
                <w:szCs w:val="20"/>
                <w:color w:val="auto"/>
              </w:rPr>
            </w:pPr>
            <w:r>
              <w:rPr>
                <w:rFonts w:ascii="Arial" w:cs="Arial" w:eastAsia="Arial" w:hAnsi="Arial"/>
                <w:sz w:val="14"/>
                <w:szCs w:val="14"/>
                <w:b w:val="1"/>
                <w:bCs w:val="1"/>
                <w:color w:val="E2231A"/>
              </w:rPr>
              <w:t>Equity</w:t>
            </w:r>
          </w:p>
        </w:tc>
        <w:tc>
          <w:tcPr>
            <w:tcW w:w="1620" w:type="dxa"/>
            <w:vAlign w:val="bottom"/>
            <w:gridSpan w:val="2"/>
          </w:tcPr>
          <w:p>
            <w:pPr>
              <w:ind w:left="380"/>
              <w:spacing w:after="0"/>
              <w:rPr>
                <w:sz w:val="20"/>
                <w:szCs w:val="20"/>
                <w:color w:val="auto"/>
              </w:rPr>
            </w:pPr>
            <w:r>
              <w:rPr>
                <w:rFonts w:ascii="Arial" w:cs="Arial" w:eastAsia="Arial" w:hAnsi="Arial"/>
                <w:sz w:val="14"/>
                <w:szCs w:val="14"/>
                <w:b w:val="1"/>
                <w:bCs w:val="1"/>
                <w:color w:val="E2231A"/>
              </w:rPr>
              <w:t>Termination</w:t>
            </w:r>
          </w:p>
        </w:tc>
        <w:tc>
          <w:tcPr>
            <w:tcW w:w="0" w:type="dxa"/>
            <w:vAlign w:val="bottom"/>
          </w:tcPr>
          <w:p>
            <w:pPr>
              <w:spacing w:after="0"/>
              <w:rPr>
                <w:sz w:val="1"/>
                <w:szCs w:val="1"/>
                <w:color w:val="auto"/>
              </w:rPr>
            </w:pPr>
          </w:p>
        </w:tc>
      </w:tr>
      <w:tr>
        <w:trPr>
          <w:trHeight w:val="189"/>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Triggering Event</w:t>
            </w:r>
          </w:p>
        </w:tc>
        <w:tc>
          <w:tcPr>
            <w:tcW w:w="1380" w:type="dxa"/>
            <w:vAlign w:val="bottom"/>
            <w:tcBorders>
              <w:bottom w:val="single" w:sz="8" w:color="auto"/>
            </w:tcBorders>
            <w:gridSpan w:val="2"/>
          </w:tcPr>
          <w:p>
            <w:pPr>
              <w:ind w:left="200"/>
              <w:spacing w:after="0" w:line="189" w:lineRule="exact"/>
              <w:rPr>
                <w:sz w:val="20"/>
                <w:szCs w:val="20"/>
                <w:color w:val="auto"/>
              </w:rPr>
            </w:pPr>
            <w:r>
              <w:rPr>
                <w:rFonts w:ascii="Arial" w:cs="Arial" w:eastAsia="Arial" w:hAnsi="Arial"/>
                <w:sz w:val="13"/>
                <w:szCs w:val="13"/>
                <w:b w:val="1"/>
                <w:bCs w:val="1"/>
                <w:color w:val="E2231A"/>
              </w:rPr>
              <w:t>Severance</w:t>
            </w:r>
            <w:r>
              <w:rPr>
                <w:rFonts w:ascii="Arial" w:cs="Arial" w:eastAsia="Arial" w:hAnsi="Arial"/>
                <w:sz w:val="21"/>
                <w:szCs w:val="21"/>
                <w:b w:val="1"/>
                <w:bCs w:val="1"/>
                <w:color w:val="E2231A"/>
                <w:vertAlign w:val="superscript"/>
              </w:rPr>
              <w:t>(1)</w:t>
            </w:r>
          </w:p>
        </w:tc>
        <w:tc>
          <w:tcPr>
            <w:tcW w:w="5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08"/>
              <w:spacing w:after="0" w:line="189" w:lineRule="exact"/>
              <w:rPr>
                <w:sz w:val="20"/>
                <w:szCs w:val="20"/>
                <w:color w:val="auto"/>
              </w:rPr>
            </w:pPr>
            <w:r>
              <w:rPr>
                <w:rFonts w:ascii="Arial" w:cs="Arial" w:eastAsia="Arial" w:hAnsi="Arial"/>
                <w:sz w:val="13"/>
                <w:szCs w:val="13"/>
                <w:b w:val="1"/>
                <w:bCs w:val="1"/>
                <w:color w:val="E2231A"/>
              </w:rPr>
              <w:t>Value)</w:t>
            </w:r>
            <w:r>
              <w:rPr>
                <w:rFonts w:ascii="Arial" w:cs="Arial" w:eastAsia="Arial" w:hAnsi="Arial"/>
                <w:sz w:val="21"/>
                <w:szCs w:val="21"/>
                <w:b w:val="1"/>
                <w:bCs w:val="1"/>
                <w:color w:val="E2231A"/>
                <w:vertAlign w:val="superscript"/>
              </w:rPr>
              <w:t>(2)</w:t>
            </w: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68"/>
              <w:spacing w:after="0" w:line="189" w:lineRule="exact"/>
              <w:rPr>
                <w:sz w:val="20"/>
                <w:szCs w:val="20"/>
                <w:color w:val="auto"/>
              </w:rPr>
            </w:pPr>
            <w:r>
              <w:rPr>
                <w:rFonts w:ascii="Arial" w:cs="Arial" w:eastAsia="Arial" w:hAnsi="Arial"/>
                <w:sz w:val="13"/>
                <w:szCs w:val="13"/>
                <w:b w:val="1"/>
                <w:bCs w:val="1"/>
                <w:color w:val="E2231A"/>
              </w:rPr>
              <w:t>Awards</w:t>
            </w:r>
            <w:r>
              <w:rPr>
                <w:rFonts w:ascii="Arial" w:cs="Arial" w:eastAsia="Arial" w:hAnsi="Arial"/>
                <w:sz w:val="21"/>
                <w:szCs w:val="21"/>
                <w:b w:val="1"/>
                <w:bCs w:val="1"/>
                <w:color w:val="E2231A"/>
                <w:vertAlign w:val="superscript"/>
              </w:rPr>
              <w:t>(3)</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E2231A"/>
              </w:rPr>
              <w:t>Benefits</w:t>
            </w:r>
          </w:p>
        </w:tc>
        <w:tc>
          <w:tcPr>
            <w:tcW w:w="0" w:type="dxa"/>
            <w:vAlign w:val="bottom"/>
          </w:tcPr>
          <w:p>
            <w:pPr>
              <w:spacing w:after="0"/>
              <w:rPr>
                <w:sz w:val="1"/>
                <w:szCs w:val="1"/>
                <w:color w:val="auto"/>
              </w:rPr>
            </w:pPr>
          </w:p>
        </w:tc>
      </w:tr>
      <w:tr>
        <w:trPr>
          <w:trHeight w:val="156"/>
        </w:trPr>
        <w:tc>
          <w:tcPr>
            <w:tcW w:w="4980" w:type="dxa"/>
            <w:vAlign w:val="bottom"/>
            <w:tcBorders>
              <w:bottom w:val="single" w:sz="8" w:color="auto"/>
            </w:tcBorders>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Matthew J. Simoncini</w:t>
            </w:r>
          </w:p>
        </w:tc>
        <w:tc>
          <w:tcPr>
            <w:tcW w:w="340" w:type="dxa"/>
            <w:vAlign w:val="bottom"/>
            <w:tcBorders>
              <w:bottom w:val="single" w:sz="8" w:color="auto"/>
            </w:tcBorders>
            <w:shd w:val="clear" w:color="auto" w:fill="FCE9E8"/>
          </w:tcPr>
          <w:p>
            <w:pPr>
              <w:spacing w:after="0"/>
              <w:rPr>
                <w:sz w:val="13"/>
                <w:szCs w:val="13"/>
                <w:color w:val="auto"/>
              </w:rPr>
            </w:pPr>
          </w:p>
        </w:tc>
        <w:tc>
          <w:tcPr>
            <w:tcW w:w="1040" w:type="dxa"/>
            <w:vAlign w:val="bottom"/>
            <w:tcBorders>
              <w:bottom w:val="single" w:sz="8" w:color="auto"/>
            </w:tcBorders>
            <w:shd w:val="clear" w:color="auto" w:fill="FCE9E8"/>
          </w:tcPr>
          <w:p>
            <w:pPr>
              <w:spacing w:after="0"/>
              <w:rPr>
                <w:sz w:val="13"/>
                <w:szCs w:val="13"/>
                <w:color w:val="auto"/>
              </w:rPr>
            </w:pPr>
          </w:p>
        </w:tc>
        <w:tc>
          <w:tcPr>
            <w:tcW w:w="520" w:type="dxa"/>
            <w:vAlign w:val="bottom"/>
            <w:tcBorders>
              <w:bottom w:val="single" w:sz="8" w:color="auto"/>
            </w:tcBorders>
            <w:shd w:val="clear" w:color="auto" w:fill="FCE9E8"/>
          </w:tcPr>
          <w:p>
            <w:pPr>
              <w:spacing w:after="0"/>
              <w:rPr>
                <w:sz w:val="13"/>
                <w:szCs w:val="13"/>
                <w:color w:val="auto"/>
              </w:rPr>
            </w:pPr>
          </w:p>
        </w:tc>
        <w:tc>
          <w:tcPr>
            <w:tcW w:w="136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0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Arial" w:cs="Arial" w:eastAsia="Arial" w:hAnsi="Arial"/>
                <w:sz w:val="14"/>
                <w:szCs w:val="14"/>
                <w:color w:val="auto"/>
              </w:rPr>
              <w:t>• Involuntary Termination without Cause (or for Good Reason) With Change</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60"/>
              <w:spacing w:after="0"/>
              <w:rPr>
                <w:sz w:val="20"/>
                <w:szCs w:val="20"/>
                <w:color w:val="auto"/>
              </w:rPr>
            </w:pPr>
            <w:r>
              <w:rPr>
                <w:rFonts w:ascii="Arial" w:cs="Arial" w:eastAsia="Arial" w:hAnsi="Arial"/>
                <w:sz w:val="14"/>
                <w:szCs w:val="14"/>
                <w:color w:val="auto"/>
              </w:rPr>
              <w:t>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6,741,000</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29,311</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24,159,282</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30,929,593</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6,741,000</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29,311</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16,539,905</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23,310,216</w:t>
            </w:r>
          </w:p>
        </w:tc>
        <w:tc>
          <w:tcPr>
            <w:tcW w:w="0" w:type="dxa"/>
            <w:vAlign w:val="bottom"/>
          </w:tcPr>
          <w:p>
            <w:pPr>
              <w:spacing w:after="0"/>
              <w:rPr>
                <w:sz w:val="1"/>
                <w:szCs w:val="1"/>
                <w:color w:val="auto"/>
              </w:rPr>
            </w:pPr>
          </w:p>
        </w:tc>
      </w:tr>
      <w:tr>
        <w:trPr>
          <w:trHeight w:val="170"/>
        </w:trPr>
        <w:tc>
          <w:tcPr>
            <w:tcW w:w="4980" w:type="dxa"/>
            <w:vAlign w:val="bottom"/>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14,361,244</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14,361,244</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980" w:type="dxa"/>
            <w:vAlign w:val="bottom"/>
            <w:tcBorders>
              <w:bottom w:val="single" w:sz="8" w:color="auto"/>
            </w:tcBorders>
          </w:tcPr>
          <w:p>
            <w:pPr>
              <w:spacing w:after="0" w:line="164" w:lineRule="exact"/>
              <w:rPr>
                <w:sz w:val="20"/>
                <w:szCs w:val="20"/>
                <w:color w:val="auto"/>
              </w:rPr>
            </w:pPr>
            <w:r>
              <w:rPr>
                <w:rFonts w:ascii="Arial" w:cs="Arial" w:eastAsia="Arial" w:hAnsi="Arial"/>
                <w:sz w:val="12"/>
                <w:szCs w:val="12"/>
                <w:color w:val="auto"/>
              </w:rPr>
              <w:t>• Disability or Death</w:t>
            </w:r>
            <w:r>
              <w:rPr>
                <w:rFonts w:ascii="Arial" w:cs="Arial" w:eastAsia="Arial" w:hAnsi="Arial"/>
                <w:sz w:val="19"/>
                <w:szCs w:val="19"/>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17,223,288</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17,223,288</w:t>
            </w:r>
          </w:p>
        </w:tc>
        <w:tc>
          <w:tcPr>
            <w:tcW w:w="0" w:type="dxa"/>
            <w:vAlign w:val="bottom"/>
          </w:tcPr>
          <w:p>
            <w:pPr>
              <w:spacing w:after="0"/>
              <w:rPr>
                <w:sz w:val="1"/>
                <w:szCs w:val="1"/>
                <w:color w:val="auto"/>
              </w:rPr>
            </w:pPr>
          </w:p>
        </w:tc>
      </w:tr>
      <w:tr>
        <w:trPr>
          <w:trHeight w:val="156"/>
        </w:trPr>
        <w:tc>
          <w:tcPr>
            <w:tcW w:w="4980" w:type="dxa"/>
            <w:vAlign w:val="bottom"/>
            <w:tcBorders>
              <w:bottom w:val="single" w:sz="8" w:color="auto"/>
            </w:tcBorders>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Jeffrey H. Vanneste</w:t>
            </w:r>
          </w:p>
        </w:tc>
        <w:tc>
          <w:tcPr>
            <w:tcW w:w="340" w:type="dxa"/>
            <w:vAlign w:val="bottom"/>
            <w:tcBorders>
              <w:bottom w:val="single" w:sz="8" w:color="auto"/>
            </w:tcBorders>
            <w:shd w:val="clear" w:color="auto" w:fill="FCE9E8"/>
          </w:tcPr>
          <w:p>
            <w:pPr>
              <w:spacing w:after="0"/>
              <w:rPr>
                <w:sz w:val="13"/>
                <w:szCs w:val="13"/>
                <w:color w:val="auto"/>
              </w:rPr>
            </w:pPr>
          </w:p>
        </w:tc>
        <w:tc>
          <w:tcPr>
            <w:tcW w:w="1040" w:type="dxa"/>
            <w:vAlign w:val="bottom"/>
            <w:tcBorders>
              <w:bottom w:val="single" w:sz="8" w:color="auto"/>
            </w:tcBorders>
            <w:shd w:val="clear" w:color="auto" w:fill="FCE9E8"/>
          </w:tcPr>
          <w:p>
            <w:pPr>
              <w:spacing w:after="0"/>
              <w:rPr>
                <w:sz w:val="13"/>
                <w:szCs w:val="13"/>
                <w:color w:val="auto"/>
              </w:rPr>
            </w:pPr>
          </w:p>
        </w:tc>
        <w:tc>
          <w:tcPr>
            <w:tcW w:w="520" w:type="dxa"/>
            <w:vAlign w:val="bottom"/>
            <w:tcBorders>
              <w:bottom w:val="single" w:sz="8" w:color="auto"/>
            </w:tcBorders>
            <w:shd w:val="clear" w:color="auto" w:fill="FCE9E8"/>
          </w:tcPr>
          <w:p>
            <w:pPr>
              <w:spacing w:after="0"/>
              <w:rPr>
                <w:sz w:val="13"/>
                <w:szCs w:val="13"/>
                <w:color w:val="auto"/>
              </w:rPr>
            </w:pPr>
          </w:p>
        </w:tc>
        <w:tc>
          <w:tcPr>
            <w:tcW w:w="136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0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Arial" w:cs="Arial" w:eastAsia="Arial" w:hAnsi="Arial"/>
                <w:sz w:val="14"/>
                <w:szCs w:val="14"/>
                <w:color w:val="auto"/>
              </w:rPr>
              <w:t>• Involuntary Termination without Cause (or for Good Reason) With Change</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60"/>
              <w:spacing w:after="0"/>
              <w:rPr>
                <w:sz w:val="20"/>
                <w:szCs w:val="20"/>
                <w:color w:val="auto"/>
              </w:rPr>
            </w:pPr>
            <w:r>
              <w:rPr>
                <w:rFonts w:ascii="Arial" w:cs="Arial" w:eastAsia="Arial" w:hAnsi="Arial"/>
                <w:sz w:val="14"/>
                <w:szCs w:val="14"/>
                <w:color w:val="auto"/>
              </w:rPr>
              <w:t>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2,887,500</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29,311</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6,345,503</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9,262,314</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2,887,500</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29,311</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4,349,606</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7,266,417</w:t>
            </w:r>
          </w:p>
        </w:tc>
        <w:tc>
          <w:tcPr>
            <w:tcW w:w="0" w:type="dxa"/>
            <w:vAlign w:val="bottom"/>
          </w:tcPr>
          <w:p>
            <w:pPr>
              <w:spacing w:after="0"/>
              <w:rPr>
                <w:sz w:val="1"/>
                <w:szCs w:val="1"/>
                <w:color w:val="auto"/>
              </w:rPr>
            </w:pPr>
          </w:p>
        </w:tc>
      </w:tr>
      <w:tr>
        <w:trPr>
          <w:trHeight w:val="170"/>
        </w:trPr>
        <w:tc>
          <w:tcPr>
            <w:tcW w:w="4980" w:type="dxa"/>
            <w:vAlign w:val="bottom"/>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3,811,787</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3,811,787</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980" w:type="dxa"/>
            <w:vAlign w:val="bottom"/>
            <w:tcBorders>
              <w:bottom w:val="single" w:sz="8" w:color="auto"/>
            </w:tcBorders>
          </w:tcPr>
          <w:p>
            <w:pPr>
              <w:spacing w:after="0" w:line="164" w:lineRule="exact"/>
              <w:rPr>
                <w:sz w:val="20"/>
                <w:szCs w:val="20"/>
                <w:color w:val="auto"/>
              </w:rPr>
            </w:pPr>
            <w:r>
              <w:rPr>
                <w:rFonts w:ascii="Arial" w:cs="Arial" w:eastAsia="Arial" w:hAnsi="Arial"/>
                <w:sz w:val="12"/>
                <w:szCs w:val="12"/>
                <w:color w:val="auto"/>
              </w:rPr>
              <w:t>• Disability or Death</w:t>
            </w:r>
            <w:r>
              <w:rPr>
                <w:rFonts w:ascii="Arial" w:cs="Arial" w:eastAsia="Arial" w:hAnsi="Arial"/>
                <w:sz w:val="19"/>
                <w:szCs w:val="19"/>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4,638,694</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4,638,694</w:t>
            </w:r>
          </w:p>
        </w:tc>
        <w:tc>
          <w:tcPr>
            <w:tcW w:w="0" w:type="dxa"/>
            <w:vAlign w:val="bottom"/>
          </w:tcPr>
          <w:p>
            <w:pPr>
              <w:spacing w:after="0"/>
              <w:rPr>
                <w:sz w:val="1"/>
                <w:szCs w:val="1"/>
                <w:color w:val="auto"/>
              </w:rPr>
            </w:pPr>
          </w:p>
        </w:tc>
      </w:tr>
      <w:tr>
        <w:trPr>
          <w:trHeight w:val="156"/>
        </w:trPr>
        <w:tc>
          <w:tcPr>
            <w:tcW w:w="4980" w:type="dxa"/>
            <w:vAlign w:val="bottom"/>
            <w:tcBorders>
              <w:bottom w:val="single" w:sz="8" w:color="auto"/>
            </w:tcBorders>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Raymond E. Scott</w:t>
            </w:r>
          </w:p>
        </w:tc>
        <w:tc>
          <w:tcPr>
            <w:tcW w:w="340" w:type="dxa"/>
            <w:vAlign w:val="bottom"/>
            <w:tcBorders>
              <w:bottom w:val="single" w:sz="8" w:color="auto"/>
            </w:tcBorders>
            <w:shd w:val="clear" w:color="auto" w:fill="FCE9E8"/>
          </w:tcPr>
          <w:p>
            <w:pPr>
              <w:spacing w:after="0"/>
              <w:rPr>
                <w:sz w:val="13"/>
                <w:szCs w:val="13"/>
                <w:color w:val="auto"/>
              </w:rPr>
            </w:pPr>
          </w:p>
        </w:tc>
        <w:tc>
          <w:tcPr>
            <w:tcW w:w="1040" w:type="dxa"/>
            <w:vAlign w:val="bottom"/>
            <w:tcBorders>
              <w:bottom w:val="single" w:sz="8" w:color="auto"/>
            </w:tcBorders>
            <w:shd w:val="clear" w:color="auto" w:fill="FCE9E8"/>
          </w:tcPr>
          <w:p>
            <w:pPr>
              <w:spacing w:after="0"/>
              <w:rPr>
                <w:sz w:val="13"/>
                <w:szCs w:val="13"/>
                <w:color w:val="auto"/>
              </w:rPr>
            </w:pPr>
          </w:p>
        </w:tc>
        <w:tc>
          <w:tcPr>
            <w:tcW w:w="520" w:type="dxa"/>
            <w:vAlign w:val="bottom"/>
            <w:tcBorders>
              <w:bottom w:val="single" w:sz="8" w:color="auto"/>
            </w:tcBorders>
            <w:shd w:val="clear" w:color="auto" w:fill="FCE9E8"/>
          </w:tcPr>
          <w:p>
            <w:pPr>
              <w:spacing w:after="0"/>
              <w:rPr>
                <w:sz w:val="13"/>
                <w:szCs w:val="13"/>
                <w:color w:val="auto"/>
              </w:rPr>
            </w:pPr>
          </w:p>
        </w:tc>
        <w:tc>
          <w:tcPr>
            <w:tcW w:w="136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0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Arial" w:cs="Arial" w:eastAsia="Arial" w:hAnsi="Arial"/>
                <w:sz w:val="14"/>
                <w:szCs w:val="14"/>
                <w:color w:val="auto"/>
              </w:rPr>
              <w:t>• Involuntary Termination without Cause (or for Good Reason) With Change</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60"/>
              <w:spacing w:after="0"/>
              <w:rPr>
                <w:sz w:val="20"/>
                <w:szCs w:val="20"/>
                <w:color w:val="auto"/>
              </w:rPr>
            </w:pPr>
            <w:r>
              <w:rPr>
                <w:rFonts w:ascii="Arial" w:cs="Arial" w:eastAsia="Arial" w:hAnsi="Arial"/>
                <w:sz w:val="14"/>
                <w:szCs w:val="14"/>
                <w:color w:val="auto"/>
              </w:rPr>
              <w:t>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2,982,900</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26,057</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7,064,228</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10,073,185</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2,982,900</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26,057</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4,871,573</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7,880,530</w:t>
            </w:r>
          </w:p>
        </w:tc>
        <w:tc>
          <w:tcPr>
            <w:tcW w:w="0" w:type="dxa"/>
            <w:vAlign w:val="bottom"/>
          </w:tcPr>
          <w:p>
            <w:pPr>
              <w:spacing w:after="0"/>
              <w:rPr>
                <w:sz w:val="1"/>
                <w:szCs w:val="1"/>
                <w:color w:val="auto"/>
              </w:rPr>
            </w:pPr>
          </w:p>
        </w:tc>
      </w:tr>
      <w:tr>
        <w:trPr>
          <w:trHeight w:val="170"/>
        </w:trPr>
        <w:tc>
          <w:tcPr>
            <w:tcW w:w="4980" w:type="dxa"/>
            <w:vAlign w:val="bottom"/>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34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5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N/A</w:t>
            </w:r>
          </w:p>
        </w:tc>
        <w:tc>
          <w:tcPr>
            <w:tcW w:w="46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N/A</w:t>
            </w:r>
          </w:p>
        </w:tc>
        <w:tc>
          <w:tcPr>
            <w:tcW w:w="46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980" w:type="dxa"/>
            <w:vAlign w:val="bottom"/>
            <w:tcBorders>
              <w:bottom w:val="single" w:sz="8" w:color="auto"/>
            </w:tcBorders>
          </w:tcPr>
          <w:p>
            <w:pPr>
              <w:spacing w:after="0" w:line="164" w:lineRule="exact"/>
              <w:rPr>
                <w:sz w:val="20"/>
                <w:szCs w:val="20"/>
                <w:color w:val="auto"/>
              </w:rPr>
            </w:pPr>
            <w:r>
              <w:rPr>
                <w:rFonts w:ascii="Arial" w:cs="Arial" w:eastAsia="Arial" w:hAnsi="Arial"/>
                <w:sz w:val="12"/>
                <w:szCs w:val="12"/>
                <w:color w:val="auto"/>
              </w:rPr>
              <w:t>• Disability or Death</w:t>
            </w:r>
            <w:r>
              <w:rPr>
                <w:rFonts w:ascii="Arial" w:cs="Arial" w:eastAsia="Arial" w:hAnsi="Arial"/>
                <w:sz w:val="19"/>
                <w:szCs w:val="19"/>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5,160,661</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5,160,661</w:t>
            </w:r>
          </w:p>
        </w:tc>
        <w:tc>
          <w:tcPr>
            <w:tcW w:w="0" w:type="dxa"/>
            <w:vAlign w:val="bottom"/>
          </w:tcPr>
          <w:p>
            <w:pPr>
              <w:spacing w:after="0"/>
              <w:rPr>
                <w:sz w:val="1"/>
                <w:szCs w:val="1"/>
                <w:color w:val="auto"/>
              </w:rPr>
            </w:pPr>
          </w:p>
        </w:tc>
      </w:tr>
      <w:tr>
        <w:trPr>
          <w:trHeight w:val="156"/>
        </w:trPr>
        <w:tc>
          <w:tcPr>
            <w:tcW w:w="4980" w:type="dxa"/>
            <w:vAlign w:val="bottom"/>
            <w:tcBorders>
              <w:bottom w:val="single" w:sz="8" w:color="auto"/>
            </w:tcBorders>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Terrence B. Larkin</w:t>
            </w:r>
          </w:p>
        </w:tc>
        <w:tc>
          <w:tcPr>
            <w:tcW w:w="340" w:type="dxa"/>
            <w:vAlign w:val="bottom"/>
            <w:tcBorders>
              <w:bottom w:val="single" w:sz="8" w:color="auto"/>
            </w:tcBorders>
            <w:shd w:val="clear" w:color="auto" w:fill="FCE9E8"/>
          </w:tcPr>
          <w:p>
            <w:pPr>
              <w:spacing w:after="0"/>
              <w:rPr>
                <w:sz w:val="13"/>
                <w:szCs w:val="13"/>
                <w:color w:val="auto"/>
              </w:rPr>
            </w:pPr>
          </w:p>
        </w:tc>
        <w:tc>
          <w:tcPr>
            <w:tcW w:w="1040" w:type="dxa"/>
            <w:vAlign w:val="bottom"/>
            <w:tcBorders>
              <w:bottom w:val="single" w:sz="8" w:color="auto"/>
            </w:tcBorders>
            <w:shd w:val="clear" w:color="auto" w:fill="FCE9E8"/>
          </w:tcPr>
          <w:p>
            <w:pPr>
              <w:spacing w:after="0"/>
              <w:rPr>
                <w:sz w:val="13"/>
                <w:szCs w:val="13"/>
                <w:color w:val="auto"/>
              </w:rPr>
            </w:pPr>
          </w:p>
        </w:tc>
        <w:tc>
          <w:tcPr>
            <w:tcW w:w="520" w:type="dxa"/>
            <w:vAlign w:val="bottom"/>
            <w:tcBorders>
              <w:bottom w:val="single" w:sz="8" w:color="auto"/>
            </w:tcBorders>
            <w:shd w:val="clear" w:color="auto" w:fill="FCE9E8"/>
          </w:tcPr>
          <w:p>
            <w:pPr>
              <w:spacing w:after="0"/>
              <w:rPr>
                <w:sz w:val="13"/>
                <w:szCs w:val="13"/>
                <w:color w:val="auto"/>
              </w:rPr>
            </w:pPr>
          </w:p>
        </w:tc>
        <w:tc>
          <w:tcPr>
            <w:tcW w:w="136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0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Arial" w:cs="Arial" w:eastAsia="Arial" w:hAnsi="Arial"/>
                <w:sz w:val="14"/>
                <w:szCs w:val="14"/>
                <w:color w:val="auto"/>
              </w:rPr>
              <w:t>• Involuntary Termination without Cause (or for Good Reason) With Change</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60"/>
              <w:spacing w:after="0"/>
              <w:rPr>
                <w:sz w:val="20"/>
                <w:szCs w:val="20"/>
                <w:color w:val="auto"/>
              </w:rPr>
            </w:pPr>
            <w:r>
              <w:rPr>
                <w:rFonts w:ascii="Arial" w:cs="Arial" w:eastAsia="Arial" w:hAnsi="Arial"/>
                <w:sz w:val="14"/>
                <w:szCs w:val="14"/>
                <w:color w:val="auto"/>
              </w:rPr>
              <w:t>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2,982,900</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33,053</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7,064,228</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10,080,181</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2,982,900</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33,053</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4,871,573</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7,887,526</w:t>
            </w:r>
          </w:p>
        </w:tc>
        <w:tc>
          <w:tcPr>
            <w:tcW w:w="0" w:type="dxa"/>
            <w:vAlign w:val="bottom"/>
          </w:tcPr>
          <w:p>
            <w:pPr>
              <w:spacing w:after="0"/>
              <w:rPr>
                <w:sz w:val="1"/>
                <w:szCs w:val="1"/>
                <w:color w:val="auto"/>
              </w:rPr>
            </w:pPr>
          </w:p>
        </w:tc>
      </w:tr>
      <w:tr>
        <w:trPr>
          <w:trHeight w:val="170"/>
        </w:trPr>
        <w:tc>
          <w:tcPr>
            <w:tcW w:w="4980" w:type="dxa"/>
            <w:vAlign w:val="bottom"/>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4,277,380</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4,277,380</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980" w:type="dxa"/>
            <w:vAlign w:val="bottom"/>
            <w:tcBorders>
              <w:bottom w:val="single" w:sz="8" w:color="auto"/>
            </w:tcBorders>
          </w:tcPr>
          <w:p>
            <w:pPr>
              <w:spacing w:after="0" w:line="164" w:lineRule="exact"/>
              <w:rPr>
                <w:sz w:val="20"/>
                <w:szCs w:val="20"/>
                <w:color w:val="auto"/>
              </w:rPr>
            </w:pPr>
            <w:r>
              <w:rPr>
                <w:rFonts w:ascii="Arial" w:cs="Arial" w:eastAsia="Arial" w:hAnsi="Arial"/>
                <w:sz w:val="12"/>
                <w:szCs w:val="12"/>
                <w:color w:val="auto"/>
              </w:rPr>
              <w:t>• Disability or Death</w:t>
            </w:r>
            <w:r>
              <w:rPr>
                <w:rFonts w:ascii="Arial" w:cs="Arial" w:eastAsia="Arial" w:hAnsi="Arial"/>
                <w:sz w:val="19"/>
                <w:szCs w:val="19"/>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5,160,661</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5,160,661</w:t>
            </w:r>
          </w:p>
        </w:tc>
        <w:tc>
          <w:tcPr>
            <w:tcW w:w="0" w:type="dxa"/>
            <w:vAlign w:val="bottom"/>
          </w:tcPr>
          <w:p>
            <w:pPr>
              <w:spacing w:after="0"/>
              <w:rPr>
                <w:sz w:val="1"/>
                <w:szCs w:val="1"/>
                <w:color w:val="auto"/>
              </w:rPr>
            </w:pPr>
          </w:p>
        </w:tc>
      </w:tr>
      <w:tr>
        <w:trPr>
          <w:trHeight w:val="156"/>
        </w:trPr>
        <w:tc>
          <w:tcPr>
            <w:tcW w:w="4980" w:type="dxa"/>
            <w:vAlign w:val="bottom"/>
            <w:tcBorders>
              <w:bottom w:val="single" w:sz="8" w:color="auto"/>
            </w:tcBorders>
            <w:shd w:val="clear" w:color="auto" w:fill="FCE9E8"/>
          </w:tcPr>
          <w:p>
            <w:pPr>
              <w:spacing w:after="0" w:line="155" w:lineRule="exact"/>
              <w:rPr>
                <w:sz w:val="20"/>
                <w:szCs w:val="20"/>
                <w:color w:val="auto"/>
              </w:rPr>
            </w:pPr>
            <w:r>
              <w:rPr>
                <w:rFonts w:ascii="Arial" w:cs="Arial" w:eastAsia="Arial" w:hAnsi="Arial"/>
                <w:sz w:val="14"/>
                <w:szCs w:val="14"/>
                <w:b w:val="1"/>
                <w:bCs w:val="1"/>
                <w:color w:val="auto"/>
              </w:rPr>
              <w:t>Frank C. Orsini</w:t>
            </w:r>
          </w:p>
        </w:tc>
        <w:tc>
          <w:tcPr>
            <w:tcW w:w="340" w:type="dxa"/>
            <w:vAlign w:val="bottom"/>
            <w:tcBorders>
              <w:bottom w:val="single" w:sz="8" w:color="auto"/>
            </w:tcBorders>
            <w:shd w:val="clear" w:color="auto" w:fill="FCE9E8"/>
          </w:tcPr>
          <w:p>
            <w:pPr>
              <w:spacing w:after="0"/>
              <w:rPr>
                <w:sz w:val="13"/>
                <w:szCs w:val="13"/>
                <w:color w:val="auto"/>
              </w:rPr>
            </w:pPr>
          </w:p>
        </w:tc>
        <w:tc>
          <w:tcPr>
            <w:tcW w:w="1040" w:type="dxa"/>
            <w:vAlign w:val="bottom"/>
            <w:tcBorders>
              <w:bottom w:val="single" w:sz="8" w:color="auto"/>
            </w:tcBorders>
            <w:shd w:val="clear" w:color="auto" w:fill="FCE9E8"/>
          </w:tcPr>
          <w:p>
            <w:pPr>
              <w:spacing w:after="0"/>
              <w:rPr>
                <w:sz w:val="13"/>
                <w:szCs w:val="13"/>
                <w:color w:val="auto"/>
              </w:rPr>
            </w:pPr>
          </w:p>
        </w:tc>
        <w:tc>
          <w:tcPr>
            <w:tcW w:w="520" w:type="dxa"/>
            <w:vAlign w:val="bottom"/>
            <w:tcBorders>
              <w:bottom w:val="single" w:sz="8" w:color="auto"/>
            </w:tcBorders>
            <w:shd w:val="clear" w:color="auto" w:fill="FCE9E8"/>
          </w:tcPr>
          <w:p>
            <w:pPr>
              <w:spacing w:after="0"/>
              <w:rPr>
                <w:sz w:val="13"/>
                <w:szCs w:val="13"/>
                <w:color w:val="auto"/>
              </w:rPr>
            </w:pPr>
          </w:p>
        </w:tc>
        <w:tc>
          <w:tcPr>
            <w:tcW w:w="136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00" w:type="dxa"/>
            <w:vAlign w:val="bottom"/>
            <w:tcBorders>
              <w:bottom w:val="single" w:sz="8" w:color="auto"/>
            </w:tcBorders>
            <w:shd w:val="clear" w:color="auto" w:fill="FCE9E8"/>
          </w:tcPr>
          <w:p>
            <w:pPr>
              <w:spacing w:after="0"/>
              <w:rPr>
                <w:sz w:val="13"/>
                <w:szCs w:val="13"/>
                <w:color w:val="auto"/>
              </w:rPr>
            </w:pPr>
          </w:p>
        </w:tc>
        <w:tc>
          <w:tcPr>
            <w:tcW w:w="460" w:type="dxa"/>
            <w:vAlign w:val="bottom"/>
            <w:tcBorders>
              <w:bottom w:val="single" w:sz="8" w:color="auto"/>
            </w:tcBorders>
            <w:shd w:val="clear" w:color="auto" w:fill="FCE9E8"/>
          </w:tcPr>
          <w:p>
            <w:pPr>
              <w:spacing w:after="0"/>
              <w:rPr>
                <w:sz w:val="13"/>
                <w:szCs w:val="13"/>
                <w:color w:val="auto"/>
              </w:rPr>
            </w:pPr>
          </w:p>
        </w:tc>
        <w:tc>
          <w:tcPr>
            <w:tcW w:w="1160" w:type="dxa"/>
            <w:vAlign w:val="bottom"/>
            <w:tcBorders>
              <w:bottom w:val="single" w:sz="8" w:color="auto"/>
            </w:tcBorders>
            <w:shd w:val="clear" w:color="auto" w:fill="FCE9E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80" w:type="dxa"/>
            <w:vAlign w:val="bottom"/>
          </w:tcPr>
          <w:p>
            <w:pPr>
              <w:spacing w:after="0"/>
              <w:rPr>
                <w:sz w:val="20"/>
                <w:szCs w:val="20"/>
                <w:color w:val="auto"/>
              </w:rPr>
            </w:pPr>
            <w:r>
              <w:rPr>
                <w:rFonts w:ascii="Arial" w:cs="Arial" w:eastAsia="Arial" w:hAnsi="Arial"/>
                <w:sz w:val="14"/>
                <w:szCs w:val="14"/>
                <w:color w:val="auto"/>
              </w:rPr>
              <w:t>• Involuntary Termination without Cause (or for Good Reason) With Change</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60"/>
              <w:spacing w:after="0"/>
              <w:rPr>
                <w:sz w:val="20"/>
                <w:szCs w:val="20"/>
                <w:color w:val="auto"/>
              </w:rPr>
            </w:pPr>
            <w:r>
              <w:rPr>
                <w:rFonts w:ascii="Arial" w:cs="Arial" w:eastAsia="Arial" w:hAnsi="Arial"/>
                <w:sz w:val="14"/>
                <w:szCs w:val="14"/>
                <w:color w:val="auto"/>
              </w:rPr>
              <w:t>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2,568,750</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23,941</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5,778,818</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8,371,509</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2,568,750</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23,941</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3,968,231</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6,560,922</w:t>
            </w:r>
          </w:p>
        </w:tc>
        <w:tc>
          <w:tcPr>
            <w:tcW w:w="0" w:type="dxa"/>
            <w:vAlign w:val="bottom"/>
          </w:tcPr>
          <w:p>
            <w:pPr>
              <w:spacing w:after="0"/>
              <w:rPr>
                <w:sz w:val="1"/>
                <w:szCs w:val="1"/>
                <w:color w:val="auto"/>
              </w:rPr>
            </w:pPr>
          </w:p>
        </w:tc>
      </w:tr>
      <w:tr>
        <w:trPr>
          <w:trHeight w:val="170"/>
        </w:trPr>
        <w:tc>
          <w:tcPr>
            <w:tcW w:w="4980" w:type="dxa"/>
            <w:vAlign w:val="bottom"/>
          </w:tcPr>
          <w:p>
            <w:pPr>
              <w:spacing w:after="0" w:line="170" w:lineRule="exact"/>
              <w:rPr>
                <w:sz w:val="20"/>
                <w:szCs w:val="20"/>
                <w:color w:val="auto"/>
              </w:rPr>
            </w:pPr>
            <w:r>
              <w:rPr>
                <w:rFonts w:ascii="Arial" w:cs="Arial" w:eastAsia="Arial" w:hAnsi="Arial"/>
                <w:sz w:val="12"/>
                <w:szCs w:val="12"/>
                <w:color w:val="auto"/>
              </w:rPr>
              <w:t>• Retirement</w:t>
            </w:r>
            <w:r>
              <w:rPr>
                <w:rFonts w:ascii="Arial" w:cs="Arial" w:eastAsia="Arial" w:hAnsi="Arial"/>
                <w:sz w:val="19"/>
                <w:szCs w:val="19"/>
                <w:color w:val="auto"/>
                <w:vertAlign w:val="superscript"/>
              </w:rPr>
              <w:t>(4)</w:t>
            </w:r>
          </w:p>
        </w:tc>
        <w:tc>
          <w:tcPr>
            <w:tcW w:w="340" w:type="dxa"/>
            <w:vAlign w:val="bottom"/>
          </w:tcPr>
          <w:p>
            <w:pPr>
              <w:spacing w:after="0"/>
              <w:rPr>
                <w:sz w:val="14"/>
                <w:szCs w:val="14"/>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520" w:type="dxa"/>
            <w:vAlign w:val="bottom"/>
          </w:tcPr>
          <w:p>
            <w:pPr>
              <w:spacing w:after="0"/>
              <w:rPr>
                <w:sz w:val="14"/>
                <w:szCs w:val="14"/>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N/A</w:t>
            </w:r>
          </w:p>
        </w:tc>
        <w:tc>
          <w:tcPr>
            <w:tcW w:w="46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N/A</w:t>
            </w:r>
          </w:p>
        </w:tc>
        <w:tc>
          <w:tcPr>
            <w:tcW w:w="46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ind w:left="380"/>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2"/>
                <w:szCs w:val="12"/>
                <w:color w:val="auto"/>
              </w:rPr>
              <w:t>• Disability or Death</w:t>
            </w:r>
            <w:r>
              <w:rPr>
                <w:rFonts w:ascii="Arial" w:cs="Arial" w:eastAsia="Arial" w:hAnsi="Arial"/>
                <w:sz w:val="20"/>
                <w:szCs w:val="20"/>
                <w:color w:val="auto"/>
                <w:vertAlign w:val="superscript"/>
              </w:rPr>
              <w:t>(5)</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tcPr>
          <w:p>
            <w:pPr>
              <w:ind w:left="3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4,152,112</w:t>
            </w:r>
          </w:p>
        </w:tc>
        <w:tc>
          <w:tcPr>
            <w:tcW w:w="460" w:type="dxa"/>
            <w:vAlign w:val="bottom"/>
          </w:tcPr>
          <w:p>
            <w:pPr>
              <w:ind w:left="38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348"/>
              <w:spacing w:after="0"/>
              <w:rPr>
                <w:sz w:val="20"/>
                <w:szCs w:val="20"/>
                <w:color w:val="auto"/>
              </w:rPr>
            </w:pPr>
            <w:r>
              <w:rPr>
                <w:rFonts w:ascii="Arial" w:cs="Arial" w:eastAsia="Arial" w:hAnsi="Arial"/>
                <w:sz w:val="14"/>
                <w:szCs w:val="14"/>
                <w:color w:val="auto"/>
              </w:rPr>
              <w:t>4,152,112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60" w:hanging="332"/>
        <w:spacing w:after="0" w:line="214" w:lineRule="auto"/>
        <w:tabs>
          <w:tab w:leader="none" w:pos="3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Cash severance (in an amount equal to two times base salary plus target annual incentive bonus amount) is paid in a lump sum to each Named Executive Officer on the date that is six months after the date of termination (other than Mr. Vanneste, who receives cash severance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w:t>
      </w:r>
    </w:p>
    <w:p>
      <w:pPr>
        <w:ind w:left="340" w:hanging="332"/>
        <w:spacing w:after="0" w:line="211" w:lineRule="auto"/>
        <w:tabs>
          <w:tab w:leader="none" w:pos="3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Consists of continuation of health insurance, life insurance premium and imputed income amounts.</w:t>
      </w:r>
    </w:p>
    <w:p>
      <w:pPr>
        <w:spacing w:after="0" w:line="133"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51</w:t>
      </w:r>
    </w:p>
    <w:p>
      <w:pPr>
        <w:sectPr>
          <w:pgSz w:w="11900" w:h="16838" w:orient="portrait"/>
          <w:cols w:equalWidth="0" w:num="1">
            <w:col w:w="11420"/>
          </w:cols>
          <w:pgMar w:left="240" w:top="267" w:right="2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245"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Represents accelerated vesting of RSUs and accelerated or pro rata (as applicable) payout of Performance Shares (at target level) and any associated dividend equivalents with interest. 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and pro rata portions of the RSUs and performance shares are valued based on the December 31, 2016 closing price of the Company’s common stock.</w:t>
      </w:r>
    </w:p>
    <w:p>
      <w:pPr>
        <w:spacing w:after="0" w:line="133" w:lineRule="exact"/>
        <w:rPr>
          <w:rFonts w:ascii="Arial" w:cs="Arial" w:eastAsia="Arial" w:hAnsi="Arial"/>
          <w:sz w:val="24"/>
          <w:szCs w:val="24"/>
          <w:color w:val="auto"/>
          <w:vertAlign w:val="superscript"/>
        </w:rPr>
      </w:pPr>
    </w:p>
    <w:p>
      <w:pPr>
        <w:ind w:left="340" w:right="180" w:hanging="332"/>
        <w:spacing w:after="0" w:line="183" w:lineRule="auto"/>
        <w:tabs>
          <w:tab w:leader="none" w:pos="3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As of December 31, 2016, Messrs. Simoncini, Vanneste and Larkin were retirement-eligible and, therefore, they qualify for accelerated vesting of certain incentive awards upon retirement. The Company does not provide for enhanced early retirement benefits under its pension programs.</w:t>
      </w:r>
    </w:p>
    <w:p>
      <w:pPr>
        <w:spacing w:after="0" w:line="71"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Messrs. Simoncini, Vanneste, Scott and Orsini are fully vested in their pension benefits, and, as such, there would be no pension vesting enhancement with respect to death benefits for them. Mr. Larkin is not a participant in the Pension Plan and therefore is not eligible for such death benefit.</w:t>
      </w:r>
    </w:p>
    <w:p>
      <w:pPr>
        <w:sectPr>
          <w:pgSz w:w="11900" w:h="16838" w:orient="portrait"/>
          <w:cols w:equalWidth="0" w:num="1">
            <w:col w:w="11300"/>
          </w:cols>
          <w:pgMar w:left="240" w:top="267" w:right="359" w:bottom="1440" w:gutter="0" w:footer="0" w:header="0"/>
        </w:sectPr>
      </w:pPr>
    </w:p>
    <w:p>
      <w:pPr>
        <w:spacing w:after="0" w:line="28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Payments and benefits to a Named Executive Officer upon termination or a change in control of the Company are determined according to the terms of his employment agreement and equity or incentive awards and the Company’s compensation and incentive plans. The severance benefit payments set forth in the table and discussed below are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generally available to our executive officers, including the Named Executive Officers, who currently have employment agreements with the Company. The amounts due to an executive upon his termination of employment depend largely on the circumstances of his termination, as described below.</w:t>
      </w:r>
    </w:p>
    <w:p>
      <w:pPr>
        <w:spacing w:after="0" w:line="388" w:lineRule="exact"/>
        <w:rPr>
          <w:sz w:val="20"/>
          <w:szCs w:val="20"/>
          <w:color w:val="auto"/>
        </w:rPr>
      </w:pPr>
    </w:p>
    <w:p>
      <w:pPr>
        <w:sectPr>
          <w:pgSz w:w="11900" w:h="16838" w:orient="portrait"/>
          <w:cols w:equalWidth="0" w:num="2">
            <w:col w:w="5400" w:space="420"/>
            <w:col w:w="5480"/>
          </w:cols>
          <w:pgMar w:left="240" w:top="267" w:right="35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employment agreements do not provide benefits solely upon a change in control. The LTSIP provides for accelerated vesting or payout of awards immediately upon a “change in control” (as defined in the LTSIP) only if the successor company does not agree to assume or replace such existing awards with an equivalent award upon the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Otherwise, awards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w:t>
      </w:r>
    </w:p>
    <w:p>
      <w:pPr>
        <w:spacing w:after="0" w:line="200" w:lineRule="exact"/>
        <w:rPr>
          <w:sz w:val="20"/>
          <w:szCs w:val="20"/>
          <w:color w:val="auto"/>
        </w:rPr>
      </w:pPr>
    </w:p>
    <w:p>
      <w:pPr>
        <w:sectPr>
          <w:pgSz w:w="11900" w:h="16838" w:orient="portrait"/>
          <w:cols w:equalWidth="0" w:num="2">
            <w:col w:w="5380" w:space="440"/>
            <w:col w:w="5480"/>
          </w:cols>
          <w:pgMar w:left="240" w:top="267" w:right="35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 with a Change in Control</w:t>
      </w:r>
    </w:p>
    <w:p>
      <w:pPr>
        <w:sectPr>
          <w:pgSz w:w="11900" w:h="16838" w:orient="portrait"/>
          <w:cols w:equalWidth="0" w:num="1">
            <w:col w:w="11300"/>
          </w:cols>
          <w:pgMar w:left="240" w:top="267" w:right="359" w:bottom="1440" w:gutter="0" w:footer="0" w:header="0"/>
          <w:type w:val="continuous"/>
        </w:sectPr>
      </w:pP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a change in control occurs and the Named Executive Officer is terminated by the Company without “cause” (as defined in the LTSIP) or resigns for “good reason” (as defined in the Named Executive Officer’s employment agreement) within 24 months of such change in control, the Named Executive Officer will receive accelerated vesting with respect to outstanding and unvested equity awards, as disclosed in the table above.</w:t>
      </w:r>
    </w:p>
    <w:p>
      <w:pPr>
        <w:spacing w:after="0" w:line="97"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None of our Named Executive Officers is a party to an employment agreement containing a provision which would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reimburse the executive for any excise taxes he becomes subject to under Section 4999 of the Internal Revenue Code upon a change in control. Instead, the employment agreements for each of our Named Executive Officers contains a provision that reduces their change in control benefits below the level at which an excise tax is triggered, but only if the reduction results in greater after-tax proceeds to the executive.</w:t>
      </w:r>
    </w:p>
    <w:p>
      <w:pPr>
        <w:spacing w:after="0" w:line="695" w:lineRule="exact"/>
        <w:rPr>
          <w:sz w:val="20"/>
          <w:szCs w:val="20"/>
          <w:color w:val="auto"/>
        </w:rPr>
      </w:pPr>
    </w:p>
    <w:p>
      <w:pPr>
        <w:sectPr>
          <w:pgSz w:w="11900" w:h="16838" w:orient="portrait"/>
          <w:cols w:equalWidth="0" w:num="2">
            <w:col w:w="5480" w:space="340"/>
            <w:col w:w="5480"/>
          </w:cols>
          <w:pgMar w:left="240" w:top="267" w:right="35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Made Upon Involuntary Termination (or for “Good Reason”)</w:t>
      </w:r>
    </w:p>
    <w:p>
      <w:pPr>
        <w:sectPr>
          <w:pgSz w:w="11900" w:h="16838" w:orient="portrait"/>
          <w:cols w:equalWidth="0" w:num="1">
            <w:col w:w="11300"/>
          </w:cols>
          <w:pgMar w:left="240" w:top="267" w:right="359" w:bottom="1440" w:gutter="0" w:footer="0" w:header="0"/>
          <w:type w:val="continuous"/>
        </w:sectPr>
      </w:pP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release relating to his employment, he will also receive a lump sum payment equal to two times the sum of his annual base salary rate and annual target bonus amount, each as in effect as of the termination date. In the event of an involuntary termination for any reason other than cause, or by the executive for good reason, all unvested RSUs (other than Career Shares) become vested in their entirety upon termination and a pro rata amount of Performance Shares may be earned through the termination date if actual performance during the performance period meets the</w:t>
      </w:r>
    </w:p>
    <w:p>
      <w:pPr>
        <w:spacing w:after="0" w:line="200" w:lineRule="exact"/>
        <w:rPr>
          <w:sz w:val="20"/>
          <w:szCs w:val="20"/>
          <w:color w:val="auto"/>
        </w:rPr>
      </w:pPr>
    </w:p>
    <w:p>
      <w:pPr>
        <w:sectPr>
          <w:pgSz w:w="11900" w:h="16838" w:orient="portrait"/>
          <w:cols w:equalWidth="0" w:num="2">
            <w:col w:w="5460" w:space="360"/>
            <w:col w:w="5480"/>
          </w:cols>
          <w:pgMar w:left="240" w:top="267" w:right="359" w:bottom="1440" w:gutter="0" w:footer="0" w:header="0"/>
          <w:type w:val="continuous"/>
        </w:sectPr>
      </w:pPr>
    </w:p>
    <w:p>
      <w:pPr>
        <w:spacing w:after="0" w:line="64" w:lineRule="exact"/>
        <w:rPr>
          <w:sz w:val="20"/>
          <w:szCs w:val="20"/>
          <w:color w:val="auto"/>
        </w:rPr>
      </w:pPr>
    </w:p>
    <w:p>
      <w:pPr>
        <w:ind w:left="460" w:hanging="349"/>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00"/>
          </w:cols>
          <w:pgMar w:left="240" w:top="267" w:right="359" w:bottom="1440" w:gutter="0" w:footer="0" w:header="0"/>
          <w:type w:val="continuous"/>
        </w:sectPr>
      </w:pPr>
    </w:p>
    <w:bookmarkStart w:id="58" w:name="page59"/>
    <w:bookmarkEnd w:id="58"/>
    <w:p>
      <w:pPr>
        <w:spacing w:after="0" w:line="38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pre-established performance requirements. In addition, executives would receive all dividend equivalents with interest</w:t>
      </w:r>
    </w:p>
    <w:p>
      <w:pPr>
        <w:spacing w:after="0" w:line="20" w:lineRule="exact"/>
        <w:rPr>
          <w:sz w:val="20"/>
          <w:szCs w:val="20"/>
          <w:color w:val="auto"/>
        </w:rPr>
      </w:pPr>
      <w:r>
        <w:rPr>
          <w:sz w:val="20"/>
          <w:szCs w:val="20"/>
          <w:color w:val="auto"/>
        </w:rPr>
        <w:br w:type="column"/>
      </w:r>
    </w:p>
    <w:p>
      <w:pPr>
        <w:ind w:left="3460"/>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-189865</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associated with the accelerated RSUs and any Performance Shares earned at the time of vesting.</w:t>
      </w:r>
    </w:p>
    <w:p>
      <w:pPr>
        <w:spacing w:after="0" w:line="200" w:lineRule="exact"/>
        <w:rPr>
          <w:sz w:val="20"/>
          <w:szCs w:val="20"/>
          <w:color w:val="auto"/>
        </w:rPr>
      </w:pPr>
    </w:p>
    <w:p>
      <w:pPr>
        <w:sectPr>
          <w:pgSz w:w="11900" w:h="16838" w:orient="portrait"/>
          <w:cols w:equalWidth="0" w:num="2">
            <w:col w:w="5220" w:space="600"/>
            <w:col w:w="5600"/>
          </w:cols>
          <w:pgMar w:left="240" w:top="267"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19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employment agreements do not distinguish between retirement and voluntary termination for other reasons, but under the LTSIP, an executive who retires with a combined number of age and years of service of at least 65, with a minimum age of 55 and minimum service of five years when he terminates, is entitled to additional vesting credit for RSU awards. The executive will be entitled to receive the shares underlying the RSUs that would have vested if the date of</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Made Upon Voluntary Termination (or for “Cause”)</w:t>
      </w:r>
    </w:p>
    <w:p>
      <w:pPr>
        <w:spacing w:after="0" w:line="19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termination. If an executive terminates voluntarily and has not attained a combined number of age and years of service of at least 65, with a minimum age of 55 and minimum service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0"/>
        <w:spacing w:after="0" w:line="249" w:lineRule="auto"/>
        <w:rPr>
          <w:sz w:val="20"/>
          <w:szCs w:val="20"/>
          <w:color w:val="auto"/>
        </w:rPr>
      </w:pPr>
      <w:r>
        <w:rPr>
          <w:rFonts w:ascii="Arial" w:cs="Arial" w:eastAsia="Arial" w:hAnsi="Arial"/>
          <w:sz w:val="16"/>
          <w:szCs w:val="16"/>
          <w:color w:val="auto"/>
        </w:rPr>
        <w:t>of five years, he will be entitled to receive all of the shares underlying his vested RSUs and associated dividend equivalents with interest, but all unvested RSUs and Performance Shares and any associated dividend equivalents with interest will be forfeited. If an executive is terminated for cause, he will forfeit all RSUs and Performance Shares along with any associated dividend equivalents with interest.</w:t>
      </w:r>
    </w:p>
    <w:p>
      <w:pPr>
        <w:spacing w:after="0" w:line="200" w:lineRule="exact"/>
        <w:rPr>
          <w:sz w:val="20"/>
          <w:szCs w:val="20"/>
          <w:color w:val="auto"/>
        </w:rPr>
      </w:pPr>
    </w:p>
    <w:p>
      <w:pPr>
        <w:sectPr>
          <w:pgSz w:w="11900" w:h="16838" w:orient="portrait"/>
          <w:cols w:equalWidth="0" w:num="2">
            <w:col w:w="5440" w:space="380"/>
            <w:col w:w="5600"/>
          </w:cols>
          <w:pgMar w:left="240" w:top="267" w:right="2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19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Following termination of the executive’s employment for disability, the executive will receive all base salary and other accrued amounts then payable through the date of termination. He will also receive compensation payable under the Company’s disability and medical plans. In the event of the executive’s termination for disability, all unvested RSUs become vested in their entirety upon termination and a pro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distribution.</w:t>
      </w:r>
    </w:p>
    <w:p>
      <w:pPr>
        <w:spacing w:after="0" w:line="387" w:lineRule="exact"/>
        <w:rPr>
          <w:sz w:val="20"/>
          <w:szCs w:val="20"/>
          <w:color w:val="auto"/>
        </w:rPr>
      </w:pPr>
    </w:p>
    <w:p>
      <w:pPr>
        <w:sectPr>
          <w:pgSz w:w="11900" w:h="16838" w:orient="portrait"/>
          <w:cols w:equalWidth="0" w:num="2">
            <w:col w:w="5380" w:space="440"/>
            <w:col w:w="5600"/>
          </w:cols>
          <w:pgMar w:left="240" w:top="267" w:right="2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Career Shares</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 to the Career Share qualifying retirement date (</w:t>
      </w:r>
      <w:r>
        <w:rPr>
          <w:rFonts w:ascii="Arial" w:cs="Arial" w:eastAsia="Arial" w:hAnsi="Arial"/>
          <w:sz w:val="16"/>
          <w:szCs w:val="16"/>
          <w:i w:val="1"/>
          <w:iCs w:val="1"/>
          <w:color w:val="auto"/>
        </w:rPr>
        <w:t>i.e.,</w:t>
      </w:r>
      <w:r>
        <w:rPr>
          <w:rFonts w:ascii="Arial" w:cs="Arial" w:eastAsia="Arial" w:hAnsi="Arial"/>
          <w:sz w:val="16"/>
          <w:szCs w:val="16"/>
          <w:color w:val="auto"/>
        </w:rPr>
        <w:t xml:space="preserve"> age 62 or the date that the executive attains a combined number of age and years of service of 65, with a minimum age of 55 and minimum service of five years) or for violating non-competition and non-solicitation covenants prior to distribution of the shares. If the executive has a Career Share qualifying retirement or is terminated without “cause” or resigns for “good reason,” in each case within 24 months of the vesting date, the Career Shares will continue to vest as originally scheduled.</w:t>
      </w:r>
    </w:p>
    <w:p>
      <w:pPr>
        <w:spacing w:after="0" w:line="20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 (i) age 62 (or such later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date) or (ii) three years after the executive’s qualifying retirement. If the executive has attained a combined number of age and years of service of at least 65, with a minimum age of 55 and minimum service of five years, and the executive is 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209"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Unvested Career Shares become vested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250" w:lineRule="exact"/>
        <w:rPr>
          <w:sz w:val="20"/>
          <w:szCs w:val="20"/>
          <w:color w:val="auto"/>
        </w:rPr>
      </w:pPr>
    </w:p>
    <w:p>
      <w:pPr>
        <w:jc w:val="right"/>
        <w:ind w:right="100"/>
        <w:spacing w:after="0"/>
        <w:tabs>
          <w:tab w:leader="none" w:pos="400" w:val="left"/>
          <w:tab w:leader="none" w:pos="1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53</w:t>
      </w:r>
    </w:p>
    <w:p>
      <w:pPr>
        <w:sectPr>
          <w:pgSz w:w="11900" w:h="16838" w:orient="portrait"/>
          <w:cols w:equalWidth="0" w:num="2">
            <w:col w:w="5460" w:space="360"/>
            <w:col w:w="5600"/>
          </w:cols>
          <w:pgMar w:left="240" w:top="267"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5"/>
          <w:szCs w:val="15"/>
          <w:b w:val="1"/>
          <w:bCs w:val="1"/>
          <w:u w:val="single" w:color="auto"/>
          <w:color w:val="E2231A"/>
        </w:rPr>
        <w:t>EXECUTIVE COMPENSATION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Following the death of the executive, we will pay to his estate or designated beneficiary a pro rata portion of any bonus earned prior to the date of death. In the event of the executive’s death, all unvested RSUs become vested in their entirety and a pro rata amount of Performance Shares may be earned through the date of death if actual performance during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performance period meets the pre-established performance requirements. In addition, the estate or designated beneficiary would receive all dividend equivalents with interest associated with the accelerated RSUs and any Performance Shares earned at the time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-1021080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5440" w:space="380"/>
            <w:col w:w="5480"/>
          </w:cols>
          <w:pgMar w:left="240" w:top="267" w:right="35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Each executive who has entered into an employment agreement with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Company is obligated to:</w:t>
      </w:r>
    </w:p>
    <w:p>
      <w:pPr>
        <w:spacing w:after="0" w:line="127" w:lineRule="exact"/>
        <w:rPr>
          <w:sz w:val="20"/>
          <w:szCs w:val="20"/>
          <w:color w:val="auto"/>
        </w:rPr>
      </w:pPr>
    </w:p>
    <w:p>
      <w:pPr>
        <w:ind w:left="220" w:right="640" w:hanging="212"/>
        <w:spacing w:after="0" w:line="260" w:lineRule="auto"/>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comply with confidentiality, non-competition and non-solicitation covenants during employment;</w:t>
      </w:r>
    </w:p>
    <w:p>
      <w:pPr>
        <w:spacing w:after="0" w:line="101" w:lineRule="exact"/>
        <w:rPr>
          <w:rFonts w:ascii="Arial" w:cs="Arial" w:eastAsia="Arial" w:hAnsi="Arial"/>
          <w:sz w:val="16"/>
          <w:szCs w:val="16"/>
          <w:color w:val="auto"/>
        </w:rPr>
      </w:pPr>
    </w:p>
    <w:p>
      <w:pPr>
        <w:ind w:left="220" w:hanging="212"/>
        <w:spacing w:after="0" w:line="251" w:lineRule="auto"/>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108" w:lineRule="exact"/>
        <w:rPr>
          <w:rFonts w:ascii="Arial" w:cs="Arial" w:eastAsia="Arial" w:hAnsi="Arial"/>
          <w:sz w:val="16"/>
          <w:szCs w:val="16"/>
          <w:color w:val="auto"/>
        </w:rPr>
      </w:pPr>
    </w:p>
    <w:p>
      <w:pPr>
        <w:ind w:left="220" w:right="380" w:hanging="212"/>
        <w:spacing w:after="0" w:line="260" w:lineRule="auto"/>
        <w:tabs>
          <w:tab w:leader="none" w:pos="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order to receive severance payments due under the employment agreement, sign a general release relating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212" w:right="100"/>
        <w:spacing w:after="0" w:line="260" w:lineRule="auto"/>
        <w:rPr>
          <w:sz w:val="20"/>
          <w:szCs w:val="20"/>
          <w:color w:val="auto"/>
        </w:rPr>
      </w:pPr>
      <w:r>
        <w:rPr>
          <w:rFonts w:ascii="Arial" w:cs="Arial" w:eastAsia="Arial" w:hAnsi="Arial"/>
          <w:sz w:val="16"/>
          <w:szCs w:val="16"/>
          <w:color w:val="auto"/>
        </w:rPr>
        <w:t>his employment (applies only in the case of termination by the Company without “cause” or by the executive for “good reason”);</w:t>
      </w:r>
    </w:p>
    <w:p>
      <w:pPr>
        <w:spacing w:after="0" w:line="101" w:lineRule="exact"/>
        <w:rPr>
          <w:sz w:val="20"/>
          <w:szCs w:val="20"/>
          <w:color w:val="auto"/>
        </w:rPr>
      </w:pPr>
    </w:p>
    <w:p>
      <w:pPr>
        <w:ind w:left="212" w:right="140" w:hanging="212"/>
        <w:spacing w:after="0" w:line="260" w:lineRule="auto"/>
        <w:tabs>
          <w:tab w:leader="none" w:pos="212"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return data and materials relating to the business of the Company in his possession;</w:t>
      </w:r>
    </w:p>
    <w:p>
      <w:pPr>
        <w:spacing w:after="0" w:line="101" w:lineRule="exact"/>
        <w:rPr>
          <w:rFonts w:ascii="Arial" w:cs="Arial" w:eastAsia="Arial" w:hAnsi="Arial"/>
          <w:sz w:val="16"/>
          <w:szCs w:val="16"/>
          <w:color w:val="auto"/>
        </w:rPr>
      </w:pPr>
    </w:p>
    <w:p>
      <w:pPr>
        <w:ind w:left="212" w:right="620" w:hanging="212"/>
        <w:spacing w:after="0" w:line="253" w:lineRule="auto"/>
        <w:tabs>
          <w:tab w:leader="none" w:pos="212" w:val="left"/>
        </w:tabs>
        <w:numPr>
          <w:ilvl w:val="0"/>
          <w:numId w:val="98"/>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employment; and</w:t>
      </w:r>
    </w:p>
    <w:p>
      <w:pPr>
        <w:spacing w:after="0" w:line="106" w:lineRule="exact"/>
        <w:rPr>
          <w:rFonts w:ascii="Arial" w:cs="Arial" w:eastAsia="Arial" w:hAnsi="Arial"/>
          <w:sz w:val="16"/>
          <w:szCs w:val="16"/>
          <w:color w:val="auto"/>
        </w:rPr>
      </w:pPr>
    </w:p>
    <w:p>
      <w:pPr>
        <w:ind w:left="212" w:right="20" w:hanging="212"/>
        <w:spacing w:after="0" w:line="260" w:lineRule="auto"/>
        <w:tabs>
          <w:tab w:leader="none" w:pos="212"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cooperate with litigation matters or investigations as the Company deems necessary.</w:t>
      </w:r>
    </w:p>
    <w:p>
      <w:pPr>
        <w:spacing w:after="0" w:line="389" w:lineRule="exact"/>
        <w:rPr>
          <w:sz w:val="20"/>
          <w:szCs w:val="20"/>
          <w:color w:val="auto"/>
        </w:rPr>
      </w:pPr>
    </w:p>
    <w:p>
      <w:pPr>
        <w:sectPr>
          <w:pgSz w:w="11900" w:h="16838" w:orient="portrait"/>
          <w:cols w:equalWidth="0" w:num="2">
            <w:col w:w="5400" w:space="428"/>
            <w:col w:w="5472"/>
          </w:cols>
          <w:pgMar w:left="240" w:top="267" w:right="35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color w:val="auto"/>
        </w:rPr>
        <w:t>Compensation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67" w:right="359" w:bottom="1440" w:gutter="0" w:footer="0" w:header="0"/>
          <w:type w:val="continuous"/>
        </w:sectPr>
      </w:pPr>
    </w:p>
    <w:p>
      <w:pPr>
        <w:spacing w:after="0" w:line="31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metrics. The risk assessment was conducted by senior leaders of the Company, including representatives from finance, legal and human resources, and included a review of the employee compensation structures and pay administration practices. The Compensation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117" w:lineRule="exact"/>
        <w:rPr>
          <w:sz w:val="20"/>
          <w:szCs w:val="20"/>
          <w:color w:val="auto"/>
        </w:rPr>
      </w:pPr>
    </w:p>
    <w:p>
      <w:pPr>
        <w:ind w:left="220" w:right="380" w:hanging="212"/>
        <w:spacing w:after="0" w:line="260" w:lineRule="auto"/>
        <w:tabs>
          <w:tab w:leader="none" w:pos="2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appropriate compensation mix between fixed (base salary) and variable (annual and long-term incentive) pay opportunities;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220" w:right="580" w:hanging="212"/>
        <w:spacing w:after="0" w:line="260" w:lineRule="auto"/>
        <w:tabs>
          <w:tab w:leader="none" w:pos="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review of market data and competitive practices for elements of executive compensation;</w:t>
      </w:r>
    </w:p>
    <w:p>
      <w:pPr>
        <w:spacing w:after="0" w:line="101" w:lineRule="exact"/>
        <w:rPr>
          <w:rFonts w:ascii="Arial" w:cs="Arial" w:eastAsia="Arial" w:hAnsi="Arial"/>
          <w:sz w:val="16"/>
          <w:szCs w:val="16"/>
          <w:color w:val="auto"/>
        </w:rPr>
      </w:pPr>
    </w:p>
    <w:p>
      <w:pPr>
        <w:ind w:left="220" w:right="20" w:hanging="212"/>
        <w:spacing w:after="0" w:line="260" w:lineRule="auto"/>
        <w:tabs>
          <w:tab w:leader="none" w:pos="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Performance measures that are tied to key Company short and long-term performance metrics and are correlated to total stockholder returns;</w:t>
      </w:r>
    </w:p>
    <w:p>
      <w:pPr>
        <w:spacing w:after="0" w:line="101" w:lineRule="exact"/>
        <w:rPr>
          <w:rFonts w:ascii="Arial" w:cs="Arial" w:eastAsia="Arial" w:hAnsi="Arial"/>
          <w:sz w:val="16"/>
          <w:szCs w:val="16"/>
          <w:color w:val="auto"/>
        </w:rPr>
      </w:pPr>
    </w:p>
    <w:p>
      <w:pPr>
        <w:ind w:left="220" w:right="200" w:hanging="212"/>
        <w:spacing w:after="0" w:line="253" w:lineRule="auto"/>
        <w:tabs>
          <w:tab w:leader="none" w:pos="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alignment of annual and long-term award objectives to ensure that both types of awards encourage consistent behaviors and sustainable performance results; and</w:t>
      </w:r>
    </w:p>
    <w:p>
      <w:pPr>
        <w:spacing w:after="0" w:line="106" w:lineRule="exact"/>
        <w:rPr>
          <w:rFonts w:ascii="Arial" w:cs="Arial" w:eastAsia="Arial" w:hAnsi="Arial"/>
          <w:sz w:val="16"/>
          <w:szCs w:val="16"/>
          <w:color w:val="auto"/>
        </w:rPr>
      </w:pPr>
    </w:p>
    <w:p>
      <w:pPr>
        <w:ind w:left="220" w:right="20" w:hanging="212"/>
        <w:spacing w:after="0" w:line="251" w:lineRule="auto"/>
        <w:tabs>
          <w:tab w:leader="none" w:pos="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balanced mix of four performance measures for incentive awards (Free Cash Flow, Adjusted Operating Income, Cumulative Adjusted Pre-Tax Income and Adjusted ROIC) that encourage value creation, retention and stock price appreciation.</w:t>
      </w:r>
    </w:p>
    <w:p>
      <w:pPr>
        <w:spacing w:after="0" w:line="9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200" w:lineRule="exact"/>
        <w:rPr>
          <w:sz w:val="20"/>
          <w:szCs w:val="20"/>
          <w:color w:val="auto"/>
        </w:rPr>
      </w:pPr>
    </w:p>
    <w:p>
      <w:pPr>
        <w:sectPr>
          <w:pgSz w:w="11900" w:h="16838" w:orient="portrait"/>
          <w:cols w:equalWidth="0" w:num="2">
            <w:col w:w="5420" w:space="400"/>
            <w:col w:w="5480"/>
          </w:cols>
          <w:pgMar w:left="240" w:top="267" w:right="359" w:bottom="1440" w:gutter="0" w:footer="0" w:header="0"/>
          <w:type w:val="continuous"/>
        </w:sectPr>
      </w:pPr>
    </w:p>
    <w:p>
      <w:pPr>
        <w:spacing w:after="0" w:line="65" w:lineRule="exact"/>
        <w:rPr>
          <w:sz w:val="20"/>
          <w:szCs w:val="20"/>
          <w:color w:val="auto"/>
        </w:rPr>
      </w:pPr>
    </w:p>
    <w:p>
      <w:pPr>
        <w:ind w:left="460" w:hanging="349"/>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00"/>
          </w:cols>
          <w:pgMar w:left="240" w:top="267" w:right="359" w:bottom="1440" w:gutter="0" w:footer="0" w:header="0"/>
          <w:type w:val="continuous"/>
        </w:sectPr>
      </w:pPr>
    </w:p>
    <w:bookmarkStart w:id="60" w:name="page61"/>
    <w:bookmarkEnd w:id="60"/>
    <w:p>
      <w:pPr>
        <w:ind w:right="2940"/>
        <w:spacing w:after="0" w:line="287" w:lineRule="auto"/>
        <w:rPr>
          <w:sz w:val="20"/>
          <w:szCs w:val="20"/>
          <w:color w:val="auto"/>
        </w:rPr>
      </w:pPr>
      <w:r>
        <w:rPr>
          <w:rFonts w:ascii="Arial" w:cs="Arial" w:eastAsia="Arial" w:hAnsi="Arial"/>
          <w:sz w:val="39"/>
          <w:szCs w:val="39"/>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following persons served on our Compensation Committee during all or a portion of 2016: Ms. Ligocki and Messrs. Capo, Mallett and Runkle. No member of the Compensation Committee was, during the fiscal year ended December 31, 2016, an officer, former officer or employee of the Company or any of our subsidiaries. None of our executive officers served as a member of:</w:t>
      </w:r>
    </w:p>
    <w:p>
      <w:pPr>
        <w:spacing w:after="0" w:line="107"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board of directors of another entity, one of whose executive officers served on our Compensation Committee; or</w:t>
      </w:r>
    </w:p>
    <w:p>
      <w:pPr>
        <w:spacing w:after="0" w:line="126" w:lineRule="exact"/>
        <w:rPr>
          <w:rFonts w:ascii="Arial" w:cs="Arial" w:eastAsia="Arial" w:hAnsi="Arial"/>
          <w:sz w:val="16"/>
          <w:szCs w:val="16"/>
          <w:color w:val="auto"/>
        </w:rPr>
      </w:pPr>
    </w:p>
    <w:p>
      <w:pPr>
        <w:ind w:left="220" w:hanging="212"/>
        <w:spacing w:after="0"/>
        <w:tabs>
          <w:tab w:leader="none" w:pos="2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as a member of our Board.</w:t>
      </w:r>
    </w:p>
    <w:p>
      <w:pPr>
        <w:spacing w:after="0" w:line="129"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55</w:t>
      </w:r>
    </w:p>
    <w:p>
      <w:pPr>
        <w:sectPr>
          <w:pgSz w:w="11900" w:h="16838" w:orient="portrait"/>
          <w:cols w:equalWidth="0" w:num="1">
            <w:col w:w="11320"/>
          </w:cols>
          <w:pgMar w:left="240" w:top="244" w:right="339" w:bottom="1440" w:gutter="0" w:footer="0" w:header="0"/>
        </w:sectPr>
      </w:pPr>
    </w:p>
    <w:bookmarkStart w:id="61" w:name="page62"/>
    <w:bookmarkEnd w:id="61"/>
    <w:p>
      <w:pPr>
        <w:spacing w:after="0"/>
        <w:rPr>
          <w:sz w:val="20"/>
          <w:szCs w:val="20"/>
          <w:color w:val="auto"/>
        </w:rPr>
      </w:pPr>
      <w:r>
        <w:rPr>
          <w:rFonts w:ascii="Arial" w:cs="Arial" w:eastAsia="Arial" w:hAnsi="Arial"/>
          <w:sz w:val="40"/>
          <w:szCs w:val="40"/>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26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20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and the Annual Report on Form 10-K for the year ended December 31, 2016.</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This Report is submitted by Ms. Ligocki and Messrs. Capo, Mallett and Runkle, being all of the current members of the 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Thomas P. Capo,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Kathleen A. Ligocki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Conrad L. Mallett, Jr.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Donald L. Runkle</w:t>
      </w:r>
    </w:p>
    <w:p>
      <w:pPr>
        <w:spacing w:after="0" w:line="129" w:lineRule="exact"/>
        <w:rPr>
          <w:sz w:val="20"/>
          <w:szCs w:val="20"/>
          <w:color w:val="auto"/>
        </w:rPr>
      </w:pPr>
    </w:p>
    <w:p>
      <w:pPr>
        <w:ind w:left="460" w:hanging="349"/>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420"/>
          </w:cols>
          <w:pgMar w:left="240" w:top="244" w:right="239" w:bottom="1440" w:gutter="0" w:footer="0" w:header="0"/>
        </w:sectPr>
      </w:pPr>
    </w:p>
    <w:bookmarkStart w:id="62" w:name="page63"/>
    <w:bookmarkEnd w:id="62"/>
    <w:p>
      <w:pPr>
        <w:spacing w:after="0"/>
        <w:rPr>
          <w:sz w:val="20"/>
          <w:szCs w:val="20"/>
          <w:color w:val="auto"/>
        </w:rPr>
      </w:pPr>
      <w:r>
        <w:rPr>
          <w:rFonts w:ascii="Arial" w:cs="Arial" w:eastAsia="Arial" w:hAnsi="Arial"/>
          <w:sz w:val="39"/>
          <w:szCs w:val="39"/>
          <w:b w:val="1"/>
          <w:bCs w:val="1"/>
          <w:color w:val="E2231A"/>
        </w:rPr>
        <w:t>AUDIT COMMITTEE REPORT</w:t>
      </w:r>
    </w:p>
    <w:p>
      <w:pPr>
        <w:spacing w:after="0" w:line="35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9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w:t>
      </w:r>
    </w:p>
    <w:p>
      <w:pPr>
        <w:spacing w:after="0" w:line="97"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Audit Committee is currently comprised of Messrs. Smith, Bott, Capo and Foster, each a non-employee director, and operates under a written charter which was last amended by our Board in October 2015. A copy of the current charter is available on our website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w:t>
      </w:r>
    </w:p>
    <w:p>
      <w:pPr>
        <w:spacing w:after="0" w:line="4"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Item 407(D) of Regulation S-K under the Exchange Act and have accounting or related financial management expertise.</w:t>
      </w:r>
    </w:p>
    <w:p>
      <w:pPr>
        <w:spacing w:after="0" w:line="8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-1388110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40"/>
        <w:spacing w:after="0" w:line="251" w:lineRule="auto"/>
        <w:rPr>
          <w:sz w:val="20"/>
          <w:szCs w:val="20"/>
          <w:color w:val="auto"/>
        </w:rPr>
      </w:pPr>
      <w:r>
        <w:rPr>
          <w:rFonts w:ascii="Arial" w:cs="Arial" w:eastAsia="Arial" w:hAnsi="Arial"/>
          <w:sz w:val="16"/>
          <w:szCs w:val="16"/>
          <w:color w:val="auto"/>
        </w:rPr>
        <w:t>10-K for the fiscal year ended December 31, 2016, as well as the report of management, for the year ended December 31, 2016, regarding the Company’s internal control over financial reporting required by Section 404 of the Sarbanes-Oxley Act.</w:t>
      </w:r>
    </w:p>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Audit Committee has retained Ernst &amp; Young LLP as the Company’s independent registered public accounting firm for 2016 and 2017.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stockholders. In reaching this conclusion, the Audit Committee considered Ernst &amp; Young LLP’s integrity, independence, objectivity, industry and company-specific experience, quality and effectiveness of personnel and communications and commitment to serving the Company.</w:t>
      </w:r>
    </w:p>
    <w:p>
      <w:pPr>
        <w:spacing w:after="0" w:line="97"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10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The Audit Committee reviewed with Ernst &amp; Young LLP, its judgments as to the quality, not just the acceptability, of the Company’s accounting policies and such other matters as are required to be discussed with the Audit Committee by the Standards of the Public Company Oversight Board (United States) (PCAOB), including PCAOB Auditing Standard No. 16, </w:t>
      </w:r>
      <w:r>
        <w:rPr>
          <w:rFonts w:ascii="Arial" w:cs="Arial" w:eastAsia="Arial" w:hAnsi="Arial"/>
          <w:sz w:val="16"/>
          <w:szCs w:val="16"/>
          <w:i w:val="1"/>
          <w:iCs w:val="1"/>
          <w:color w:val="auto"/>
        </w:rPr>
        <w:t xml:space="preserve">Communications With Audit Committees, </w:t>
      </w:r>
      <w:r>
        <w:rPr>
          <w:rFonts w:ascii="Arial" w:cs="Arial" w:eastAsia="Arial" w:hAnsi="Arial"/>
          <w:sz w:val="16"/>
          <w:szCs w:val="16"/>
          <w:color w:val="auto"/>
        </w:rPr>
        <w:t>the rules of the SEC,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regulations.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w:t>
      </w:r>
    </w:p>
    <w:p>
      <w:pPr>
        <w:spacing w:after="0" w:line="261" w:lineRule="exact"/>
        <w:rPr>
          <w:sz w:val="20"/>
          <w:szCs w:val="20"/>
          <w:color w:val="auto"/>
        </w:rPr>
      </w:pPr>
    </w:p>
    <w:p>
      <w:pPr>
        <w:jc w:val="right"/>
        <w:spacing w:after="0"/>
        <w:tabs>
          <w:tab w:leader="none" w:pos="400" w:val="left"/>
          <w:tab w:leader="none" w:pos="1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57</w:t>
      </w:r>
    </w:p>
    <w:p>
      <w:pPr>
        <w:sectPr>
          <w:pgSz w:w="11900" w:h="16838" w:orient="portrait"/>
          <w:cols w:equalWidth="0" w:num="2">
            <w:col w:w="5460" w:space="360"/>
            <w:col w:w="5500"/>
          </w:cols>
          <w:pgMar w:left="240" w:top="393" w:right="33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u w:val="single" w:color="auto"/>
          <w:color w:val="E2231A"/>
        </w:rPr>
        <w:t>AUDIT COMMITTEE REPORT</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Company. The Audit Committee has considered whether the provision of non-audit services to the Company is compatible with maintaining the independence of Ernst &amp; Young LLP.</w:t>
      </w:r>
    </w:p>
    <w:p>
      <w:pPr>
        <w:spacing w:after="0" w:line="9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that the Company’s audited consolidated financial statements be included in the Company’s Annual Report on Form 10-K for the fiscal year ended December 31, 2016, filed with the SEC on February 7, 2017.</w:t>
      </w:r>
    </w:p>
    <w:p>
      <w:pPr>
        <w:spacing w:after="0" w:line="259" w:lineRule="exact"/>
        <w:rPr>
          <w:sz w:val="20"/>
          <w:szCs w:val="20"/>
          <w:color w:val="auto"/>
        </w:rPr>
      </w:pPr>
    </w:p>
    <w:p>
      <w:pPr>
        <w:ind w:left="460" w:hanging="349"/>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This Report is submitted by Messrs. Smith, Bott, Capo and Foster, being all of the members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-579755</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Gregory C. Smith,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Richard H. Bott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Thomas P. Capo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Jonathan F. Foster</w:t>
      </w:r>
    </w:p>
    <w:p>
      <w:pPr>
        <w:sectPr>
          <w:pgSz w:w="11900" w:h="16838" w:orient="portrait"/>
          <w:cols w:equalWidth="0" w:num="2">
            <w:col w:w="5220" w:space="600"/>
            <w:col w:w="5400"/>
          </w:cols>
          <w:pgMar w:left="240" w:top="267" w:right="439" w:bottom="1440" w:gutter="0" w:footer="0" w:header="0"/>
        </w:sectPr>
      </w:pPr>
    </w:p>
    <w:bookmarkStart w:id="64" w:name="page65"/>
    <w:bookmarkEnd w:id="64"/>
    <w:p>
      <w:pPr>
        <w:spacing w:after="0"/>
        <w:rPr>
          <w:sz w:val="20"/>
          <w:szCs w:val="20"/>
          <w:color w:val="auto"/>
        </w:rPr>
      </w:pPr>
      <w:r>
        <w:rPr>
          <w:rFonts w:ascii="Arial" w:cs="Arial" w:eastAsia="Arial" w:hAnsi="Arial"/>
          <w:sz w:val="39"/>
          <w:szCs w:val="39"/>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FEES OF INDEPENDENT ACCOUNTANTS</w:t>
      </w:r>
    </w:p>
    <w:p>
      <w:pPr>
        <w:sectPr>
          <w:pgSz w:w="11900" w:h="16838" w:orient="portrait"/>
          <w:cols w:equalWidth="0" w:num="1">
            <w:col w:w="11420"/>
          </w:cols>
          <w:pgMar w:left="240" w:top="393" w:right="239" w:bottom="1440" w:gutter="0" w:footer="0" w:header="0"/>
        </w:sectPr>
      </w:pPr>
    </w:p>
    <w:p>
      <w:pPr>
        <w:spacing w:after="0" w:line="35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addition to retaining Ernst &amp; Young LLP to audit our consolidated financial statements for 2016, we retained Ernst &amp;Young LLP, as well as other accounting firms, to provide tax and other advisory services in 2016.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that the Company achieved in 2016 and 2015.</w:t>
      </w:r>
    </w:p>
    <w:p>
      <w:pPr>
        <w:spacing w:after="0" w:line="9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our independent registered public accounting firm, does not impair its independence, the Audit Committee is required to pre-approve the audit and permitted non-audit services to be</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98" w:lineRule="exact"/>
        <w:rPr>
          <w:sz w:val="20"/>
          <w:szCs w:val="20"/>
          <w:color w:val="auto"/>
        </w:rPr>
      </w:pPr>
    </w:p>
    <w:p>
      <w:pPr>
        <w:ind w:right="460"/>
        <w:spacing w:after="0" w:line="253" w:lineRule="auto"/>
        <w:rPr>
          <w:sz w:val="20"/>
          <w:szCs w:val="20"/>
          <w:color w:val="auto"/>
        </w:rPr>
      </w:pPr>
      <w:r>
        <w:rPr>
          <w:rFonts w:ascii="Arial" w:cs="Arial" w:eastAsia="Arial" w:hAnsi="Arial"/>
          <w:sz w:val="16"/>
          <w:szCs w:val="16"/>
          <w:color w:val="auto"/>
        </w:rPr>
        <w:t>The Audit Committee has adopted policies regarding our ability to hire employees, former employees and certain relatives of employees of the Company’s independent registered public accounting firm.</w:t>
      </w:r>
    </w:p>
    <w:p>
      <w:pPr>
        <w:spacing w:after="0" w:line="200" w:lineRule="exact"/>
        <w:rPr>
          <w:sz w:val="20"/>
          <w:szCs w:val="20"/>
          <w:color w:val="auto"/>
        </w:rPr>
      </w:pPr>
    </w:p>
    <w:p>
      <w:pPr>
        <w:sectPr>
          <w:pgSz w:w="11900" w:h="16838" w:orient="portrait"/>
          <w:cols w:equalWidth="0" w:num="2">
            <w:col w:w="5460" w:space="360"/>
            <w:col w:w="5600"/>
          </w:cols>
          <w:pgMar w:left="240" w:top="393" w:right="239"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During 2016 and 2015, we retained Ernst &amp; Young LLP to provide services in the following categories and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E2231A"/>
              </w:rPr>
              <w:t>2016</w:t>
            </w: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E2231A"/>
              </w:rPr>
              <w:t>2015</w:t>
            </w:r>
          </w:p>
        </w:tc>
      </w:tr>
      <w:tr>
        <w:trPr>
          <w:trHeight w:val="183"/>
        </w:trPr>
        <w:tc>
          <w:tcPr>
            <w:tcW w:w="5520" w:type="dxa"/>
            <w:vAlign w:val="bottom"/>
            <w:shd w:val="clear" w:color="auto" w:fill="FCE9E8"/>
          </w:tcPr>
          <w:p>
            <w:pPr>
              <w:ind w:left="80"/>
              <w:spacing w:after="0" w:line="183" w:lineRule="exact"/>
              <w:rPr>
                <w:sz w:val="20"/>
                <w:szCs w:val="20"/>
                <w:color w:val="auto"/>
              </w:rPr>
            </w:pPr>
            <w:r>
              <w:rPr>
                <w:rFonts w:ascii="Arial" w:cs="Arial" w:eastAsia="Arial" w:hAnsi="Arial"/>
                <w:sz w:val="13"/>
                <w:szCs w:val="13"/>
                <w:color w:val="auto"/>
              </w:rPr>
              <w:t>Audit fees</w:t>
            </w:r>
            <w:r>
              <w:rPr>
                <w:rFonts w:ascii="Arial" w:cs="Arial" w:eastAsia="Arial" w:hAnsi="Arial"/>
                <w:sz w:val="21"/>
                <w:szCs w:val="21"/>
                <w:color w:val="auto"/>
                <w:vertAlign w:val="superscript"/>
              </w:rPr>
              <w:t>(1)</w:t>
            </w:r>
          </w:p>
        </w:tc>
        <w:tc>
          <w:tcPr>
            <w:tcW w:w="4780" w:type="dxa"/>
            <w:vAlign w:val="bottom"/>
            <w:shd w:val="clear" w:color="auto" w:fill="FCE9E8"/>
          </w:tcPr>
          <w:p>
            <w:pPr>
              <w:jc w:val="right"/>
              <w:ind w:right="201"/>
              <w:spacing w:after="0" w:line="183" w:lineRule="exact"/>
              <w:rPr>
                <w:sz w:val="20"/>
                <w:szCs w:val="20"/>
                <w:color w:val="auto"/>
              </w:rPr>
            </w:pPr>
            <w:r>
              <w:rPr>
                <w:rFonts w:ascii="Arial" w:cs="Arial" w:eastAsia="Arial" w:hAnsi="Arial"/>
                <w:sz w:val="16"/>
                <w:szCs w:val="16"/>
                <w:color w:val="auto"/>
              </w:rPr>
              <w:t>$ 8,951</w:t>
            </w:r>
          </w:p>
        </w:tc>
        <w:tc>
          <w:tcPr>
            <w:tcW w:w="1120" w:type="dxa"/>
            <w:vAlign w:val="bottom"/>
            <w:shd w:val="clear" w:color="auto" w:fill="FCE9E8"/>
          </w:tcPr>
          <w:p>
            <w:pPr>
              <w:jc w:val="right"/>
              <w:ind w:right="261"/>
              <w:spacing w:after="0" w:line="183" w:lineRule="exact"/>
              <w:rPr>
                <w:sz w:val="20"/>
                <w:szCs w:val="20"/>
                <w:color w:val="auto"/>
              </w:rPr>
            </w:pPr>
            <w:r>
              <w:rPr>
                <w:rFonts w:ascii="Arial" w:cs="Arial" w:eastAsia="Arial" w:hAnsi="Arial"/>
                <w:sz w:val="16"/>
                <w:szCs w:val="16"/>
                <w:color w:val="auto"/>
              </w:rPr>
              <w:t>$ 8,271</w:t>
            </w:r>
          </w:p>
        </w:tc>
      </w:tr>
      <w:tr>
        <w:trPr>
          <w:trHeight w:val="189"/>
        </w:trPr>
        <w:tc>
          <w:tcPr>
            <w:tcW w:w="5520" w:type="dxa"/>
            <w:vAlign w:val="bottom"/>
          </w:tcPr>
          <w:p>
            <w:pPr>
              <w:ind w:left="80"/>
              <w:spacing w:after="0" w:line="189" w:lineRule="exact"/>
              <w:rPr>
                <w:sz w:val="20"/>
                <w:szCs w:val="20"/>
                <w:color w:val="auto"/>
              </w:rPr>
            </w:pPr>
            <w:r>
              <w:rPr>
                <w:rFonts w:ascii="Arial" w:cs="Arial" w:eastAsia="Arial" w:hAnsi="Arial"/>
                <w:sz w:val="13"/>
                <w:szCs w:val="13"/>
                <w:color w:val="auto"/>
              </w:rPr>
              <w:t>Audit-related fees</w:t>
            </w:r>
            <w:r>
              <w:rPr>
                <w:rFonts w:ascii="Arial" w:cs="Arial" w:eastAsia="Arial" w:hAnsi="Arial"/>
                <w:sz w:val="21"/>
                <w:szCs w:val="21"/>
                <w:color w:val="auto"/>
                <w:vertAlign w:val="superscript"/>
              </w:rPr>
              <w:t>(2)</w:t>
            </w:r>
          </w:p>
        </w:tc>
        <w:tc>
          <w:tcPr>
            <w:tcW w:w="4780" w:type="dxa"/>
            <w:vAlign w:val="bottom"/>
          </w:tcPr>
          <w:p>
            <w:pPr>
              <w:jc w:val="right"/>
              <w:ind w:right="201"/>
              <w:spacing w:after="0"/>
              <w:rPr>
                <w:sz w:val="20"/>
                <w:szCs w:val="20"/>
                <w:color w:val="auto"/>
              </w:rPr>
            </w:pPr>
            <w:r>
              <w:rPr>
                <w:rFonts w:ascii="Arial" w:cs="Arial" w:eastAsia="Arial" w:hAnsi="Arial"/>
                <w:sz w:val="16"/>
                <w:szCs w:val="16"/>
                <w:color w:val="auto"/>
              </w:rPr>
              <w:t>277</w:t>
            </w:r>
          </w:p>
        </w:tc>
        <w:tc>
          <w:tcPr>
            <w:tcW w:w="1120" w:type="dxa"/>
            <w:vAlign w:val="bottom"/>
          </w:tcPr>
          <w:p>
            <w:pPr>
              <w:jc w:val="right"/>
              <w:ind w:right="261"/>
              <w:spacing w:after="0"/>
              <w:rPr>
                <w:sz w:val="20"/>
                <w:szCs w:val="20"/>
                <w:color w:val="auto"/>
              </w:rPr>
            </w:pPr>
            <w:r>
              <w:rPr>
                <w:rFonts w:ascii="Arial" w:cs="Arial" w:eastAsia="Arial" w:hAnsi="Arial"/>
                <w:sz w:val="16"/>
                <w:szCs w:val="16"/>
                <w:color w:val="auto"/>
              </w:rPr>
              <w:t>350</w:t>
            </w:r>
          </w:p>
        </w:tc>
      </w:tr>
      <w:tr>
        <w:trPr>
          <w:trHeight w:val="189"/>
        </w:trPr>
        <w:tc>
          <w:tcPr>
            <w:tcW w:w="5520" w:type="dxa"/>
            <w:vAlign w:val="bottom"/>
            <w:shd w:val="clear" w:color="auto" w:fill="FCE9E8"/>
          </w:tcPr>
          <w:p>
            <w:pPr>
              <w:ind w:left="100"/>
              <w:spacing w:after="0" w:line="189" w:lineRule="exact"/>
              <w:rPr>
                <w:sz w:val="20"/>
                <w:szCs w:val="20"/>
                <w:color w:val="auto"/>
              </w:rPr>
            </w:pPr>
            <w:r>
              <w:rPr>
                <w:rFonts w:ascii="Arial" w:cs="Arial" w:eastAsia="Arial" w:hAnsi="Arial"/>
                <w:sz w:val="13"/>
                <w:szCs w:val="13"/>
                <w:color w:val="auto"/>
              </w:rPr>
              <w:t>Tax fees</w:t>
            </w:r>
            <w:r>
              <w:rPr>
                <w:rFonts w:ascii="Arial" w:cs="Arial" w:eastAsia="Arial" w:hAnsi="Arial"/>
                <w:sz w:val="21"/>
                <w:szCs w:val="21"/>
                <w:color w:val="auto"/>
                <w:vertAlign w:val="superscript"/>
              </w:rPr>
              <w:t>(3)</w:t>
            </w:r>
          </w:p>
        </w:tc>
        <w:tc>
          <w:tcPr>
            <w:tcW w:w="4780" w:type="dxa"/>
            <w:vAlign w:val="bottom"/>
            <w:shd w:val="clear" w:color="auto" w:fill="FCE9E8"/>
          </w:tcPr>
          <w:p>
            <w:pPr>
              <w:jc w:val="right"/>
              <w:ind w:right="201"/>
              <w:spacing w:after="0"/>
              <w:rPr>
                <w:sz w:val="20"/>
                <w:szCs w:val="20"/>
                <w:color w:val="auto"/>
              </w:rPr>
            </w:pPr>
            <w:r>
              <w:rPr>
                <w:rFonts w:ascii="Arial" w:cs="Arial" w:eastAsia="Arial" w:hAnsi="Arial"/>
                <w:sz w:val="16"/>
                <w:szCs w:val="16"/>
                <w:color w:val="auto"/>
              </w:rPr>
              <w:t>1,507</w:t>
            </w:r>
          </w:p>
        </w:tc>
        <w:tc>
          <w:tcPr>
            <w:tcW w:w="1120" w:type="dxa"/>
            <w:vAlign w:val="bottom"/>
            <w:shd w:val="clear" w:color="auto" w:fill="FCE9E8"/>
          </w:tcPr>
          <w:p>
            <w:pPr>
              <w:jc w:val="right"/>
              <w:ind w:right="261"/>
              <w:spacing w:after="0"/>
              <w:rPr>
                <w:sz w:val="20"/>
                <w:szCs w:val="20"/>
                <w:color w:val="auto"/>
              </w:rPr>
            </w:pPr>
            <w:r>
              <w:rPr>
                <w:rFonts w:ascii="Arial" w:cs="Arial" w:eastAsia="Arial" w:hAnsi="Arial"/>
                <w:sz w:val="16"/>
                <w:szCs w:val="16"/>
                <w:color w:val="auto"/>
              </w:rPr>
              <w:t>1,542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20" w:hanging="332"/>
        <w:spacing w:after="0" w:line="199" w:lineRule="auto"/>
        <w:tabs>
          <w:tab w:leader="none" w:pos="34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71" w:lineRule="exact"/>
        <w:rPr>
          <w:rFonts w:ascii="Arial" w:cs="Arial" w:eastAsia="Arial" w:hAnsi="Arial"/>
          <w:sz w:val="24"/>
          <w:szCs w:val="24"/>
          <w:color w:val="auto"/>
          <w:vertAlign w:val="superscript"/>
        </w:rPr>
      </w:pPr>
    </w:p>
    <w:p>
      <w:pPr>
        <w:ind w:left="340" w:right="760" w:hanging="332"/>
        <w:spacing w:after="0" w:line="183" w:lineRule="auto"/>
        <w:tabs>
          <w:tab w:leader="none" w:pos="34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Audit-related fees include services related to the audits of employee benefit plans, agreed-upon procedures related to certain due diligence services and other risk assessment services.</w:t>
      </w:r>
    </w:p>
    <w:p>
      <w:pPr>
        <w:spacing w:after="0" w:line="1" w:lineRule="exact"/>
        <w:rPr>
          <w:rFonts w:ascii="Arial" w:cs="Arial" w:eastAsia="Arial" w:hAnsi="Arial"/>
          <w:sz w:val="24"/>
          <w:szCs w:val="24"/>
          <w:color w:val="auto"/>
          <w:vertAlign w:val="superscript"/>
        </w:rPr>
      </w:pPr>
    </w:p>
    <w:p>
      <w:pPr>
        <w:ind w:left="340" w:hanging="332"/>
        <w:spacing w:after="0" w:line="211" w:lineRule="auto"/>
        <w:tabs>
          <w:tab w:leader="none" w:pos="34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Tax fees include services related to tax compliance, tax advice and tax planning.</w:t>
      </w:r>
    </w:p>
    <w:p>
      <w:pPr>
        <w:spacing w:after="0" w:line="133"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59</w:t>
      </w:r>
    </w:p>
    <w:p>
      <w:pPr>
        <w:sectPr>
          <w:pgSz w:w="11900" w:h="16838" w:orient="portrait"/>
          <w:cols w:equalWidth="0" w:num="1">
            <w:col w:w="11420"/>
          </w:cols>
          <w:pgMar w:left="240" w:top="393" w:right="239" w:bottom="1440" w:gutter="0" w:footer="0" w:header="0"/>
          <w:type w:val="continuous"/>
        </w:sectPr>
      </w:pPr>
    </w:p>
    <w:bookmarkStart w:id="65" w:name="page66"/>
    <w:bookmarkEnd w:id="65"/>
    <w:p>
      <w:pPr>
        <w:ind w:right="1920"/>
        <w:spacing w:after="0" w:line="274" w:lineRule="auto"/>
        <w:rPr>
          <w:sz w:val="20"/>
          <w:szCs w:val="20"/>
          <w:color w:val="auto"/>
        </w:rPr>
      </w:pPr>
      <w:r>
        <w:rPr>
          <w:rFonts w:ascii="Arial" w:cs="Arial" w:eastAsia="Arial" w:hAnsi="Arial"/>
          <w:sz w:val="40"/>
          <w:szCs w:val="40"/>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PARTY TRANSACTIONS</w:t>
      </w:r>
    </w:p>
    <w:p>
      <w:pPr>
        <w:sectPr>
          <w:pgSz w:w="11900" w:h="16838" w:orient="portrait"/>
          <w:cols w:equalWidth="0" w:num="1">
            <w:col w:w="11300"/>
          </w:cols>
          <w:pgMar w:left="240" w:top="393" w:right="359" w:bottom="1440" w:gutter="0" w:footer="0" w:header="0"/>
        </w:sectPr>
      </w:pPr>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We have established a written policy that has been broadly disseminated within the Company regarding (i) transactions with related parties and (ii) the employment of immediate family members of directors and executive officers. This policy assists us in identifying, reviewing, monitoring and, as necessary, approving transactions with related parties and also provides for the identification, monitoring and review of employment of immediate family members of directors and executive officers by our human resources department. The policy requires that any transaction, or series of transactions, involving related parties in excess of $50,000, whether undertaken in or outside the ordinary course of our business, be presented to the Nominating and Corporate Governance Committee. When a related party has a material direct or indirect interest in any such transaction, or series of transactions, in excess of $120,000 that otherwise meet the disclosure requirements of Regulation S-K, approval of the Nominating and Corporate Governance Committee must be obtained. The policy further provides that all such employment decisions should be made in accordance with the Company’s policies and procedures and that directors and executive officers must not seek to improperly influence any employment decisions regarding their immediate family members.</w:t>
      </w:r>
    </w:p>
    <w:p>
      <w:pPr>
        <w:spacing w:after="0" w:line="10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implemented various procedures to ensure compliance with the related party transaction policy. For example, the Company’s standard purchasing terms and conditions require vendors to advise us upon any such vendor becoming aware of relationships with related parties, including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immediate family member)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10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among others, our Chief Accounting Officer. Payments to vendors identified as related party vendors in North America are processed through a centralized payables system. At least twice per year, the list of related parties is updated by directors, members of senior management and certain other employees.</w:t>
      </w:r>
    </w:p>
    <w:p>
      <w:pPr>
        <w:spacing w:after="0" w:line="9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Pursuant to this policy, we have adopted procedures which assist us in identifying and reviewing relationships involving the employment of immediate family members of directors and executive officers.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 list of any immediate family members of the Company’s directors or executive officers who are employed by the Company are provided annually to the Nominating and Corporate Governance Committee.</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At least annually, the Chief Accounting Officer reports to the Vice President of Internal Audit on related party relationships, including those with customers, as well as the amount of business performed between the Company and each related party year-to-date and for the preceding fiscal year. At least annually, the Vice President of Internal Audit prepares an audit plan for reviewing significant transactions with related parties and prepares a report on such audit plan and the results for the Nominating and Corporate Governance Committee. The Chief Accounting Officer, General Counsel and Vice President of Internal Audit meet at least twice per year to confirm the adequate monitoring and reporting of related party transactions. The Nominating and Corporate Governance Committee also receives a summary of all significant relationships with related parties at least annually.</w:t>
      </w:r>
    </w:p>
    <w:p>
      <w:pPr>
        <w:spacing w:after="0" w:line="10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connection with any required Nominating and Corporate Governance Committee approval, a member of our senior management must represent to the Nominating and Corporate Governance Committee that the related party at issue has been held to the same standards as unaffiliated third parties. Nominating and Corporate Governance Committee members having (or having an immediate family member that has) a direct or indirect interest in the transaction must recuse themselves from consideration of the transaction.</w:t>
      </w:r>
    </w:p>
    <w:p>
      <w:pPr>
        <w:spacing w:after="0" w:line="200" w:lineRule="exact"/>
        <w:rPr>
          <w:sz w:val="20"/>
          <w:szCs w:val="20"/>
          <w:color w:val="auto"/>
        </w:rPr>
      </w:pPr>
    </w:p>
    <w:p>
      <w:pPr>
        <w:sectPr>
          <w:pgSz w:w="11900" w:h="16838" w:orient="portrait"/>
          <w:cols w:equalWidth="0" w:num="2">
            <w:col w:w="5480" w:space="340"/>
            <w:col w:w="5480"/>
          </w:cols>
          <w:pgMar w:left="240" w:top="393" w:right="359" w:bottom="1440" w:gutter="0" w:footer="0" w:header="0"/>
          <w:type w:val="continuous"/>
        </w:sectPr>
      </w:pPr>
    </w:p>
    <w:p>
      <w:pPr>
        <w:spacing w:after="0" w:line="64" w:lineRule="exact"/>
        <w:rPr>
          <w:sz w:val="20"/>
          <w:szCs w:val="20"/>
          <w:color w:val="auto"/>
        </w:rPr>
      </w:pPr>
    </w:p>
    <w:p>
      <w:pPr>
        <w:ind w:left="460" w:hanging="349"/>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00"/>
          </w:cols>
          <w:pgMar w:left="240" w:top="393" w:right="359" w:bottom="1440" w:gutter="0" w:footer="0" w:header="0"/>
          <w:type w:val="continuous"/>
        </w:sectPr>
      </w:pPr>
    </w:p>
    <w:bookmarkStart w:id="66" w:name="page67"/>
    <w:bookmarkEnd w:id="66"/>
    <w:p>
      <w:pPr>
        <w:spacing w:after="0" w:line="200" w:lineRule="exact"/>
        <w:rPr>
          <w:sz w:val="20"/>
          <w:szCs w:val="20"/>
          <w:color w:val="auto"/>
        </w:rPr>
      </w:pPr>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These procedures resulted in the approval by the Nominating and Corporate Governance Committee of the employment relationship set forth below under “— Certain Transactions.”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our Code of Business Conduct and Ethics prohibits activities that conflict with, or have the appearance of conflicting with, the best interests of the Company and 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b w:val="1"/>
          <w:bCs w:val="1"/>
          <w:u w:val="single" w:color="auto"/>
          <w:color w:val="E2231A"/>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-189865</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stockholders. Such conflicts of interest may arise when an employee, or a member of the employee’s family, receives improper personal benefits as a result of such individual’s position in the Company.</w:t>
      </w:r>
    </w:p>
    <w:p>
      <w:pPr>
        <w:spacing w:after="0" w:line="875" w:lineRule="exact"/>
        <w:rPr>
          <w:sz w:val="20"/>
          <w:szCs w:val="20"/>
          <w:color w:val="auto"/>
        </w:rPr>
      </w:pPr>
    </w:p>
    <w:p>
      <w:pPr>
        <w:sectPr>
          <w:pgSz w:w="11900" w:h="16838" w:orient="portrait"/>
          <w:cols w:equalWidth="0" w:num="2">
            <w:col w:w="5480" w:space="340"/>
            <w:col w:w="5600"/>
          </w:cols>
          <w:pgMar w:left="240" w:top="267"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color w:val="auto"/>
        </w:rPr>
        <w:t>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p>
      <w:pPr>
        <w:spacing w:after="0" w:line="3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Mark Mueller, a Principal Engineer for the Company, is a brother-in-law of Raymond E. Scott, the Company’s Executive Vice President and President, Seating. In 2016, the Company paid Mr. Mueller approximately $163,000, which included</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500"/>
        <w:spacing w:after="0" w:line="251" w:lineRule="auto"/>
        <w:rPr>
          <w:sz w:val="20"/>
          <w:szCs w:val="20"/>
          <w:color w:val="auto"/>
        </w:rPr>
      </w:pPr>
      <w:r>
        <w:rPr>
          <w:rFonts w:ascii="Arial" w:cs="Arial" w:eastAsia="Arial" w:hAnsi="Arial"/>
          <w:sz w:val="16"/>
          <w:szCs w:val="16"/>
          <w:color w:val="auto"/>
        </w:rPr>
        <w:t>bonus payments and other standard benefit arrangements. The compensation paid to Mr. Mueller was approved in accordance with the Company’s standard compensation practices for similarly situated employees.</w:t>
      </w:r>
    </w:p>
    <w:p>
      <w:pPr>
        <w:spacing w:after="0" w:line="245" w:lineRule="exact"/>
        <w:rPr>
          <w:sz w:val="20"/>
          <w:szCs w:val="20"/>
          <w:color w:val="auto"/>
        </w:rPr>
      </w:pPr>
    </w:p>
    <w:p>
      <w:pPr>
        <w:jc w:val="right"/>
        <w:ind w:right="100"/>
        <w:spacing w:after="0"/>
        <w:tabs>
          <w:tab w:leader="none" w:pos="400" w:val="left"/>
          <w:tab w:leader="none" w:pos="18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61</w:t>
      </w:r>
    </w:p>
    <w:p>
      <w:pPr>
        <w:sectPr>
          <w:pgSz w:w="11900" w:h="16838" w:orient="portrait"/>
          <w:cols w:equalWidth="0" w:num="2">
            <w:col w:w="5400" w:space="420"/>
            <w:col w:w="5600"/>
          </w:cols>
          <w:pgMar w:left="240" w:top="267" w:right="239" w:bottom="1440" w:gutter="0" w:footer="0" w:header="0"/>
          <w:type w:val="continuous"/>
        </w:sectPr>
      </w:pPr>
    </w:p>
    <w:bookmarkStart w:id="67" w:name="page68"/>
    <w:bookmarkEnd w:id="67"/>
    <w:p>
      <w:pPr>
        <w:ind w:right="1880"/>
        <w:spacing w:after="0" w:line="274" w:lineRule="auto"/>
        <w:rPr>
          <w:sz w:val="20"/>
          <w:szCs w:val="20"/>
          <w:color w:val="auto"/>
        </w:rPr>
      </w:pPr>
      <w:r>
        <w:rPr>
          <w:rFonts w:ascii="Arial" w:cs="Arial" w:eastAsia="Arial" w:hAnsi="Arial"/>
          <w:sz w:val="39"/>
          <w:szCs w:val="39"/>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RATIFICATION OF RETENTION OF INDEPENDENT REGISTERED PUBLIC ACCOUNTING FIRM</w:t>
      </w:r>
    </w:p>
    <w:p>
      <w:pPr>
        <w:sectPr>
          <w:pgSz w:w="11900" w:h="16838" w:orient="portrait"/>
          <w:cols w:equalWidth="0" w:num="1">
            <w:col w:w="11300"/>
          </w:cols>
          <w:pgMar w:left="240" w:top="393" w:right="35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40"/>
          <w:szCs w:val="40"/>
          <w:b w:val="1"/>
          <w:bCs w:val="1"/>
          <w:color w:val="E2231A"/>
        </w:rPr>
        <w:t>(PROPOSAL NO. 2)</w:t>
      </w:r>
    </w:p>
    <w:p>
      <w:pPr>
        <w:spacing w:after="0" w:line="34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Our Audit Committee has retained Ernst &amp; Young LLP as our independent registered public accounting firm for the year ending December 31, 2017.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it determines that such a change would be in the best interests 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7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THE BOARD UNANIMOUSLY RECOMMENDS A VOTE “FOR” RATIFICATION OF THE RETENTION OF ERNST &amp; YOUNG LLP AS OUR INDEPENDENT REGISTERED PUBLIC ACCOUNTING FIRM FOR 2017.</w:t>
      </w:r>
    </w:p>
    <w:p>
      <w:pPr>
        <w:spacing w:after="0" w:line="6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PROXIES SOLICITED BY THE BOARD WILL BE VOTED FOR THE PROPOSAL UNLESS STOCKHOLDERS SPECIFY A CONTRARY VOTE.</w:t>
      </w:r>
    </w:p>
    <w:p>
      <w:pPr>
        <w:spacing w:after="0" w:line="325" w:lineRule="exact"/>
        <w:rPr>
          <w:sz w:val="20"/>
          <w:szCs w:val="20"/>
          <w:color w:val="auto"/>
        </w:rPr>
      </w:pPr>
    </w:p>
    <w:p>
      <w:pPr>
        <w:sectPr>
          <w:pgSz w:w="11900" w:h="16838" w:orient="portrait"/>
          <w:cols w:equalWidth="0" w:num="2">
            <w:col w:w="5460" w:space="360"/>
            <w:col w:w="5480"/>
          </w:cols>
          <w:pgMar w:left="240" w:top="393" w:right="359" w:bottom="1440" w:gutter="0" w:footer="0" w:header="0"/>
          <w:type w:val="continuous"/>
        </w:sectPr>
      </w:pPr>
    </w:p>
    <w:p>
      <w:pPr>
        <w:spacing w:after="0" w:line="69" w:lineRule="exact"/>
        <w:rPr>
          <w:sz w:val="20"/>
          <w:szCs w:val="20"/>
          <w:color w:val="auto"/>
        </w:rPr>
      </w:pPr>
    </w:p>
    <w:p>
      <w:pPr>
        <w:ind w:left="460" w:hanging="349"/>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00"/>
          </w:cols>
          <w:pgMar w:left="240" w:top="393" w:right="359" w:bottom="1440" w:gutter="0" w:footer="0" w:header="0"/>
          <w:type w:val="continuous"/>
        </w:sectPr>
      </w:pPr>
    </w:p>
    <w:bookmarkStart w:id="68" w:name="page69"/>
    <w:bookmarkEnd w:id="68"/>
    <w:p>
      <w:pPr>
        <w:ind w:right="260"/>
        <w:spacing w:after="0" w:line="274" w:lineRule="auto"/>
        <w:rPr>
          <w:sz w:val="20"/>
          <w:szCs w:val="20"/>
          <w:color w:val="auto"/>
        </w:rPr>
      </w:pPr>
      <w:r>
        <w:rPr>
          <w:rFonts w:ascii="Arial" w:cs="Arial" w:eastAsia="Arial" w:hAnsi="Arial"/>
          <w:sz w:val="39"/>
          <w:szCs w:val="39"/>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ADVISORY VOTE TO APPROVE EXECUTIVE COMPENSATION SET FORTH IN THIS PROXY STATEMENT</w:t>
      </w:r>
    </w:p>
    <w:p>
      <w:pPr>
        <w:sectPr>
          <w:pgSz w:w="11900" w:h="16838" w:orient="portrait"/>
          <w:cols w:equalWidth="0" w:num="1">
            <w:col w:w="11320"/>
          </w:cols>
          <w:pgMar w:left="240" w:top="393"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40"/>
          <w:szCs w:val="40"/>
          <w:b w:val="1"/>
          <w:bCs w:val="1"/>
          <w:color w:val="E2231A"/>
        </w:rPr>
        <w:t>(PROPOSAL NO. 3)</w:t>
      </w:r>
    </w:p>
    <w:p>
      <w:pPr>
        <w:spacing w:after="0" w:line="34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initially approved by stockholders at the annual meeting of stockholders in 2011 and consistent with the Board’s recommendation, we are submitting this proposal for a non-binding vote on an annual basis. While this vote is advisory, and not binding on the Board, it will provide information to the Board and Compensation Committee regarding investor sentiment about our executive compensation programs and practices, which the Compensation Committee will carefully review when evaluating our executive compensation program. At the annual meeting of stockholders in 2016, our executive compensation program and practices disclosed in our 2016 Proxy Statement received a favorable vote by over 98% of shares voted.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Stockholders are being asked to vote on the following advisory resolution:</w:t>
      </w:r>
    </w:p>
    <w:p>
      <w:pPr>
        <w:spacing w:after="0" w:line="113"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“RESOLVED, that the Company’s stockholders approve, on an advisory basis, the compensation of the Company’s executive officers, as disclosed in the 2017 Proxy Statement pursuant to the compensation disclosure rules of the Securities and Exchange Commission, including the Compensation Discussion and Analysis, the 2016 Summary Compensation Table and the other related tables and disclosures.”</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Named Executive Officers in variable or performance-based compensation programs (annual and long-term incentive plans). Performance measures used in the Company’s annual and long-term incentive plans support the Company’s annual operating plan and longer term strategy and are tied to key Company measures of short and long-term performance. Our program also aligns the Named Executive Officers’ financial interests with those of our stockholders by delivering a substantial portion of their total compensation in the form of equity awards and other long-term incentive vehicles.</w:t>
      </w:r>
    </w:p>
    <w:p>
      <w:pPr>
        <w:spacing w:after="0" w:line="10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Named Executive Officers.</w:t>
      </w:r>
    </w:p>
    <w:p>
      <w:pPr>
        <w:spacing w:after="0" w:line="95"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7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b w:val="1"/>
          <w:bCs w:val="1"/>
          <w:color w:val="auto"/>
        </w:rPr>
        <w:t>THE BOARD UNANIMOUSLY RECOMMENDS A VOTE “FOR” THE ADVISORY APPROVAL OF EXECUTIVE COMPENSATION SET FORTH IN THIS PROXY STATEMENT.</w:t>
      </w:r>
    </w:p>
    <w:p>
      <w:pPr>
        <w:spacing w:after="0" w:line="6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ADVISORY APPROVAL OF EXECUTIVE COMPENSATION SET FORTH IN THIS PROXY STATEMENT UNLESS STOCKHOLDERS SPECIFY A CONTRARY VOTE.</w:t>
      </w:r>
    </w:p>
    <w:p>
      <w:pPr>
        <w:spacing w:after="0" w:line="200" w:lineRule="exact"/>
        <w:rPr>
          <w:sz w:val="20"/>
          <w:szCs w:val="20"/>
          <w:color w:val="auto"/>
        </w:rPr>
      </w:pPr>
    </w:p>
    <w:p>
      <w:pPr>
        <w:sectPr>
          <w:pgSz w:w="11900" w:h="16838" w:orient="portrait"/>
          <w:cols w:equalWidth="0" w:num="2">
            <w:col w:w="5480" w:space="340"/>
            <w:col w:w="5500"/>
          </w:cols>
          <w:pgMar w:left="240" w:top="393" w:right="339" w:bottom="1440" w:gutter="0" w:footer="0" w:header="0"/>
          <w:type w:val="continuous"/>
        </w:sectPr>
      </w:pPr>
    </w:p>
    <w:p>
      <w:pPr>
        <w:spacing w:after="0" w:line="135"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63</w:t>
      </w:r>
    </w:p>
    <w:p>
      <w:pPr>
        <w:sectPr>
          <w:pgSz w:w="11900" w:h="16838" w:orient="portrait"/>
          <w:cols w:equalWidth="0" w:num="1">
            <w:col w:w="11320"/>
          </w:cols>
          <w:pgMar w:left="240" w:top="393" w:right="339" w:bottom="1440" w:gutter="0" w:footer="0" w:header="0"/>
          <w:type w:val="continuous"/>
        </w:sectPr>
      </w:pPr>
    </w:p>
    <w:bookmarkStart w:id="69" w:name="page70"/>
    <w:bookmarkEnd w:id="69"/>
    <w:p>
      <w:pPr>
        <w:ind w:right="300"/>
        <w:spacing w:after="0" w:line="267" w:lineRule="auto"/>
        <w:rPr>
          <w:sz w:val="20"/>
          <w:szCs w:val="20"/>
          <w:color w:val="auto"/>
        </w:rPr>
      </w:pPr>
      <w:r>
        <w:rPr>
          <w:rFonts w:ascii="Arial" w:cs="Arial" w:eastAsia="Arial" w:hAnsi="Arial"/>
          <w:sz w:val="40"/>
          <w:szCs w:val="40"/>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ADVISORY VOTE TO APPROVE THE FREQUENCY OF THE ADVISORY VOTE OF EXECUTIVE COMPENSATION</w:t>
      </w:r>
    </w:p>
    <w:p>
      <w:pPr>
        <w:sectPr>
          <w:pgSz w:w="11900" w:h="16838" w:orient="portrait"/>
          <w:cols w:equalWidth="0" w:num="1">
            <w:col w:w="11300"/>
          </w:cols>
          <w:pgMar w:left="240" w:top="393" w:right="35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40"/>
          <w:szCs w:val="40"/>
          <w:b w:val="1"/>
          <w:bCs w:val="1"/>
          <w:color w:val="E2231A"/>
        </w:rPr>
        <w:t>(PROPOSAL NO. 4)</w:t>
      </w:r>
    </w:p>
    <w:p>
      <w:pPr>
        <w:spacing w:after="0" w:line="34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Pursuant to Section 14A of the Exchange Act, we are asking stockholders to vote on whether future advisory votes on executive compensation of the nature reflected in Proposal 3 above should occur every year, every two years or every three years. Our stockholders previously supported a one-year frequency for this stockholder advisory vote at the annual meeting of stockholders in 2011.</w:t>
      </w:r>
    </w:p>
    <w:p>
      <w:pPr>
        <w:spacing w:after="0" w:line="9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After careful consideration, the Board has determined that holding an advisory vote on executive compensation every year is the most appropriate policy for the Company at this time, and recommends that stockholders vote for future advisory votes on executive compensation to occur every year. While the Company’s executive compensation programs are designed to promote a long-term connection between pay and performance, the Board recognizes that executive compensation decisions and disclosures are made annually. Holding an annual advisory vote on executive compensation provides the Company with more direct and immediate feedback on our compensation programs. We believe that an annual advisory vote on executive compensation is consistent with our practice of seeking input and engaging in dialogue with our stockholders on corporate governance matters and our executive compensation philosophy, policies and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advisory vote on the frequency of future advisory votes on executive compensation is non-binding on the Board. Stockholders will be able to specify one of four choices for this proposal on the proxy card: one year, two years, three years or abstain. The frequency alternative that receives the most votes will be the choice of stockholders. Stockholders are not voting to approve or disapprove the Board’s recommendation. While this vote is advisory, and not binding on the Board, the Compensation Committee will carefully review the voting results. Notwithstanding the Board’s recommendation and the outcome of the stockholder vote, the Board may in the future decide to conduct advisory votes on a more or less frequent basis and may vary its practice based on factors such as discussions with stockholders and the adoption of material changes to compensation programs.</w:t>
      </w:r>
    </w:p>
    <w:p>
      <w:pPr>
        <w:spacing w:after="0" w:line="84"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b w:val="1"/>
          <w:bCs w:val="1"/>
          <w:color w:val="auto"/>
        </w:rPr>
        <w:t>THE BOARD RECOMMENDS A VOTE FOR THE “ONE YEAR” FREQUENCY OPTION FOR THE ADVISORY VOTE ON EXECUTIVE COMPENSATION.</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auto"/>
        </w:rPr>
        <w:t>PROXIES SOLICITED BY THE BOARD WILL BE VOTED FOR THE ONE YEAR FREQUENCY OPTION FOR THE ADVISORY VOTE ON EXECUTIVE COMPENSATION UNLESS STOCKHOLDERS SPECIFY A CONTRARY VOTE.</w:t>
      </w:r>
    </w:p>
    <w:p>
      <w:pPr>
        <w:spacing w:after="0" w:line="200" w:lineRule="exact"/>
        <w:rPr>
          <w:sz w:val="20"/>
          <w:szCs w:val="20"/>
          <w:color w:val="auto"/>
        </w:rPr>
      </w:pPr>
    </w:p>
    <w:p>
      <w:pPr>
        <w:sectPr>
          <w:pgSz w:w="11900" w:h="16838" w:orient="portrait"/>
          <w:cols w:equalWidth="0" w:num="2">
            <w:col w:w="5480" w:space="340"/>
            <w:col w:w="5480"/>
          </w:cols>
          <w:pgMar w:left="240" w:top="393" w:right="359" w:bottom="1440" w:gutter="0" w:footer="0" w:header="0"/>
          <w:type w:val="continuous"/>
        </w:sectPr>
      </w:pPr>
    </w:p>
    <w:p>
      <w:pPr>
        <w:spacing w:after="0" w:line="54" w:lineRule="exact"/>
        <w:rPr>
          <w:sz w:val="20"/>
          <w:szCs w:val="20"/>
          <w:color w:val="auto"/>
        </w:rPr>
      </w:pPr>
    </w:p>
    <w:p>
      <w:pPr>
        <w:ind w:left="460" w:hanging="349"/>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300"/>
          </w:cols>
          <w:pgMar w:left="240" w:top="393" w:right="359" w:bottom="1440" w:gutter="0" w:footer="0" w:header="0"/>
          <w:type w:val="continuous"/>
        </w:sectPr>
      </w:pPr>
    </w:p>
    <w:bookmarkStart w:id="70" w:name="page71"/>
    <w:bookmarkEnd w:id="70"/>
    <w:p>
      <w:pPr>
        <w:ind w:right="20"/>
        <w:spacing w:after="0" w:line="274" w:lineRule="auto"/>
        <w:rPr>
          <w:sz w:val="20"/>
          <w:szCs w:val="20"/>
          <w:color w:val="auto"/>
        </w:rPr>
      </w:pPr>
      <w:r>
        <w:rPr>
          <w:rFonts w:ascii="Arial" w:cs="Arial" w:eastAsia="Arial" w:hAnsi="Arial"/>
          <w:sz w:val="40"/>
          <w:szCs w:val="40"/>
          <w:b w:val="1"/>
          <w:bCs w:val="1"/>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PROPOSALS FOR 2018 ANNUAL MEETING OF STOCKHOLDERS</w:t>
      </w:r>
    </w:p>
    <w:p>
      <w:pPr>
        <w:sectPr>
          <w:pgSz w:w="11900" w:h="16838" w:orient="portrait"/>
          <w:cols w:equalWidth="0" w:num="1">
            <w:col w:w="11320"/>
          </w:cols>
          <w:pgMar w:left="240" w:top="393" w:right="339" w:bottom="1440" w:gutter="0" w:footer="0" w:header="0"/>
        </w:sectPr>
      </w:pPr>
    </w:p>
    <w:p>
      <w:pPr>
        <w:spacing w:after="0" w:line="21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Stockholders who intend to present proposals at the Company’s annual meeting of stockholders in 2018 pursuant to Rule 14a-8 under the Exchange Act must send notice of their proposal to us so that we receive it no later than December 4, 2017. Stockholders who intend to present proposals at the annual meeting of stockholders in 2018 other than pursuant to Rule 14a-8 must comply with the notice provisions in our Bylaws. The notice provisions in our Bylaws require that, for a proposal to be properly brought before the annual meeting of stockholders in 2018, proper notice of the proposal be received by us not less than 90 days nor more than 120 days prior to the first anniversary of the preceding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Under these requirements, the deadline for proposals brought under our Bylaws is February 17, 2018. Stockholder proposals should be addressed to Lear Corporation, 21557 Telegraph Road, Southfield, Michigan 48033, Attention: Terrence B. Larkin, Executive Vice President, Business Development, General Counsel and Corporate Secretary.</w:t>
      </w:r>
    </w:p>
    <w:p>
      <w:pPr>
        <w:spacing w:after="0" w:line="200" w:lineRule="exact"/>
        <w:rPr>
          <w:sz w:val="20"/>
          <w:szCs w:val="20"/>
          <w:color w:val="auto"/>
        </w:rPr>
      </w:pPr>
    </w:p>
    <w:p>
      <w:pPr>
        <w:sectPr>
          <w:pgSz w:w="11900" w:h="16838" w:orient="portrait"/>
          <w:cols w:equalWidth="0" w:num="2">
            <w:col w:w="5480" w:space="340"/>
            <w:col w:w="5500"/>
          </w:cols>
          <w:pgMar w:left="240" w:top="393" w:right="339" w:bottom="1440" w:gutter="0" w:footer="0" w:header="0"/>
          <w:type w:val="continuous"/>
        </w:sectPr>
      </w:pPr>
    </w:p>
    <w:p>
      <w:pPr>
        <w:spacing w:after="0" w:line="62" w:lineRule="exact"/>
        <w:rPr>
          <w:sz w:val="20"/>
          <w:szCs w:val="20"/>
          <w:color w:val="auto"/>
        </w:rPr>
      </w:pPr>
    </w:p>
    <w:p>
      <w:pPr>
        <w:ind w:left="9160"/>
        <w:spacing w:after="0"/>
        <w:tabs>
          <w:tab w:leader="none" w:pos="10880" w:val="left"/>
          <w:tab w:leader="none" w:pos="11100" w:val="left"/>
        </w:tabs>
        <w:rPr>
          <w:sz w:val="20"/>
          <w:szCs w:val="20"/>
          <w:color w:val="auto"/>
        </w:rPr>
      </w:pPr>
      <w:r>
        <w:rPr>
          <w:rFonts w:ascii="Arial" w:cs="Arial" w:eastAsia="Arial" w:hAnsi="Arial"/>
          <w:sz w:val="15"/>
          <w:szCs w:val="15"/>
          <w:b w:val="1"/>
          <w:bCs w:val="1"/>
          <w:color w:val="E2231A"/>
        </w:rPr>
        <w:t>2017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b w:val="1"/>
          <w:bCs w:val="1"/>
          <w:color w:val="auto"/>
        </w:rPr>
        <w:t>65</w:t>
      </w:r>
    </w:p>
    <w:p>
      <w:pPr>
        <w:sectPr>
          <w:pgSz w:w="11900" w:h="16838" w:orient="portrait"/>
          <w:cols w:equalWidth="0" w:num="1">
            <w:col w:w="11320"/>
          </w:cols>
          <w:pgMar w:left="240" w:top="393"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40"/>
          <w:szCs w:val="40"/>
          <w:b w:val="1"/>
          <w:bCs w:val="1"/>
          <w:color w:val="E2231A"/>
        </w:rPr>
        <w:t>OTHER MATTERS</w:t>
      </w:r>
    </w:p>
    <w:p>
      <w:pPr>
        <w:spacing w:after="0" w:line="342"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Upon written request by any stockholder entitled to vote at the Annual Meeting, we will promptly furnish, without charge, a copy of the Annual Report on Form 10-K for the fiscal year ended December 31, 2016 which we filed with the SEC, including the financial statements and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auto"/>
        </w:rPr>
        <w:t>If the person requesting the report was not a stockholder of record on March 23, 2017, the request must contain a good faith representation that he or she was a beneficial owner of our common stock at the close of business on that date. Requests should be addressed to Lear Corporation, 21557 Telegraph Road, Southfield, Michigan 48033, Attention: Terrence B. Larkin, Executive Vice President, Business Development,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-1424305</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5420" w:space="400"/>
            <w:col w:w="5400"/>
          </w:cols>
          <w:pgMar w:left="240" w:top="244" w:right="439" w:bottom="1440" w:gutter="0" w:footer="0" w:header="0"/>
        </w:sectPr>
      </w:pPr>
    </w:p>
    <w:p>
      <w:pPr>
        <w:spacing w:after="0" w:line="14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YOUR VOTE IS IMPORTANT. WE URGE YOU TO VOTE TODAY BY TELEPHONE, VIA THE INTERNET OR BY MAIL.</w:t>
      </w:r>
    </w:p>
    <w:p>
      <w:pPr>
        <w:spacing w:after="0" w:line="26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139065</wp:posOffset>
            </wp:positionV>
            <wp:extent cx="1800860" cy="4889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008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Terrence B. Larkin</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Executive Vice President, Business Development,</w:t>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General Counsel and Corporate Secretary</w:t>
      </w:r>
    </w:p>
    <w:p>
      <w:pPr>
        <w:spacing w:after="0" w:line="129" w:lineRule="exact"/>
        <w:rPr>
          <w:sz w:val="20"/>
          <w:szCs w:val="20"/>
          <w:color w:val="auto"/>
        </w:rPr>
      </w:pPr>
    </w:p>
    <w:p>
      <w:pPr>
        <w:ind w:left="460" w:hanging="349"/>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1220"/>
          </w:cols>
          <w:pgMar w:left="240" w:top="244" w:right="4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87" w:lineRule="exact"/>
        <w:rPr>
          <w:sz w:val="20"/>
          <w:szCs w:val="20"/>
          <w:color w:val="auto"/>
        </w:rPr>
      </w:pPr>
    </w:p>
    <w:p>
      <w:pPr>
        <w:spacing w:after="0"/>
        <w:rPr>
          <w:sz w:val="20"/>
          <w:szCs w:val="20"/>
          <w:color w:val="auto"/>
        </w:rPr>
      </w:pPr>
      <w:r>
        <w:rPr>
          <w:rFonts w:ascii="Arial" w:cs="Arial" w:eastAsia="Arial" w:hAnsi="Arial"/>
          <w:sz w:val="40"/>
          <w:szCs w:val="40"/>
          <w:b w:val="1"/>
          <w:bCs w:val="1"/>
          <w:color w:val="E2231A"/>
        </w:rPr>
        <w:t>APPENDIX A</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E2231A"/>
        </w:rPr>
        <w:t>RECONCILIATION OF NON-GAAP FINANCIAL MEASURES</w:t>
      </w:r>
    </w:p>
    <w:p>
      <w:pPr>
        <w:sectPr>
          <w:pgSz w:w="11900" w:h="16838" w:orient="portrait"/>
          <w:cols w:equalWidth="0" w:num="1">
            <w:col w:w="11420"/>
          </w:cols>
          <w:pgMar w:left="240" w:top="419" w:right="239" w:bottom="1440" w:gutter="0" w:footer="0" w:header="0"/>
        </w:sectPr>
      </w:pPr>
    </w:p>
    <w:p>
      <w:pPr>
        <w:spacing w:after="0" w:line="9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information presented in this proxy statement under the caption “Compensation Discussion and Analysis — Executive Summary” regarding free cash flow, core operating earnings and adjusted earnings per share does not conform to generally accepted accounting principles (GAAP) and should not be construed as an alternative to the reported financial results of the Company determined in accordance with GAAP.</w:t>
      </w:r>
    </w:p>
    <w:p>
      <w:pPr>
        <w:spacing w:after="0" w:line="97"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Management believes that the non-GAAP information used in this proxy statement is useful to both management and investors in their analysis of the Company’s financial position and results of operations. In particular, management believes that core operating earnings and adjusted earnings per share are useful measures in assessing the Company’s financial performance by excluding certain items that are not indicative of the Company’s core operating performance or that may</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obscure trends useful in evaluating the Company’s continuing operating activities. Management also believes that these measures are useful to both management and investors in their analysis of the Company’s results of operations and provide improved comparability between fiscal periods. Management believes that free cash flow is useful to both management and investors in their analysis of the Company’s ability to service and repay its debt. Further, management uses these non-GAAP financial measures for planning and forecasting future periods.</w:t>
      </w:r>
    </w:p>
    <w:p>
      <w:pPr>
        <w:spacing w:after="0" w:line="100"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non-GAAP information provided may not be consistent with methodologies used by other companies. All non-GAAP information regarding free cash flow, core operating earnings and adjusted earnings per share is reconciled with reported GAAP results in the tables below.</w:t>
      </w:r>
    </w:p>
    <w:p>
      <w:pPr>
        <w:spacing w:after="0" w:line="383" w:lineRule="exact"/>
        <w:rPr>
          <w:sz w:val="20"/>
          <w:szCs w:val="20"/>
          <w:color w:val="auto"/>
        </w:rPr>
      </w:pPr>
    </w:p>
    <w:p>
      <w:pPr>
        <w:sectPr>
          <w:pgSz w:w="11900" w:h="16838" w:orient="portrait"/>
          <w:cols w:equalWidth="0" w:num="2">
            <w:col w:w="5420" w:space="400"/>
            <w:col w:w="5600"/>
          </w:cols>
          <w:pgMar w:left="240" w:top="419" w:right="2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(unaudited; in millions)</w:t>
            </w:r>
          </w:p>
        </w:tc>
        <w:tc>
          <w:tcPr>
            <w:tcW w:w="1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E2231A"/>
              </w:rPr>
              <w:t>2016</w:t>
            </w:r>
          </w:p>
        </w:tc>
        <w:tc>
          <w:tcPr>
            <w:tcW w:w="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2015</w:t>
            </w:r>
          </w:p>
        </w:tc>
        <w:tc>
          <w:tcPr>
            <w:tcW w:w="520" w:type="dxa"/>
            <w:vAlign w:val="bottom"/>
            <w:tcBorders>
              <w:bottom w:val="single" w:sz="8" w:color="auto"/>
            </w:tcBorders>
          </w:tcPr>
          <w:p>
            <w:pPr>
              <w:spacing w:after="0"/>
              <w:rPr>
                <w:sz w:val="15"/>
                <w:szCs w:val="15"/>
                <w:color w:val="auto"/>
              </w:rPr>
            </w:pPr>
          </w:p>
        </w:tc>
      </w:tr>
      <w:tr>
        <w:trPr>
          <w:trHeight w:val="183"/>
        </w:trPr>
        <w:tc>
          <w:tcPr>
            <w:tcW w:w="744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b w:val="1"/>
                <w:bCs w:val="1"/>
                <w:color w:val="auto"/>
              </w:rPr>
              <w:t>Net cash provided by operating activities</w:t>
            </w:r>
          </w:p>
        </w:tc>
        <w:tc>
          <w:tcPr>
            <w:tcW w:w="180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FCE9E8"/>
          </w:tcPr>
          <w:p>
            <w:pPr>
              <w:jc w:val="right"/>
              <w:ind w:right="220"/>
              <w:spacing w:after="0" w:line="183" w:lineRule="exact"/>
              <w:rPr>
                <w:sz w:val="20"/>
                <w:szCs w:val="20"/>
                <w:color w:val="auto"/>
              </w:rPr>
            </w:pPr>
            <w:r>
              <w:rPr>
                <w:rFonts w:ascii="Arial" w:cs="Arial" w:eastAsia="Arial" w:hAnsi="Arial"/>
                <w:sz w:val="16"/>
                <w:szCs w:val="16"/>
                <w:b w:val="1"/>
                <w:bCs w:val="1"/>
                <w:color w:val="auto"/>
              </w:rPr>
              <w:t>1,619.3</w:t>
            </w:r>
          </w:p>
        </w:tc>
        <w:tc>
          <w:tcPr>
            <w:tcW w:w="38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FCE9E8"/>
          </w:tcPr>
          <w:p>
            <w:pPr>
              <w:jc w:val="right"/>
              <w:ind w:right="253"/>
              <w:spacing w:after="0" w:line="183" w:lineRule="exact"/>
              <w:rPr>
                <w:sz w:val="20"/>
                <w:szCs w:val="20"/>
                <w:color w:val="auto"/>
              </w:rPr>
            </w:pPr>
            <w:r>
              <w:rPr>
                <w:rFonts w:ascii="Arial" w:cs="Arial" w:eastAsia="Arial" w:hAnsi="Arial"/>
                <w:sz w:val="16"/>
                <w:szCs w:val="16"/>
                <w:b w:val="1"/>
                <w:bCs w:val="1"/>
                <w:color w:val="auto"/>
              </w:rPr>
              <w:t>1,271.1</w:t>
            </w:r>
          </w:p>
        </w:tc>
      </w:tr>
      <w:tr>
        <w:trPr>
          <w:trHeight w:val="189"/>
        </w:trPr>
        <w:tc>
          <w:tcPr>
            <w:tcW w:w="7440" w:type="dxa"/>
            <w:vAlign w:val="bottom"/>
          </w:tcPr>
          <w:p>
            <w:pPr>
              <w:ind w:left="100"/>
              <w:spacing w:after="0"/>
              <w:rPr>
                <w:sz w:val="20"/>
                <w:szCs w:val="20"/>
                <w:color w:val="auto"/>
              </w:rPr>
            </w:pPr>
            <w:r>
              <w:rPr>
                <w:rFonts w:ascii="Arial" w:cs="Arial" w:eastAsia="Arial" w:hAnsi="Arial"/>
                <w:sz w:val="16"/>
                <w:szCs w:val="16"/>
                <w:color w:val="auto"/>
              </w:rPr>
              <w:t>Settlement of accounts payable in conjunction with acquisition of Eagle Ottawa</w:t>
            </w:r>
          </w:p>
        </w:tc>
        <w:tc>
          <w:tcPr>
            <w:tcW w:w="18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gridSpan w:val="2"/>
          </w:tcPr>
          <w:p>
            <w:pPr>
              <w:jc w:val="right"/>
              <w:ind w:right="253"/>
              <w:spacing w:after="0"/>
              <w:rPr>
                <w:sz w:val="20"/>
                <w:szCs w:val="20"/>
                <w:color w:val="auto"/>
              </w:rPr>
            </w:pPr>
            <w:r>
              <w:rPr>
                <w:rFonts w:ascii="Arial" w:cs="Arial" w:eastAsia="Arial" w:hAnsi="Arial"/>
                <w:sz w:val="16"/>
                <w:szCs w:val="16"/>
                <w:color w:val="auto"/>
              </w:rPr>
              <w:t>45.7</w:t>
            </w:r>
          </w:p>
        </w:tc>
      </w:tr>
      <w:tr>
        <w:trPr>
          <w:trHeight w:val="189"/>
        </w:trPr>
        <w:tc>
          <w:tcPr>
            <w:tcW w:w="744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Capital expenditures</w:t>
            </w:r>
          </w:p>
        </w:tc>
        <w:tc>
          <w:tcPr>
            <w:tcW w:w="1800" w:type="dxa"/>
            <w:vAlign w:val="bottom"/>
            <w:tcBorders>
              <w:bottom w:val="single" w:sz="8" w:color="auto"/>
            </w:tcBorders>
            <w:shd w:val="clear" w:color="auto" w:fill="FCE9E8"/>
          </w:tcPr>
          <w:p>
            <w:pPr>
              <w:spacing w:after="0"/>
              <w:rPr>
                <w:sz w:val="16"/>
                <w:szCs w:val="16"/>
                <w:color w:val="auto"/>
              </w:rPr>
            </w:pPr>
          </w:p>
        </w:tc>
        <w:tc>
          <w:tcPr>
            <w:tcW w:w="880" w:type="dxa"/>
            <w:vAlign w:val="bottom"/>
            <w:tcBorders>
              <w:bottom w:val="single" w:sz="8" w:color="auto"/>
            </w:tcBorders>
            <w:shd w:val="clear" w:color="auto" w:fill="FCE9E8"/>
          </w:tcPr>
          <w:p>
            <w:pPr>
              <w:jc w:val="right"/>
              <w:ind w:right="180"/>
              <w:spacing w:after="0"/>
              <w:rPr>
                <w:sz w:val="20"/>
                <w:szCs w:val="20"/>
                <w:color w:val="auto"/>
              </w:rPr>
            </w:pPr>
            <w:r>
              <w:rPr>
                <w:rFonts w:ascii="Arial" w:cs="Arial" w:eastAsia="Arial" w:hAnsi="Arial"/>
                <w:sz w:val="16"/>
                <w:szCs w:val="16"/>
                <w:color w:val="auto"/>
              </w:rPr>
              <w:t>(528.3)</w:t>
            </w:r>
          </w:p>
        </w:tc>
        <w:tc>
          <w:tcPr>
            <w:tcW w:w="380" w:type="dxa"/>
            <w:vAlign w:val="bottom"/>
            <w:tcBorders>
              <w:bottom w:val="single" w:sz="8" w:color="auto"/>
            </w:tcBorders>
            <w:shd w:val="clear" w:color="auto" w:fill="FCE9E8"/>
          </w:tcPr>
          <w:p>
            <w:pPr>
              <w:spacing w:after="0"/>
              <w:rPr>
                <w:sz w:val="16"/>
                <w:szCs w:val="16"/>
                <w:color w:val="auto"/>
              </w:rPr>
            </w:pPr>
          </w:p>
        </w:tc>
        <w:tc>
          <w:tcPr>
            <w:tcW w:w="920" w:type="dxa"/>
            <w:vAlign w:val="bottom"/>
            <w:tcBorders>
              <w:bottom w:val="single" w:sz="8" w:color="auto"/>
            </w:tcBorders>
            <w:gridSpan w:val="2"/>
            <w:shd w:val="clear" w:color="auto" w:fill="FCE9E8"/>
          </w:tcPr>
          <w:p>
            <w:pPr>
              <w:jc w:val="right"/>
              <w:ind w:right="193"/>
              <w:spacing w:after="0"/>
              <w:rPr>
                <w:sz w:val="20"/>
                <w:szCs w:val="20"/>
                <w:color w:val="auto"/>
              </w:rPr>
            </w:pPr>
            <w:r>
              <w:rPr>
                <w:rFonts w:ascii="Arial" w:cs="Arial" w:eastAsia="Arial" w:hAnsi="Arial"/>
                <w:sz w:val="16"/>
                <w:szCs w:val="16"/>
                <w:color w:val="auto"/>
              </w:rPr>
              <w:t>(485.8)</w:t>
            </w:r>
          </w:p>
        </w:tc>
      </w:tr>
      <w:tr>
        <w:trPr>
          <w:trHeight w:val="183"/>
        </w:trPr>
        <w:tc>
          <w:tcPr>
            <w:tcW w:w="74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Free cash flow</w:t>
            </w:r>
          </w:p>
        </w:tc>
        <w:tc>
          <w:tcPr>
            <w:tcW w:w="1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20"/>
              <w:spacing w:after="0" w:line="183" w:lineRule="exact"/>
              <w:rPr>
                <w:sz w:val="20"/>
                <w:szCs w:val="20"/>
                <w:color w:val="auto"/>
              </w:rPr>
            </w:pPr>
            <w:r>
              <w:rPr>
                <w:rFonts w:ascii="Arial" w:cs="Arial" w:eastAsia="Arial" w:hAnsi="Arial"/>
                <w:sz w:val="16"/>
                <w:szCs w:val="16"/>
                <w:b w:val="1"/>
                <w:bCs w:val="1"/>
                <w:color w:val="auto"/>
              </w:rPr>
              <w:t>1,091.0</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gridSpan w:val="2"/>
          </w:tcPr>
          <w:p>
            <w:pPr>
              <w:jc w:val="right"/>
              <w:ind w:right="253"/>
              <w:spacing w:after="0" w:line="183" w:lineRule="exact"/>
              <w:rPr>
                <w:sz w:val="20"/>
                <w:szCs w:val="20"/>
                <w:color w:val="auto"/>
              </w:rPr>
            </w:pPr>
            <w:r>
              <w:rPr>
                <w:rFonts w:ascii="Arial" w:cs="Arial" w:eastAsia="Arial" w:hAnsi="Arial"/>
                <w:sz w:val="16"/>
                <w:szCs w:val="16"/>
                <w:b w:val="1"/>
                <w:bCs w:val="1"/>
                <w:color w:val="auto"/>
              </w:rPr>
              <w:t>831.0</w:t>
            </w:r>
          </w:p>
        </w:tc>
      </w:tr>
      <w:tr>
        <w:trPr>
          <w:trHeight w:val="496"/>
        </w:trPr>
        <w:tc>
          <w:tcPr>
            <w:tcW w:w="7440" w:type="dxa"/>
            <w:vAlign w:val="bottom"/>
          </w:tcPr>
          <w:p>
            <w:pPr>
              <w:spacing w:after="0"/>
              <w:rPr>
                <w:sz w:val="20"/>
                <w:szCs w:val="20"/>
                <w:color w:val="auto"/>
              </w:rPr>
            </w:pPr>
            <w:r>
              <w:rPr>
                <w:rFonts w:ascii="Arial" w:cs="Arial" w:eastAsia="Arial" w:hAnsi="Arial"/>
                <w:sz w:val="23"/>
                <w:szCs w:val="23"/>
                <w:color w:val="auto"/>
              </w:rPr>
              <w:t>Core Operating Earnings</w:t>
            </w: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5"/>
        </w:trPr>
        <w:tc>
          <w:tcPr>
            <w:tcW w:w="7440" w:type="dxa"/>
            <w:vAlign w:val="bottom"/>
            <w:tcBorders>
              <w:bottom w:val="single" w:sz="8" w:color="E2231A"/>
            </w:tcBorders>
          </w:tcPr>
          <w:p>
            <w:pPr>
              <w:spacing w:after="0"/>
              <w:rPr>
                <w:sz w:val="5"/>
                <w:szCs w:val="5"/>
                <w:color w:val="auto"/>
              </w:rPr>
            </w:pPr>
          </w:p>
        </w:tc>
        <w:tc>
          <w:tcPr>
            <w:tcW w:w="1800" w:type="dxa"/>
            <w:vAlign w:val="bottom"/>
            <w:tcBorders>
              <w:bottom w:val="single" w:sz="8" w:color="E2231A"/>
            </w:tcBorders>
          </w:tcPr>
          <w:p>
            <w:pPr>
              <w:spacing w:after="0"/>
              <w:rPr>
                <w:sz w:val="5"/>
                <w:szCs w:val="5"/>
                <w:color w:val="auto"/>
              </w:rPr>
            </w:pPr>
          </w:p>
        </w:tc>
        <w:tc>
          <w:tcPr>
            <w:tcW w:w="880" w:type="dxa"/>
            <w:vAlign w:val="bottom"/>
            <w:tcBorders>
              <w:bottom w:val="single" w:sz="8" w:color="E2231A"/>
            </w:tcBorders>
          </w:tcPr>
          <w:p>
            <w:pPr>
              <w:spacing w:after="0"/>
              <w:rPr>
                <w:sz w:val="5"/>
                <w:szCs w:val="5"/>
                <w:color w:val="auto"/>
              </w:rPr>
            </w:pPr>
          </w:p>
        </w:tc>
        <w:tc>
          <w:tcPr>
            <w:tcW w:w="380" w:type="dxa"/>
            <w:vAlign w:val="bottom"/>
            <w:tcBorders>
              <w:bottom w:val="single" w:sz="8" w:color="E2231A"/>
            </w:tcBorders>
          </w:tcPr>
          <w:p>
            <w:pPr>
              <w:spacing w:after="0"/>
              <w:rPr>
                <w:sz w:val="5"/>
                <w:szCs w:val="5"/>
                <w:color w:val="auto"/>
              </w:rPr>
            </w:pPr>
          </w:p>
        </w:tc>
        <w:tc>
          <w:tcPr>
            <w:tcW w:w="400" w:type="dxa"/>
            <w:vAlign w:val="bottom"/>
            <w:tcBorders>
              <w:bottom w:val="single" w:sz="8" w:color="E2231A"/>
            </w:tcBorders>
          </w:tcPr>
          <w:p>
            <w:pPr>
              <w:spacing w:after="0"/>
              <w:rPr>
                <w:sz w:val="5"/>
                <w:szCs w:val="5"/>
                <w:color w:val="auto"/>
              </w:rPr>
            </w:pPr>
          </w:p>
        </w:tc>
        <w:tc>
          <w:tcPr>
            <w:tcW w:w="520" w:type="dxa"/>
            <w:vAlign w:val="bottom"/>
            <w:tcBorders>
              <w:bottom w:val="single" w:sz="8" w:color="E2231A"/>
            </w:tcBorders>
          </w:tcPr>
          <w:p>
            <w:pPr>
              <w:spacing w:after="0"/>
              <w:rPr>
                <w:sz w:val="5"/>
                <w:szCs w:val="5"/>
                <w:color w:val="auto"/>
              </w:rPr>
            </w:pPr>
          </w:p>
        </w:tc>
      </w:tr>
      <w:tr>
        <w:trPr>
          <w:trHeight w:val="439"/>
        </w:trPr>
        <w:tc>
          <w:tcPr>
            <w:tcW w:w="7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(unaudited; in millions)</w:t>
            </w:r>
          </w:p>
        </w:tc>
        <w:tc>
          <w:tcPr>
            <w:tcW w:w="1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E2231A"/>
              </w:rPr>
              <w:t>2016</w:t>
            </w: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2015</w:t>
            </w:r>
          </w:p>
        </w:tc>
        <w:tc>
          <w:tcPr>
            <w:tcW w:w="520" w:type="dxa"/>
            <w:vAlign w:val="bottom"/>
            <w:tcBorders>
              <w:bottom w:val="single" w:sz="8" w:color="auto"/>
            </w:tcBorders>
          </w:tcPr>
          <w:p>
            <w:pPr>
              <w:spacing w:after="0"/>
              <w:rPr>
                <w:sz w:val="24"/>
                <w:szCs w:val="24"/>
                <w:color w:val="auto"/>
              </w:rPr>
            </w:pPr>
          </w:p>
        </w:tc>
      </w:tr>
      <w:tr>
        <w:trPr>
          <w:trHeight w:val="183"/>
        </w:trPr>
        <w:tc>
          <w:tcPr>
            <w:tcW w:w="744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b w:val="1"/>
                <w:bCs w:val="1"/>
                <w:color w:val="auto"/>
              </w:rPr>
              <w:t>Net income attributable to Lear</w:t>
            </w:r>
          </w:p>
        </w:tc>
        <w:tc>
          <w:tcPr>
            <w:tcW w:w="180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FCE9E8"/>
          </w:tcPr>
          <w:p>
            <w:pPr>
              <w:jc w:val="right"/>
              <w:ind w:right="220"/>
              <w:spacing w:after="0" w:line="183" w:lineRule="exact"/>
              <w:rPr>
                <w:sz w:val="20"/>
                <w:szCs w:val="20"/>
                <w:color w:val="auto"/>
              </w:rPr>
            </w:pPr>
            <w:r>
              <w:rPr>
                <w:rFonts w:ascii="Arial" w:cs="Arial" w:eastAsia="Arial" w:hAnsi="Arial"/>
                <w:sz w:val="16"/>
                <w:szCs w:val="16"/>
                <w:b w:val="1"/>
                <w:bCs w:val="1"/>
                <w:color w:val="auto"/>
              </w:rPr>
              <w:t>975.1</w:t>
            </w:r>
          </w:p>
        </w:tc>
        <w:tc>
          <w:tcPr>
            <w:tcW w:w="38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FCE9E8"/>
          </w:tcPr>
          <w:p>
            <w:pPr>
              <w:jc w:val="right"/>
              <w:ind w:right="253"/>
              <w:spacing w:after="0" w:line="183" w:lineRule="exact"/>
              <w:rPr>
                <w:sz w:val="20"/>
                <w:szCs w:val="20"/>
                <w:color w:val="auto"/>
              </w:rPr>
            </w:pPr>
            <w:r>
              <w:rPr>
                <w:rFonts w:ascii="Arial" w:cs="Arial" w:eastAsia="Arial" w:hAnsi="Arial"/>
                <w:sz w:val="16"/>
                <w:szCs w:val="16"/>
                <w:b w:val="1"/>
                <w:bCs w:val="1"/>
                <w:color w:val="auto"/>
              </w:rPr>
              <w:t>745.5</w:t>
            </w:r>
          </w:p>
        </w:tc>
      </w:tr>
      <w:tr>
        <w:trPr>
          <w:trHeight w:val="189"/>
        </w:trPr>
        <w:tc>
          <w:tcPr>
            <w:tcW w:w="7440" w:type="dxa"/>
            <w:vAlign w:val="bottom"/>
          </w:tcPr>
          <w:p>
            <w:pPr>
              <w:ind w:left="420"/>
              <w:spacing w:after="0"/>
              <w:rPr>
                <w:sz w:val="20"/>
                <w:szCs w:val="20"/>
                <w:color w:val="auto"/>
              </w:rPr>
            </w:pPr>
            <w:r>
              <w:rPr>
                <w:rFonts w:ascii="Arial" w:cs="Arial" w:eastAsia="Arial" w:hAnsi="Arial"/>
                <w:sz w:val="16"/>
                <w:szCs w:val="16"/>
                <w:color w:val="auto"/>
              </w:rPr>
              <w:t>Interest expense</w:t>
            </w:r>
          </w:p>
        </w:tc>
        <w:tc>
          <w:tcPr>
            <w:tcW w:w="18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82.5</w:t>
            </w:r>
          </w:p>
        </w:tc>
        <w:tc>
          <w:tcPr>
            <w:tcW w:w="380" w:type="dxa"/>
            <w:vAlign w:val="bottom"/>
          </w:tcPr>
          <w:p>
            <w:pPr>
              <w:spacing w:after="0"/>
              <w:rPr>
                <w:sz w:val="16"/>
                <w:szCs w:val="16"/>
                <w:color w:val="auto"/>
              </w:rPr>
            </w:pPr>
          </w:p>
        </w:tc>
        <w:tc>
          <w:tcPr>
            <w:tcW w:w="920" w:type="dxa"/>
            <w:vAlign w:val="bottom"/>
            <w:gridSpan w:val="2"/>
          </w:tcPr>
          <w:p>
            <w:pPr>
              <w:jc w:val="right"/>
              <w:ind w:right="253"/>
              <w:spacing w:after="0"/>
              <w:rPr>
                <w:sz w:val="20"/>
                <w:szCs w:val="20"/>
                <w:color w:val="auto"/>
              </w:rPr>
            </w:pPr>
            <w:r>
              <w:rPr>
                <w:rFonts w:ascii="Arial" w:cs="Arial" w:eastAsia="Arial" w:hAnsi="Arial"/>
                <w:sz w:val="16"/>
                <w:szCs w:val="16"/>
                <w:color w:val="auto"/>
              </w:rPr>
              <w:t>86.7</w:t>
            </w:r>
          </w:p>
        </w:tc>
      </w:tr>
      <w:tr>
        <w:trPr>
          <w:trHeight w:val="189"/>
        </w:trPr>
        <w:tc>
          <w:tcPr>
            <w:tcW w:w="74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Other expense, net</w:t>
            </w:r>
          </w:p>
        </w:tc>
        <w:tc>
          <w:tcPr>
            <w:tcW w:w="180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6.4</w:t>
            </w:r>
          </w:p>
        </w:tc>
        <w:tc>
          <w:tcPr>
            <w:tcW w:w="380" w:type="dxa"/>
            <w:vAlign w:val="bottom"/>
            <w:shd w:val="clear" w:color="auto" w:fill="FCE9E8"/>
          </w:tcPr>
          <w:p>
            <w:pPr>
              <w:spacing w:after="0"/>
              <w:rPr>
                <w:sz w:val="16"/>
                <w:szCs w:val="16"/>
                <w:color w:val="auto"/>
              </w:rPr>
            </w:pPr>
          </w:p>
        </w:tc>
        <w:tc>
          <w:tcPr>
            <w:tcW w:w="920" w:type="dxa"/>
            <w:vAlign w:val="bottom"/>
            <w:gridSpan w:val="2"/>
            <w:shd w:val="clear" w:color="auto" w:fill="FCE9E8"/>
          </w:tcPr>
          <w:p>
            <w:pPr>
              <w:jc w:val="right"/>
              <w:ind w:right="253"/>
              <w:spacing w:after="0"/>
              <w:rPr>
                <w:sz w:val="20"/>
                <w:szCs w:val="20"/>
                <w:color w:val="auto"/>
              </w:rPr>
            </w:pPr>
            <w:r>
              <w:rPr>
                <w:rFonts w:ascii="Arial" w:cs="Arial" w:eastAsia="Arial" w:hAnsi="Arial"/>
                <w:sz w:val="16"/>
                <w:szCs w:val="16"/>
                <w:color w:val="auto"/>
              </w:rPr>
              <w:t>68.6</w:t>
            </w:r>
          </w:p>
        </w:tc>
      </w:tr>
      <w:tr>
        <w:trPr>
          <w:trHeight w:val="189"/>
        </w:trPr>
        <w:tc>
          <w:tcPr>
            <w:tcW w:w="744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18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370.2</w:t>
            </w:r>
          </w:p>
        </w:tc>
        <w:tc>
          <w:tcPr>
            <w:tcW w:w="380" w:type="dxa"/>
            <w:vAlign w:val="bottom"/>
          </w:tcPr>
          <w:p>
            <w:pPr>
              <w:spacing w:after="0"/>
              <w:rPr>
                <w:sz w:val="16"/>
                <w:szCs w:val="16"/>
                <w:color w:val="auto"/>
              </w:rPr>
            </w:pPr>
          </w:p>
        </w:tc>
        <w:tc>
          <w:tcPr>
            <w:tcW w:w="920" w:type="dxa"/>
            <w:vAlign w:val="bottom"/>
            <w:gridSpan w:val="2"/>
          </w:tcPr>
          <w:p>
            <w:pPr>
              <w:jc w:val="right"/>
              <w:ind w:right="253"/>
              <w:spacing w:after="0"/>
              <w:rPr>
                <w:sz w:val="20"/>
                <w:szCs w:val="20"/>
                <w:color w:val="auto"/>
              </w:rPr>
            </w:pPr>
            <w:r>
              <w:rPr>
                <w:rFonts w:ascii="Arial" w:cs="Arial" w:eastAsia="Arial" w:hAnsi="Arial"/>
                <w:sz w:val="16"/>
                <w:szCs w:val="16"/>
                <w:color w:val="auto"/>
              </w:rPr>
              <w:t>285.5</w:t>
            </w:r>
          </w:p>
        </w:tc>
      </w:tr>
      <w:tr>
        <w:trPr>
          <w:trHeight w:val="189"/>
        </w:trPr>
        <w:tc>
          <w:tcPr>
            <w:tcW w:w="74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Equity in net income of affiliates</w:t>
            </w:r>
          </w:p>
        </w:tc>
        <w:tc>
          <w:tcPr>
            <w:tcW w:w="180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180"/>
              <w:spacing w:after="0"/>
              <w:rPr>
                <w:sz w:val="20"/>
                <w:szCs w:val="20"/>
                <w:color w:val="auto"/>
              </w:rPr>
            </w:pPr>
            <w:r>
              <w:rPr>
                <w:rFonts w:ascii="Arial" w:cs="Arial" w:eastAsia="Arial" w:hAnsi="Arial"/>
                <w:sz w:val="16"/>
                <w:szCs w:val="16"/>
                <w:color w:val="auto"/>
              </w:rPr>
              <w:t>(72.4)</w:t>
            </w:r>
          </w:p>
        </w:tc>
        <w:tc>
          <w:tcPr>
            <w:tcW w:w="380" w:type="dxa"/>
            <w:vAlign w:val="bottom"/>
            <w:shd w:val="clear" w:color="auto" w:fill="FCE9E8"/>
          </w:tcPr>
          <w:p>
            <w:pPr>
              <w:spacing w:after="0"/>
              <w:rPr>
                <w:sz w:val="16"/>
                <w:szCs w:val="16"/>
                <w:color w:val="auto"/>
              </w:rPr>
            </w:pPr>
          </w:p>
        </w:tc>
        <w:tc>
          <w:tcPr>
            <w:tcW w:w="920" w:type="dxa"/>
            <w:vAlign w:val="bottom"/>
            <w:gridSpan w:val="2"/>
            <w:shd w:val="clear" w:color="auto" w:fill="FCE9E8"/>
          </w:tcPr>
          <w:p>
            <w:pPr>
              <w:jc w:val="right"/>
              <w:ind w:right="193"/>
              <w:spacing w:after="0"/>
              <w:rPr>
                <w:sz w:val="20"/>
                <w:szCs w:val="20"/>
                <w:color w:val="auto"/>
              </w:rPr>
            </w:pPr>
            <w:r>
              <w:rPr>
                <w:rFonts w:ascii="Arial" w:cs="Arial" w:eastAsia="Arial" w:hAnsi="Arial"/>
                <w:sz w:val="16"/>
                <w:szCs w:val="16"/>
                <w:color w:val="auto"/>
              </w:rPr>
              <w:t>(49.8)</w:t>
            </w:r>
          </w:p>
        </w:tc>
      </w:tr>
      <w:tr>
        <w:trPr>
          <w:trHeight w:val="189"/>
        </w:trPr>
        <w:tc>
          <w:tcPr>
            <w:tcW w:w="74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Net income attributable to noncontrolling interests</w:t>
            </w:r>
          </w:p>
        </w:tc>
        <w:tc>
          <w:tcPr>
            <w:tcW w:w="1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65.4</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53"/>
              <w:spacing w:after="0"/>
              <w:rPr>
                <w:sz w:val="20"/>
                <w:szCs w:val="20"/>
                <w:color w:val="auto"/>
              </w:rPr>
            </w:pPr>
            <w:r>
              <w:rPr>
                <w:rFonts w:ascii="Arial" w:cs="Arial" w:eastAsia="Arial" w:hAnsi="Arial"/>
                <w:sz w:val="16"/>
                <w:szCs w:val="16"/>
                <w:color w:val="auto"/>
              </w:rPr>
              <w:t>50.3</w:t>
            </w:r>
          </w:p>
        </w:tc>
      </w:tr>
      <w:tr>
        <w:trPr>
          <w:trHeight w:val="183"/>
        </w:trPr>
        <w:tc>
          <w:tcPr>
            <w:tcW w:w="744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b w:val="1"/>
                <w:bCs w:val="1"/>
                <w:color w:val="auto"/>
              </w:rPr>
              <w:t>Pretax income before equity income, interest and other expense</w:t>
            </w:r>
          </w:p>
        </w:tc>
        <w:tc>
          <w:tcPr>
            <w:tcW w:w="1800" w:type="dxa"/>
            <w:vAlign w:val="bottom"/>
            <w:shd w:val="clear" w:color="auto" w:fill="FCE9E8"/>
          </w:tcPr>
          <w:p>
            <w:pPr>
              <w:spacing w:after="0"/>
              <w:rPr>
                <w:sz w:val="15"/>
                <w:szCs w:val="15"/>
                <w:color w:val="auto"/>
              </w:rPr>
            </w:pPr>
          </w:p>
        </w:tc>
        <w:tc>
          <w:tcPr>
            <w:tcW w:w="880" w:type="dxa"/>
            <w:vAlign w:val="bottom"/>
            <w:shd w:val="clear" w:color="auto" w:fill="FCE9E8"/>
          </w:tcPr>
          <w:p>
            <w:pPr>
              <w:jc w:val="right"/>
              <w:ind w:right="220"/>
              <w:spacing w:after="0" w:line="183" w:lineRule="exact"/>
              <w:rPr>
                <w:sz w:val="20"/>
                <w:szCs w:val="20"/>
                <w:color w:val="auto"/>
              </w:rPr>
            </w:pPr>
            <w:r>
              <w:rPr>
                <w:rFonts w:ascii="Arial" w:cs="Arial" w:eastAsia="Arial" w:hAnsi="Arial"/>
                <w:sz w:val="16"/>
                <w:szCs w:val="16"/>
                <w:color w:val="auto"/>
              </w:rPr>
              <w:t>1,427.2</w:t>
            </w:r>
          </w:p>
        </w:tc>
        <w:tc>
          <w:tcPr>
            <w:tcW w:w="380" w:type="dxa"/>
            <w:vAlign w:val="bottom"/>
            <w:shd w:val="clear" w:color="auto" w:fill="FCE9E8"/>
          </w:tcPr>
          <w:p>
            <w:pPr>
              <w:spacing w:after="0"/>
              <w:rPr>
                <w:sz w:val="15"/>
                <w:szCs w:val="15"/>
                <w:color w:val="auto"/>
              </w:rPr>
            </w:pPr>
          </w:p>
        </w:tc>
        <w:tc>
          <w:tcPr>
            <w:tcW w:w="920" w:type="dxa"/>
            <w:vAlign w:val="bottom"/>
            <w:gridSpan w:val="2"/>
            <w:shd w:val="clear" w:color="auto" w:fill="FCE9E8"/>
          </w:tcPr>
          <w:p>
            <w:pPr>
              <w:jc w:val="right"/>
              <w:ind w:right="253"/>
              <w:spacing w:after="0" w:line="183" w:lineRule="exact"/>
              <w:rPr>
                <w:sz w:val="20"/>
                <w:szCs w:val="20"/>
                <w:color w:val="auto"/>
              </w:rPr>
            </w:pPr>
            <w:r>
              <w:rPr>
                <w:rFonts w:ascii="Arial" w:cs="Arial" w:eastAsia="Arial" w:hAnsi="Arial"/>
                <w:sz w:val="16"/>
                <w:szCs w:val="16"/>
                <w:color w:val="auto"/>
              </w:rPr>
              <w:t>1,186.8</w:t>
            </w:r>
          </w:p>
        </w:tc>
      </w:tr>
      <w:tr>
        <w:trPr>
          <w:trHeight w:val="189"/>
        </w:trPr>
        <w:tc>
          <w:tcPr>
            <w:tcW w:w="7440" w:type="dxa"/>
            <w:vAlign w:val="bottom"/>
          </w:tcPr>
          <w:p>
            <w:pPr>
              <w:ind w:left="260"/>
              <w:spacing w:after="0"/>
              <w:rPr>
                <w:sz w:val="20"/>
                <w:szCs w:val="20"/>
                <w:color w:val="auto"/>
              </w:rPr>
            </w:pPr>
            <w:r>
              <w:rPr>
                <w:rFonts w:ascii="Arial" w:cs="Arial" w:eastAsia="Arial" w:hAnsi="Arial"/>
                <w:sz w:val="16"/>
                <w:szCs w:val="16"/>
                <w:color w:val="auto"/>
              </w:rPr>
              <w:t>Restructuring costs and other special items -</w:t>
            </w:r>
          </w:p>
        </w:tc>
        <w:tc>
          <w:tcPr>
            <w:tcW w:w="1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89"/>
        </w:trPr>
        <w:tc>
          <w:tcPr>
            <w:tcW w:w="74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Costs related to restructuring actions</w:t>
            </w:r>
          </w:p>
        </w:tc>
        <w:tc>
          <w:tcPr>
            <w:tcW w:w="180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69.9</w:t>
            </w:r>
          </w:p>
        </w:tc>
        <w:tc>
          <w:tcPr>
            <w:tcW w:w="380" w:type="dxa"/>
            <w:vAlign w:val="bottom"/>
            <w:shd w:val="clear" w:color="auto" w:fill="FCE9E8"/>
          </w:tcPr>
          <w:p>
            <w:pPr>
              <w:spacing w:after="0"/>
              <w:rPr>
                <w:sz w:val="16"/>
                <w:szCs w:val="16"/>
                <w:color w:val="auto"/>
              </w:rPr>
            </w:pPr>
          </w:p>
        </w:tc>
        <w:tc>
          <w:tcPr>
            <w:tcW w:w="920" w:type="dxa"/>
            <w:vAlign w:val="bottom"/>
            <w:gridSpan w:val="2"/>
            <w:shd w:val="clear" w:color="auto" w:fill="FCE9E8"/>
          </w:tcPr>
          <w:p>
            <w:pPr>
              <w:jc w:val="right"/>
              <w:ind w:right="253"/>
              <w:spacing w:after="0"/>
              <w:rPr>
                <w:sz w:val="20"/>
                <w:szCs w:val="20"/>
                <w:color w:val="auto"/>
              </w:rPr>
            </w:pPr>
            <w:r>
              <w:rPr>
                <w:rFonts w:ascii="Arial" w:cs="Arial" w:eastAsia="Arial" w:hAnsi="Arial"/>
                <w:sz w:val="16"/>
                <w:szCs w:val="16"/>
                <w:color w:val="auto"/>
              </w:rPr>
              <w:t>95.2</w:t>
            </w:r>
          </w:p>
        </w:tc>
      </w:tr>
      <w:tr>
        <w:trPr>
          <w:trHeight w:val="189"/>
        </w:trPr>
        <w:tc>
          <w:tcPr>
            <w:tcW w:w="7440" w:type="dxa"/>
            <w:vAlign w:val="bottom"/>
          </w:tcPr>
          <w:p>
            <w:pPr>
              <w:ind w:left="420"/>
              <w:spacing w:after="0"/>
              <w:rPr>
                <w:sz w:val="20"/>
                <w:szCs w:val="20"/>
                <w:color w:val="auto"/>
              </w:rPr>
            </w:pPr>
            <w:r>
              <w:rPr>
                <w:rFonts w:ascii="Arial" w:cs="Arial" w:eastAsia="Arial" w:hAnsi="Arial"/>
                <w:sz w:val="16"/>
                <w:szCs w:val="16"/>
                <w:color w:val="auto"/>
              </w:rPr>
              <w:t>Pension settlement charge</w:t>
            </w:r>
          </w:p>
        </w:tc>
        <w:tc>
          <w:tcPr>
            <w:tcW w:w="18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34.2</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ind w:right="253"/>
              <w:spacing w:after="0"/>
              <w:rPr>
                <w:sz w:val="20"/>
                <w:szCs w:val="20"/>
                <w:color w:val="auto"/>
              </w:rPr>
            </w:pPr>
            <w:r>
              <w:rPr>
                <w:rFonts w:ascii="Arial" w:cs="Arial" w:eastAsia="Arial" w:hAnsi="Arial"/>
                <w:sz w:val="16"/>
                <w:szCs w:val="16"/>
                <w:color w:val="auto"/>
                <w:w w:val="99"/>
              </w:rPr>
              <w:t>—</w:t>
            </w:r>
          </w:p>
        </w:tc>
      </w:tr>
      <w:tr>
        <w:trPr>
          <w:trHeight w:val="189"/>
        </w:trPr>
        <w:tc>
          <w:tcPr>
            <w:tcW w:w="74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Acquisition and other related costs</w:t>
            </w:r>
          </w:p>
        </w:tc>
        <w:tc>
          <w:tcPr>
            <w:tcW w:w="180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1.3</w:t>
            </w:r>
          </w:p>
        </w:tc>
        <w:tc>
          <w:tcPr>
            <w:tcW w:w="380" w:type="dxa"/>
            <w:vAlign w:val="bottom"/>
            <w:shd w:val="clear" w:color="auto" w:fill="FCE9E8"/>
          </w:tcPr>
          <w:p>
            <w:pPr>
              <w:spacing w:after="0"/>
              <w:rPr>
                <w:sz w:val="16"/>
                <w:szCs w:val="16"/>
                <w:color w:val="auto"/>
              </w:rPr>
            </w:pPr>
          </w:p>
        </w:tc>
        <w:tc>
          <w:tcPr>
            <w:tcW w:w="920" w:type="dxa"/>
            <w:vAlign w:val="bottom"/>
            <w:gridSpan w:val="2"/>
            <w:shd w:val="clear" w:color="auto" w:fill="FCE9E8"/>
          </w:tcPr>
          <w:p>
            <w:pPr>
              <w:jc w:val="right"/>
              <w:ind w:right="253"/>
              <w:spacing w:after="0"/>
              <w:rPr>
                <w:sz w:val="20"/>
                <w:szCs w:val="20"/>
                <w:color w:val="auto"/>
              </w:rPr>
            </w:pPr>
            <w:r>
              <w:rPr>
                <w:rFonts w:ascii="Arial" w:cs="Arial" w:eastAsia="Arial" w:hAnsi="Arial"/>
                <w:sz w:val="16"/>
                <w:szCs w:val="16"/>
                <w:color w:val="auto"/>
              </w:rPr>
              <w:t>10.9</w:t>
            </w:r>
          </w:p>
        </w:tc>
      </w:tr>
      <w:tr>
        <w:trPr>
          <w:trHeight w:val="189"/>
        </w:trPr>
        <w:tc>
          <w:tcPr>
            <w:tcW w:w="7440" w:type="dxa"/>
            <w:vAlign w:val="bottom"/>
          </w:tcPr>
          <w:p>
            <w:pPr>
              <w:ind w:left="420"/>
              <w:spacing w:after="0"/>
              <w:rPr>
                <w:sz w:val="20"/>
                <w:szCs w:val="20"/>
                <w:color w:val="auto"/>
              </w:rPr>
            </w:pPr>
            <w:r>
              <w:rPr>
                <w:rFonts w:ascii="Arial" w:cs="Arial" w:eastAsia="Arial" w:hAnsi="Arial"/>
                <w:sz w:val="16"/>
                <w:szCs w:val="16"/>
                <w:color w:val="auto"/>
              </w:rPr>
              <w:t>Acquisition-related inventory fair value adjustment</w:t>
            </w:r>
          </w:p>
        </w:tc>
        <w:tc>
          <w:tcPr>
            <w:tcW w:w="18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gridSpan w:val="2"/>
          </w:tcPr>
          <w:p>
            <w:pPr>
              <w:jc w:val="right"/>
              <w:ind w:right="253"/>
              <w:spacing w:after="0"/>
              <w:rPr>
                <w:sz w:val="20"/>
                <w:szCs w:val="20"/>
                <w:color w:val="auto"/>
              </w:rPr>
            </w:pPr>
            <w:r>
              <w:rPr>
                <w:rFonts w:ascii="Arial" w:cs="Arial" w:eastAsia="Arial" w:hAnsi="Arial"/>
                <w:sz w:val="16"/>
                <w:szCs w:val="16"/>
                <w:color w:val="auto"/>
              </w:rPr>
              <w:t>15.8</w:t>
            </w:r>
          </w:p>
        </w:tc>
      </w:tr>
      <w:tr>
        <w:trPr>
          <w:trHeight w:val="189"/>
        </w:trPr>
        <w:tc>
          <w:tcPr>
            <w:tcW w:w="7440" w:type="dxa"/>
            <w:vAlign w:val="bottom"/>
            <w:tcBorders>
              <w:bottom w:val="single" w:sz="8" w:color="auto"/>
            </w:tcBorders>
            <w:shd w:val="clear" w:color="auto" w:fill="FCE9E8"/>
          </w:tcPr>
          <w:p>
            <w:pPr>
              <w:ind w:left="420"/>
              <w:spacing w:after="0"/>
              <w:rPr>
                <w:sz w:val="20"/>
                <w:szCs w:val="20"/>
                <w:color w:val="auto"/>
              </w:rPr>
            </w:pPr>
            <w:r>
              <w:rPr>
                <w:rFonts w:ascii="Arial" w:cs="Arial" w:eastAsia="Arial" w:hAnsi="Arial"/>
                <w:sz w:val="16"/>
                <w:szCs w:val="16"/>
                <w:color w:val="auto"/>
              </w:rPr>
              <w:t>Other</w:t>
            </w:r>
          </w:p>
        </w:tc>
        <w:tc>
          <w:tcPr>
            <w:tcW w:w="1800" w:type="dxa"/>
            <w:vAlign w:val="bottom"/>
            <w:tcBorders>
              <w:bottom w:val="single" w:sz="8" w:color="auto"/>
            </w:tcBorders>
            <w:shd w:val="clear" w:color="auto" w:fill="FCE9E8"/>
          </w:tcPr>
          <w:p>
            <w:pPr>
              <w:spacing w:after="0"/>
              <w:rPr>
                <w:sz w:val="16"/>
                <w:szCs w:val="16"/>
                <w:color w:val="auto"/>
              </w:rPr>
            </w:pPr>
          </w:p>
        </w:tc>
        <w:tc>
          <w:tcPr>
            <w:tcW w:w="880" w:type="dxa"/>
            <w:vAlign w:val="bottom"/>
            <w:tcBorders>
              <w:bottom w:val="single" w:sz="8" w:color="auto"/>
            </w:tcBorders>
            <w:shd w:val="clear" w:color="auto" w:fill="FCE9E8"/>
          </w:tcPr>
          <w:p>
            <w:pPr>
              <w:jc w:val="right"/>
              <w:ind w:right="220"/>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auto"/>
            </w:tcBorders>
            <w:shd w:val="clear" w:color="auto" w:fill="FCE9E8"/>
          </w:tcPr>
          <w:p>
            <w:pPr>
              <w:spacing w:after="0"/>
              <w:rPr>
                <w:sz w:val="16"/>
                <w:szCs w:val="16"/>
                <w:color w:val="auto"/>
              </w:rPr>
            </w:pPr>
          </w:p>
        </w:tc>
        <w:tc>
          <w:tcPr>
            <w:tcW w:w="920" w:type="dxa"/>
            <w:vAlign w:val="bottom"/>
            <w:tcBorders>
              <w:bottom w:val="single" w:sz="8" w:color="auto"/>
            </w:tcBorders>
            <w:gridSpan w:val="2"/>
            <w:shd w:val="clear" w:color="auto" w:fill="FCE9E8"/>
          </w:tcPr>
          <w:p>
            <w:pPr>
              <w:jc w:val="right"/>
              <w:ind w:right="253"/>
              <w:spacing w:after="0"/>
              <w:rPr>
                <w:sz w:val="20"/>
                <w:szCs w:val="20"/>
                <w:color w:val="auto"/>
              </w:rPr>
            </w:pPr>
            <w:r>
              <w:rPr>
                <w:rFonts w:ascii="Arial" w:cs="Arial" w:eastAsia="Arial" w:hAnsi="Arial"/>
                <w:sz w:val="16"/>
                <w:szCs w:val="16"/>
                <w:color w:val="auto"/>
              </w:rPr>
              <w:t>1.5</w:t>
            </w:r>
          </w:p>
        </w:tc>
      </w:tr>
      <w:tr>
        <w:trPr>
          <w:trHeight w:val="183"/>
        </w:trPr>
        <w:tc>
          <w:tcPr>
            <w:tcW w:w="744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Core operating earnings</w:t>
            </w:r>
          </w:p>
        </w:tc>
        <w:tc>
          <w:tcPr>
            <w:tcW w:w="1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20"/>
              <w:spacing w:after="0" w:line="183" w:lineRule="exact"/>
              <w:rPr>
                <w:sz w:val="20"/>
                <w:szCs w:val="20"/>
                <w:color w:val="auto"/>
              </w:rPr>
            </w:pPr>
            <w:r>
              <w:rPr>
                <w:rFonts w:ascii="Arial" w:cs="Arial" w:eastAsia="Arial" w:hAnsi="Arial"/>
                <w:sz w:val="16"/>
                <w:szCs w:val="16"/>
                <w:b w:val="1"/>
                <w:bCs w:val="1"/>
                <w:color w:val="auto"/>
              </w:rPr>
              <w:t>1,534.8</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gridSpan w:val="2"/>
          </w:tcPr>
          <w:p>
            <w:pPr>
              <w:jc w:val="right"/>
              <w:ind w:right="253"/>
              <w:spacing w:after="0" w:line="183" w:lineRule="exact"/>
              <w:rPr>
                <w:sz w:val="20"/>
                <w:szCs w:val="20"/>
                <w:color w:val="auto"/>
              </w:rPr>
            </w:pPr>
            <w:r>
              <w:rPr>
                <w:rFonts w:ascii="Arial" w:cs="Arial" w:eastAsia="Arial" w:hAnsi="Arial"/>
                <w:sz w:val="16"/>
                <w:szCs w:val="16"/>
                <w:b w:val="1"/>
                <w:bCs w:val="1"/>
                <w:color w:val="auto"/>
              </w:rPr>
              <w:t>1,310.2</w:t>
            </w:r>
          </w:p>
        </w:tc>
      </w:tr>
      <w:tr>
        <w:trPr>
          <w:trHeight w:val="399"/>
        </w:trPr>
        <w:tc>
          <w:tcPr>
            <w:tcW w:w="7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Arial" w:cs="Arial" w:eastAsia="Arial" w:hAnsi="Arial"/>
                <w:sz w:val="15"/>
                <w:szCs w:val="15"/>
                <w:b w:val="1"/>
                <w:bCs w:val="1"/>
                <w:color w:val="E2231A"/>
              </w:rPr>
              <w:t>2017 Proxy Statement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E2231A"/>
              </w:rPr>
              <w:t xml:space="preserve">|  </w:t>
            </w:r>
            <w:r>
              <w:rPr>
                <w:rFonts w:ascii="Arial" w:cs="Arial" w:eastAsia="Arial" w:hAnsi="Arial"/>
                <w:sz w:val="18"/>
                <w:szCs w:val="18"/>
                <w:b w:val="1"/>
                <w:bCs w:val="1"/>
                <w:color w:val="000000"/>
              </w:rPr>
              <w:t>A-</w:t>
            </w:r>
          </w:p>
        </w:tc>
      </w:tr>
      <w:tr>
        <w:trPr>
          <w:trHeight w:val="239"/>
        </w:trPr>
        <w:tc>
          <w:tcPr>
            <w:tcW w:w="7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jc w:val="right"/>
              <w:ind w:right="53"/>
              <w:spacing w:after="0"/>
              <w:rPr>
                <w:sz w:val="20"/>
                <w:szCs w:val="20"/>
                <w:color w:val="auto"/>
              </w:rPr>
            </w:pPr>
            <w:r>
              <w:rPr>
                <w:rFonts w:ascii="Arial" w:cs="Arial" w:eastAsia="Arial" w:hAnsi="Arial"/>
                <w:sz w:val="18"/>
                <w:szCs w:val="18"/>
                <w:b w:val="1"/>
                <w:bCs w:val="1"/>
                <w:color w:val="auto"/>
              </w:rPr>
              <w:t>1</w:t>
            </w:r>
          </w:p>
        </w:tc>
      </w:tr>
    </w:tbl>
    <w:p>
      <w:pPr>
        <w:sectPr>
          <w:pgSz w:w="11900" w:h="16838" w:orient="portrait"/>
          <w:cols w:equalWidth="0" w:num="1">
            <w:col w:w="11420"/>
          </w:cols>
          <w:pgMar w:left="240" w:top="419"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5"/>
          <w:szCs w:val="15"/>
          <w:b w:val="1"/>
          <w:bCs w:val="1"/>
          <w:u w:val="single" w:color="auto"/>
          <w:color w:val="E2231A"/>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color w:val="auto"/>
        </w:rPr>
        <w:t>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(unaudited; in millions, except per share amounts)</w:t>
            </w:r>
          </w:p>
        </w:tc>
        <w:tc>
          <w:tcPr>
            <w:tcW w:w="2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E2231A"/>
              </w:rPr>
              <w:t>2016</w:t>
            </w: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E2231A"/>
                <w:w w:val="96"/>
              </w:rPr>
              <w:t>2015</w:t>
            </w:r>
          </w:p>
        </w:tc>
      </w:tr>
      <w:tr>
        <w:trPr>
          <w:trHeight w:val="183"/>
        </w:trPr>
        <w:tc>
          <w:tcPr>
            <w:tcW w:w="704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b w:val="1"/>
                <w:bCs w:val="1"/>
                <w:color w:val="auto"/>
              </w:rPr>
              <w:t>Net income attributable to Lear</w:t>
            </w:r>
          </w:p>
        </w:tc>
        <w:tc>
          <w:tcPr>
            <w:tcW w:w="242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FCE9E8"/>
          </w:tcPr>
          <w:p>
            <w:pPr>
              <w:jc w:val="right"/>
              <w:ind w:right="220"/>
              <w:spacing w:after="0" w:line="183" w:lineRule="exact"/>
              <w:rPr>
                <w:sz w:val="20"/>
                <w:szCs w:val="20"/>
                <w:color w:val="auto"/>
              </w:rPr>
            </w:pPr>
            <w:r>
              <w:rPr>
                <w:rFonts w:ascii="Arial" w:cs="Arial" w:eastAsia="Arial" w:hAnsi="Arial"/>
                <w:sz w:val="16"/>
                <w:szCs w:val="16"/>
                <w:b w:val="1"/>
                <w:bCs w:val="1"/>
                <w:color w:val="auto"/>
              </w:rPr>
              <w:t>975.1</w:t>
            </w:r>
          </w:p>
        </w:tc>
        <w:tc>
          <w:tcPr>
            <w:tcW w:w="36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FCE9E8"/>
          </w:tcPr>
          <w:p>
            <w:pPr>
              <w:jc w:val="right"/>
              <w:ind w:right="260"/>
              <w:spacing w:after="0" w:line="183" w:lineRule="exact"/>
              <w:rPr>
                <w:sz w:val="20"/>
                <w:szCs w:val="20"/>
                <w:color w:val="auto"/>
              </w:rPr>
            </w:pPr>
            <w:r>
              <w:rPr>
                <w:rFonts w:ascii="Arial" w:cs="Arial" w:eastAsia="Arial" w:hAnsi="Arial"/>
                <w:sz w:val="16"/>
                <w:szCs w:val="16"/>
                <w:b w:val="1"/>
                <w:bCs w:val="1"/>
                <w:color w:val="auto"/>
                <w:w w:val="99"/>
              </w:rPr>
              <w:t>745.5</w:t>
            </w:r>
          </w:p>
        </w:tc>
      </w:tr>
      <w:tr>
        <w:trPr>
          <w:trHeight w:val="189"/>
        </w:trPr>
        <w:tc>
          <w:tcPr>
            <w:tcW w:w="7040" w:type="dxa"/>
            <w:vAlign w:val="bottom"/>
          </w:tcPr>
          <w:p>
            <w:pPr>
              <w:ind w:left="260"/>
              <w:spacing w:after="0"/>
              <w:rPr>
                <w:sz w:val="20"/>
                <w:szCs w:val="20"/>
                <w:color w:val="auto"/>
              </w:rPr>
            </w:pPr>
            <w:r>
              <w:rPr>
                <w:rFonts w:ascii="Arial" w:cs="Arial" w:eastAsia="Arial" w:hAnsi="Arial"/>
                <w:sz w:val="16"/>
                <w:szCs w:val="16"/>
                <w:color w:val="auto"/>
              </w:rPr>
              <w:t>Restructuring costs and other special items -</w:t>
            </w:r>
          </w:p>
        </w:tc>
        <w:tc>
          <w:tcPr>
            <w:tcW w:w="2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0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Costs related to restructuring actions</w:t>
            </w:r>
          </w:p>
        </w:tc>
        <w:tc>
          <w:tcPr>
            <w:tcW w:w="242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69.6</w:t>
            </w:r>
          </w:p>
        </w:tc>
        <w:tc>
          <w:tcPr>
            <w:tcW w:w="360" w:type="dxa"/>
            <w:vAlign w:val="bottom"/>
            <w:shd w:val="clear" w:color="auto" w:fill="FCE9E8"/>
          </w:tcPr>
          <w:p>
            <w:pPr>
              <w:spacing w:after="0"/>
              <w:rPr>
                <w:sz w:val="16"/>
                <w:szCs w:val="16"/>
                <w:color w:val="auto"/>
              </w:rPr>
            </w:pPr>
          </w:p>
        </w:tc>
        <w:tc>
          <w:tcPr>
            <w:tcW w:w="7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97.2</w:t>
            </w:r>
          </w:p>
        </w:tc>
      </w:tr>
      <w:tr>
        <w:trPr>
          <w:trHeight w:val="189"/>
        </w:trPr>
        <w:tc>
          <w:tcPr>
            <w:tcW w:w="7040" w:type="dxa"/>
            <w:vAlign w:val="bottom"/>
          </w:tcPr>
          <w:p>
            <w:pPr>
              <w:ind w:left="420"/>
              <w:spacing w:after="0"/>
              <w:rPr>
                <w:sz w:val="20"/>
                <w:szCs w:val="20"/>
                <w:color w:val="auto"/>
              </w:rPr>
            </w:pPr>
            <w:r>
              <w:rPr>
                <w:rFonts w:ascii="Arial" w:cs="Arial" w:eastAsia="Arial" w:hAnsi="Arial"/>
                <w:sz w:val="16"/>
                <w:szCs w:val="16"/>
                <w:color w:val="auto"/>
              </w:rPr>
              <w:t>Pension settlement charge</w:t>
            </w:r>
          </w:p>
        </w:tc>
        <w:tc>
          <w:tcPr>
            <w:tcW w:w="2420" w:type="dxa"/>
            <w:vAlign w:val="bottom"/>
          </w:tcPr>
          <w:p>
            <w:pPr>
              <w:spacing w:after="0"/>
              <w:rPr>
                <w:sz w:val="16"/>
                <w:szCs w:val="16"/>
                <w:color w:val="auto"/>
              </w:rPr>
            </w:pP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34.2</w:t>
            </w:r>
          </w:p>
        </w:tc>
        <w:tc>
          <w:tcPr>
            <w:tcW w:w="360" w:type="dxa"/>
            <w:vAlign w:val="bottom"/>
          </w:tcPr>
          <w:p>
            <w:pPr>
              <w:spacing w:after="0"/>
              <w:rPr>
                <w:sz w:val="16"/>
                <w:szCs w:val="16"/>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w:t>
            </w:r>
          </w:p>
        </w:tc>
      </w:tr>
      <w:tr>
        <w:trPr>
          <w:trHeight w:val="189"/>
        </w:trPr>
        <w:tc>
          <w:tcPr>
            <w:tcW w:w="70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Acquisition and other related costs</w:t>
            </w:r>
          </w:p>
        </w:tc>
        <w:tc>
          <w:tcPr>
            <w:tcW w:w="242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1.3</w:t>
            </w:r>
          </w:p>
        </w:tc>
        <w:tc>
          <w:tcPr>
            <w:tcW w:w="360" w:type="dxa"/>
            <w:vAlign w:val="bottom"/>
            <w:shd w:val="clear" w:color="auto" w:fill="FCE9E8"/>
          </w:tcPr>
          <w:p>
            <w:pPr>
              <w:spacing w:after="0"/>
              <w:rPr>
                <w:sz w:val="16"/>
                <w:szCs w:val="16"/>
                <w:color w:val="auto"/>
              </w:rPr>
            </w:pPr>
          </w:p>
        </w:tc>
        <w:tc>
          <w:tcPr>
            <w:tcW w:w="7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10.9</w:t>
            </w:r>
          </w:p>
        </w:tc>
      </w:tr>
      <w:tr>
        <w:trPr>
          <w:trHeight w:val="189"/>
        </w:trPr>
        <w:tc>
          <w:tcPr>
            <w:tcW w:w="7040" w:type="dxa"/>
            <w:vAlign w:val="bottom"/>
          </w:tcPr>
          <w:p>
            <w:pPr>
              <w:ind w:left="420"/>
              <w:spacing w:after="0"/>
              <w:rPr>
                <w:sz w:val="20"/>
                <w:szCs w:val="20"/>
                <w:color w:val="auto"/>
              </w:rPr>
            </w:pPr>
            <w:r>
              <w:rPr>
                <w:rFonts w:ascii="Arial" w:cs="Arial" w:eastAsia="Arial" w:hAnsi="Arial"/>
                <w:sz w:val="16"/>
                <w:szCs w:val="16"/>
                <w:color w:val="auto"/>
              </w:rPr>
              <w:t>Acquisition-related inventory fair value adjustment</w:t>
            </w:r>
          </w:p>
        </w:tc>
        <w:tc>
          <w:tcPr>
            <w:tcW w:w="2420" w:type="dxa"/>
            <w:vAlign w:val="bottom"/>
          </w:tcPr>
          <w:p>
            <w:pPr>
              <w:spacing w:after="0"/>
              <w:rPr>
                <w:sz w:val="16"/>
                <w:szCs w:val="16"/>
                <w:color w:val="auto"/>
              </w:rPr>
            </w:pPr>
          </w:p>
        </w:tc>
        <w:tc>
          <w:tcPr>
            <w:tcW w:w="8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15.8</w:t>
            </w:r>
          </w:p>
        </w:tc>
      </w:tr>
      <w:tr>
        <w:trPr>
          <w:trHeight w:val="189"/>
        </w:trPr>
        <w:tc>
          <w:tcPr>
            <w:tcW w:w="70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Loss on redemption of bonds</w:t>
            </w:r>
          </w:p>
        </w:tc>
        <w:tc>
          <w:tcPr>
            <w:tcW w:w="242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FCE9E8"/>
          </w:tcPr>
          <w:p>
            <w:pPr>
              <w:spacing w:after="0"/>
              <w:rPr>
                <w:sz w:val="16"/>
                <w:szCs w:val="16"/>
                <w:color w:val="auto"/>
              </w:rPr>
            </w:pPr>
          </w:p>
        </w:tc>
        <w:tc>
          <w:tcPr>
            <w:tcW w:w="7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14.3</w:t>
            </w:r>
          </w:p>
        </w:tc>
      </w:tr>
      <w:tr>
        <w:trPr>
          <w:trHeight w:val="189"/>
        </w:trPr>
        <w:tc>
          <w:tcPr>
            <w:tcW w:w="7040" w:type="dxa"/>
            <w:vAlign w:val="bottom"/>
          </w:tcPr>
          <w:p>
            <w:pPr>
              <w:ind w:left="420"/>
              <w:spacing w:after="0"/>
              <w:rPr>
                <w:sz w:val="20"/>
                <w:szCs w:val="20"/>
                <w:color w:val="auto"/>
              </w:rPr>
            </w:pPr>
            <w:r>
              <w:rPr>
                <w:rFonts w:ascii="Arial" w:cs="Arial" w:eastAsia="Arial" w:hAnsi="Arial"/>
                <w:sz w:val="16"/>
                <w:szCs w:val="16"/>
                <w:color w:val="auto"/>
              </w:rPr>
              <w:t>(Gain) loss related to affiliate</w:t>
            </w:r>
          </w:p>
        </w:tc>
        <w:tc>
          <w:tcPr>
            <w:tcW w:w="2420" w:type="dxa"/>
            <w:vAlign w:val="bottom"/>
          </w:tcPr>
          <w:p>
            <w:pPr>
              <w:spacing w:after="0"/>
              <w:rPr>
                <w:sz w:val="16"/>
                <w:szCs w:val="16"/>
                <w:color w:val="auto"/>
              </w:rPr>
            </w:pPr>
          </w:p>
        </w:tc>
        <w:tc>
          <w:tcPr>
            <w:tcW w:w="840" w:type="dxa"/>
            <w:vAlign w:val="bottom"/>
          </w:tcPr>
          <w:p>
            <w:pPr>
              <w:jc w:val="right"/>
              <w:ind w:right="160"/>
              <w:spacing w:after="0"/>
              <w:rPr>
                <w:sz w:val="20"/>
                <w:szCs w:val="20"/>
                <w:color w:val="auto"/>
              </w:rPr>
            </w:pPr>
            <w:r>
              <w:rPr>
                <w:rFonts w:ascii="Arial" w:cs="Arial" w:eastAsia="Arial" w:hAnsi="Arial"/>
                <w:sz w:val="16"/>
                <w:szCs w:val="16"/>
                <w:color w:val="auto"/>
              </w:rPr>
              <w:t>(30.3)</w:t>
            </w:r>
          </w:p>
        </w:tc>
        <w:tc>
          <w:tcPr>
            <w:tcW w:w="360" w:type="dxa"/>
            <w:vAlign w:val="bottom"/>
          </w:tcPr>
          <w:p>
            <w:pPr>
              <w:spacing w:after="0"/>
              <w:rPr>
                <w:sz w:val="16"/>
                <w:szCs w:val="16"/>
                <w:color w:val="auto"/>
              </w:rPr>
            </w:pPr>
          </w:p>
        </w:tc>
        <w:tc>
          <w:tcPr>
            <w:tcW w:w="760" w:type="dxa"/>
            <w:vAlign w:val="bottom"/>
          </w:tcPr>
          <w:p>
            <w:pPr>
              <w:jc w:val="right"/>
              <w:ind w:right="260"/>
              <w:spacing w:after="0"/>
              <w:rPr>
                <w:sz w:val="20"/>
                <w:szCs w:val="20"/>
                <w:color w:val="auto"/>
              </w:rPr>
            </w:pPr>
            <w:r>
              <w:rPr>
                <w:rFonts w:ascii="Arial" w:cs="Arial" w:eastAsia="Arial" w:hAnsi="Arial"/>
                <w:sz w:val="16"/>
                <w:szCs w:val="16"/>
                <w:color w:val="auto"/>
              </w:rPr>
              <w:t>1.8</w:t>
            </w:r>
          </w:p>
        </w:tc>
      </w:tr>
      <w:tr>
        <w:trPr>
          <w:trHeight w:val="189"/>
        </w:trPr>
        <w:tc>
          <w:tcPr>
            <w:tcW w:w="7040" w:type="dxa"/>
            <w:vAlign w:val="bottom"/>
            <w:shd w:val="clear" w:color="auto" w:fill="FCE9E8"/>
          </w:tcPr>
          <w:p>
            <w:pPr>
              <w:ind w:left="420"/>
              <w:spacing w:after="0"/>
              <w:rPr>
                <w:sz w:val="20"/>
                <w:szCs w:val="20"/>
                <w:color w:val="auto"/>
              </w:rPr>
            </w:pPr>
            <w:r>
              <w:rPr>
                <w:rFonts w:ascii="Arial" w:cs="Arial" w:eastAsia="Arial" w:hAnsi="Arial"/>
                <w:sz w:val="16"/>
                <w:szCs w:val="16"/>
                <w:color w:val="auto"/>
              </w:rPr>
              <w:t>Other</w:t>
            </w:r>
          </w:p>
        </w:tc>
        <w:tc>
          <w:tcPr>
            <w:tcW w:w="2420" w:type="dxa"/>
            <w:vAlign w:val="bottom"/>
            <w:shd w:val="clear" w:color="auto" w:fill="FCE9E8"/>
          </w:tcPr>
          <w:p>
            <w:pPr>
              <w:spacing w:after="0"/>
              <w:rPr>
                <w:sz w:val="16"/>
                <w:szCs w:val="16"/>
                <w:color w:val="auto"/>
              </w:rPr>
            </w:pPr>
          </w:p>
        </w:tc>
        <w:tc>
          <w:tcPr>
            <w:tcW w:w="8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FCE9E8"/>
          </w:tcPr>
          <w:p>
            <w:pPr>
              <w:spacing w:after="0"/>
              <w:rPr>
                <w:sz w:val="16"/>
                <w:szCs w:val="16"/>
                <w:color w:val="auto"/>
              </w:rPr>
            </w:pPr>
          </w:p>
        </w:tc>
        <w:tc>
          <w:tcPr>
            <w:tcW w:w="7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1.5</w:t>
            </w:r>
          </w:p>
        </w:tc>
      </w:tr>
      <w:tr>
        <w:trPr>
          <w:trHeight w:val="189"/>
        </w:trPr>
        <w:tc>
          <w:tcPr>
            <w:tcW w:w="7040" w:type="dxa"/>
            <w:vAlign w:val="bottom"/>
            <w:tcBorders>
              <w:bottom w:val="single" w:sz="8" w:color="auto"/>
            </w:tcBorders>
          </w:tcPr>
          <w:p>
            <w:pPr>
              <w:ind w:left="420"/>
              <w:spacing w:after="0" w:line="189" w:lineRule="exact"/>
              <w:rPr>
                <w:sz w:val="20"/>
                <w:szCs w:val="20"/>
                <w:color w:val="auto"/>
              </w:rPr>
            </w:pPr>
            <w:r>
              <w:rPr>
                <w:rFonts w:ascii="Arial" w:cs="Arial" w:eastAsia="Arial" w:hAnsi="Arial"/>
                <w:sz w:val="13"/>
                <w:szCs w:val="13"/>
                <w:color w:val="auto"/>
              </w:rPr>
              <w:t>Tax impact of special items and other net tax adjustments</w:t>
            </w:r>
            <w:r>
              <w:rPr>
                <w:rFonts w:ascii="Arial" w:cs="Arial" w:eastAsia="Arial" w:hAnsi="Arial"/>
                <w:sz w:val="21"/>
                <w:szCs w:val="21"/>
                <w:color w:val="auto"/>
                <w:vertAlign w:val="superscript"/>
              </w:rPr>
              <w:t>(1)</w:t>
            </w:r>
          </w:p>
        </w:tc>
        <w:tc>
          <w:tcPr>
            <w:tcW w:w="2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(23.6)</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(43.1)</w:t>
            </w:r>
          </w:p>
        </w:tc>
      </w:tr>
      <w:tr>
        <w:trPr>
          <w:trHeight w:val="183"/>
        </w:trPr>
        <w:tc>
          <w:tcPr>
            <w:tcW w:w="7040" w:type="dxa"/>
            <w:vAlign w:val="bottom"/>
            <w:tcBorders>
              <w:bottom w:val="single" w:sz="8" w:color="auto"/>
            </w:tcBorders>
            <w:shd w:val="clear" w:color="auto" w:fill="FCE9E8"/>
          </w:tcPr>
          <w:p>
            <w:pPr>
              <w:ind w:left="100"/>
              <w:spacing w:after="0" w:line="183" w:lineRule="exact"/>
              <w:rPr>
                <w:sz w:val="20"/>
                <w:szCs w:val="20"/>
                <w:color w:val="auto"/>
              </w:rPr>
            </w:pPr>
            <w:r>
              <w:rPr>
                <w:rFonts w:ascii="Arial" w:cs="Arial" w:eastAsia="Arial" w:hAnsi="Arial"/>
                <w:sz w:val="16"/>
                <w:szCs w:val="16"/>
                <w:b w:val="1"/>
                <w:bCs w:val="1"/>
                <w:color w:val="auto"/>
              </w:rPr>
              <w:t>Adjusted net income attributable to Lear</w:t>
            </w:r>
          </w:p>
        </w:tc>
        <w:tc>
          <w:tcPr>
            <w:tcW w:w="242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FCE9E8"/>
          </w:tcPr>
          <w:p>
            <w:pPr>
              <w:jc w:val="right"/>
              <w:ind w:right="220"/>
              <w:spacing w:after="0" w:line="183" w:lineRule="exact"/>
              <w:rPr>
                <w:sz w:val="20"/>
                <w:szCs w:val="20"/>
                <w:color w:val="auto"/>
              </w:rPr>
            </w:pPr>
            <w:r>
              <w:rPr>
                <w:rFonts w:ascii="Arial" w:cs="Arial" w:eastAsia="Arial" w:hAnsi="Arial"/>
                <w:sz w:val="16"/>
                <w:szCs w:val="16"/>
                <w:b w:val="1"/>
                <w:bCs w:val="1"/>
                <w:color w:val="auto"/>
                <w:w w:val="97"/>
              </w:rPr>
              <w:t>1,026.3</w:t>
            </w:r>
          </w:p>
        </w:tc>
        <w:tc>
          <w:tcPr>
            <w:tcW w:w="360" w:type="dxa"/>
            <w:vAlign w:val="bottom"/>
            <w:tcBorders>
              <w:bottom w:val="single" w:sz="8" w:color="auto"/>
            </w:tcBorders>
            <w:shd w:val="clear" w:color="auto" w:fill="FCE9E8"/>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shd w:val="clear" w:color="auto" w:fill="FCE9E8"/>
          </w:tcPr>
          <w:p>
            <w:pPr>
              <w:jc w:val="right"/>
              <w:ind w:right="260"/>
              <w:spacing w:after="0" w:line="183" w:lineRule="exact"/>
              <w:rPr>
                <w:sz w:val="20"/>
                <w:szCs w:val="20"/>
                <w:color w:val="auto"/>
              </w:rPr>
            </w:pPr>
            <w:r>
              <w:rPr>
                <w:rFonts w:ascii="Arial" w:cs="Arial" w:eastAsia="Arial" w:hAnsi="Arial"/>
                <w:sz w:val="16"/>
                <w:szCs w:val="16"/>
                <w:b w:val="1"/>
                <w:bCs w:val="1"/>
                <w:color w:val="auto"/>
                <w:w w:val="99"/>
              </w:rPr>
              <w:t>843.9</w:t>
            </w:r>
          </w:p>
        </w:tc>
      </w:tr>
      <w:tr>
        <w:trPr>
          <w:trHeight w:val="183"/>
        </w:trPr>
        <w:tc>
          <w:tcPr>
            <w:tcW w:w="7040" w:type="dxa"/>
            <w:vAlign w:val="bottom"/>
          </w:tcPr>
          <w:p>
            <w:pPr>
              <w:ind w:left="100"/>
              <w:spacing w:after="0" w:line="183" w:lineRule="exact"/>
              <w:rPr>
                <w:sz w:val="20"/>
                <w:szCs w:val="20"/>
                <w:color w:val="auto"/>
              </w:rPr>
            </w:pPr>
            <w:r>
              <w:rPr>
                <w:rFonts w:ascii="Arial" w:cs="Arial" w:eastAsia="Arial" w:hAnsi="Arial"/>
                <w:sz w:val="16"/>
                <w:szCs w:val="16"/>
                <w:color w:val="auto"/>
              </w:rPr>
              <w:t>Weighted average number of diluted shares outstanding</w:t>
            </w:r>
          </w:p>
        </w:tc>
        <w:tc>
          <w:tcPr>
            <w:tcW w:w="2420" w:type="dxa"/>
            <w:vAlign w:val="bottom"/>
          </w:tcPr>
          <w:p>
            <w:pPr>
              <w:spacing w:after="0"/>
              <w:rPr>
                <w:sz w:val="15"/>
                <w:szCs w:val="15"/>
                <w:color w:val="auto"/>
              </w:rPr>
            </w:pPr>
          </w:p>
        </w:tc>
        <w:tc>
          <w:tcPr>
            <w:tcW w:w="840" w:type="dxa"/>
            <w:vAlign w:val="bottom"/>
          </w:tcPr>
          <w:p>
            <w:pPr>
              <w:jc w:val="right"/>
              <w:ind w:right="220"/>
              <w:spacing w:after="0" w:line="183" w:lineRule="exact"/>
              <w:rPr>
                <w:sz w:val="20"/>
                <w:szCs w:val="20"/>
                <w:color w:val="auto"/>
              </w:rPr>
            </w:pPr>
            <w:r>
              <w:rPr>
                <w:rFonts w:ascii="Arial" w:cs="Arial" w:eastAsia="Arial" w:hAnsi="Arial"/>
                <w:sz w:val="16"/>
                <w:szCs w:val="16"/>
                <w:color w:val="auto"/>
              </w:rPr>
              <w:t>73.1</w:t>
            </w:r>
          </w:p>
        </w:tc>
        <w:tc>
          <w:tcPr>
            <w:tcW w:w="360" w:type="dxa"/>
            <w:vAlign w:val="bottom"/>
          </w:tcPr>
          <w:p>
            <w:pPr>
              <w:spacing w:after="0"/>
              <w:rPr>
                <w:sz w:val="15"/>
                <w:szCs w:val="15"/>
                <w:color w:val="auto"/>
              </w:rPr>
            </w:pPr>
          </w:p>
        </w:tc>
        <w:tc>
          <w:tcPr>
            <w:tcW w:w="760" w:type="dxa"/>
            <w:vAlign w:val="bottom"/>
          </w:tcPr>
          <w:p>
            <w:pPr>
              <w:jc w:val="right"/>
              <w:ind w:right="260"/>
              <w:spacing w:after="0" w:line="183" w:lineRule="exact"/>
              <w:rPr>
                <w:sz w:val="20"/>
                <w:szCs w:val="20"/>
                <w:color w:val="auto"/>
              </w:rPr>
            </w:pPr>
            <w:r>
              <w:rPr>
                <w:rFonts w:ascii="Arial" w:cs="Arial" w:eastAsia="Arial" w:hAnsi="Arial"/>
                <w:sz w:val="16"/>
                <w:szCs w:val="16"/>
                <w:color w:val="auto"/>
              </w:rPr>
              <w:t>77.8</w:t>
            </w:r>
          </w:p>
        </w:tc>
      </w:tr>
      <w:tr>
        <w:trPr>
          <w:trHeight w:val="189"/>
        </w:trPr>
        <w:tc>
          <w:tcPr>
            <w:tcW w:w="704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b w:val="1"/>
                <w:bCs w:val="1"/>
                <w:color w:val="auto"/>
              </w:rPr>
              <w:t>Diluted net income per share attributable to Lear</w:t>
            </w:r>
          </w:p>
        </w:tc>
        <w:tc>
          <w:tcPr>
            <w:tcW w:w="24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shd w:val="clear" w:color="auto" w:fill="FCE9E8"/>
          </w:tcPr>
          <w:p>
            <w:pPr>
              <w:jc w:val="right"/>
              <w:ind w:right="220"/>
              <w:spacing w:after="0"/>
              <w:rPr>
                <w:sz w:val="20"/>
                <w:szCs w:val="20"/>
                <w:color w:val="auto"/>
              </w:rPr>
            </w:pPr>
            <w:r>
              <w:rPr>
                <w:rFonts w:ascii="Arial" w:cs="Arial" w:eastAsia="Arial" w:hAnsi="Arial"/>
                <w:sz w:val="16"/>
                <w:szCs w:val="16"/>
                <w:b w:val="1"/>
                <w:bCs w:val="1"/>
                <w:color w:val="auto"/>
              </w:rPr>
              <w:t>13.33</w:t>
            </w:r>
          </w:p>
        </w:tc>
        <w:tc>
          <w:tcPr>
            <w:tcW w:w="3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shd w:val="clear" w:color="auto" w:fill="FCE9E8"/>
          </w:tcPr>
          <w:p>
            <w:pPr>
              <w:jc w:val="right"/>
              <w:ind w:right="260"/>
              <w:spacing w:after="0"/>
              <w:rPr>
                <w:sz w:val="20"/>
                <w:szCs w:val="20"/>
                <w:color w:val="auto"/>
              </w:rPr>
            </w:pPr>
            <w:r>
              <w:rPr>
                <w:rFonts w:ascii="Arial" w:cs="Arial" w:eastAsia="Arial" w:hAnsi="Arial"/>
                <w:sz w:val="16"/>
                <w:szCs w:val="16"/>
                <w:b w:val="1"/>
                <w:bCs w:val="1"/>
                <w:color w:val="auto"/>
              </w:rPr>
              <w:t>9.59</w:t>
            </w:r>
          </w:p>
        </w:tc>
      </w:tr>
      <w:tr>
        <w:trPr>
          <w:trHeight w:val="193"/>
        </w:trPr>
        <w:tc>
          <w:tcPr>
            <w:tcW w:w="7040" w:type="dxa"/>
            <w:vAlign w:val="bottom"/>
          </w:tcPr>
          <w:p>
            <w:pPr>
              <w:ind w:left="100"/>
              <w:spacing w:after="0"/>
              <w:rPr>
                <w:sz w:val="20"/>
                <w:szCs w:val="20"/>
                <w:color w:val="auto"/>
              </w:rPr>
            </w:pPr>
            <w:r>
              <w:rPr>
                <w:rFonts w:ascii="Arial" w:cs="Arial" w:eastAsia="Arial" w:hAnsi="Arial"/>
                <w:sz w:val="16"/>
                <w:szCs w:val="16"/>
                <w:b w:val="1"/>
                <w:bCs w:val="1"/>
                <w:color w:val="auto"/>
              </w:rPr>
              <w:t>Adjusted earnings per share</w:t>
            </w: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20"/>
              <w:spacing w:after="0"/>
              <w:rPr>
                <w:sz w:val="20"/>
                <w:szCs w:val="20"/>
                <w:color w:val="auto"/>
              </w:rPr>
            </w:pPr>
            <w:r>
              <w:rPr>
                <w:rFonts w:ascii="Arial" w:cs="Arial" w:eastAsia="Arial" w:hAnsi="Arial"/>
                <w:sz w:val="16"/>
                <w:szCs w:val="16"/>
                <w:b w:val="1"/>
                <w:bCs w:val="1"/>
                <w:color w:val="auto"/>
              </w:rPr>
              <w:t>14.03</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260"/>
              <w:spacing w:after="0"/>
              <w:rPr>
                <w:sz w:val="20"/>
                <w:szCs w:val="20"/>
                <w:color w:val="auto"/>
              </w:rPr>
            </w:pPr>
            <w:r>
              <w:rPr>
                <w:rFonts w:ascii="Arial" w:cs="Arial" w:eastAsia="Arial" w:hAnsi="Arial"/>
                <w:sz w:val="16"/>
                <w:szCs w:val="16"/>
                <w:b w:val="1"/>
                <w:bCs w:val="1"/>
                <w:color w:val="auto"/>
                <w:w w:val="99"/>
              </w:rPr>
              <w:t>10.85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60" w:hanging="332"/>
        <w:spacing w:after="0" w:line="183" w:lineRule="auto"/>
        <w:tabs>
          <w:tab w:leader="none" w:pos="34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Represents the tax effect of restructuring costs and other special items, as well as several discrete tax items. The identification of these tax items is judgmental in nature, and their calculation is based on various assumptions and estimates.</w:t>
      </w:r>
    </w:p>
    <w:p>
      <w:pPr>
        <w:ind w:left="100"/>
        <w:spacing w:after="0"/>
        <w:tabs>
          <w:tab w:leader="none" w:pos="540" w:val="left"/>
        </w:tabs>
        <w:rPr>
          <w:sz w:val="20"/>
          <w:szCs w:val="20"/>
          <w:color w:val="auto"/>
        </w:rPr>
      </w:pPr>
      <w:r>
        <w:rPr>
          <w:rFonts w:ascii="Arial" w:cs="Arial" w:eastAsia="Arial" w:hAnsi="Arial"/>
          <w:sz w:val="36"/>
          <w:szCs w:val="36"/>
          <w:b w:val="1"/>
          <w:bCs w:val="1"/>
          <w:color w:val="000000"/>
          <w:vertAlign w:val="superscript"/>
        </w:rPr>
        <w:t>A-</w:t>
      </w:r>
      <w:r>
        <w:rPr>
          <w:rFonts w:ascii="Arial" w:cs="Arial" w:eastAsia="Arial" w:hAnsi="Arial"/>
          <w:sz w:val="15"/>
          <w:szCs w:val="15"/>
          <w:b w:val="1"/>
          <w:bCs w:val="1"/>
          <w:color w:val="E2231A"/>
        </w:rPr>
        <w:t xml:space="preserve"> </w:t>
      </w:r>
      <w:r>
        <w:rPr>
          <w:rFonts w:ascii="Arial" w:cs="Arial" w:eastAsia="Arial" w:hAnsi="Arial"/>
          <w:sz w:val="36"/>
          <w:szCs w:val="36"/>
          <w:b w:val="1"/>
          <w:bCs w:val="1"/>
          <w:color w:val="E2231A"/>
          <w:vertAlign w:val="superscript"/>
        </w:rPr>
        <w:t>|</w:t>
      </w:r>
      <w:r>
        <w:rPr>
          <w:rFonts w:ascii="Arial" w:cs="Arial" w:eastAsia="Arial" w:hAnsi="Arial"/>
          <w:sz w:val="15"/>
          <w:szCs w:val="15"/>
          <w:b w:val="1"/>
          <w:bCs w:val="1"/>
          <w:color w:val="E2231A"/>
        </w:rPr>
        <w:tab/>
        <w:t>LEAR CORPORATION</w:t>
      </w:r>
    </w:p>
    <w:p>
      <w:pPr>
        <w:ind w:left="40"/>
        <w:spacing w:after="0"/>
        <w:rPr>
          <w:sz w:val="20"/>
          <w:szCs w:val="20"/>
          <w:color w:val="auto"/>
        </w:rPr>
      </w:pPr>
      <w:r>
        <w:rPr>
          <w:rFonts w:ascii="Arial" w:cs="Arial" w:eastAsia="Arial" w:hAnsi="Arial"/>
          <w:sz w:val="18"/>
          <w:szCs w:val="18"/>
          <w:b w:val="1"/>
          <w:bCs w:val="1"/>
          <w:color w:val="auto"/>
        </w:rPr>
        <w:t>2</w:t>
      </w:r>
    </w:p>
    <w:p>
      <w:pPr>
        <w:sectPr>
          <w:pgSz w:w="11900" w:h="16838" w:orient="portrait"/>
          <w:cols w:equalWidth="0" w:num="1">
            <w:col w:w="11420"/>
          </w:cols>
          <w:pgMar w:left="240" w:top="267" w:right="239" w:bottom="1440"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lvl w:ilvl="1">
      <w:lvlJc w:val="left"/>
      <w:lvlText w:val="(%2)"/>
      <w:numFmt w:val="decimal"/>
      <w:start w:val="1"/>
    </w:lvl>
  </w:abstractNum>
  <w:abstractNum w:abstractNumId="5">
    <w:nsid w:val="235BA861"/>
    <w:multiLevelType w:val="hybridMultilevel"/>
    <w:lvl w:ilvl="0">
      <w:lvlJc w:val="left"/>
      <w:lvlText w:val="(%1)"/>
      <w:numFmt w:val="decimal"/>
      <w:start w:val="3"/>
    </w:lvl>
  </w:abstractNum>
  <w:abstractNum w:abstractNumId="6">
    <w:nsid w:val="47398C89"/>
    <w:multiLevelType w:val="hybridMultilevel"/>
    <w:lvl w:ilvl="0">
      <w:lvlJc w:val="left"/>
      <w:lvlText w:val="%1"/>
      <w:numFmt w:val="lowerRoman"/>
      <w:start w:val="2"/>
    </w:lvl>
  </w:abstractNum>
  <w:abstractNum w:abstractNumId="7">
    <w:nsid w:val="354FE9F9"/>
    <w:multiLevelType w:val="hybridMultilevel"/>
    <w:lvl w:ilvl="0">
      <w:lvlJc w:val="left"/>
      <w:lvlText w:val="%1."/>
      <w:numFmt w:val="decimal"/>
      <w:start w:val="1"/>
    </w:lvl>
  </w:abstractNum>
  <w:abstractNum w:abstractNumId="8">
    <w:nsid w:val="15B5AF5C"/>
    <w:multiLevelType w:val="hybridMultilevel"/>
    <w:lvl w:ilvl="0">
      <w:lvlJc w:val="left"/>
      <w:lvlText w:val="%1."/>
      <w:numFmt w:val="decimal"/>
      <w:start w:val="5"/>
    </w:lvl>
  </w:abstractNum>
  <w:abstractNum w:abstractNumId="9">
    <w:nsid w:val="741226BB"/>
    <w:multiLevelType w:val="hybridMultilevel"/>
    <w:lvl w:ilvl="0">
      <w:lvlJc w:val="left"/>
      <w:lvlText w:val="%1."/>
      <w:numFmt w:val="decimal"/>
      <w:start w:val="1"/>
    </w:lvl>
  </w:abstractNum>
  <w:abstractNum w:abstractNumId="10">
    <w:nsid w:val="D34B6A8"/>
    <w:multiLevelType w:val="hybridMultilevel"/>
    <w:lvl w:ilvl="0">
      <w:lvlJc w:val="left"/>
      <w:lvlText w:val="%1."/>
      <w:numFmt w:val="decimal"/>
      <w:start w:val="3"/>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2"/>
      <w:numFmt w:val="bullet"/>
      <w:start w:val="1"/>
    </w:lvl>
  </w:abstractNum>
  <w:abstractNum w:abstractNumId="14">
    <w:nsid w:val="7E0C57B1"/>
    <w:multiLevelType w:val="hybridMultilevel"/>
    <w:lvl w:ilvl="0">
      <w:lvlJc w:val="left"/>
      <w:lvlText w:val="4"/>
      <w:numFmt w:val="bullet"/>
      <w:start w:val="1"/>
    </w:lvl>
  </w:abstractNum>
  <w:abstractNum w:abstractNumId="15">
    <w:nsid w:val="77AE35EB"/>
    <w:multiLevelType w:val="hybridMultilevel"/>
    <w:lvl w:ilvl="0">
      <w:lvlJc w:val="left"/>
      <w:lvlText w:val="6"/>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8"/>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1"/>
      <w:numFmt w:val="decimal"/>
      <w:start w:val="10"/>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1"/>
      <w:numFmt w:val="decimal"/>
      <w:start w:val="12"/>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1"/>
      <w:numFmt w:val="decimal"/>
      <w:start w:val="14"/>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1"/>
      <w:numFmt w:val="decimal"/>
      <w:start w:val="16"/>
    </w:lvl>
  </w:abstractNum>
  <w:abstractNum w:abstractNumId="37">
    <w:nsid w:val="5DC79EA8"/>
    <w:multiLevelType w:val="hybridMultilevel"/>
    <w:lvl w:ilvl="0">
      <w:lvlJc w:val="left"/>
      <w:lvlText w:val="%1"/>
      <w:numFmt w:val="decimal"/>
      <w:start w:val="18"/>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1"/>
      <w:numFmt w:val="decimal"/>
      <w:start w:val="20"/>
    </w:lvl>
  </w:abstractNum>
  <w:abstractNum w:abstractNumId="40">
    <w:nsid w:val="51D9C564"/>
    <w:multiLevelType w:val="hybridMultilevel"/>
    <w:lvl w:ilvl="0">
      <w:lvlJc w:val="left"/>
      <w:lvlText w:val="(%1)"/>
      <w:numFmt w:val="lowerRoman"/>
      <w:start w:val="1"/>
    </w:lvl>
  </w:abstractNum>
  <w:abstractNum w:abstractNumId="41">
    <w:nsid w:val="613EFDC5"/>
    <w:multiLevelType w:val="hybridMultilevel"/>
    <w:lvl w:ilvl="0">
      <w:lvlJc w:val="left"/>
      <w:lvlText w:val="(%1)"/>
      <w:numFmt w:val="lowerRoman"/>
      <w:start w:val="4"/>
    </w:lvl>
  </w:abstractNum>
  <w:abstractNum w:abstractNumId="42">
    <w:nsid w:val="BF72B14"/>
    <w:multiLevelType w:val="hybridMultilevel"/>
    <w:lvl w:ilvl="0">
      <w:lvlJc w:val="left"/>
      <w:lvlText w:val="%1"/>
      <w:numFmt w:val="decimal"/>
      <w:start w:val="22"/>
    </w:lvl>
  </w:abstractNum>
  <w:abstractNum w:abstractNumId="43">
    <w:nsid w:val="11447B73"/>
    <w:multiLevelType w:val="hybridMultilevel"/>
    <w:lvl w:ilvl="0">
      <w:lvlJc w:val="left"/>
      <w:lvlText w:val="(%1)"/>
      <w:numFmt w:val="decimal"/>
      <w:start w:val="1"/>
    </w:lvl>
  </w:abstractNum>
  <w:abstractNum w:abstractNumId="44">
    <w:nsid w:val="42963E5A"/>
    <w:multiLevelType w:val="hybridMultilevel"/>
    <w:lvl w:ilvl="0">
      <w:lvlJc w:val="left"/>
      <w:lvlText w:val="%1"/>
      <w:numFmt w:val="decimal"/>
      <w:start w:val="24"/>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1)"/>
      <w:numFmt w:val="decimal"/>
      <w:start w:val="1"/>
    </w:lvl>
  </w:abstractNum>
  <w:abstractNum w:abstractNumId="48">
    <w:nsid w:val="3B0FD379"/>
    <w:multiLevelType w:val="hybridMultilevel"/>
    <w:lvl w:ilvl="0">
      <w:lvlJc w:val="left"/>
      <w:lvlText w:val="(%1)"/>
      <w:numFmt w:val="decimal"/>
      <w:start w:val="6"/>
    </w:lvl>
  </w:abstractNum>
  <w:abstractNum w:abstractNumId="49">
    <w:nsid w:val="68EB2F63"/>
    <w:multiLevelType w:val="hybridMultilevel"/>
    <w:lvl w:ilvl="0">
      <w:lvlJc w:val="left"/>
      <w:lvlText w:val="%1"/>
      <w:numFmt w:val="decimal"/>
      <w:start w:val="26"/>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emdash "/>
      <w:numFmt w:val="bullet"/>
      <w:start w:val="1"/>
    </w:lvl>
  </w:abstractNum>
  <w:abstractNum w:abstractNumId="55">
    <w:nsid w:val="1A27709E"/>
    <w:multiLevelType w:val="hybridMultilevel"/>
    <w:lvl w:ilvl="0">
      <w:lvlJc w:val="left"/>
      <w:lvlText w:val="%1"/>
      <w:numFmt w:val="decimal"/>
      <w:start w:val="28"/>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1."/>
      <w:numFmt w:val="decimal"/>
      <w:start w:val="1"/>
    </w:lvl>
  </w:abstractNum>
  <w:abstractNum w:abstractNumId="59">
    <w:nsid w:val="6EB5BD4"/>
    <w:multiLevelType w:val="hybridMultilevel"/>
    <w:lvl w:ilvl="0">
      <w:lvlJc w:val="left"/>
      <w:lvlText w:val="%1."/>
      <w:numFmt w:val="decimal"/>
      <w:start w:val="3"/>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1"/>
      <w:numFmt w:val="decimal"/>
      <w:start w:val="30"/>
    </w:lvl>
  </w:abstractNum>
  <w:abstractNum w:abstractNumId="63">
    <w:nsid w:val="76272110"/>
    <w:multiLevelType w:val="hybridMultilevel"/>
    <w:lvl w:ilvl="0">
      <w:lvlJc w:val="left"/>
      <w:lvlText w:val="(%1)"/>
      <w:numFmt w:val="lowerRoman"/>
      <w:start w:val="2"/>
    </w:lvl>
  </w:abstractNum>
  <w:abstractNum w:abstractNumId="64">
    <w:nsid w:val="4C04A8AF"/>
    <w:multiLevelType w:val="hybridMultilevel"/>
    <w:lvl w:ilvl="0">
      <w:lvlJc w:val="left"/>
      <w:lvlText w:val="%1"/>
      <w:numFmt w:val="decimal"/>
      <w:start w:val="32"/>
    </w:lvl>
  </w:abstractNum>
  <w:abstractNum w:abstractNumId="65">
    <w:nsid w:val="1716703B"/>
    <w:multiLevelType w:val="hybridMultilevel"/>
    <w:lvl w:ilvl="0">
      <w:lvlJc w:val="left"/>
      <w:lvlText w:val="%1"/>
      <w:numFmt w:val="decimal"/>
      <w:start w:val="34"/>
    </w:lvl>
  </w:abstractNum>
  <w:abstractNum w:abstractNumId="66">
    <w:nsid w:val="14E17E33"/>
    <w:multiLevelType w:val="hybridMultilevel"/>
    <w:lvl w:ilvl="0">
      <w:lvlJc w:val="left"/>
      <w:lvlText w:val="(%1)"/>
      <w:numFmt w:val="decimal"/>
      <w:start w:val="1"/>
    </w:lvl>
  </w:abstractNum>
  <w:abstractNum w:abstractNumId="67">
    <w:nsid w:val="3222E7CD"/>
    <w:multiLevelType w:val="hybridMultilevel"/>
    <w:lvl w:ilvl="0">
      <w:lvlJc w:val="left"/>
      <w:lvlText w:val="\emdash "/>
      <w:numFmt w:val="bullet"/>
      <w:start w:val="1"/>
    </w:lvl>
  </w:abstractNum>
  <w:abstractNum w:abstractNumId="68">
    <w:nsid w:val="74DE0EE3"/>
    <w:multiLevelType w:val="hybridMultilevel"/>
    <w:lvl w:ilvl="0">
      <w:lvlJc w:val="left"/>
      <w:lvlText w:val="%1"/>
      <w:numFmt w:val="decimal"/>
      <w:start w:val="36"/>
    </w:lvl>
  </w:abstractNum>
  <w:abstractNum w:abstractNumId="69">
    <w:nsid w:val="68EBC550"/>
    <w:multiLevelType w:val="hybridMultilevel"/>
    <w:lvl w:ilvl="0">
      <w:lvlJc w:val="left"/>
      <w:lvlText w:val="%1"/>
      <w:numFmt w:val="decimal"/>
      <w:start w:val="38"/>
    </w:lvl>
  </w:abstractNum>
  <w:abstractNum w:abstractNumId="70">
    <w:nsid w:val="2DF6D648"/>
    <w:multiLevelType w:val="hybridMultilevel"/>
    <w:lvl w:ilvl="0">
      <w:lvlJc w:val="left"/>
      <w:lvlText w:val="%1"/>
      <w:numFmt w:val="decimal"/>
      <w:start w:val="40"/>
    </w:lvl>
  </w:abstractNum>
  <w:abstractNum w:abstractNumId="71">
    <w:nsid w:val="46B7D447"/>
    <w:multiLevelType w:val="hybridMultilevel"/>
    <w:lvl w:ilvl="0">
      <w:lvlJc w:val="left"/>
      <w:lvlText w:val="(%1)"/>
      <w:numFmt w:val="decimal"/>
      <w:start w:val="1"/>
    </w:lvl>
  </w:abstractNum>
  <w:abstractNum w:abstractNumId="72">
    <w:nsid w:val="4A2AC315"/>
    <w:multiLevelType w:val="hybridMultilevel"/>
    <w:lvl w:ilvl="0">
      <w:lvlJc w:val="left"/>
      <w:lvlText w:val="(%1)"/>
      <w:numFmt w:val="decimal"/>
      <w:start w:val="2"/>
    </w:lvl>
  </w:abstractNum>
  <w:abstractNum w:abstractNumId="73">
    <w:nsid w:val="39EE015C"/>
    <w:multiLevelType w:val="hybridMultilevel"/>
    <w:lvl w:ilvl="0">
      <w:lvlJc w:val="left"/>
      <w:lvlText w:val="(%1)"/>
      <w:numFmt w:val="decimal"/>
      <w:start w:val="4"/>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1"/>
      <w:numFmt w:val="decimal"/>
      <w:start w:val="42"/>
    </w:lvl>
  </w:abstractNum>
  <w:abstractNum w:abstractNumId="77">
    <w:nsid w:val="60EF0119"/>
    <w:multiLevelType w:val="hybridMultilevel"/>
    <w:lvl w:ilvl="0">
      <w:lvlJc w:val="left"/>
      <w:lvlText w:val="(%1)"/>
      <w:numFmt w:val="decimal"/>
      <w:start w:val="1"/>
    </w:lvl>
  </w:abstractNum>
  <w:abstractNum w:abstractNumId="78">
    <w:nsid w:val="26F324BA"/>
    <w:multiLevelType w:val="hybridMultilevel"/>
    <w:lvl w:ilvl="0">
      <w:lvlJc w:val="left"/>
      <w:lvlText w:val="%1"/>
      <w:numFmt w:val="decimal"/>
      <w:start w:val="44"/>
    </w:lvl>
  </w:abstractNum>
  <w:abstractNum w:abstractNumId="79">
    <w:nsid w:val="7F01579B"/>
    <w:multiLevelType w:val="hybridMultilevel"/>
    <w:lvl w:ilvl="0">
      <w:lvlJc w:val="left"/>
      <w:lvlText w:val="(%1)"/>
      <w:numFmt w:val="lowerRoman"/>
      <w:start w:val="2"/>
    </w:lvl>
  </w:abstractNum>
  <w:abstractNum w:abstractNumId="80">
    <w:nsid w:val="49DA307D"/>
    <w:multiLevelType w:val="hybridMultilevel"/>
    <w:lvl w:ilvl="0">
      <w:lvlJc w:val="left"/>
      <w:lvlText w:val="(%1)"/>
      <w:numFmt w:val="lowerRoman"/>
      <w:start w:val="1"/>
    </w:lvl>
  </w:abstractNum>
  <w:abstractNum w:abstractNumId="81">
    <w:nsid w:val="7055A5F5"/>
    <w:multiLevelType w:val="hybridMultilevel"/>
    <w:lvl w:ilvl="0">
      <w:lvlJc w:val="left"/>
      <w:lvlText w:val="(%1)"/>
      <w:numFmt w:val="decimal"/>
      <w:start w:val="1"/>
    </w:lvl>
  </w:abstractNum>
  <w:abstractNum w:abstractNumId="82">
    <w:nsid w:val="5FB8370B"/>
    <w:multiLevelType w:val="hybridMultilevel"/>
    <w:lvl w:ilvl="0">
      <w:lvlJc w:val="left"/>
      <w:lvlText w:val="(%1)"/>
      <w:numFmt w:val="decimal"/>
      <w:start w:val="2"/>
    </w:lvl>
  </w:abstractNum>
  <w:abstractNum w:abstractNumId="83">
    <w:nsid w:val="50801EE1"/>
    <w:multiLevelType w:val="hybridMultilevel"/>
    <w:lvl w:ilvl="0">
      <w:lvlJc w:val="left"/>
      <w:lvlText w:val="(%1)"/>
      <w:numFmt w:val="decimal"/>
      <w:start w:val="3"/>
    </w:lvl>
  </w:abstractNum>
  <w:abstractNum w:abstractNumId="84">
    <w:nsid w:val="488AC1A"/>
    <w:multiLevelType w:val="hybridMultilevel"/>
    <w:lvl w:ilvl="0">
      <w:lvlJc w:val="left"/>
      <w:lvlText w:val="(%1)"/>
      <w:numFmt w:val="decimal"/>
      <w:start w:val="1"/>
    </w:lvl>
  </w:abstractNum>
  <w:abstractNum w:abstractNumId="85">
    <w:nsid w:val="5FB8011C"/>
    <w:multiLevelType w:val="hybridMultilevel"/>
    <w:lvl w:ilvl="0">
      <w:lvlJc w:val="left"/>
      <w:lvlText w:val="%1"/>
      <w:numFmt w:val="decimal"/>
      <w:start w:val="46"/>
    </w:lvl>
  </w:abstractNum>
  <w:abstractNum w:abstractNumId="86">
    <w:nsid w:val="6AA78F7F"/>
    <w:multiLevelType w:val="hybridMultilevel"/>
    <w:lvl w:ilvl="0">
      <w:lvlJc w:val="left"/>
      <w:lvlText w:val="(%1)"/>
      <w:numFmt w:val="decimal"/>
      <w:start w:val="2"/>
    </w:lvl>
  </w:abstractNum>
  <w:abstractNum w:abstractNumId="87">
    <w:nsid w:val="7672BD23"/>
    <w:multiLevelType w:val="hybridMultilevel"/>
    <w:lvl w:ilvl="0">
      <w:lvlJc w:val="left"/>
      <w:lvlText w:val="(%1)"/>
      <w:numFmt w:val="decimal"/>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1"/>
      <w:numFmt w:val="decimal"/>
      <w:start w:val="48"/>
    </w:lvl>
  </w:abstractNum>
  <w:abstractNum w:abstractNumId="90">
    <w:nsid w:val="7D5E18F8"/>
    <w:multiLevelType w:val="hybridMultilevel"/>
    <w:lvl w:ilvl="0">
      <w:lvlJc w:val="left"/>
      <w:lvlText w:val="(%1)"/>
      <w:numFmt w:val="decimal"/>
      <w:start w:val="1"/>
    </w:lvl>
  </w:abstractNum>
  <w:abstractNum w:abstractNumId="91">
    <w:nsid w:val="5F3534A4"/>
    <w:multiLevelType w:val="hybridMultilevel"/>
    <w:lvl w:ilvl="0">
      <w:lvlJc w:val="left"/>
      <w:lvlText w:val="(%1)"/>
      <w:numFmt w:val="decimal"/>
      <w:start w:val="2"/>
    </w:lvl>
  </w:abstractNum>
  <w:abstractNum w:abstractNumId="92">
    <w:nsid w:val="73A1821B"/>
    <w:multiLevelType w:val="hybridMultilevel"/>
    <w:lvl w:ilvl="0">
      <w:lvlJc w:val="left"/>
      <w:lvlText w:val="%1"/>
      <w:numFmt w:val="decimal"/>
      <w:start w:val="50"/>
    </w:lvl>
  </w:abstractNum>
  <w:abstractNum w:abstractNumId="93">
    <w:nsid w:val="7DE67713"/>
    <w:multiLevelType w:val="hybridMultilevel"/>
    <w:lvl w:ilvl="0">
      <w:lvlJc w:val="left"/>
      <w:lvlText w:val="(%1)"/>
      <w:numFmt w:val="decimal"/>
      <w:start w:val="1"/>
    </w:lvl>
  </w:abstractNum>
  <w:abstractNum w:abstractNumId="94">
    <w:nsid w:val="555C55B5"/>
    <w:multiLevelType w:val="hybridMultilevel"/>
    <w:lvl w:ilvl="0">
      <w:lvlJc w:val="left"/>
      <w:lvlText w:val="(%1)"/>
      <w:numFmt w:val="decimal"/>
      <w:start w:val="3"/>
    </w:lvl>
  </w:abstractNum>
  <w:abstractNum w:abstractNumId="95">
    <w:nsid w:val="3FA62ACA"/>
    <w:multiLevelType w:val="hybridMultilevel"/>
    <w:lvl w:ilvl="0">
      <w:lvlJc w:val="left"/>
      <w:lvlText w:val="%1"/>
      <w:numFmt w:val="decimal"/>
      <w:start w:val="52"/>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1"/>
      <w:numFmt w:val="decimal"/>
      <w:start w:val="54"/>
    </w:lvl>
  </w:abstractNum>
  <w:abstractNum w:abstractNumId="101">
    <w:nsid w:val="1FBFE8E0"/>
    <w:multiLevelType w:val="hybridMultilevel"/>
    <w:lvl w:ilvl="0">
      <w:lvlJc w:val="left"/>
      <w:lvlText w:val="•"/>
      <w:numFmt w:val="bullet"/>
      <w:start w:val="1"/>
    </w:lvl>
  </w:abstractNum>
  <w:abstractNum w:abstractNumId="102">
    <w:nsid w:val="5092CA79"/>
    <w:multiLevelType w:val="hybridMultilevel"/>
    <w:lvl w:ilvl="0">
      <w:lvlJc w:val="left"/>
      <w:lvlText w:val="%1"/>
      <w:numFmt w:val="decimal"/>
      <w:start w:val="56"/>
    </w:lvl>
  </w:abstractNum>
  <w:abstractNum w:abstractNumId="103">
    <w:nsid w:val="1D545C4D"/>
    <w:multiLevelType w:val="hybridMultilevel"/>
    <w:lvl w:ilvl="0">
      <w:lvlJc w:val="left"/>
      <w:lvlText w:val="%1"/>
      <w:numFmt w:val="decimal"/>
      <w:start w:val="58"/>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decimal"/>
      <w:start w:val="60"/>
    </w:lvl>
  </w:abstractNum>
  <w:abstractNum w:abstractNumId="106">
    <w:nsid w:val="2A155DBC"/>
    <w:multiLevelType w:val="hybridMultilevel"/>
    <w:lvl w:ilvl="0">
      <w:lvlJc w:val="left"/>
      <w:lvlText w:val="%1"/>
      <w:numFmt w:val="decimal"/>
      <w:start w:val="62"/>
    </w:lvl>
  </w:abstractNum>
  <w:abstractNum w:abstractNumId="107">
    <w:nsid w:val="1D9F6E5F"/>
    <w:multiLevelType w:val="hybridMultilevel"/>
    <w:lvl w:ilvl="0">
      <w:lvlJc w:val="left"/>
      <w:lvlText w:val="%1"/>
      <w:numFmt w:val="decimal"/>
      <w:start w:val="64"/>
    </w:lvl>
  </w:abstractNum>
  <w:abstractNum w:abstractNumId="108">
    <w:nsid w:val="97E1B4E"/>
    <w:multiLevelType w:val="hybridMultilevel"/>
    <w:lvl w:ilvl="0">
      <w:lvlJc w:val="left"/>
      <w:lvlText w:val="%1"/>
      <w:numFmt w:val="decimal"/>
      <w:start w:val="66"/>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2019-12-05T16:39:29Z</dcterms:created>
  <dcterms:modified xsi:type="dcterms:W3CDTF">2019-12-05T16:39:29Z</dcterms:modified>
</cp:coreProperties>
</file>