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 </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FORM 8-K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Section 13 or 15(d) of the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October 13,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 </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LEAR CORPORATION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 </w:t>
      </w:r>
    </w:p>
    <w:tbl>
      <w:tblPr>
        <w:tblW w:w="9223" w:type="dxa"/>
        <w:jc w:val="center"/>
        <w:tblInd w:w="0" w:type="dxa"/>
        <w:tblLayout w:type="fixed"/>
        <w:tblCellMar>
          <w:top w:w="28" w:type="dxa"/>
          <w:left w:w="28" w:type="dxa"/>
          <w:bottom w:w="28" w:type="dxa"/>
          <w:right w:w="28" w:type="dxa"/>
        </w:tblCellMar>
      </w:tblPr>
      <w:tblGrid>
        <w:gridCol w:w="1328"/>
        <w:gridCol w:w="1167"/>
        <w:gridCol w:w="1179"/>
        <w:gridCol w:w="762"/>
        <w:gridCol w:w="762"/>
        <w:gridCol w:w="770"/>
        <w:gridCol w:w="950"/>
        <w:gridCol w:w="950"/>
        <w:gridCol w:w="1355"/>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1-11311</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13-3386776</w:t>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Number)</w:t>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21557 Telegraph Road, Southfield, MI 48033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0"/>
        </w:rPr>
        <w:t>(248</w:t>
      </w:r>
      <w:r>
        <w:rPr>
          <w:rFonts w:ascii="Times New Roman;serif" w:hAnsi="Times New Roman;serif"/>
          <w:b w:val="false"/>
          <w:color w:val="000000"/>
          <w:sz w:val="20"/>
        </w:rPr>
        <w:t>)</w:t>
      </w:r>
      <w:r>
        <w:rPr>
          <w:color w:val="000000"/>
        </w:rPr>
        <w:t xml:space="preserve"> </w:t>
      </w:r>
      <w:r>
        <w:rPr>
          <w:rFonts w:ascii="Times New Roman;serif" w:hAnsi="Times New Roman;serif"/>
          <w:b/>
          <w:color w:val="000000"/>
          <w:sz w:val="20"/>
        </w:rPr>
        <w:t xml:space="preserve">447-1500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both"/>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458" w:type="dxa"/>
        <w:jc w:val="center"/>
        <w:tblInd w:w="0" w:type="dxa"/>
        <w:tblLayout w:type="fixed"/>
        <w:tblCellMar>
          <w:top w:w="28" w:type="dxa"/>
          <w:left w:w="28" w:type="dxa"/>
          <w:bottom w:w="28" w:type="dxa"/>
          <w:right w:w="28" w:type="dxa"/>
        </w:tblCellMar>
      </w:tblPr>
      <w:tblGrid>
        <w:gridCol w:w="995"/>
        <w:gridCol w:w="870"/>
        <w:gridCol w:w="880"/>
        <w:gridCol w:w="564"/>
        <w:gridCol w:w="564"/>
        <w:gridCol w:w="566"/>
        <w:gridCol w:w="1174"/>
        <w:gridCol w:w="1174"/>
        <w:gridCol w:w="1671"/>
      </w:tblGrid>
      <w:tr>
        <w:trPr/>
        <w:tc>
          <w:tcPr>
            <w:tcW w:w="99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401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74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Common stock, par value $0.01 </w:t>
            </w:r>
          </w:p>
        </w:tc>
        <w:tc>
          <w:tcPr>
            <w:tcW w:w="16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LEA</w:t>
            </w:r>
          </w:p>
        </w:tc>
        <w:tc>
          <w:tcPr>
            <w:tcW w:w="401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120" w:after="283"/>
        <w:jc w:val="left"/>
        <w:rPr/>
      </w:pPr>
      <w:r>
        <w:rPr>
          <w:rFonts w:ascii="Times New Roman;serif" w:hAnsi="Times New Roman;serif"/>
          <w:b w:val="false"/>
          <w:color w:val="000000"/>
          <w:sz w:val="19"/>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Section 5 - Corporate Governance and Management</w:t>
      </w:r>
    </w:p>
    <w:p>
      <w:pPr>
        <w:pStyle w:val="TextBody"/>
        <w:bidi w:val="0"/>
        <w:spacing w:lineRule="auto" w:line="288" w:before="120" w:after="283"/>
        <w:jc w:val="both"/>
        <w:rPr>
          <w:rFonts w:ascii="Times New Roman;serif" w:hAnsi="Times New Roman;serif"/>
          <w:b/>
          <w:color w:val="000000"/>
          <w:sz w:val="22"/>
        </w:rPr>
      </w:pPr>
      <w:r>
        <w:rPr>
          <w:rFonts w:ascii="Times New Roman;serif" w:hAnsi="Times New Roman;serif"/>
          <w:b/>
          <w:color w:val="000000"/>
          <w:sz w:val="22"/>
        </w:rPr>
        <w:t>Item 5.02 Departure of Directors or Certain Officers; Election of Directors; Appointment of Certain Officers; Compensatory Arrangements of Certain Officers.</w:t>
      </w:r>
    </w:p>
    <w:p>
      <w:pPr>
        <w:pStyle w:val="TextBody"/>
        <w:bidi w:val="0"/>
        <w:spacing w:lineRule="auto" w:line="288" w:before="120" w:after="283"/>
        <w:jc w:val="both"/>
        <w:rPr>
          <w:rFonts w:ascii="Times New Roman;serif" w:hAnsi="Times New Roman;serif"/>
          <w:b w:val="false"/>
          <w:i/>
          <w:color w:val="000000"/>
          <w:sz w:val="22"/>
        </w:rPr>
      </w:pPr>
      <w:r>
        <w:rPr>
          <w:rFonts w:ascii="Times New Roman;serif" w:hAnsi="Times New Roman;serif"/>
          <w:b w:val="false"/>
          <w:i/>
          <w:color w:val="000000"/>
          <w:sz w:val="22"/>
        </w:rPr>
        <w:t>(b), (c) and (e)</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On October 13, 2026, Jason Cardew notified Lear Corporation (the “Company”) that he has determined to resign as Senior Vice President and Chief Financial Officer of the Company, effective February 28, 2027. Thereafter, Mr. Cardew will continue to serve as a non-executive employee of the Company, in a consulting and advisory role, until his retirement from the Company on December 31, 2027. Jared Fedele has been appointed to serve as Mr. Cardew’s replacement in the role of Senior Vice President and Chief Financial Officer of the Company, effective March 1, 2027. A copy of the press release announcing the transition is filed as Exhibit 99.1 to this Current Report on Form 8-K and is incorporated herein by reference.</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Mr. Fedele, age 45, currently serves as Vice President of Finance for the Company’s Global Seating and E-Systems businesses. Previously, he served as Vice President of Finance responsible for the Company’s worldwide financial planning and analysis from 2023 to 2025 and the Vice President of Finance and Chief Financial Officer for the Company’s Asia Pacific region from 2018 to 2023. Mr. Fedele joined the Company in July 2003. Since then, he has served in finance roles of increasing responsibility, including management roles in a Company manufacturing facility.</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There are no family relationships between Mr. Fedele and any of the directors or executive officers of the Company, nor are there transactions in which Mr. Fedele has an interest requiring disclosure under Item 404(a) of Regulation S-K. Except for the Fedele Agreement (as defined below), there are no arrangements or understandings between Mr. Fedele and the Company, its officers or directors, or, to the Company’s knowledge, any other person, pursuant to which Mr. Fedele was selected as an officer of the Company.</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In connection with Mr. Fedele’s appointment as Senior Vice President and Chief Financial Officer of the Company, on October 13, 2026, the Company entered into an Employment Agreement with Mr. Fedele, effective March 1, 2027 (the “Fedele Agreement”). </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Pursuant to the Fedele Agreement, Mr. Fedele will serve as the Company’s Senior Vice President and Chief Financial Officer. Mr. Fedele will receive an initial annual base salary of $750,000 and will be eligible to participate in the Company’s Annual Incentive Plan, as amended and restated and 2019 Long-Term Stock Incentive Plan, as amended and restated (the “LTSIP”). In the event that Mr. Fedele’s employment is terminated by the Company other than for “cause” or “incapacity” or due to Mr. Fedele’s death, or by Mr. Fedele for “good reason” (as such terms are defined in the Fedele Agreement), Mr. Fedele will become entitled to receive a severance package, subject to his execution and non-revocation of a release of claims in favor of the Company, comprised of two times the sum of Mr. Fedele’s annual base salary in effect on the date of such termination or on the effective date of his employment agreement, if higher and his target bonus in effect on the date of such termination or on the effective date of his employment agreement, if higher and 24 months of continued health coverage. In the event that Mr. Fedele’s employment is terminated by the Company for incapacity or for any reason other than cause, by Mr. Fedele for good reason or upon Mr. Fedele’s death, Mr. Fedele will become entitled to full vesting of time-based vesting LTSIP awards and pro-rata vesting of performance-based LTSIP awards (based on actual performance). In addition, the Fedele Agreement contains restrictive covenants relating to non-competition, confidential information, and non-solicitation of the Company’s employees and customers.</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In connection with the transition, the Company and Mr. Cardew entered into an Amended and Restated Employment Agreement (the “Cardew Agreement”), effective March 1, 2027. Under the Cardew Agreement, Mr. Cardew will serve as a non-executive employee of the Company in a consulting and advisory role, from the effective date thereof through Mr. Cardew’s retirement from the Company on December 31, 2027 (or his earlier termination in accordance with the Cardew Agreement) (the “Term”). During the Term, Mr. Cardew will assist with the leadership transition and provide other services as reasonably requested by Raymond E. Scott, President and Chief Executive Officer of the Company, and Mr. Fedele. In exchange for providing such services during the Term,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Mr. Cardew will receive a base salary of $22,000 per month, will continue to participate in the Company’s employee benefit plans, in accordance with their terms as in effect from time to time, and will be eligible to receive a cash performance bonus solely with respect to the period in the 2027 performance year during which he served as Senior Vice President and Chief Financial Officer of the Company (determined based on Mr. Cardew’s base salary in effect during such period). The Cardew Agreement otherwise contains terms substantially similar to those of Mr. Cardew’s employment agreement in effect prior to the amendment and restatement except that, in the event that Mr. Cardew’s employment terminates for any reason during the Term, Mr. Cardew will not be entitled to receive any cash severance benefits.</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The foregoing descriptions of the Fedele Agreement and the Cardew Agreement are summaries only and are qualified in their entirety by reference to the full text of the Fedele Agreement and the Cardew Agreement, which are attached hereto as Exhibit 10.1 and Exhibit 10.2, respectively, and incorporated by reference herein. </w:t>
      </w:r>
    </w:p>
    <w:p>
      <w:pPr>
        <w:pStyle w:val="TextBody"/>
        <w:bidi w:val="0"/>
        <w:spacing w:lineRule="auto" w:line="276" w:before="240" w:after="240"/>
        <w:jc w:val="both"/>
        <w:rPr>
          <w:rFonts w:ascii="Times New Roman;serif" w:hAnsi="Times New Roman;serif"/>
          <w:b/>
          <w:color w:val="000000"/>
          <w:sz w:val="22"/>
        </w:rPr>
      </w:pPr>
      <w:r>
        <w:rPr>
          <w:rFonts w:ascii="Times New Roman;serif" w:hAnsi="Times New Roman;serif"/>
          <w:b/>
          <w:color w:val="000000"/>
          <w:sz w:val="22"/>
        </w:rPr>
        <w:t>Section 9 - Financial Statements and Exhibits</w:t>
      </w:r>
    </w:p>
    <w:p>
      <w:pPr>
        <w:pStyle w:val="TextBody"/>
        <w:bidi w:val="0"/>
        <w:spacing w:lineRule="auto" w:line="288" w:before="0" w:after="120"/>
        <w:jc w:val="left"/>
        <w:rPr>
          <w:rFonts w:ascii="Times New Roman;serif" w:hAnsi="Times New Roman;serif"/>
          <w:b/>
          <w:color w:val="000000"/>
          <w:sz w:val="22"/>
        </w:rPr>
      </w:pPr>
      <w:r>
        <w:rPr>
          <w:rFonts w:ascii="Times New Roman;serif" w:hAnsi="Times New Roman;serif"/>
          <w:b/>
          <w:color w:val="000000"/>
          <w:sz w:val="22"/>
        </w:rPr>
        <w:t>Item 9.01 Financial Statements and Exhibits.</w:t>
      </w:r>
    </w:p>
    <w:p>
      <w:pPr>
        <w:pStyle w:val="TextBody"/>
        <w:bidi w:val="0"/>
        <w:spacing w:lineRule="auto" w:line="288" w:before="240" w:after="12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(d)    Exhibits</w:t>
      </w:r>
    </w:p>
    <w:tbl>
      <w:tblPr>
        <w:tblW w:w="10205" w:type="dxa"/>
        <w:jc w:val="center"/>
        <w:tblInd w:w="0" w:type="dxa"/>
        <w:tblLayout w:type="fixed"/>
        <w:tblCellMar>
          <w:top w:w="28" w:type="dxa"/>
          <w:left w:w="28" w:type="dxa"/>
          <w:bottom w:w="28" w:type="dxa"/>
          <w:right w:w="28" w:type="dxa"/>
        </w:tblCellMar>
      </w:tblPr>
      <w:tblGrid>
        <w:gridCol w:w="332"/>
        <w:gridCol w:w="291"/>
        <w:gridCol w:w="293"/>
        <w:gridCol w:w="2728"/>
        <w:gridCol w:w="2709"/>
        <w:gridCol w:w="385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728" w:type="dxa"/>
            <w:tcBorders/>
            <w:vAlign w:val="center"/>
          </w:tcPr>
          <w:p>
            <w:pPr>
              <w:pStyle w:val="TableContents"/>
              <w:bidi w:val="0"/>
              <w:spacing w:before="0" w:after="283"/>
              <w:jc w:val="left"/>
              <w:rPr>
                <w:sz w:val="4"/>
                <w:szCs w:val="4"/>
              </w:rPr>
            </w:pPr>
            <w:r>
              <w:rPr>
                <w:sz w:val="4"/>
                <w:szCs w:val="4"/>
              </w:rPr>
            </w:r>
          </w:p>
        </w:tc>
        <w:tc>
          <w:tcPr>
            <w:tcW w:w="2709" w:type="dxa"/>
            <w:tcBorders/>
            <w:vAlign w:val="center"/>
          </w:tcPr>
          <w:p>
            <w:pPr>
              <w:pStyle w:val="TableContents"/>
              <w:bidi w:val="0"/>
              <w:spacing w:before="0" w:after="283"/>
              <w:jc w:val="left"/>
              <w:rPr>
                <w:sz w:val="4"/>
                <w:szCs w:val="4"/>
              </w:rPr>
            </w:pPr>
            <w:r>
              <w:rPr>
                <w:sz w:val="4"/>
                <w:szCs w:val="4"/>
              </w:rPr>
            </w:r>
          </w:p>
        </w:tc>
        <w:tc>
          <w:tcPr>
            <w:tcW w:w="3852"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Exhibit</w:t>
              <w:br/>
              <w:t>Number</w:t>
            </w:r>
          </w:p>
        </w:tc>
        <w:tc>
          <w:tcPr>
            <w:tcW w:w="9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Exhibit Description</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10.1</w:t>
            </w:r>
          </w:p>
        </w:tc>
        <w:tc>
          <w:tcPr>
            <w:tcW w:w="928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lear-2026oct13_8xkxex101.htm">
              <w:r>
                <w:rPr>
                  <w:rStyle w:val="InternetLink"/>
                  <w:rFonts w:ascii="Times New Roman;serif" w:hAnsi="Times New Roman;serif"/>
                  <w:b w:val="false"/>
                  <w:color w:val="0000FF"/>
                  <w:sz w:val="22"/>
                  <w:u w:val="single"/>
                </w:rPr>
                <w:t>Employment Agreement, effective March 1, 2027, by and between Mr. Fedele and Lear Corporation.</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10.2</w:t>
            </w:r>
          </w:p>
        </w:tc>
        <w:tc>
          <w:tcPr>
            <w:tcW w:w="928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lear-2026oct13_8xkxex102.htm">
              <w:r>
                <w:rPr>
                  <w:rStyle w:val="InternetLink"/>
                  <w:rFonts w:ascii="Times New Roman;serif" w:hAnsi="Times New Roman;serif"/>
                  <w:b w:val="false"/>
                  <w:color w:val="0000FF"/>
                  <w:sz w:val="22"/>
                  <w:u w:val="single"/>
                </w:rPr>
                <w:t>Amended and Restated Employment Agreement, effective March 1, 2027, by and between Mr. Cardew and Lear Corporation.</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99.1</w:t>
            </w:r>
          </w:p>
        </w:tc>
        <w:tc>
          <w:tcPr>
            <w:tcW w:w="928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lear-2026oct13_8xkxex991.htm">
              <w:r>
                <w:rPr>
                  <w:rStyle w:val="InternetLink"/>
                  <w:rFonts w:ascii="Times New Roman;serif" w:hAnsi="Times New Roman;serif"/>
                  <w:b w:val="false"/>
                  <w:color w:val="0000FF"/>
                  <w:sz w:val="22"/>
                  <w:u w:val="single"/>
                </w:rPr>
                <w:t>Press Release, dated October 19, 2026.</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104</w:t>
            </w:r>
          </w:p>
        </w:tc>
        <w:tc>
          <w:tcPr>
            <w:tcW w:w="928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Cover Page Interactive Data File (embedded within the Inline XBRL document).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SIGNATURES </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Pursuant to the requirements of the Securities Exchange Act of 1934, the registrant has duly caused this Report to be signed on its behalf by the undersigned thereunto duly authorized. </w:t>
      </w:r>
    </w:p>
    <w:p>
      <w:pPr>
        <w:pStyle w:val="TextBody"/>
        <w:bidi w:val="0"/>
        <w:spacing w:lineRule="auto" w:line="288" w:before="0" w:after="0"/>
        <w:jc w:val="left"/>
        <w:rPr>
          <w:color w:val="000000"/>
        </w:rPr>
      </w:pPr>
      <w:r>
        <w:rPr>
          <w:color w:val="000000"/>
        </w:rPr>
        <w:t> </w:t>
      </w:r>
    </w:p>
    <w:tbl>
      <w:tblPr>
        <w:tblW w:w="7288" w:type="dxa"/>
        <w:jc w:val="center"/>
        <w:tblInd w:w="0" w:type="dxa"/>
        <w:tblLayout w:type="fixed"/>
        <w:tblCellMar>
          <w:top w:w="28" w:type="dxa"/>
          <w:left w:w="28" w:type="dxa"/>
          <w:bottom w:w="28" w:type="dxa"/>
          <w:right w:w="28" w:type="dxa"/>
        </w:tblCellMar>
      </w:tblPr>
      <w:tblGrid>
        <w:gridCol w:w="640"/>
        <w:gridCol w:w="563"/>
        <w:gridCol w:w="567"/>
        <w:gridCol w:w="109"/>
        <w:gridCol w:w="109"/>
        <w:gridCol w:w="109"/>
        <w:gridCol w:w="109"/>
        <w:gridCol w:w="109"/>
        <w:gridCol w:w="109"/>
        <w:gridCol w:w="109"/>
        <w:gridCol w:w="109"/>
        <w:gridCol w:w="109"/>
        <w:gridCol w:w="239"/>
        <w:gridCol w:w="239"/>
        <w:gridCol w:w="241"/>
        <w:gridCol w:w="203"/>
        <w:gridCol w:w="203"/>
        <w:gridCol w:w="203"/>
        <w:gridCol w:w="928"/>
        <w:gridCol w:w="928"/>
        <w:gridCol w:w="1353"/>
      </w:tblGrid>
      <w:tr>
        <w:trPr/>
        <w:tc>
          <w:tcPr>
            <w:tcW w:w="6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Lear Corporation</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October 19,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Raymond E. Scott</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Raymond E. Scott</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10.1</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EMPLOYMENT AGREEMENT</w:t>
      </w:r>
    </w:p>
    <w:p>
      <w:pPr>
        <w:pStyle w:val="TextBody"/>
        <w:bidi w:val="0"/>
        <w:spacing w:lineRule="auto" w:line="288" w:before="0" w:after="240"/>
        <w:jc w:val="both"/>
        <w:rPr/>
      </w:pPr>
      <w:r>
        <w:rPr>
          <w:color w:val="000000"/>
        </w:rPr>
        <w:t>    </w:t>
      </w:r>
      <w:r>
        <w:rPr>
          <w:rFonts w:ascii="Times New Roman;serif" w:hAnsi="Times New Roman;serif"/>
          <w:b w:val="false"/>
          <w:color w:val="000000"/>
          <w:sz w:val="24"/>
        </w:rPr>
        <w:t>THIS EMPLOYMENT AGREEMENT (“</w:t>
      </w:r>
      <w:r>
        <w:rPr>
          <w:rFonts w:ascii="Times New Roman;serif" w:hAnsi="Times New Roman;serif"/>
          <w:b/>
          <w:color w:val="000000"/>
          <w:sz w:val="24"/>
        </w:rPr>
        <w:t>Agreement</w:t>
      </w:r>
      <w:r>
        <w:rPr>
          <w:color w:val="000000"/>
        </w:rPr>
        <w:t>”</w:t>
      </w:r>
      <w:r>
        <w:rPr>
          <w:rFonts w:ascii="Times New Roman;serif" w:hAnsi="Times New Roman;serif"/>
          <w:b w:val="false"/>
          <w:color w:val="000000"/>
          <w:sz w:val="24"/>
        </w:rPr>
        <w:t>) is dated as of October 13, 2026, between Lear Corporation, a Delaware corporation (“</w:t>
      </w:r>
      <w:r>
        <w:rPr>
          <w:rFonts w:ascii="Times New Roman;serif" w:hAnsi="Times New Roman;serif"/>
          <w:b/>
          <w:color w:val="000000"/>
          <w:sz w:val="24"/>
        </w:rPr>
        <w:t>Company</w:t>
      </w:r>
      <w:r>
        <w:rPr>
          <w:color w:val="000000"/>
        </w:rPr>
        <w:t>”</w:t>
      </w:r>
      <w:r>
        <w:rPr>
          <w:rFonts w:ascii="Times New Roman;serif" w:hAnsi="Times New Roman;serif"/>
          <w:b w:val="false"/>
          <w:color w:val="000000"/>
          <w:sz w:val="24"/>
        </w:rPr>
        <w:t>) and Jared Fedele (“</w:t>
      </w:r>
      <w:r>
        <w:rPr>
          <w:rFonts w:ascii="Times New Roman;serif" w:hAnsi="Times New Roman;serif"/>
          <w:b/>
          <w:color w:val="000000"/>
          <w:sz w:val="24"/>
        </w:rPr>
        <w:t>Executive</w:t>
      </w:r>
      <w:r>
        <w:rPr>
          <w:color w:val="000000"/>
        </w:rPr>
        <w:t>”</w:t>
      </w:r>
      <w:r>
        <w:rPr>
          <w:rFonts w:ascii="Times New Roman;serif" w:hAnsi="Times New Roman;serif"/>
          <w:b w:val="false"/>
          <w:color w:val="000000"/>
          <w:sz w:val="24"/>
        </w:rPr>
        <w:t>).</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Background</w:t>
      </w:r>
    </w:p>
    <w:p>
      <w:pPr>
        <w:pStyle w:val="TextBody"/>
        <w:bidi w:val="0"/>
        <w:spacing w:lineRule="auto" w:line="288" w:before="0" w:after="240"/>
        <w:ind w:left="0" w:right="0" w:firstLine="720"/>
        <w:jc w:val="both"/>
        <w:rPr/>
      </w:pPr>
      <w:r>
        <w:rPr>
          <w:rFonts w:ascii="Times New Roman;serif" w:hAnsi="Times New Roman;serif"/>
          <w:b w:val="false"/>
          <w:color w:val="000000"/>
          <w:sz w:val="24"/>
        </w:rPr>
        <w:t>Executive has been appointed to the position of Senior Vice President and Chief Financial Officer, effective March 1, 2027 (“</w:t>
      </w:r>
      <w:r>
        <w:rPr>
          <w:rFonts w:ascii="Times New Roman;serif" w:hAnsi="Times New Roman;serif"/>
          <w:b/>
          <w:color w:val="000000"/>
          <w:sz w:val="24"/>
        </w:rPr>
        <w:t>Effective Date</w:t>
      </w:r>
      <w:r>
        <w:rPr>
          <w:color w:val="000000"/>
        </w:rPr>
        <w:t>”</w:t>
      </w:r>
      <w:r>
        <w:rPr>
          <w:rFonts w:ascii="Times New Roman;serif" w:hAnsi="Times New Roman;serif"/>
          <w:b w:val="false"/>
          <w:color w:val="000000"/>
          <w:sz w:val="24"/>
        </w:rPr>
        <w:t>);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desires to have the benefit of Executive’s service and the restrictive covenants contained in this Agreement.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Accordingly, the parties are entering into this Agreement to set forth the terms of Executive’s continuous employment with the Company.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parties agree as follows:</w:t>
      </w:r>
    </w:p>
    <w:p>
      <w:pPr>
        <w:pStyle w:val="TextBody"/>
        <w:bidi w:val="0"/>
        <w:spacing w:lineRule="auto" w:line="288" w:before="0" w:after="240"/>
        <w:jc w:val="both"/>
        <w:rPr/>
      </w:pPr>
      <w:r>
        <w:rPr>
          <w:rFonts w:ascii="Times New Roman;serif" w:hAnsi="Times New Roman;serif"/>
          <w:b w:val="false"/>
          <w:color w:val="000000"/>
          <w:sz w:val="24"/>
        </w:rPr>
        <w:t>1.    </w:t>
      </w:r>
      <w:r>
        <w:rPr>
          <w:rFonts w:ascii="Times New Roman;serif" w:hAnsi="Times New Roman;serif"/>
          <w:b/>
          <w:color w:val="000000"/>
          <w:sz w:val="24"/>
        </w:rPr>
        <w:t>Term of Agreement.</w:t>
      </w:r>
      <w:r>
        <w:rPr>
          <w:color w:val="000000"/>
        </w:rPr>
        <w:t xml:space="preserve"> </w:t>
      </w:r>
      <w:r>
        <w:rPr>
          <w:rFonts w:ascii="Times New Roman;serif" w:hAnsi="Times New Roman;serif"/>
          <w:b w:val="false"/>
          <w:color w:val="000000"/>
          <w:sz w:val="24"/>
        </w:rPr>
        <w:t>Subject to Executive’s continued employment with the Company as of the Effective Date, this Agreement will commence on and as of the Effective Date and continue until Executive’s employment has terminated and the obligations of the parties under this Agreement have terminated or expired or have been satisfied in accordance with their terms, or if earlier, upon the execution of a new employment agreement by the parties (“</w:t>
      </w:r>
      <w:r>
        <w:rPr>
          <w:rFonts w:ascii="Times New Roman;serif" w:hAnsi="Times New Roman;serif"/>
          <w:b/>
          <w:color w:val="000000"/>
          <w:sz w:val="24"/>
        </w:rPr>
        <w:t>Term</w:t>
      </w:r>
      <w:r>
        <w:rPr>
          <w:color w:val="000000"/>
        </w:rPr>
        <w:t>”</w:t>
      </w:r>
      <w:r>
        <w:rPr>
          <w:rFonts w:ascii="Times New Roman;serif" w:hAnsi="Times New Roman;serif"/>
          <w:b w:val="false"/>
          <w:color w:val="000000"/>
          <w:sz w:val="24"/>
        </w:rPr>
        <w:t xml:space="preserve">). </w:t>
      </w:r>
    </w:p>
    <w:p>
      <w:pPr>
        <w:pStyle w:val="TextBody"/>
        <w:bidi w:val="0"/>
        <w:spacing w:lineRule="auto" w:line="288" w:before="0" w:after="240"/>
        <w:jc w:val="both"/>
        <w:rPr/>
      </w:pPr>
      <w:r>
        <w:rPr>
          <w:rFonts w:ascii="Times New Roman;serif" w:hAnsi="Times New Roman;serif"/>
          <w:b w:val="false"/>
          <w:color w:val="000000"/>
          <w:sz w:val="24"/>
        </w:rPr>
        <w:t>2.    </w:t>
      </w:r>
      <w:r>
        <w:rPr>
          <w:rFonts w:ascii="Times New Roman;serif" w:hAnsi="Times New Roman;serif"/>
          <w:b/>
          <w:color w:val="000000"/>
          <w:sz w:val="24"/>
        </w:rPr>
        <w:t>Terms of Employment.</w:t>
      </w:r>
      <w:r>
        <w:rPr>
          <w:color w:val="000000"/>
        </w:rPr>
        <w:t xml:space="preserve"> </w:t>
      </w:r>
      <w:r>
        <w:rPr>
          <w:rFonts w:ascii="Times New Roman;serif" w:hAnsi="Times New Roman;serif"/>
          <w:b w:val="false"/>
          <w:color w:val="000000"/>
          <w:sz w:val="24"/>
        </w:rPr>
        <w:t>During the Term, Executive agrees to be a full-time employee of the Company serving in the position of Senior Vice President and Chief Financial Officer of the Company. Executive agrees to devote substantially all of Executive’s working time and attention to the business and affairs of the Company, to discharge the responsibilities associated with Executive’s position with the Company, and to use Executive’s best efforts to perform faithfully and efficiently such responsibilities. This Agreement does not prohibit Executive from devoting Executive’s time to civic and community activities, serving as a member of the board of directors of other corporations that do not compete with the Company, or managing personal investments, as long as these activities do not interfere with the performance of Executive’s duties under this Agreement or violate the terms of the Company’s Code of Business Conduct &amp; Ethics, the Company’s Corporate Governance Guidelines, or other policies applicable to the Company’s executives generally, as those policies may be amended from time to time by the Company.</w:t>
      </w:r>
    </w:p>
    <w:p>
      <w:pPr>
        <w:pStyle w:val="TextBody"/>
        <w:bidi w:val="0"/>
        <w:spacing w:lineRule="auto" w:line="288" w:before="0" w:after="240"/>
        <w:jc w:val="both"/>
        <w:rPr/>
      </w:pPr>
      <w:r>
        <w:rPr>
          <w:rFonts w:ascii="Times New Roman;serif" w:hAnsi="Times New Roman;serif"/>
          <w:b w:val="false"/>
          <w:color w:val="000000"/>
          <w:sz w:val="24"/>
        </w:rPr>
        <w:t>3.    </w:t>
      </w:r>
      <w:r>
        <w:rPr>
          <w:rFonts w:ascii="Times New Roman;serif" w:hAnsi="Times New Roman;serif"/>
          <w:b/>
          <w:color w:val="000000"/>
          <w:sz w:val="24"/>
        </w:rPr>
        <w:t>Compensation.</w:t>
      </w:r>
    </w:p>
    <w:p>
      <w:pPr>
        <w:pStyle w:val="TextBody"/>
        <w:bidi w:val="0"/>
        <w:spacing w:lineRule="auto" w:line="288" w:before="0" w:after="240"/>
        <w:jc w:val="both"/>
        <w:rPr/>
      </w:pPr>
      <w:r>
        <w:rPr>
          <w:rFonts w:ascii="Times New Roman;serif" w:hAnsi="Times New Roman;serif"/>
          <w:b w:val="false"/>
          <w:color w:val="000000"/>
          <w:sz w:val="24"/>
        </w:rPr>
        <w:t>(a)    As compensation for Executive’s services under this Agreement, Company shall pay Executive during the Term an initial base salary the annualized amount of which will be $750,000, to be paid in accordance with existing payroll practices for executives of the Company. Increases in Executive’s base salary, if any, will be as approved by the People and Compensation Committee (“</w:t>
      </w:r>
      <w:r>
        <w:rPr>
          <w:rFonts w:ascii="Times New Roman;serif" w:hAnsi="Times New Roman;serif"/>
          <w:b/>
          <w:color w:val="000000"/>
          <w:sz w:val="24"/>
        </w:rPr>
        <w:t>Committee</w:t>
      </w:r>
      <w:r>
        <w:rPr>
          <w:color w:val="000000"/>
        </w:rPr>
        <w:t>”</w:t>
      </w:r>
      <w:r>
        <w:rPr>
          <w:rFonts w:ascii="Times New Roman;serif" w:hAnsi="Times New Roman;serif"/>
          <w:b w:val="false"/>
          <w:color w:val="000000"/>
          <w:sz w:val="24"/>
        </w:rPr>
        <w:t>) of the Board of Directors of the Company (“</w:t>
      </w:r>
      <w:r>
        <w:rPr>
          <w:rFonts w:ascii="Times New Roman;serif" w:hAnsi="Times New Roman;serif"/>
          <w:b/>
          <w:color w:val="000000"/>
          <w:sz w:val="24"/>
        </w:rPr>
        <w:t>Board</w:t>
      </w:r>
      <w:r>
        <w:rPr>
          <w:color w:val="000000"/>
        </w:rPr>
        <w:t>”</w:t>
      </w:r>
      <w:r>
        <w:rPr>
          <w:rFonts w:ascii="Times New Roman;serif" w:hAnsi="Times New Roman;serif"/>
          <w:b w:val="false"/>
          <w:color w:val="000000"/>
          <w:sz w:val="24"/>
        </w:rPr>
        <w:t>). In addition, Executive will be eligible to receive an annual incentive compensation bonus (“</w:t>
      </w:r>
      <w:r>
        <w:rPr>
          <w:rFonts w:ascii="Times New Roman;serif" w:hAnsi="Times New Roman;serif"/>
          <w:b/>
          <w:color w:val="000000"/>
          <w:sz w:val="24"/>
        </w:rPr>
        <w:t>Bonus</w:t>
      </w:r>
      <w:r>
        <w:rPr>
          <w:color w:val="000000"/>
        </w:rPr>
        <w:t>”</w:t>
      </w:r>
      <w:r>
        <w:rPr>
          <w:rFonts w:ascii="Times New Roman;serif" w:hAnsi="Times New Roman;serif"/>
          <w:b w:val="false"/>
          <w:color w:val="000000"/>
          <w:sz w:val="24"/>
        </w:rPr>
        <w:t>) under the Company’s Annual Incentive Plan (as Amended and Restated as of January 1, 2024) or any successor plan, to be approved from time to time by the Committee.</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(b)    During the Term, Executive will be eligible to receive awards under the Company’s 2019 Long-Term Stock Incentive Plan (as Amended and Restated as of May 14, 2026) or any successor plan (“</w:t>
      </w:r>
      <w:r>
        <w:rPr>
          <w:rFonts w:ascii="Times New Roman;serif" w:hAnsi="Times New Roman;serif"/>
          <w:b/>
          <w:color w:val="000000"/>
          <w:sz w:val="24"/>
        </w:rPr>
        <w:t>LTSIP</w:t>
      </w:r>
      <w:r>
        <w:rPr>
          <w:color w:val="000000"/>
        </w:rPr>
        <w:t>”</w:t>
      </w:r>
      <w:r>
        <w:rPr>
          <w:rFonts w:ascii="Times New Roman;serif" w:hAnsi="Times New Roman;serif"/>
          <w:b w:val="false"/>
          <w:color w:val="000000"/>
          <w:sz w:val="24"/>
        </w:rPr>
        <w:t>), each to be approved from time to time by the Committee.</w:t>
      </w:r>
    </w:p>
    <w:p>
      <w:pPr>
        <w:pStyle w:val="TextBody"/>
        <w:bidi w:val="0"/>
        <w:spacing w:lineRule="auto" w:line="288" w:before="0" w:after="240"/>
        <w:jc w:val="both"/>
        <w:rPr/>
      </w:pPr>
      <w:r>
        <w:rPr>
          <w:rFonts w:ascii="Times New Roman;serif" w:hAnsi="Times New Roman;serif"/>
          <w:b w:val="false"/>
          <w:color w:val="000000"/>
          <w:sz w:val="24"/>
        </w:rPr>
        <w:t>(c)    During the Term, Executive will be eligible for participation in the welfare, retirement, and other benefit plans, practices, policies and programs (collectively, “</w:t>
      </w:r>
      <w:r>
        <w:rPr>
          <w:rFonts w:ascii="Times New Roman;serif" w:hAnsi="Times New Roman;serif"/>
          <w:b/>
          <w:color w:val="000000"/>
          <w:sz w:val="24"/>
        </w:rPr>
        <w:t>Employee Benefit Plans</w:t>
      </w:r>
      <w:r>
        <w:rPr>
          <w:color w:val="000000"/>
        </w:rPr>
        <w:t>”</w:t>
      </w:r>
      <w:r>
        <w:rPr>
          <w:rFonts w:ascii="Times New Roman;serif" w:hAnsi="Times New Roman;serif"/>
          <w:b w:val="false"/>
          <w:color w:val="000000"/>
          <w:sz w:val="24"/>
        </w:rPr>
        <w:t xml:space="preserve">), as may be in effect from time to time, for senior executives of the Company generally. The Company reserves the right to amend or terminate any Employee Benefit Plans at any time in its sole discretion, subject to the terms of such Employee Benefit Plan and applicable law.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(d)    During the Term, Executive will be eligible for prompt reimbursement for all reasonable and necessary out-of-pocket business expenses incurred by Executive in accordance with the Company’s policies, as may be in effect from time to time, for its senior executives generally.</w:t>
      </w:r>
    </w:p>
    <w:p>
      <w:pPr>
        <w:pStyle w:val="TextBody"/>
        <w:bidi w:val="0"/>
        <w:spacing w:lineRule="auto" w:line="288" w:before="0" w:after="0"/>
        <w:jc w:val="both"/>
        <w:rPr/>
      </w:pPr>
      <w:r>
        <w:rPr>
          <w:rFonts w:ascii="Times New Roman;serif" w:hAnsi="Times New Roman;serif"/>
          <w:b w:val="false"/>
          <w:color w:val="000000"/>
          <w:sz w:val="24"/>
        </w:rPr>
        <w:t>4.    </w:t>
      </w:r>
      <w:r>
        <w:rPr>
          <w:rFonts w:ascii="Times New Roman;serif" w:hAnsi="Times New Roman;serif"/>
          <w:b/>
          <w:color w:val="000000"/>
          <w:sz w:val="24"/>
        </w:rPr>
        <w:t>Termination of Employment.</w:t>
      </w:r>
    </w:p>
    <w:p>
      <w:pPr>
        <w:pStyle w:val="TextBody"/>
        <w:bidi w:val="0"/>
        <w:spacing w:before="0" w:after="0"/>
        <w:jc w:val="both"/>
        <w:rPr/>
      </w:pPr>
      <w:r>
        <w:rPr/>
      </w:r>
    </w:p>
    <w:p>
      <w:pPr>
        <w:pStyle w:val="TextBody"/>
        <w:bidi w:val="0"/>
        <w:spacing w:lineRule="auto" w:line="288" w:before="0" w:after="240"/>
        <w:jc w:val="both"/>
        <w:rPr/>
      </w:pPr>
      <w:r>
        <w:rPr>
          <w:rFonts w:ascii="Times New Roman;serif" w:hAnsi="Times New Roman;serif"/>
          <w:b w:val="false"/>
          <w:color w:val="000000"/>
          <w:sz w:val="24"/>
        </w:rPr>
        <w:t>(a)    </w:t>
      </w:r>
      <w:r>
        <w:rPr>
          <w:rFonts w:ascii="Times New Roman;serif" w:hAnsi="Times New Roman;serif"/>
          <w:b/>
          <w:color w:val="000000"/>
          <w:sz w:val="24"/>
        </w:rPr>
        <w:t xml:space="preserve">Notice. </w:t>
      </w:r>
      <w:r>
        <w:rPr>
          <w:rFonts w:ascii="Times New Roman;serif" w:hAnsi="Times New Roman;serif"/>
          <w:b w:val="false"/>
          <w:color w:val="000000"/>
          <w:sz w:val="24"/>
        </w:rPr>
        <w:t>The employment relationship may be terminated by the Company with or without Cause or for Incapacity, or by Executive with or without Good Reason, all as defined below, by giving a Notice of Termination. For purposes of this Agreement, a “</w:t>
      </w:r>
      <w:r>
        <w:rPr>
          <w:rFonts w:ascii="Times New Roman;serif" w:hAnsi="Times New Roman;serif"/>
          <w:b/>
          <w:color w:val="000000"/>
          <w:sz w:val="24"/>
        </w:rPr>
        <w:t>Notice of Termination</w:t>
      </w:r>
      <w:r>
        <w:rPr>
          <w:color w:val="000000"/>
        </w:rPr>
        <w:t xml:space="preserve">” </w:t>
      </w:r>
      <w:r>
        <w:rPr>
          <w:rFonts w:ascii="Times New Roman;serif" w:hAnsi="Times New Roman;serif"/>
          <w:b w:val="false"/>
          <w:color w:val="000000"/>
          <w:sz w:val="24"/>
        </w:rPr>
        <w:t>means a notice which will indicate the specific termination provision in this Agreement relied upon, if any, and will state in reasonable detail the facts and circumstances claimed to provide a basis for termination of Executive’s employment under the indicated provision. All notices under this Section 4(a) will be given in accordance with the requirements of Section 8.</w:t>
      </w:r>
    </w:p>
    <w:p>
      <w:pPr>
        <w:pStyle w:val="TextBody"/>
        <w:bidi w:val="0"/>
        <w:spacing w:lineRule="auto" w:line="288" w:before="0" w:after="240"/>
        <w:jc w:val="both"/>
        <w:rPr/>
      </w:pPr>
      <w:r>
        <w:rPr>
          <w:rFonts w:ascii="Times New Roman;serif" w:hAnsi="Times New Roman;serif"/>
          <w:b w:val="false"/>
          <w:color w:val="000000"/>
          <w:sz w:val="24"/>
        </w:rPr>
        <w:t>(b)    </w:t>
      </w:r>
      <w:r>
        <w:rPr>
          <w:rFonts w:ascii="Times New Roman;serif" w:hAnsi="Times New Roman;serif"/>
          <w:b/>
          <w:color w:val="000000"/>
          <w:sz w:val="24"/>
        </w:rPr>
        <w:t>Incapacity.</w:t>
      </w:r>
      <w:r>
        <w:rPr>
          <w:color w:val="000000"/>
        </w:rPr>
        <w:t xml:space="preserve"> </w:t>
      </w:r>
      <w:r>
        <w:rPr>
          <w:rFonts w:ascii="Times New Roman;serif" w:hAnsi="Times New Roman;serif"/>
          <w:b w:val="false"/>
          <w:color w:val="000000"/>
          <w:sz w:val="24"/>
        </w:rPr>
        <w:t>If the Company reasonably determines that Executive is unable at any time to perform the duties of Executive’s position with or without a reasonable accommodation because of a serious illness, injury, impairment, or physical or mental condition and Executive is not eligible for or has exhausted all leave to which Executive may be entitled under the Family and Medical Leave Act (“</w:t>
      </w:r>
      <w:r>
        <w:rPr>
          <w:rFonts w:ascii="Times New Roman;serif" w:hAnsi="Times New Roman;serif"/>
          <w:b/>
          <w:color w:val="000000"/>
          <w:sz w:val="24"/>
        </w:rPr>
        <w:t>FMLA</w:t>
      </w:r>
      <w:r>
        <w:rPr>
          <w:color w:val="000000"/>
        </w:rPr>
        <w:t>”</w:t>
      </w:r>
      <w:r>
        <w:rPr>
          <w:rFonts w:ascii="Times New Roman;serif" w:hAnsi="Times New Roman;serif"/>
          <w:b w:val="false"/>
          <w:color w:val="000000"/>
          <w:sz w:val="24"/>
        </w:rPr>
        <w:t xml:space="preserve">) or, if more generous, other applicable law, the Company may terminate Executive’s employment for “Incapacity.” In addition, at any time that Executive is on a leave of absence, the Company may temporarily reassign the duties of Executive’s position to one or more other executives without creating a basis for Executive’s Good Reason resignation, provided that the Company restores such duties to Executive upon Executive’s return to work. </w:t>
      </w:r>
    </w:p>
    <w:p>
      <w:pPr>
        <w:pStyle w:val="TextBody"/>
        <w:bidi w:val="0"/>
        <w:spacing w:lineRule="auto" w:line="288" w:before="0" w:after="240"/>
        <w:jc w:val="both"/>
        <w:rPr/>
      </w:pPr>
      <w:r>
        <w:rPr>
          <w:rFonts w:ascii="Times New Roman;serif" w:hAnsi="Times New Roman;serif"/>
          <w:b w:val="false"/>
          <w:color w:val="000000"/>
          <w:sz w:val="24"/>
        </w:rPr>
        <w:t>(c)    </w:t>
      </w:r>
      <w:r>
        <w:rPr>
          <w:rFonts w:ascii="Times New Roman;serif" w:hAnsi="Times New Roman;serif"/>
          <w:b/>
          <w:color w:val="000000"/>
          <w:sz w:val="24"/>
        </w:rPr>
        <w:t>Cause.</w:t>
      </w:r>
      <w:r>
        <w:rPr>
          <w:color w:val="000000"/>
        </w:rPr>
        <w:t xml:space="preserve"> </w:t>
      </w:r>
      <w:r>
        <w:rPr>
          <w:rFonts w:ascii="Times New Roman;serif" w:hAnsi="Times New Roman;serif"/>
          <w:b w:val="false"/>
          <w:color w:val="000000"/>
          <w:sz w:val="24"/>
        </w:rPr>
        <w:t>Termination of Executive’s employment for “</w:t>
      </w:r>
      <w:r>
        <w:rPr>
          <w:rFonts w:ascii="Times New Roman;serif" w:hAnsi="Times New Roman;serif"/>
          <w:b/>
          <w:color w:val="000000"/>
          <w:sz w:val="24"/>
        </w:rPr>
        <w:t>Cause</w:t>
      </w:r>
      <w:r>
        <w:rPr>
          <w:color w:val="000000"/>
        </w:rPr>
        <w:t xml:space="preserve">” </w:t>
      </w:r>
      <w:r>
        <w:rPr>
          <w:rFonts w:ascii="Times New Roman;serif" w:hAnsi="Times New Roman;serif"/>
          <w:b w:val="false"/>
          <w:color w:val="000000"/>
          <w:sz w:val="24"/>
        </w:rPr>
        <w:t xml:space="preserve">means termination upon: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    an act of fraud, embezzlement or theft by Executive in connection with Executive’s duties or in the course of Executive’s employment with the Company;</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(ii)    Executive’s material breach of any provision of this Agreement, provided that in those instances in which Executive’s material breach is capable of being cured,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560705"/>
                <wp:effectExtent l="0" t="0" r="0" b="0"/>
                <wp:wrapNone/>
                <wp:docPr id="6" name="Frame6"/>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Executive has failed to cure within a thirty (30) day period after notice from the Company;</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(iii)    an act or omission, which is (x) willful or grossly negligent, (y) contrary to established policies or practices of the Company, and (z) materially harmful to the business or reputation of the Company or to the business of the Company’s customers or suppliers or that the Board reasonably judges would be materially harmful to the business or reputation of the Company or to the business of the Company’s customers or suppliers if publicly disclosed; or</w:t>
      </w:r>
    </w:p>
    <w:p>
      <w:pPr>
        <w:pStyle w:val="TextBody"/>
        <w:bidi w:val="0"/>
        <w:spacing w:lineRule="auto" w:line="288" w:before="0" w:after="240"/>
        <w:jc w:val="both"/>
        <w:rPr/>
      </w:pPr>
      <w:r>
        <w:rPr>
          <w:rFonts w:ascii="Times New Roman;serif" w:hAnsi="Times New Roman;serif"/>
          <w:b w:val="false"/>
          <w:color w:val="000000"/>
          <w:sz w:val="24"/>
        </w:rPr>
        <w:t xml:space="preserve">(iv)    a plea of </w:t>
      </w:r>
      <w:r>
        <w:rPr>
          <w:rFonts w:ascii="Times New Roman;serif" w:hAnsi="Times New Roman;serif"/>
          <w:b w:val="false"/>
          <w:i/>
          <w:color w:val="000000"/>
          <w:sz w:val="24"/>
        </w:rPr>
        <w:t>nolo contendere</w:t>
      </w:r>
      <w:r>
        <w:rPr>
          <w:color w:val="000000"/>
        </w:rPr>
        <w:t xml:space="preserve"> </w:t>
      </w:r>
      <w:r>
        <w:rPr>
          <w:rFonts w:ascii="Times New Roman;serif" w:hAnsi="Times New Roman;serif"/>
          <w:b w:val="false"/>
          <w:color w:val="000000"/>
          <w:sz w:val="24"/>
        </w:rPr>
        <w:t>to, or conviction for, a felony.</w:t>
      </w:r>
      <w:r>
        <w:rPr>
          <w:color w:val="000000"/>
        </w:rPr>
        <w:t xml:space="preserve"> </w:t>
      </w:r>
    </w:p>
    <w:p>
      <w:pPr>
        <w:pStyle w:val="TextBody"/>
        <w:bidi w:val="0"/>
        <w:spacing w:lineRule="auto" w:line="288" w:before="0" w:after="240"/>
        <w:jc w:val="both"/>
        <w:rPr/>
      </w:pPr>
      <w:r>
        <w:rPr>
          <w:rFonts w:ascii="Times New Roman;serif" w:hAnsi="Times New Roman;serif"/>
          <w:b w:val="false"/>
          <w:color w:val="000000"/>
          <w:sz w:val="24"/>
        </w:rPr>
        <w:t>(d)    </w:t>
      </w:r>
      <w:r>
        <w:rPr>
          <w:rFonts w:ascii="Times New Roman;serif" w:hAnsi="Times New Roman;serif"/>
          <w:b/>
          <w:color w:val="000000"/>
          <w:sz w:val="24"/>
        </w:rPr>
        <w:t>Good Reason.</w:t>
      </w:r>
      <w:r>
        <w:rPr>
          <w:color w:val="000000"/>
        </w:rPr>
        <w:t xml:space="preserve"> </w:t>
      </w:r>
      <w:r>
        <w:rPr>
          <w:rFonts w:ascii="Times New Roman;serif" w:hAnsi="Times New Roman;serif"/>
          <w:b w:val="false"/>
          <w:color w:val="000000"/>
          <w:sz w:val="24"/>
        </w:rPr>
        <w:t>For purposes of this Agreement, “</w:t>
      </w:r>
      <w:r>
        <w:rPr>
          <w:rFonts w:ascii="Times New Roman;serif" w:hAnsi="Times New Roman;serif"/>
          <w:b/>
          <w:color w:val="000000"/>
          <w:sz w:val="24"/>
        </w:rPr>
        <w:t>Good Reason</w:t>
      </w:r>
      <w:r>
        <w:rPr>
          <w:color w:val="000000"/>
        </w:rPr>
        <w:t xml:space="preserve">” </w:t>
      </w:r>
      <w:r>
        <w:rPr>
          <w:rFonts w:ascii="Times New Roman;serif" w:hAnsi="Times New Roman;serif"/>
          <w:b w:val="false"/>
          <w:color w:val="000000"/>
          <w:sz w:val="24"/>
        </w:rPr>
        <w:t>means the occurrence of any of the following circumstances or events:</w:t>
      </w:r>
    </w:p>
    <w:p>
      <w:pPr>
        <w:pStyle w:val="TextBody"/>
        <w:bidi w:val="0"/>
        <w:spacing w:lineRule="auto" w:line="288" w:before="0" w:after="240"/>
        <w:jc w:val="both"/>
        <w:rPr/>
      </w:pPr>
      <w:r>
        <w:rPr>
          <w:rFonts w:ascii="Times New Roman;serif" w:hAnsi="Times New Roman;serif"/>
          <w:b w:val="false"/>
          <w:color w:val="000000"/>
          <w:sz w:val="24"/>
        </w:rPr>
        <w:t>(i)    A material reduction by the Company in Executive’s base salary or materially adverse change in the manner of computing Executive’s incentive compensation opportunity</w:t>
      </w:r>
      <w:r>
        <w:rPr>
          <w:color w:val="000000"/>
        </w:rPr>
        <w:t xml:space="preserve"> </w:t>
      </w:r>
      <w:r>
        <w:rPr>
          <w:rFonts w:ascii="Times New Roman;serif" w:hAnsi="Times New Roman;serif"/>
          <w:b w:val="false"/>
          <w:color w:val="000000"/>
          <w:sz w:val="24"/>
        </w:rPr>
        <w:t>(except for across-the-board salary reductions generally applicable to all senior executives), as in effect from time to time;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(ii)    the failure by the Company to pay or provide to Executive any amounts of base salary or earned incentive compensation or any benefits which are due, owing and payable to Executive, or to pay to Executive any portion of an installment of deferred compensation due under any deferred compensation program of the Company;</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(iii)    the failure by the Company to continue to provide Executive with benefits substantially similar in the aggregate to the Company’s life insurance, medical, dental, health, accident or disability plans in which Executive is participating at the date of this Agreement (except for across-the-board changes to or elimination of such benefits generally applicable to all senior executives);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(iv)    except on a temporary basis as described in Section 4(b), a material adverse change in Executive’s responsibilities, position, reporting relationships, authority or duties. Executive agrees that it will not be a material adverse change for the Company to reassign Executive to a position with at least substantially similar responsibilities and authority.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(v)    the transfer of Executive’s principal place of employment to a location fifty (50) or more miles from its location immediately preceding the transfer; or</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(vi)    without limiting the generality or effect of the foregoing, any material breach of this Agreement by the Company.</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Notwithstanding anything else in this Agreement, Good Reason will not exist if, with regard to the circumstances or events relied upon in Executive’s Notice of Termination: (x) Executive failed to provide a Notice of Termination to the Company within thirty (30) days of the date Executive knew or should have known of such circumstances or events, (y) the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560705"/>
                <wp:effectExtent l="0" t="0" r="0" b="0"/>
                <wp:wrapNone/>
                <wp:docPr id="7" name="Frame7"/>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circumstances or events are fully corrected by the Company within thirty (30) days following the Notice of Termination, (z) Executive gives Executive’s express written consent to the circumstances or events, or (aa) Executive does not terminate employment within sixty (60) days following the Notice of Termination provided to the Company. </w:t>
      </w:r>
    </w:p>
    <w:p>
      <w:pPr>
        <w:pStyle w:val="TextBody"/>
        <w:bidi w:val="0"/>
        <w:spacing w:lineRule="auto" w:line="288" w:before="0" w:after="0"/>
        <w:jc w:val="both"/>
        <w:rPr/>
      </w:pPr>
      <w:r>
        <w:rPr>
          <w:rFonts w:ascii="Times New Roman;serif" w:hAnsi="Times New Roman;serif"/>
          <w:b w:val="false"/>
          <w:color w:val="000000"/>
          <w:sz w:val="24"/>
        </w:rPr>
        <w:t>(e)    </w:t>
      </w:r>
      <w:r>
        <w:rPr>
          <w:rFonts w:ascii="Times New Roman;serif" w:hAnsi="Times New Roman;serif"/>
          <w:b/>
          <w:color w:val="000000"/>
          <w:sz w:val="24"/>
        </w:rPr>
        <w:t>Date of Termination.</w:t>
      </w:r>
      <w:r>
        <w:rPr>
          <w:color w:val="000000"/>
        </w:rPr>
        <w:t xml:space="preserve"> “</w:t>
      </w:r>
      <w:r>
        <w:rPr>
          <w:rFonts w:ascii="Times New Roman;serif" w:hAnsi="Times New Roman;serif"/>
          <w:b/>
          <w:color w:val="000000"/>
          <w:sz w:val="24"/>
        </w:rPr>
        <w:t>Date of Termination</w:t>
      </w:r>
      <w:r>
        <w:rPr>
          <w:color w:val="000000"/>
        </w:rPr>
        <w:t xml:space="preserve">” </w:t>
      </w:r>
      <w:r>
        <w:rPr>
          <w:rFonts w:ascii="Times New Roman;serif" w:hAnsi="Times New Roman;serif"/>
          <w:b w:val="false"/>
          <w:color w:val="000000"/>
          <w:sz w:val="24"/>
        </w:rPr>
        <w:t>means:</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    if Executive’s employment is terminated by reason of Executive’s death, the date of Executive’s death;</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(ii)    if Executive’s employment is terminated by the Company for any reason other than because of Executive’s death, the date specified in the Notice of Termination (which may not be prior to the date of the notice); or</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(iii)    if Executive’s employment is terminated by Executive for any reason, the Date of Termination may not be less than thirty (30) nor more than sixty (60) days from the date such Notice of Termination is given, or such earlier date after the date such Notice of Termination is given as may be identified by the Company.</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Unless the Company instructs Executive not to do so, Executive shall continue to perform services as provided in this Agreement through the Date of Termination.</w:t>
      </w:r>
    </w:p>
    <w:p>
      <w:pPr>
        <w:pStyle w:val="TextBody"/>
        <w:bidi w:val="0"/>
        <w:spacing w:lineRule="auto" w:line="288" w:before="0" w:after="240"/>
        <w:jc w:val="both"/>
        <w:rPr/>
      </w:pPr>
      <w:r>
        <w:rPr>
          <w:rFonts w:ascii="Times New Roman;serif" w:hAnsi="Times New Roman;serif"/>
          <w:b w:val="false"/>
          <w:color w:val="000000"/>
          <w:sz w:val="24"/>
        </w:rPr>
        <w:t>(f)    </w:t>
      </w:r>
      <w:r>
        <w:rPr>
          <w:rFonts w:ascii="Times New Roman;serif" w:hAnsi="Times New Roman;serif"/>
          <w:b/>
          <w:color w:val="000000"/>
          <w:sz w:val="24"/>
        </w:rPr>
        <w:t>Employee Benefits.</w:t>
      </w:r>
      <w:r>
        <w:rPr>
          <w:color w:val="000000"/>
        </w:rPr>
        <w:t xml:space="preserve"> </w:t>
      </w:r>
      <w:r>
        <w:rPr>
          <w:rFonts w:ascii="Times New Roman;serif" w:hAnsi="Times New Roman;serif"/>
          <w:b w:val="false"/>
          <w:color w:val="000000"/>
          <w:sz w:val="24"/>
        </w:rPr>
        <w:t>A termination by the Company pursuant to Section 4(c) or by Executive pursuant to Section 4(d) will not affect any rights which Executive may have under any other agreement, policy, plan, program or arrangement of the Company providing employee benefits, which rights will be governed by their terms and by Section 5; provided, however, that if Executive has received or will be receiving benefits under Section 5(b), Executive will not be entitled to receive benefits under any other policy, plan, program or arrangement of the Company providing severance compensation to which Executive would otherwise be entitled.</w:t>
      </w:r>
    </w:p>
    <w:p>
      <w:pPr>
        <w:pStyle w:val="TextBody"/>
        <w:bidi w:val="0"/>
        <w:spacing w:lineRule="auto" w:line="288" w:before="0" w:after="240"/>
        <w:jc w:val="both"/>
        <w:rPr/>
      </w:pPr>
      <w:r>
        <w:rPr>
          <w:rFonts w:ascii="Times New Roman;serif" w:hAnsi="Times New Roman;serif"/>
          <w:b w:val="false"/>
          <w:color w:val="000000"/>
          <w:sz w:val="24"/>
        </w:rPr>
        <w:t>5.    </w:t>
      </w:r>
      <w:r>
        <w:rPr>
          <w:rFonts w:ascii="Times New Roman;serif" w:hAnsi="Times New Roman;serif"/>
          <w:b/>
          <w:color w:val="000000"/>
          <w:sz w:val="24"/>
        </w:rPr>
        <w:t>Compensation Upon Termination.</w:t>
      </w:r>
      <w:r>
        <w:rPr>
          <w:color w:val="000000"/>
        </w:rPr>
        <w:t xml:space="preserve"> </w:t>
      </w:r>
      <w:r>
        <w:rPr>
          <w:rFonts w:ascii="Times New Roman;serif" w:hAnsi="Times New Roman;serif"/>
          <w:b w:val="false"/>
          <w:color w:val="000000"/>
          <w:sz w:val="24"/>
        </w:rPr>
        <w:t>Upon Executive’s termination of employment, Executive will receive: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    If Executive’s employment is terminated by the Company for Incapacity or for Cause, by Executive without Good Reason, or upon Executive’s death, the Company must pay to Executive (or, in the event of Executive’s death, to Executive’s beneficiary or estate), when the same would otherwise have been due, the base salary and any other accrued amounts then payable through the Date of Termination and will have no further obligations under this Agreement, other than as stated in Section 5(c), as applicable.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(b)    If Executive’s employment is terminated (a) by the Company, except for a termination by the Company for Cause or Incapacity (or due to Executive’s death), or (b) by Executive for Good Reason, then Executive will be entitled to the benefits provided below, in addition to the benefits provided in Section 5(c), as applicable:</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560705"/>
                <wp:effectExtent l="0" t="0" r="0" b="0"/>
                <wp:wrapNone/>
                <wp:docPr id="8" name="Frame8"/>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    The Company shall pay Executive Executive’s full base salary through the Date of Termination at the rate in effect at the time Notice of Termination is given (or, if greater, at the rate in effect at any time within 90 days prior to the time Notice of Termination is given), plus all other amounts to which Executive is entitled under any compensation or benefit plans of the Company, including, without limitation, any accrued amounts under any retention or incentive plan, and including incentive compensation prorated for any applicable measurement period occurring prior to the Date of Termination, at the time such payments are due, except as otherwise provided in the LTSIP for a termination of employment following a Change in Control (as defined in the LTSIP) and as otherwise provided below.</w:t>
      </w:r>
    </w:p>
    <w:p>
      <w:pPr>
        <w:pStyle w:val="TextBody"/>
        <w:bidi w:val="0"/>
        <w:spacing w:lineRule="auto" w:line="288" w:before="0" w:after="240"/>
        <w:jc w:val="both"/>
        <w:rPr/>
      </w:pPr>
      <w:r>
        <w:rPr>
          <w:rFonts w:ascii="Times New Roman;serif" w:hAnsi="Times New Roman;serif"/>
          <w:b w:val="false"/>
          <w:color w:val="000000"/>
          <w:sz w:val="24"/>
        </w:rPr>
        <w:t>(ii)    An amount (“</w:t>
      </w:r>
      <w:r>
        <w:rPr>
          <w:rFonts w:ascii="Times New Roman;serif" w:hAnsi="Times New Roman;serif"/>
          <w:b/>
          <w:color w:val="000000"/>
          <w:sz w:val="24"/>
        </w:rPr>
        <w:t>Severance Payment</w:t>
      </w:r>
      <w:r>
        <w:rPr>
          <w:color w:val="000000"/>
        </w:rPr>
        <w:t>”</w:t>
      </w:r>
      <w:r>
        <w:rPr>
          <w:rFonts w:ascii="Times New Roman;serif" w:hAnsi="Times New Roman;serif"/>
          <w:b w:val="false"/>
          <w:color w:val="000000"/>
          <w:sz w:val="24"/>
        </w:rPr>
        <w:t xml:space="preserve">) equal to two (2) times the sum of: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    the greater of (I) Executive’s annual base salary rate in effect as of the Effective Date or (II) Executive’s annual base salary rate in effect as of the Date of Termination; and</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(B)    the greater of (I) Executive’s Bonus target amount in effect as of the Effective Date or (II) Executive’s Bonus target amount in effect as of the Date of Termination.</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Severance Payment shall be paid in a lump sum on the first regular pay date occurring on or after sixty (60) calendar days after the termination of employment.</w:t>
      </w:r>
    </w:p>
    <w:p>
      <w:pPr>
        <w:pStyle w:val="TextBody"/>
        <w:bidi w:val="0"/>
        <w:spacing w:lineRule="auto" w:line="288" w:before="0" w:after="240"/>
        <w:jc w:val="both"/>
        <w:rPr/>
      </w:pPr>
      <w:r>
        <w:rPr>
          <w:rFonts w:ascii="Times New Roman;serif" w:hAnsi="Times New Roman;serif"/>
          <w:b w:val="false"/>
          <w:color w:val="000000"/>
          <w:sz w:val="24"/>
        </w:rPr>
        <w:t>(iii)    The Company shall provide Executive and Executive’s eligible dependents, for the twenty-four month period beginning on the Date of Termination (the “</w:t>
      </w:r>
      <w:r>
        <w:rPr>
          <w:rFonts w:ascii="Times New Roman;serif" w:hAnsi="Times New Roman;serif"/>
          <w:b/>
          <w:color w:val="000000"/>
          <w:sz w:val="24"/>
        </w:rPr>
        <w:t>Continuation Period</w:t>
      </w:r>
      <w:r>
        <w:rPr>
          <w:color w:val="000000"/>
        </w:rPr>
        <w:t>”</w:t>
      </w:r>
      <w:r>
        <w:rPr>
          <w:rFonts w:ascii="Times New Roman;serif" w:hAnsi="Times New Roman;serif"/>
          <w:b w:val="false"/>
          <w:color w:val="000000"/>
          <w:sz w:val="24"/>
        </w:rPr>
        <w:t>), continued coverage under the Company’s medical, dental and vision plans in which Executive and Executive’s eligible dependents participated immediately before the Date of Termination, at a cost to Executive no greater than the cost applicable to similarly situated active employees (“</w:t>
      </w:r>
      <w:r>
        <w:rPr>
          <w:rFonts w:ascii="Times New Roman;serif" w:hAnsi="Times New Roman;serif"/>
          <w:b/>
          <w:color w:val="000000"/>
          <w:sz w:val="24"/>
        </w:rPr>
        <w:t>Welfare Benefits</w:t>
      </w:r>
      <w:r>
        <w:rPr>
          <w:color w:val="000000"/>
        </w:rPr>
        <w:t>”</w:t>
      </w:r>
      <w:r>
        <w:rPr>
          <w:rFonts w:ascii="Times New Roman;serif" w:hAnsi="Times New Roman;serif"/>
          <w:b w:val="false"/>
          <w:color w:val="000000"/>
          <w:sz w:val="24"/>
        </w:rPr>
        <w:t xml:space="preserve">), subject to Executive’s timely election of continuation coverage under COBRA and continued eligibility for such coverage. The Company may satisfy this obligation by paying or reimbursing Executive for the portion of the applicable COBRA premiums that exceeds the employee contribution applicable to similarly situated active employees. If COBRA coverage expires before the end of the Continuation Period, or the Continued Welfare Benefits cannot be provided under the applicable plan or insurance contract, the Company shall provide the remaining benefit through another arrangement that the Company reasonably determines is lawful and does not adversely affect any Company benefit plan or result in adverse tax consequences to Executive, other than ordinary income and employment taxes resulting from a taxable payment; provided that the Company may instead pay Executive a monthly taxable amount reasonably intended to approximate the Company-paid portion of the premium for such coverage. Any reimbursement or payment under this Section shall be made in accordance with Section 409A of the Internal Revenue Code, including any applicable reimbursement and in-kind benefit requirements. Without otherwise limiting the purposes or effect of the no mitigation obligation in Section 5(f), the Company’s obligations under this Section 5(b)(iii) with respect to a particular type of </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560705"/>
                <wp:effectExtent l="0" t="0" r="0" b="0"/>
                <wp:wrapNone/>
                <wp:docPr id="9" name="Frame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coverage and individual shall cease when Executive or the applicable eligible dependent becomes eligible to receive substantially comparable coverage of that type from a subsequent employer, provided that Executive promptly notifies the Company of such eligibility. Nothing in this Section requires the Company to maintain any particular welfare benefit plan or prevents the Company from amending or terminating any such plan generally, and all coverage provided under a Company plan remains subject to the generally applicable terms of the relevant plan, insurance policy, and COBRA.</w:t>
      </w:r>
    </w:p>
    <w:p>
      <w:pPr>
        <w:pStyle w:val="TextBody"/>
        <w:bidi w:val="0"/>
        <w:spacing w:lineRule="auto" w:line="288" w:before="0" w:after="240"/>
        <w:jc w:val="both"/>
        <w:rPr/>
      </w:pPr>
      <w:r>
        <w:rPr>
          <w:rFonts w:ascii="Times New Roman;serif" w:hAnsi="Times New Roman;serif"/>
          <w:b w:val="false"/>
          <w:color w:val="000000"/>
          <w:sz w:val="24"/>
        </w:rPr>
        <w:t>Executive’s right to receive the Severance Payment and Welfare Benefits under this Section 5(b) (collectively, “</w:t>
      </w:r>
      <w:r>
        <w:rPr>
          <w:rFonts w:ascii="Times New Roman;serif" w:hAnsi="Times New Roman;serif"/>
          <w:b/>
          <w:color w:val="000000"/>
          <w:sz w:val="24"/>
        </w:rPr>
        <w:t>Severance Benefits</w:t>
      </w:r>
      <w:r>
        <w:rPr>
          <w:color w:val="000000"/>
        </w:rPr>
        <w:t>”</w:t>
      </w:r>
      <w:r>
        <w:rPr>
          <w:rFonts w:ascii="Times New Roman;serif" w:hAnsi="Times New Roman;serif"/>
          <w:b w:val="false"/>
          <w:color w:val="000000"/>
          <w:sz w:val="24"/>
        </w:rPr>
        <w:t>) is conditioned upon the Executive’s execution and non-revocation of a general release agreement (“</w:t>
      </w:r>
      <w:r>
        <w:rPr>
          <w:rFonts w:ascii="Times New Roman;serif" w:hAnsi="Times New Roman;serif"/>
          <w:b/>
          <w:color w:val="000000"/>
          <w:sz w:val="24"/>
        </w:rPr>
        <w:t>Release</w:t>
      </w:r>
      <w:r>
        <w:rPr>
          <w:color w:val="000000"/>
        </w:rPr>
        <w:t>”</w:t>
      </w:r>
      <w:r>
        <w:rPr>
          <w:rFonts w:ascii="Times New Roman;serif" w:hAnsi="Times New Roman;serif"/>
          <w:b w:val="false"/>
          <w:color w:val="000000"/>
          <w:sz w:val="24"/>
        </w:rPr>
        <w:t>) in form and substance reasonably acceptable to the Company in connection with Executive’s termination of employment. Such Severance Benefits will be payable only if Executive executes and delivers a Release (and any revocation period expires) no later than sixty (60) calendar days after the Executive’s termination of employment. Such amounts will not become payable until the first payroll date following sixty (60) calendar days after the termination of employment, regardless of when the Release is returned to the Company.</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    If Executive’s employment is terminated by the Company for Incapacity or for any reason other than Cause, by Executive for Good Reason, or upon Executive’s death, (i) any unvested awards under the LTSIP held by Executive that vest based on the passage of time will immediately vest in their entirety upon such termination, and (ii) with respect to unvested awards under the LTSIP held by Executive that vest based on the achievement of performance criteria, Executive will be entitled to receive a pro rata portion (based on the number of full calendar months in the performance period prior to such termination) of the amount Executive would have been entitled to receive under such awards (and at the same time) had Executive remained employed until the last day of the applicable performance period, except as otherwise provided in the LTSIP for a termination of employment following a Change in Control (as defined the LTSIP).</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(d)    The Company may not set-off or counterclaim losses, fines or damages in respect of any claim, debt or obligation against any payment to or benefit for Executive provided for in this Agreement.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    Without limiting Executive’s rights at law or in equity, if the Company fails to make any payment or provide any benefit required to be made or provided under Section 5 within thirty (30) days of the date it is due, the Company shall pay interest on the amount or value of the payment or benefit at an annualized rate of interest equal to the prime rate as quoted from time to time during the relevant period in The Wall Street Journal, plus three percent. Such interest will be payable as it accrues on demand. Any change in such prime rate will be effective on and as of the date of such change.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(f)    The Company acknowledges that its severance pay plans and policies applicable in general to its salaried employees do not provide for mitigation, offset or reduction of any severance payment received under those plans or policies. Accordingly, the parties expressly agree that the payment of the severance compensation by the Company to Executive in </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560705"/>
                <wp:effectExtent l="0" t="0" r="0" b="0"/>
                <wp:wrapNone/>
                <wp:docPr id="10" name="Frame10"/>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accordance with the terms of this Agreement will be liquidated damages and that Executive will not be required to mitigate the amount of any payment provided for in this Agreement by seeking other employment or otherwise, nor shall any profits, income, earnings or other benefits from any source whatsoever create any mitigation, offset, reduction or any other obligation on the part of Executive under this Agreement or otherwise, except as expressly provided in this Section 5.</w:t>
      </w:r>
    </w:p>
    <w:p>
      <w:pPr>
        <w:pStyle w:val="TextBody"/>
        <w:bidi w:val="0"/>
        <w:spacing w:lineRule="auto" w:line="288" w:before="0" w:after="240"/>
        <w:jc w:val="both"/>
        <w:rPr/>
      </w:pPr>
      <w:r>
        <w:rPr>
          <w:rFonts w:ascii="Times New Roman;serif" w:hAnsi="Times New Roman;serif"/>
          <w:b w:val="false"/>
          <w:color w:val="000000"/>
          <w:sz w:val="24"/>
        </w:rPr>
        <w:t>6.    </w:t>
      </w:r>
      <w:r>
        <w:rPr>
          <w:rFonts w:ascii="Times New Roman;serif" w:hAnsi="Times New Roman;serif"/>
          <w:b/>
          <w:color w:val="000000"/>
          <w:sz w:val="24"/>
        </w:rPr>
        <w:t>Travel.</w:t>
      </w:r>
      <w:r>
        <w:rPr>
          <w:color w:val="000000"/>
        </w:rPr>
        <w:t xml:space="preserve"> </w:t>
      </w:r>
      <w:r>
        <w:rPr>
          <w:rFonts w:ascii="Times New Roman;serif" w:hAnsi="Times New Roman;serif"/>
          <w:b w:val="false"/>
          <w:color w:val="000000"/>
          <w:sz w:val="24"/>
        </w:rPr>
        <w:t>Executive will be required to travel to the extent reasonably necessary for the performance of Executive’s responsibilities under this Agreement.</w:t>
      </w:r>
    </w:p>
    <w:p>
      <w:pPr>
        <w:pStyle w:val="TextBody"/>
        <w:bidi w:val="0"/>
        <w:spacing w:lineRule="auto" w:line="288" w:before="0" w:after="240"/>
        <w:jc w:val="both"/>
        <w:rPr/>
      </w:pPr>
      <w:r>
        <w:rPr>
          <w:rFonts w:ascii="Times New Roman;serif" w:hAnsi="Times New Roman;serif"/>
          <w:b w:val="false"/>
          <w:color w:val="000000"/>
          <w:sz w:val="24"/>
        </w:rPr>
        <w:t>7.    </w:t>
      </w:r>
      <w:r>
        <w:rPr>
          <w:rFonts w:ascii="Times New Roman;serif" w:hAnsi="Times New Roman;serif"/>
          <w:b/>
          <w:color w:val="000000"/>
          <w:sz w:val="24"/>
        </w:rPr>
        <w:t>Successors; Binding Agreement.</w:t>
      </w:r>
      <w:r>
        <w:rPr>
          <w:color w:val="000000"/>
        </w:rPr>
        <w:t xml:space="preserve"> </w:t>
      </w:r>
      <w:r>
        <w:rPr>
          <w:rFonts w:ascii="Times New Roman;serif" w:hAnsi="Times New Roman;serif"/>
          <w:b w:val="false"/>
          <w:color w:val="000000"/>
          <w:sz w:val="24"/>
        </w:rPr>
        <w:t>The Company shall require any successor (whether direct or indirect, by purchase, merger, consolidation or otherwise) to all or substantially all the business and/or assets of the Company (“</w:t>
      </w:r>
      <w:r>
        <w:rPr>
          <w:rFonts w:ascii="Times New Roman;serif" w:hAnsi="Times New Roman;serif"/>
          <w:b/>
          <w:color w:val="000000"/>
          <w:sz w:val="24"/>
        </w:rPr>
        <w:t>Successor</w:t>
      </w:r>
      <w:r>
        <w:rPr>
          <w:color w:val="000000"/>
        </w:rPr>
        <w:t>”</w:t>
      </w:r>
      <w:r>
        <w:rPr>
          <w:rFonts w:ascii="Times New Roman;serif" w:hAnsi="Times New Roman;serif"/>
          <w:b w:val="false"/>
          <w:color w:val="000000"/>
          <w:sz w:val="24"/>
        </w:rPr>
        <w:t>), to expressly assume and agree to perform this Agreement in the same manner and to the same extent that the Company would be required to perform it if no such succession had taken place, and will assign its rights and obligations under the Agreement to such successor. Failure of the Company to make such an assignment and to obtain such assumption and agreement prior to the effectiveness of any such succession, unless Executive agrees otherwise in writing with the Company or the Successor, will entitle Executive to compensation from the Company in the same amount and on the same terms as Executive would be entitled to under this Agreement if Executive terminates Executive’s employment for Good Reason and the date on which any such succession becomes effective will be deemed Executive’s Date of Termination. As used in this Agreement, “</w:t>
      </w:r>
      <w:r>
        <w:rPr>
          <w:rFonts w:ascii="Times New Roman;serif" w:hAnsi="Times New Roman;serif"/>
          <w:b/>
          <w:color w:val="000000"/>
          <w:sz w:val="24"/>
        </w:rPr>
        <w:t>Company</w:t>
      </w:r>
      <w:r>
        <w:rPr>
          <w:color w:val="000000"/>
        </w:rPr>
        <w:t xml:space="preserve">” </w:t>
      </w:r>
      <w:r>
        <w:rPr>
          <w:rFonts w:ascii="Times New Roman;serif" w:hAnsi="Times New Roman;serif"/>
          <w:b w:val="false"/>
          <w:color w:val="000000"/>
          <w:sz w:val="24"/>
        </w:rPr>
        <w:t>means the Company as previously defined in this Agreement and any Successor which assumes and agrees to perform this Agreement by operation of law, or otherwise. This Agreement will inure to the benefit of and be enforceable by Executive’s personal or legal representatives, executors, administrators, successors, heirs, distributees and/or legatees. This Agreement is personal in nature and neither of the parties will, without the consent of the other, assign, transfer or delegate this Agreement or any rights or obligations under this Agreement except as expressly provided in this Section 7. Without limiting the generality of the foregoing, Executive’s right to receive payments under this Agreement will not be assignable or transferable, whether by pledge, creation of a security interest or otherwise, other than by a transfer by Executive’s will or by the laws of descent and distribution and, in the event of any attempted assignment or transfer contrary to this Section 7, the Company will have no liability to pay to the purported assignee or transferee any amount so attempted to be assigned or transferred. The Company and Executive recognize that each party will have no adequate remedy at law for any material breach by the other of any of the agreements contained in this Agreement and, in the event of any such breach, the Company and Executive agree and consent that the other will be entitled to a decree of specific performance, mandamus or other appropriate remedy to enforce performance of this Agreement.</w:t>
      </w:r>
    </w:p>
    <w:p>
      <w:pPr>
        <w:pStyle w:val="TextBody"/>
        <w:bidi w:val="0"/>
        <w:spacing w:lineRule="auto" w:line="288" w:before="0" w:after="240"/>
        <w:jc w:val="both"/>
        <w:rPr/>
      </w:pPr>
      <w:r>
        <w:rPr>
          <w:rFonts w:ascii="Times New Roman;serif" w:hAnsi="Times New Roman;serif"/>
          <w:b w:val="false"/>
          <w:color w:val="000000"/>
          <w:sz w:val="24"/>
        </w:rPr>
        <w:t>8.    </w:t>
      </w:r>
      <w:r>
        <w:rPr>
          <w:rFonts w:ascii="Times New Roman;serif" w:hAnsi="Times New Roman;serif"/>
          <w:b/>
          <w:color w:val="000000"/>
          <w:sz w:val="24"/>
        </w:rPr>
        <w:t>Notices.</w:t>
      </w:r>
      <w:r>
        <w:rPr>
          <w:color w:val="000000"/>
        </w:rPr>
        <w:t xml:space="preserve"> </w:t>
      </w:r>
      <w:r>
        <w:rPr>
          <w:rFonts w:ascii="Times New Roman;serif" w:hAnsi="Times New Roman;serif"/>
          <w:b w:val="false"/>
          <w:color w:val="000000"/>
          <w:sz w:val="24"/>
        </w:rPr>
        <w:t xml:space="preserve">For the purpose of this Agreement, notices and all other communications provided for in this Agreement must be in writing, and will be deemed to have been duly given when delivered by hand, or mailed by United States certified mail, return receipt requested, postage prepaid, or sent by Federal Express or similar overnight courier service, addressed to the respective addresses set forth on the signature page of this Agreement, provided that all notices to the Company must be directed to the attention of the Corporate Secretary of the Company (or, if Executive is the Corporate Secretary at the time such notice is to be given, to the Chairman of the Company’s Board </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560705"/>
                <wp:effectExtent l="0" t="0" r="0" b="0"/>
                <wp:wrapNone/>
                <wp:docPr id="11" name="Frame11"/>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of Directors), or to such other address as either party may have furnished to the other in writing in accordance with this Agreement, except that notice of change of address will be effective only upon receipt.</w:t>
      </w:r>
    </w:p>
    <w:p>
      <w:pPr>
        <w:pStyle w:val="TextBody"/>
        <w:bidi w:val="0"/>
        <w:spacing w:lineRule="auto" w:line="288" w:before="0" w:after="240"/>
        <w:jc w:val="both"/>
        <w:rPr/>
      </w:pPr>
      <w:r>
        <w:rPr>
          <w:rFonts w:ascii="Times New Roman;serif" w:hAnsi="Times New Roman;serif"/>
          <w:b w:val="false"/>
          <w:color w:val="000000"/>
          <w:sz w:val="24"/>
        </w:rPr>
        <w:t>9.    </w:t>
      </w:r>
      <w:r>
        <w:rPr>
          <w:rFonts w:ascii="Times New Roman;serif" w:hAnsi="Times New Roman;serif"/>
          <w:b/>
          <w:color w:val="000000"/>
          <w:sz w:val="24"/>
        </w:rPr>
        <w:t>Non-Competition and Non-Solicitation.</w:t>
      </w:r>
    </w:p>
    <w:p>
      <w:pPr>
        <w:pStyle w:val="TextBody"/>
        <w:bidi w:val="0"/>
        <w:spacing w:lineRule="auto" w:line="288" w:before="0" w:after="240"/>
        <w:jc w:val="both"/>
        <w:rPr/>
      </w:pPr>
      <w:r>
        <w:rPr>
          <w:rFonts w:ascii="Times New Roman;serif" w:hAnsi="Times New Roman;serif"/>
          <w:b w:val="false"/>
          <w:color w:val="000000"/>
          <w:sz w:val="24"/>
        </w:rPr>
        <w:t>(a)    Executive shall not, directly or indirectly, engage in any Competitive Activity during Executive’s employment with the Company or its affiliates and for a period of (x) one (1) year after the Date of Termination if Executive is terminated by the Company for Cause, or Executive terminates Executive’s employment for other than Good Reason, or (y) two (2) years after the Date of Termination in all other circumstances. For purposes of this Agreement, “</w:t>
      </w:r>
      <w:r>
        <w:rPr>
          <w:rFonts w:ascii="Times New Roman;serif" w:hAnsi="Times New Roman;serif"/>
          <w:b/>
          <w:color w:val="000000"/>
          <w:sz w:val="24"/>
        </w:rPr>
        <w:t>Competitive Activity</w:t>
      </w:r>
      <w:r>
        <w:rPr>
          <w:color w:val="000000"/>
        </w:rPr>
        <w:t xml:space="preserve">” </w:t>
      </w:r>
      <w:r>
        <w:rPr>
          <w:rFonts w:ascii="Times New Roman;serif" w:hAnsi="Times New Roman;serif"/>
          <w:b w:val="false"/>
          <w:color w:val="000000"/>
          <w:sz w:val="24"/>
        </w:rPr>
        <w:t>means Executive’s (i) participation as an employee, director, consultant, owner, manager or advisor of, or (ii) otherwise rendering services to, any business enterprise anywhere in the world if such enterprise either is a Significant Customer of any product or service of the Company or any of its affiliates or engages or is planning to engage in competition with any product or service of the Company or any of the its affiliates (including without limitation any enterprise that is a supplier to an original equipment automotive vehicle manufacturer). “</w:t>
      </w:r>
      <w:r>
        <w:rPr>
          <w:rFonts w:ascii="Times New Roman;serif" w:hAnsi="Times New Roman;serif"/>
          <w:b/>
          <w:color w:val="000000"/>
          <w:sz w:val="24"/>
        </w:rPr>
        <w:t>Significant Customer</w:t>
      </w:r>
      <w:r>
        <w:rPr>
          <w:color w:val="000000"/>
        </w:rPr>
        <w:t xml:space="preserve">” </w:t>
      </w:r>
      <w:r>
        <w:rPr>
          <w:rFonts w:ascii="Times New Roman;serif" w:hAnsi="Times New Roman;serif"/>
          <w:b w:val="false"/>
          <w:color w:val="000000"/>
          <w:sz w:val="24"/>
        </w:rPr>
        <w:t>means any customer who represents in excess of five percent (5%) of the Company’s sales or any of its affiliates’ sales in any of the three calendar years prior to the date of determination. Competitive Activity will not include the mere ownership of and exercise of rights appurtenant to, securities of a publicly-traded company representing five percent (5%) or less of the total voting power and five percent (5%) or less of the total value of such an enterprise. Executive agrees that the Company is a global business and that it is appropriate for this Section 9(a) to apply to Competitive Activity conducted anywhere in the world.</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(b)    During the period of Executive’s employment with the Company or its affiliates and for a period of two (2) years following the Date of Termination, regardless of the reason for Executive’s termination of employment, Executive shall not, directly or indirectly, either on Executive’s own account or with or for anyone else, solicit or attempt to solicit for any business endeavor or hire or attempt to hire any employee of or individual serving as an independent contractor to the Company or its affiliates, who is, or during the six (6) month period preceding the date of any such solicitation or hiring was, engaged in connection with the business of the Company or its affiliates, or otherwise divert or attempt to divert from the Company or its affiliates any business whatsoever or interfere with any business relationship between the Company or its affiliates and any other person.</w:t>
      </w:r>
    </w:p>
    <w:p>
      <w:pPr>
        <w:pStyle w:val="TextBody"/>
        <w:bidi w:val="0"/>
        <w:spacing w:lineRule="auto" w:line="288" w:before="0" w:after="240"/>
        <w:jc w:val="both"/>
        <w:rPr/>
      </w:pPr>
      <w:r>
        <w:rPr>
          <w:rFonts w:ascii="Times New Roman;serif" w:hAnsi="Times New Roman;serif"/>
          <w:b w:val="false"/>
          <w:color w:val="000000"/>
          <w:sz w:val="24"/>
        </w:rPr>
        <w:t>(c)    During the period of Executive’s employment with the Company or its affiliates and for a period of (x) one (1) year after the Date of Termination if Executive is terminated by the Company for Cause, or Executive terminates Executive’s employment for other than Good Reason, or (y) two (2) years after the Date of Termination in all other circumstances, Executive shall not contact any then-current customer of the Company or its affiliates with which Executive had any contact or association during Executive’s employment with the Company or its affiliates or whose identity was learned by Executive during Executive’s employment with the Company or its affiliates, or prospective customer with whom the Company or its affiliates is negotiating or preparing a proposal for products or services (collectively, “</w:t>
      </w:r>
      <w:r>
        <w:rPr>
          <w:rFonts w:ascii="Times New Roman;serif" w:hAnsi="Times New Roman;serif"/>
          <w:b/>
          <w:color w:val="000000"/>
          <w:sz w:val="24"/>
        </w:rPr>
        <w:t>Customers</w:t>
      </w:r>
      <w:r>
        <w:rPr>
          <w:color w:val="000000"/>
        </w:rPr>
        <w:t>”</w:t>
      </w:r>
      <w:r>
        <w:rPr>
          <w:rFonts w:ascii="Times New Roman;serif" w:hAnsi="Times New Roman;serif"/>
          <w:b w:val="false"/>
          <w:color w:val="000000"/>
          <w:sz w:val="24"/>
        </w:rPr>
        <w:t xml:space="preserve">) for the purposes of: (i) inducing any such Customer to terminate </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560705"/>
                <wp:effectExtent l="0" t="0" r="0" b="0"/>
                <wp:wrapNone/>
                <wp:docPr id="12" name="Frame12"/>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its business relationship with the Company or its affiliates, (ii) discouraging any such Customer from doing business with the Company or its affiliates, or (iii) offering products or services that are similar to or competitive with those of the Company or its affiliates. Executive also agrees during such period not to accept, with or without solicitation, any business from any Customers involving products or services that are similar to or competitive with those of the Company or its affiliates. “</w:t>
      </w:r>
      <w:r>
        <w:rPr>
          <w:rFonts w:ascii="Times New Roman;serif" w:hAnsi="Times New Roman;serif"/>
          <w:b/>
          <w:color w:val="000000"/>
          <w:sz w:val="24"/>
        </w:rPr>
        <w:t>Contact</w:t>
      </w:r>
      <w:r>
        <w:rPr>
          <w:color w:val="000000"/>
        </w:rPr>
        <w:t xml:space="preserve">” </w:t>
      </w:r>
      <w:r>
        <w:rPr>
          <w:rFonts w:ascii="Times New Roman;serif" w:hAnsi="Times New Roman;serif"/>
          <w:b w:val="false"/>
          <w:color w:val="000000"/>
          <w:sz w:val="24"/>
        </w:rPr>
        <w:t>with any Customers includes responding to contact initiated by Customers.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(d)    Executive acknowledges and agrees that damages in the event of a breach or threatened breach of the covenants in this Section 9 will be difficult to determine and will not afford a full and adequate remedy, and therefore agrees that the Company, in addition to seeking actual damages, may seek specific enforcement of such covenants in any court of competent jurisdiction, including, without limitation, by the issuance of an injunction, without the necessity of a bond. Executive and the Company agree that the provisions of this Section 9 are reasonable. However, should any court or arbitrator determine that any provision of the covenants of this Section 9 are unreasonable, either in period of time, geographical area, or otherwise, the parties agree that this Section 9 should be interpreted and enforced to the maximum extent which such court or arbitrator deems reasonable.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    Executive agrees that while employed by the Company or its affiliates and for twenty-four (24) months thereafter, Executive will communicate in writing the contents of the restrictions contained in this Section 9 to any person, firm, association, partnership, corporation or other entity which Executive intends to be employed by, associated with or represent. Executive also agrees to promptly notify the Chief Human Resources Officer or other lead human resources executive of the Company if, at any time during Executive’s employment with the Company or its affiliates or within twenty-four (24) months following the Date of Termination, Executive accepts a position to be employed by, associated with or represent any person, firm, association, partnership, corporation or other entity. Executive further agrees that Executive will provide the Company with such information as the Company may reasonably request about Executive’s new position to allow the Company to determine whether such position and duties would likely lead to a violation of this Section 9 (except that Executive need not provide any information that would constitute confidential or trade secret information of the entity which Executive intends to be employed by, associated with or represent).</w:t>
      </w:r>
    </w:p>
    <w:p>
      <w:pPr>
        <w:pStyle w:val="TextBody"/>
        <w:bidi w:val="0"/>
        <w:spacing w:lineRule="auto" w:line="288" w:before="0" w:after="240"/>
        <w:jc w:val="both"/>
        <w:rPr/>
      </w:pPr>
      <w:r>
        <w:rPr>
          <w:rFonts w:ascii="Times New Roman;serif" w:hAnsi="Times New Roman;serif"/>
          <w:b w:val="false"/>
          <w:color w:val="000000"/>
          <w:sz w:val="24"/>
        </w:rPr>
        <w:t>10.    </w:t>
      </w:r>
      <w:r>
        <w:rPr>
          <w:rFonts w:ascii="Times New Roman;serif" w:hAnsi="Times New Roman;serif"/>
          <w:b/>
          <w:color w:val="000000"/>
          <w:sz w:val="24"/>
        </w:rPr>
        <w:t>Confidentiality and Cooperation.</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(a)    Except for Permitted Disclosures (as set forth in Section 10(d) below), Executive shall not knowingly use, disclose or reveal to any unauthorized person, at any time after the Effective Date, any trade secret or other confidential information relating to the Company or any of its affiliates, or any of their respective businesses or principals, such as, without limitation, dealers’ or distributor’s lists, information regarding personnel and manufacturing processes, marketing and sales plans, pricing or cost information, and all other such information; and Executive confirms that such information is the exclusive property of the Company and its affiliates. Upon termination of Executive’s employment, Executive agrees to promptly return to the Company on demand by the Company all Company property and all memoranda, books, papers, letters and other data, and all copies thereof or therefrom, in any </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560705"/>
                <wp:effectExtent l="0" t="0" r="0" b="0"/>
                <wp:wrapNone/>
                <wp:docPr id="13" name="Frame13"/>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way relating to the business of the Company and its affiliates, whether made by Executive or otherwise in Executive’s possession.</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(b)    Any design, engineering methods, techniques, discoveries, inventions (whether patentable or not), formulae, formulations, technical and product specifications, bill of materials, equipment descriptions, plans, layouts, drawings, computer programs, assembly, quality control, installation and operating procedures, operating manuals, strategic, technical or marketing information, designs, data, secret knowledge, know-how and all other information of a confidential nature prepared or produced during the period of Executive’s employment and which ideas, processes, and other materials or information relate to any of the businesses of the Company, will be owned by the Company and its affiliates whether or not Executive should in fact execute an assignment thereof or other instrument or document which may be reasonably necessary to protect and secure such rights to the Company.</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    Following the termination of Executive’s employment, Executive agrees to make Executive reasonably available to the Company to respond to periodic requests for information relating to the Company or Executive’s employment which may be within Executive’s knowledge. Executive further agrees to cooperate fully with the Company without requiring service of a subpoena or other legal process in connection with any and all existing or future depositions, litigation, or investigations brought by or against the Company, any entity related to the Company, or any of its (their) agents, officers, directors or employees, whether administrative, civil or criminal in nature, in which and to the extent the Company deems Executive’s cooperation necessary. The term “cooperation” does not mean that Executive must provide information that is favorable to the Company; it means only that Executive will provide truthful information within Executive’s knowledge and possession upon request of the Company. If Executive is subpoenaed in connection with any litigation or investigation (other than a subpoena issued by a government agency), Executive will immediately notify the Company. Executive will not receive any additional compensation, other than reimbursement for reasonable costs and expenses incurred by Executive, in complying with the terms of this Section 10(c).</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(d)    For the avoidance of doubt, the parties agree that nothing in this Agreement or any other agreement or policy applicable to Executive prohibits or restricts Executive (or Executive’s attorney) from (i) communicating with, or voluntarily providing information Executive believes indicates possible or actual violations of the law to, local, state or federal government agencies (including but not limited to the Securities and Exchange Commission), any legislative body, law enforcement, or any self-regulatory organizations, (ii) responding to any inquiry about this Agreement or its underlying facts and circumstances by the Securities and Exchange Commission, the Financial Industry Regulatory Authority, any other self-regulatory organization or governmental entity, or (iii) making other disclosures that are protected under the whistleblower provisions of federal law or regulation (collectively, “Permitted Disclosures”). Executive understands and acknowledges that Executive does not need the prior authorization of the Company to make Permitted Disclosures and that Executive is not required to notify the Company that Executive has made such Permitted Disclosures. Notwithstanding Executive’s confidentiality and nondisclosure obligations, Executive is hereby advised as follows pursuant to the Defend Trade Secrets Act: “An </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560705"/>
                <wp:effectExtent l="0" t="0" r="0" b="0"/>
                <wp:wrapNone/>
                <wp:docPr id="14" name="Frame14"/>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 (A) files any document containing the trade secret under seal; and (B) does not disclose the trade secret, except pursuant to court order.”</w:t>
      </w:r>
    </w:p>
    <w:p>
      <w:pPr>
        <w:pStyle w:val="TextBody"/>
        <w:bidi w:val="0"/>
        <w:spacing w:lineRule="auto" w:line="288" w:before="0" w:after="240"/>
        <w:jc w:val="both"/>
        <w:rPr/>
      </w:pPr>
      <w:r>
        <w:rPr>
          <w:rFonts w:ascii="Times New Roman;serif" w:hAnsi="Times New Roman;serif"/>
          <w:b w:val="false"/>
          <w:color w:val="000000"/>
          <w:sz w:val="24"/>
        </w:rPr>
        <w:t>11.    </w:t>
      </w:r>
      <w:r>
        <w:rPr>
          <w:rFonts w:ascii="Times New Roman;serif" w:hAnsi="Times New Roman;serif"/>
          <w:b/>
          <w:color w:val="000000"/>
          <w:sz w:val="24"/>
        </w:rPr>
        <w:t>Arbitration.</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    Except as provided by Section 9(d) or Section 11(c), any dispute or controversy arising under or in connection with this Agreement that the parties cannot mutually resolve must be settled exclusively by arbitration in Southfield, Michigan, before one arbitrator of exemplary qualifications and stature, who will be selected jointly by the Company and Executive, or if the parties cannot agree on the selection of the arbitrator, who will be selected under the procedures of the American Arbitration Association, and such arbitration will be conducted under the Employment Dispute Resolution Rules of the American Arbitration Association then in effect.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(b)    The parties agree to use their best efforts to (i) appoint (or, if applicable, cause the American Arbitration Association to appoint) the arbitrator within thirty (30) days of the date that a party notifies the other party that a dispute or controversy exists that necessitates the appointment of an arbitrator, and (ii) cause any arbitration hearing to be held within thirty (30) days of the date of selection of the arbitrator, and, as a condition to the arbitrator’s selection, such arbitrator must consent to be available for a hearing, at such time.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    Judgment may be entered on the arbitrator’s award in any court having jurisdiction, provided that Executive will be entitled to seek specific performance of Executive’s right to be paid and to participate in benefit programs during the pendency of any dispute or controversy arising under or in connection with this Agreement. The Company and Executive agree that the arbitrator is empowered to enter an equitable decree mandating specific performance of the terms of this Agreement. If any dispute under this Section 11 is pending while Executive remains employed by the Company, Executive will continue to receive at a minimum the base salary which Executive was receiving immediately prior to the act or omission which forms the basis for the dispute. At the close of the arbitration, such continued base salary payments may be offset against any damages awarded to Executive or may be recovered from Executive if it is determined that Executive was not entitled to the continued payment of base salary under the other provisions of this Agreement.</w:t>
      </w:r>
    </w:p>
    <w:p>
      <w:pPr>
        <w:pStyle w:val="TextBody"/>
        <w:bidi w:val="0"/>
        <w:spacing w:lineRule="auto" w:line="288" w:before="0" w:after="240"/>
        <w:jc w:val="both"/>
        <w:rPr/>
      </w:pPr>
      <w:r>
        <w:rPr>
          <w:rFonts w:ascii="Times New Roman;serif" w:hAnsi="Times New Roman;serif"/>
          <w:b w:val="false"/>
          <w:color w:val="000000"/>
          <w:sz w:val="24"/>
        </w:rPr>
        <w:t>12.    </w:t>
      </w:r>
      <w:r>
        <w:rPr>
          <w:rFonts w:ascii="Times New Roman;serif" w:hAnsi="Times New Roman;serif"/>
          <w:b/>
          <w:color w:val="000000"/>
          <w:sz w:val="24"/>
        </w:rPr>
        <w:t>Modifications.</w:t>
      </w:r>
      <w:r>
        <w:rPr>
          <w:color w:val="000000"/>
        </w:rPr>
        <w:t xml:space="preserve"> </w:t>
      </w:r>
      <w:r>
        <w:rPr>
          <w:rFonts w:ascii="Times New Roman;serif" w:hAnsi="Times New Roman;serif"/>
          <w:b w:val="false"/>
          <w:color w:val="000000"/>
          <w:sz w:val="24"/>
        </w:rPr>
        <w:t>No provision of this Agreement may be modified, amended, waived or discharged unless such modification, amendment, waiver or discharge is agreed to in writing and signed by both Executive and such officer of the Company as may be specifically designated by the Board.</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560705"/>
                <wp:effectExtent l="0" t="0" r="0" b="0"/>
                <wp:wrapNone/>
                <wp:docPr id="15" name="Frame15"/>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13.    </w:t>
      </w:r>
      <w:r>
        <w:rPr>
          <w:rFonts w:ascii="Times New Roman;serif" w:hAnsi="Times New Roman;serif"/>
          <w:b/>
          <w:color w:val="000000"/>
          <w:sz w:val="24"/>
        </w:rPr>
        <w:t>No Implied Waivers.</w:t>
      </w:r>
      <w:r>
        <w:rPr>
          <w:color w:val="000000"/>
        </w:rPr>
        <w:t xml:space="preserve"> </w:t>
      </w:r>
      <w:r>
        <w:rPr>
          <w:rFonts w:ascii="Times New Roman;serif" w:hAnsi="Times New Roman;serif"/>
          <w:b w:val="false"/>
          <w:color w:val="000000"/>
          <w:sz w:val="24"/>
        </w:rPr>
        <w:t>Failure of either party at any time to require performance by the other party of any provision of this Agreement will in no way affect the full right to require such performance at any later time. Waiver by either party of a breach of any obligation in this Agreement will not constitute a waiver of any succeeding breach of the same obligation. Failure of either party to exercise any of its rights under this Agreement will not constitute a waiver of such right.</w:t>
      </w:r>
    </w:p>
    <w:p>
      <w:pPr>
        <w:pStyle w:val="TextBody"/>
        <w:bidi w:val="0"/>
        <w:spacing w:lineRule="auto" w:line="288" w:before="0" w:after="240"/>
        <w:jc w:val="both"/>
        <w:rPr/>
      </w:pPr>
      <w:r>
        <w:rPr>
          <w:rFonts w:ascii="Times New Roman;serif" w:hAnsi="Times New Roman;serif"/>
          <w:b w:val="false"/>
          <w:color w:val="000000"/>
          <w:sz w:val="24"/>
        </w:rPr>
        <w:t>14.    </w:t>
      </w:r>
      <w:r>
        <w:rPr>
          <w:rFonts w:ascii="Times New Roman;serif" w:hAnsi="Times New Roman;serif"/>
          <w:b/>
          <w:color w:val="000000"/>
          <w:sz w:val="24"/>
        </w:rPr>
        <w:t>Governing Law.</w:t>
      </w:r>
      <w:r>
        <w:rPr>
          <w:color w:val="000000"/>
        </w:rPr>
        <w:t xml:space="preserve"> </w:t>
      </w:r>
      <w:r>
        <w:rPr>
          <w:rFonts w:ascii="Times New Roman;serif" w:hAnsi="Times New Roman;serif"/>
          <w:b w:val="false"/>
          <w:color w:val="000000"/>
          <w:sz w:val="24"/>
        </w:rPr>
        <w:t>The validity, interpretation, construction and performance of this Agreement is governed by the laws of the State of Michigan without giving effect to any conflicts of laws rules.</w:t>
      </w:r>
    </w:p>
    <w:p>
      <w:pPr>
        <w:pStyle w:val="TextBody"/>
        <w:bidi w:val="0"/>
        <w:spacing w:lineRule="auto" w:line="288" w:before="0" w:after="240"/>
        <w:jc w:val="both"/>
        <w:rPr/>
      </w:pPr>
      <w:r>
        <w:rPr>
          <w:rFonts w:ascii="Times New Roman;serif" w:hAnsi="Times New Roman;serif"/>
          <w:b w:val="false"/>
          <w:color w:val="000000"/>
          <w:sz w:val="24"/>
        </w:rPr>
        <w:t>15.    </w:t>
      </w:r>
      <w:r>
        <w:rPr>
          <w:rFonts w:ascii="Times New Roman;serif" w:hAnsi="Times New Roman;serif"/>
          <w:b/>
          <w:color w:val="000000"/>
          <w:sz w:val="24"/>
        </w:rPr>
        <w:t>Payments Net of Taxes.</w:t>
      </w:r>
      <w:r>
        <w:rPr>
          <w:color w:val="000000"/>
        </w:rPr>
        <w:t xml:space="preserve"> </w:t>
      </w:r>
      <w:r>
        <w:rPr>
          <w:rFonts w:ascii="Times New Roman;serif" w:hAnsi="Times New Roman;serif"/>
          <w:b w:val="false"/>
          <w:color w:val="000000"/>
          <w:sz w:val="24"/>
        </w:rPr>
        <w:t>Any payments provided for in this Agreement which are subject to Federal, State, local or other governmental tax or other withholding requirements or obligations, will have such amounts withheld prior to payment, and the Company will be considered to have fully satisfied its obligation under this Agreement by making such payments to Executive net of and after deduction for all applicable withholding obligations.</w:t>
      </w:r>
    </w:p>
    <w:p>
      <w:pPr>
        <w:pStyle w:val="TextBody"/>
        <w:bidi w:val="0"/>
        <w:spacing w:lineRule="auto" w:line="288" w:before="0" w:after="240"/>
        <w:jc w:val="both"/>
        <w:rPr/>
      </w:pPr>
      <w:r>
        <w:rPr>
          <w:rFonts w:ascii="Times New Roman;serif" w:hAnsi="Times New Roman;serif"/>
          <w:b w:val="false"/>
          <w:color w:val="000000"/>
          <w:sz w:val="24"/>
        </w:rPr>
        <w:t>16.    </w:t>
      </w:r>
      <w:r>
        <w:rPr>
          <w:rFonts w:ascii="Times New Roman;serif" w:hAnsi="Times New Roman;serif"/>
          <w:b/>
          <w:color w:val="000000"/>
          <w:sz w:val="24"/>
        </w:rPr>
        <w:t xml:space="preserve">Clawback. </w:t>
      </w:r>
      <w:r>
        <w:rPr>
          <w:rFonts w:ascii="Times New Roman;serif" w:hAnsi="Times New Roman;serif"/>
          <w:b w:val="false"/>
          <w:color w:val="000000"/>
          <w:sz w:val="24"/>
        </w:rPr>
        <w:t xml:space="preserve">Notwithstanding any other provisions in this Agreement to the contrary, any incentive-based or other compensation paid to the Executive under this Agreement or any other agreement or arrangement with the Company will be subject to clawback or recoupment as may be required pursuant to any policy currently in place, or adopted by the Company to comply with any law, government regulation, or stock exchange listing requirement, or adopted by the Company for any other reason provided such policy applies to senior executives, as each such policy may be amended from time to time. </w:t>
      </w:r>
    </w:p>
    <w:p>
      <w:pPr>
        <w:pStyle w:val="TextBody"/>
        <w:bidi w:val="0"/>
        <w:spacing w:lineRule="auto" w:line="288" w:before="0" w:after="240"/>
        <w:jc w:val="both"/>
        <w:rPr/>
      </w:pPr>
      <w:r>
        <w:rPr>
          <w:rFonts w:ascii="Times New Roman;serif" w:hAnsi="Times New Roman;serif"/>
          <w:b w:val="false"/>
          <w:color w:val="000000"/>
          <w:sz w:val="24"/>
        </w:rPr>
        <w:t>17.    </w:t>
      </w:r>
      <w:r>
        <w:rPr>
          <w:rFonts w:ascii="Times New Roman;serif" w:hAnsi="Times New Roman;serif"/>
          <w:b/>
          <w:color w:val="000000"/>
          <w:sz w:val="24"/>
        </w:rPr>
        <w:t>Capacity of Parties.</w:t>
      </w:r>
      <w:r>
        <w:rPr>
          <w:color w:val="000000"/>
        </w:rPr>
        <w:t xml:space="preserve"> </w:t>
      </w:r>
      <w:r>
        <w:rPr>
          <w:rFonts w:ascii="Times New Roman;serif" w:hAnsi="Times New Roman;serif"/>
          <w:b w:val="false"/>
          <w:color w:val="000000"/>
          <w:sz w:val="24"/>
        </w:rPr>
        <w:t>The parties warrant that they have the capacity and authority to execute this Agreement.</w:t>
      </w:r>
    </w:p>
    <w:p>
      <w:pPr>
        <w:pStyle w:val="TextBody"/>
        <w:bidi w:val="0"/>
        <w:spacing w:lineRule="auto" w:line="288" w:before="0" w:after="240"/>
        <w:jc w:val="both"/>
        <w:rPr/>
      </w:pPr>
      <w:r>
        <w:rPr>
          <w:rFonts w:ascii="Times New Roman;serif" w:hAnsi="Times New Roman;serif"/>
          <w:b w:val="false"/>
          <w:color w:val="000000"/>
          <w:sz w:val="24"/>
        </w:rPr>
        <w:t>18.    </w:t>
      </w:r>
      <w:r>
        <w:rPr>
          <w:rFonts w:ascii="Times New Roman;serif" w:hAnsi="Times New Roman;serif"/>
          <w:b/>
          <w:color w:val="000000"/>
          <w:sz w:val="24"/>
        </w:rPr>
        <w:t>Validity.</w:t>
      </w:r>
      <w:r>
        <w:rPr>
          <w:color w:val="000000"/>
        </w:rPr>
        <w:t xml:space="preserve"> </w:t>
      </w:r>
      <w:r>
        <w:rPr>
          <w:rFonts w:ascii="Times New Roman;serif" w:hAnsi="Times New Roman;serif"/>
          <w:b w:val="false"/>
          <w:color w:val="000000"/>
          <w:sz w:val="24"/>
        </w:rPr>
        <w:t>The invalidity or unenforceability of any provision of this Agreement will not, at the option of the party for whose benefit such provision was intended, affect the validity or enforceability of any other provision of the Agreement, which will remain in full force and effect.</w:t>
      </w:r>
    </w:p>
    <w:p>
      <w:pPr>
        <w:pStyle w:val="TextBody"/>
        <w:bidi w:val="0"/>
        <w:spacing w:lineRule="auto" w:line="288" w:before="0" w:after="240"/>
        <w:jc w:val="both"/>
        <w:rPr/>
      </w:pPr>
      <w:r>
        <w:rPr>
          <w:rFonts w:ascii="Times New Roman;serif" w:hAnsi="Times New Roman;serif"/>
          <w:b w:val="false"/>
          <w:color w:val="000000"/>
          <w:sz w:val="24"/>
        </w:rPr>
        <w:t>19.    </w:t>
      </w:r>
      <w:r>
        <w:rPr>
          <w:rFonts w:ascii="Times New Roman;serif" w:hAnsi="Times New Roman;serif"/>
          <w:b/>
          <w:color w:val="000000"/>
          <w:sz w:val="24"/>
        </w:rPr>
        <w:t>Counterparts; Electronic Signature.</w:t>
      </w:r>
      <w:r>
        <w:rPr>
          <w:color w:val="000000"/>
        </w:rPr>
        <w:t xml:space="preserve"> </w:t>
      </w:r>
      <w:r>
        <w:rPr>
          <w:rFonts w:ascii="Times New Roman;serif" w:hAnsi="Times New Roman;serif"/>
          <w:b w:val="false"/>
          <w:color w:val="000000"/>
          <w:sz w:val="24"/>
        </w:rPr>
        <w:t>This Agreement may be executed in several counterparts, each of which is deemed to be an original but all of which together constitute one and the same instrument. The email or other electronically delivered signatures of the parties shall be deemed to constitute original signatures, and electronic copies hereof shall be deemed to constitute duplicate originals.</w:t>
      </w:r>
    </w:p>
    <w:p>
      <w:pPr>
        <w:pStyle w:val="TextBody"/>
        <w:bidi w:val="0"/>
        <w:spacing w:lineRule="auto" w:line="288" w:before="0" w:after="240"/>
        <w:jc w:val="both"/>
        <w:rPr/>
      </w:pPr>
      <w:r>
        <w:rPr>
          <w:rFonts w:ascii="Times New Roman;serif" w:hAnsi="Times New Roman;serif"/>
          <w:b w:val="false"/>
          <w:color w:val="000000"/>
          <w:sz w:val="24"/>
        </w:rPr>
        <w:t>20.    </w:t>
      </w:r>
      <w:r>
        <w:rPr>
          <w:rFonts w:ascii="Times New Roman;serif" w:hAnsi="Times New Roman;serif"/>
          <w:b/>
          <w:color w:val="000000"/>
          <w:sz w:val="24"/>
        </w:rPr>
        <w:t>Entire Agreement.</w:t>
      </w:r>
      <w:r>
        <w:rPr>
          <w:color w:val="000000"/>
        </w:rPr>
        <w:t xml:space="preserve"> </w:t>
      </w:r>
      <w:r>
        <w:rPr>
          <w:rFonts w:ascii="Times New Roman;serif" w:hAnsi="Times New Roman;serif"/>
          <w:b w:val="false"/>
          <w:color w:val="000000"/>
          <w:sz w:val="24"/>
        </w:rPr>
        <w:t>On and after the Effective Date, this Agreement will contain the entire agreement by the parties with respect to the matters covered in this Agreement and supersede any prior agreement, condition, practice, custom, usage and obligation with respect to such matters insofar as any such prior agreement, condition, practice, custom, usage or obligation might have given rise to any enforceable right; provided, however, this Agreement does not supersede the Invention and Secrecy Agreement between the parties and these two agreements will be construed in a manner to provide the Company the maximum protection under both this Agreement and the Invention and Secrecy Agreement. No agreements, understandings or representations, oral or otherwise, express or implied, with respect to the subject matter of this Agreement have been made by either party which are not expressly set forth in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560705"/>
                <wp:effectExtent l="0" t="0" r="0" b="0"/>
                <wp:wrapNone/>
                <wp:docPr id="16" name="Frame16"/>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21.    </w:t>
      </w:r>
      <w:r>
        <w:rPr>
          <w:rFonts w:ascii="Times New Roman;serif" w:hAnsi="Times New Roman;serif"/>
          <w:b/>
          <w:color w:val="000000"/>
          <w:sz w:val="24"/>
        </w:rPr>
        <w:t>Legal Fees and Expenses.</w:t>
      </w:r>
      <w:r>
        <w:rPr>
          <w:color w:val="000000"/>
        </w:rPr>
        <w:t xml:space="preserve"> </w:t>
      </w:r>
      <w:r>
        <w:rPr>
          <w:rFonts w:ascii="Times New Roman;serif" w:hAnsi="Times New Roman;serif"/>
          <w:b w:val="false"/>
          <w:color w:val="000000"/>
          <w:sz w:val="24"/>
        </w:rPr>
        <w:t xml:space="preserve">It is the Company’s intent that Executive not be required to incur the expenses associated with the enforcement of Executive’s rights under this Agreement by litigation or other legal action because their cost and expense would substantially detract from the benefits intended to be extended to Executive. Accordingly, the Company shall pay or cause to be paid and be solely responsible for any and all reasonable attorneys’ and related fees and expenses incurred by Executive (i) as a result of the Company’s failure to perform this Agreement or any of its provisions or (ii) as a result of the Company unreasonably or maliciously contesting the validity or enforceability of this Agreement or any of its provisions. </w:t>
      </w:r>
    </w:p>
    <w:p>
      <w:pPr>
        <w:pStyle w:val="TextBody"/>
        <w:bidi w:val="0"/>
        <w:spacing w:lineRule="auto" w:line="288" w:before="0" w:after="240"/>
        <w:jc w:val="both"/>
        <w:rPr/>
      </w:pPr>
      <w:r>
        <w:rPr>
          <w:rFonts w:ascii="Times New Roman;serif" w:hAnsi="Times New Roman;serif"/>
          <w:b w:val="false"/>
          <w:color w:val="000000"/>
          <w:sz w:val="24"/>
        </w:rPr>
        <w:t>22.    </w:t>
      </w:r>
      <w:r>
        <w:rPr>
          <w:rFonts w:ascii="Times New Roman;serif" w:hAnsi="Times New Roman;serif"/>
          <w:b/>
          <w:color w:val="000000"/>
          <w:sz w:val="24"/>
        </w:rPr>
        <w:t xml:space="preserve">Code Section 409A. </w:t>
      </w:r>
      <w:r>
        <w:rPr>
          <w:rFonts w:ascii="Times New Roman;serif" w:hAnsi="Times New Roman;serif"/>
          <w:b w:val="false"/>
          <w:color w:val="000000"/>
          <w:sz w:val="24"/>
        </w:rPr>
        <w:t>Notwithstanding anything to the contrary in Section 5, and to the maximum extent permitted by law, this Agreement will be interpreted in such a manner that all payments of Severance Benefits to Executive under this Agreement are either exempt from, or comply with, Section 409A of the Internal Revenue Code of 1986, as amended (“</w:t>
      </w:r>
      <w:r>
        <w:rPr>
          <w:rFonts w:ascii="Times New Roman;serif" w:hAnsi="Times New Roman;serif"/>
          <w:b/>
          <w:color w:val="000000"/>
          <w:sz w:val="24"/>
        </w:rPr>
        <w:t>Code</w:t>
      </w:r>
      <w:r>
        <w:rPr>
          <w:color w:val="000000"/>
        </w:rPr>
        <w:t>”</w:t>
      </w:r>
      <w:r>
        <w:rPr>
          <w:rFonts w:ascii="Times New Roman;serif" w:hAnsi="Times New Roman;serif"/>
          <w:b w:val="false"/>
          <w:color w:val="000000"/>
          <w:sz w:val="24"/>
        </w:rPr>
        <w:t>), and its regulations and other interpretive guidance (collectively, “</w:t>
      </w:r>
      <w:r>
        <w:rPr>
          <w:rFonts w:ascii="Times New Roman;serif" w:hAnsi="Times New Roman;serif"/>
          <w:b/>
          <w:color w:val="000000"/>
          <w:sz w:val="24"/>
        </w:rPr>
        <w:t>Section 409A</w:t>
      </w:r>
      <w:r>
        <w:rPr>
          <w:color w:val="000000"/>
        </w:rPr>
        <w:t>”</w:t>
      </w:r>
      <w:r>
        <w:rPr>
          <w:rFonts w:ascii="Times New Roman;serif" w:hAnsi="Times New Roman;serif"/>
          <w:b w:val="false"/>
          <w:color w:val="000000"/>
          <w:sz w:val="24"/>
        </w:rPr>
        <w:t xml:space="preserve">), including without limitation any such regulations or other guidance that may be issued after the Effective Date. For purposes of Section 409A, the right to a series of installment payments under this Agreement will be treated as a right to a series of separate payments.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Lear Corporation Code Section 409A Policies and Procedures as in effect on the Effective Date are hereby incorporated by reference in this Agreement as if set forth in this Agreement, and supersede any conflicting provisions of this Agreement.</w:t>
      </w:r>
    </w:p>
    <w:p>
      <w:pPr>
        <w:pStyle w:val="TextBody"/>
        <w:bidi w:val="0"/>
        <w:spacing w:before="0" w:after="0"/>
        <w:jc w:val="both"/>
        <w:rPr/>
      </w:pPr>
      <w:r>
        <w:rPr/>
      </w:r>
    </w:p>
    <w:p>
      <w:pPr>
        <w:pStyle w:val="TextBody"/>
        <w:bidi w:val="0"/>
        <w:spacing w:lineRule="auto" w:line="288" w:before="0" w:after="240"/>
        <w:jc w:val="both"/>
        <w:rPr/>
      </w:pPr>
      <w:r>
        <w:rPr>
          <w:rFonts w:ascii="Times New Roman;serif" w:hAnsi="Times New Roman;serif"/>
          <w:b w:val="false"/>
          <w:color w:val="000000"/>
          <w:sz w:val="24"/>
        </w:rPr>
        <w:t>23.    </w:t>
      </w:r>
      <w:r>
        <w:rPr>
          <w:rFonts w:ascii="Times New Roman;serif" w:hAnsi="Times New Roman;serif"/>
          <w:b/>
          <w:color w:val="000000"/>
          <w:sz w:val="24"/>
        </w:rPr>
        <w:t>No Excise Tax Gross-Up; Possible Reduction of Payments.</w:t>
      </w:r>
    </w:p>
    <w:p>
      <w:pPr>
        <w:pStyle w:val="TextBody"/>
        <w:bidi w:val="0"/>
        <w:spacing w:lineRule="auto" w:line="288" w:before="0" w:after="240"/>
        <w:jc w:val="both"/>
        <w:rPr/>
      </w:pPr>
      <w:r>
        <w:rPr>
          <w:rFonts w:ascii="Times New Roman;serif" w:hAnsi="Times New Roman;serif"/>
          <w:b w:val="false"/>
          <w:color w:val="000000"/>
          <w:sz w:val="24"/>
        </w:rPr>
        <w:t>(a)    If it is determined that any amount or benefit to be paid or payable to Executive under this Agreement or otherwise in conjunction with Executive’s employment (whether paid or payable or distributed or distributable pursuant to the terms of this Agreement or otherwise in conjunction with Executive’s employment) constitute “parachute payments” within the meaning of Section 280G of the Code would give rise to liability of Executive for the excise tax imposed by Section 4999 of the Code, as amended from time to time, or any successor provision (“</w:t>
      </w:r>
      <w:r>
        <w:rPr>
          <w:rFonts w:ascii="Times New Roman;serif" w:hAnsi="Times New Roman;serif"/>
          <w:b/>
          <w:color w:val="000000"/>
          <w:sz w:val="24"/>
        </w:rPr>
        <w:t>Excise Tax</w:t>
      </w:r>
      <w:r>
        <w:rPr>
          <w:color w:val="000000"/>
        </w:rPr>
        <w:t>”</w:t>
      </w:r>
      <w:r>
        <w:rPr>
          <w:rFonts w:ascii="Times New Roman;serif" w:hAnsi="Times New Roman;serif"/>
          <w:b w:val="false"/>
          <w:color w:val="000000"/>
          <w:sz w:val="24"/>
        </w:rPr>
        <w:t>), then the amount or benefits payable to Executive (the total value of such amounts or benefits, the “</w:t>
      </w:r>
      <w:r>
        <w:rPr>
          <w:rFonts w:ascii="Times New Roman;serif" w:hAnsi="Times New Roman;serif"/>
          <w:b/>
          <w:color w:val="000000"/>
          <w:sz w:val="24"/>
        </w:rPr>
        <w:t>Payments</w:t>
      </w:r>
      <w:r>
        <w:rPr>
          <w:color w:val="000000"/>
        </w:rPr>
        <w:t>”</w:t>
      </w:r>
      <w:r>
        <w:rPr>
          <w:rFonts w:ascii="Times New Roman;serif" w:hAnsi="Times New Roman;serif"/>
          <w:b w:val="false"/>
          <w:color w:val="000000"/>
          <w:sz w:val="24"/>
        </w:rPr>
        <w:t>) will be reduced in a manner determined by the Company (by the minimum possible amounts) to the extent necessary so that no portion of the Payments to Executive is subject to the Excise Tax; provided, however, such reduction will be made only if it results in the Executive retaining a greater amount of Payments on an after-tax basis (taking into account the Excise Tax and applicable federal, state, and local income and payroll taxes). If Payments are required to be reduced pursuant to this Section 23(a), they shall be reduced in the following order of priority in a manner consistent with Section 409A: (i) first from cash compensation, (ii) next from equity compensation, then (iii) pro-rata among all remaining Payments and benefits.</w:t>
      </w:r>
    </w:p>
    <w:p>
      <w:pPr>
        <w:pStyle w:val="TextBody"/>
        <w:bidi w:val="0"/>
        <w:spacing w:lineRule="auto" w:line="288" w:before="0" w:after="240"/>
        <w:jc w:val="both"/>
        <w:rPr/>
      </w:pPr>
      <w:r>
        <w:rPr>
          <w:rFonts w:ascii="Times New Roman;serif" w:hAnsi="Times New Roman;serif"/>
          <w:b w:val="false"/>
          <w:color w:val="000000"/>
          <w:sz w:val="24"/>
        </w:rPr>
        <w:t>(b)    The independent public accounting firm serving as the Company’s auditing firm, or such other accounting firm, law firm or professional consulting services provider of national reputation and experience reasonably acceptable to the Company and Executive (“</w:t>
      </w:r>
      <w:r>
        <w:rPr>
          <w:rFonts w:ascii="Times New Roman;serif" w:hAnsi="Times New Roman;serif"/>
          <w:b/>
          <w:color w:val="000000"/>
          <w:sz w:val="24"/>
        </w:rPr>
        <w:t>Accountants</w:t>
      </w:r>
      <w:r>
        <w:rPr>
          <w:color w:val="000000"/>
        </w:rPr>
        <w:t>”</w:t>
      </w:r>
      <w:r>
        <w:rPr>
          <w:rFonts w:ascii="Times New Roman;serif" w:hAnsi="Times New Roman;serif"/>
          <w:b w:val="false"/>
          <w:color w:val="000000"/>
          <w:sz w:val="24"/>
        </w:rPr>
        <w:t xml:space="preserve">) will make in writing in good faith all calculations and determinations under this Section 23, including the assumptions used in arriving at any calculations. In making the calculations and determinations under this Section 23, the Accountants and each other party </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560705"/>
                <wp:effectExtent l="0" t="0" r="0" b="0"/>
                <wp:wrapNone/>
                <wp:docPr id="17" name="Frame17"/>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may make reasonable assumptions and approximations concerning the application of Section 280G and Section 4999 of the Code. The Company and Executive shall furnish to the Accountants and each other such information and documents as the Accountants and each other may reasonably request to make the calculations and determinations under this Section 23. The Company shall bear all costs the Accountants incur in connection with any calculations contemplated under this Section 23.</w:t>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560705"/>
                <wp:effectExtent l="0" t="0" r="0" b="0"/>
                <wp:wrapNone/>
                <wp:docPr id="18" name="Frame18"/>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parties have executed this Agreement as of the date and year first above written.</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LEAR CORPORATION</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tbl>
      <w:tblPr>
        <w:tblW w:w="4317" w:type="dxa"/>
        <w:jc w:val="left"/>
        <w:tblInd w:w="0" w:type="dxa"/>
        <w:tblLayout w:type="fixed"/>
        <w:tblCellMar>
          <w:top w:w="28" w:type="dxa"/>
          <w:left w:w="28" w:type="dxa"/>
          <w:bottom w:w="28" w:type="dxa"/>
          <w:right w:w="28" w:type="dxa"/>
        </w:tblCellMar>
      </w:tblPr>
      <w:tblGrid>
        <w:gridCol w:w="514"/>
        <w:gridCol w:w="452"/>
        <w:gridCol w:w="452"/>
        <w:gridCol w:w="452"/>
        <w:gridCol w:w="452"/>
        <w:gridCol w:w="452"/>
        <w:gridCol w:w="452"/>
        <w:gridCol w:w="452"/>
        <w:gridCol w:w="639"/>
      </w:tblGrid>
      <w:tr>
        <w:trPr/>
        <w:tc>
          <w:tcPr>
            <w:tcW w:w="514"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r>
      <w:tr>
        <w:trPr/>
        <w:tc>
          <w:tcPr>
            <w:tcW w:w="4317" w:type="dxa"/>
            <w:gridSpan w:val="9"/>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 xml:space="preserve">/s/ Raymond E. Scott </w:t>
            </w:r>
          </w:p>
        </w:tc>
      </w:tr>
      <w:tr>
        <w:trPr/>
        <w:tc>
          <w:tcPr>
            <w:tcW w:w="1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Raymond E. Scott</w:t>
            </w:r>
          </w:p>
        </w:tc>
      </w:tr>
      <w:tr>
        <w:trPr/>
        <w:tc>
          <w:tcPr>
            <w:tcW w:w="431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President and Chief Executive Officer</w:t>
            </w:r>
          </w:p>
        </w:tc>
      </w:tr>
      <w:tr>
        <w:trPr/>
        <w:tc>
          <w:tcPr>
            <w:tcW w:w="431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Address: 21557 Telegraph Road</w:t>
            </w:r>
          </w:p>
        </w:tc>
      </w:tr>
      <w:tr>
        <w:trPr/>
        <w:tc>
          <w:tcPr>
            <w:tcW w:w="431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Southfield, MI 48033</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EXECUTIVE:</w:t>
      </w:r>
    </w:p>
    <w:p>
      <w:pPr>
        <w:pStyle w:val="TextBody"/>
        <w:bidi w:val="0"/>
        <w:spacing w:before="0" w:after="0"/>
        <w:jc w:val="both"/>
        <w:rPr/>
      </w:pPr>
      <w:r>
        <w:rPr/>
      </w:r>
    </w:p>
    <w:tbl>
      <w:tblPr>
        <w:tblW w:w="3000" w:type="dxa"/>
        <w:jc w:val="left"/>
        <w:tblInd w:w="0" w:type="dxa"/>
        <w:tblLayout w:type="fixed"/>
        <w:tblCellMar>
          <w:top w:w="28" w:type="dxa"/>
          <w:left w:w="28" w:type="dxa"/>
          <w:bottom w:w="28" w:type="dxa"/>
          <w:right w:w="28" w:type="dxa"/>
        </w:tblCellMar>
      </w:tblPr>
      <w:tblGrid>
        <w:gridCol w:w="961"/>
        <w:gridCol w:w="844"/>
        <w:gridCol w:w="1195"/>
      </w:tblGrid>
      <w:tr>
        <w:trPr/>
        <w:tc>
          <w:tcPr>
            <w:tcW w:w="96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 xml:space="preserve">/s/ Jared Fedele </w:t>
            </w:r>
          </w:p>
        </w:tc>
      </w:tr>
      <w:tr>
        <w:trPr/>
        <w:tc>
          <w:tcPr>
            <w:tcW w:w="30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Jared Fedele</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Address: intentionally omitted</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Email: intentionally omitted</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560705"/>
                <wp:effectExtent l="0" t="0" r="0" b="0"/>
                <wp:wrapNone/>
                <wp:docPr id="19" name="Frame1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00" w:after="283"/>
        <w:jc w:val="right"/>
        <w:rPr>
          <w:rFonts w:ascii="Times New Roman;serif" w:hAnsi="Times New Roman;serif"/>
          <w:b/>
          <w:color w:val="000000"/>
          <w:sz w:val="24"/>
        </w:rPr>
      </w:pPr>
      <w:r>
        <w:rPr>
          <w:rFonts w:ascii="Times New Roman;serif" w:hAnsi="Times New Roman;serif"/>
          <w:b/>
          <w:color w:val="000000"/>
          <w:sz w:val="24"/>
        </w:rPr>
        <w:t>Exhibit 10.2</w:t>
      </w:r>
    </w:p>
    <w:p>
      <w:pPr>
        <w:pStyle w:val="TextBody"/>
        <w:bidi w:val="0"/>
        <w:spacing w:lineRule="auto" w:line="288" w:before="100" w:after="283"/>
        <w:jc w:val="center"/>
        <w:rPr>
          <w:rFonts w:ascii="Times New Roman;serif" w:hAnsi="Times New Roman;serif"/>
          <w:b/>
          <w:color w:val="1A1A1C"/>
          <w:sz w:val="22"/>
        </w:rPr>
      </w:pPr>
      <w:r>
        <w:rPr>
          <w:rFonts w:ascii="Times New Roman;serif" w:hAnsi="Times New Roman;serif"/>
          <w:b/>
          <w:color w:val="1A1A1C"/>
          <w:sz w:val="22"/>
        </w:rPr>
        <w:t>AMENDED AND RESTATED EMPLOYMENT AGREEMENT</w:t>
      </w:r>
    </w:p>
    <w:p>
      <w:pPr>
        <w:pStyle w:val="TextBody"/>
        <w:bidi w:val="0"/>
        <w:spacing w:lineRule="auto" w:line="288" w:before="237" w:after="283"/>
        <w:ind w:left="0" w:right="0" w:firstLine="684"/>
        <w:jc w:val="both"/>
        <w:rPr/>
      </w:pPr>
      <w:r>
        <w:rPr>
          <w:rFonts w:ascii="Times New Roman;serif" w:hAnsi="Times New Roman;serif"/>
          <w:b w:val="false"/>
          <w:color w:val="1A1A1C"/>
          <w:sz w:val="22"/>
        </w:rPr>
        <w:t>THIS AMENDED AND RESTATED EMPLOYMENT AGREEMENT (this “</w:t>
      </w:r>
      <w:r>
        <w:rPr>
          <w:rFonts w:ascii="Times New Roman;serif" w:hAnsi="Times New Roman;serif"/>
          <w:b w:val="false"/>
          <w:color w:val="1A1A1C"/>
          <w:sz w:val="22"/>
          <w:u w:val="single"/>
        </w:rPr>
        <w:t>Agreement</w:t>
      </w:r>
      <w:r>
        <w:rPr>
          <w:color w:val="1A1A1C"/>
        </w:rPr>
        <w:t>”</w:t>
      </w:r>
      <w:r>
        <w:rPr>
          <w:rFonts w:ascii="Times New Roman;serif" w:hAnsi="Times New Roman;serif"/>
          <w:b w:val="false"/>
          <w:color w:val="1A1A1C"/>
          <w:sz w:val="22"/>
        </w:rPr>
        <w:t xml:space="preserve">) is dated as </w:t>
      </w:r>
      <w:r>
        <w:rPr>
          <w:rFonts w:ascii="Times New Roman;serif" w:hAnsi="Times New Roman;serif"/>
          <w:b w:val="false"/>
          <w:color w:val="000000"/>
          <w:sz w:val="22"/>
        </w:rPr>
        <w:t>of October 13, 2026</w:t>
      </w:r>
      <w:r>
        <w:rPr>
          <w:rFonts w:ascii="Times New Roman;serif" w:hAnsi="Times New Roman;serif"/>
          <w:b w:val="false"/>
          <w:color w:val="1A1A1C"/>
          <w:sz w:val="22"/>
        </w:rPr>
        <w:t>, between Lear Corporation, a Delaware corporation (the “</w:t>
      </w:r>
      <w:r>
        <w:rPr>
          <w:rFonts w:ascii="Times New Roman;serif" w:hAnsi="Times New Roman;serif"/>
          <w:b w:val="false"/>
          <w:color w:val="1A1A1C"/>
          <w:sz w:val="22"/>
          <w:u w:val="single"/>
        </w:rPr>
        <w:t>Company</w:t>
      </w:r>
      <w:r>
        <w:rPr>
          <w:color w:val="1A1A1C"/>
        </w:rPr>
        <w:t>”</w:t>
      </w:r>
      <w:r>
        <w:rPr>
          <w:rFonts w:ascii="Times New Roman;serif" w:hAnsi="Times New Roman;serif"/>
          <w:b w:val="false"/>
          <w:color w:val="1A1A1C"/>
          <w:sz w:val="22"/>
        </w:rPr>
        <w:t>) and Jason M. Cardew (“</w:t>
      </w:r>
      <w:r>
        <w:rPr>
          <w:rFonts w:ascii="Times New Roman;serif" w:hAnsi="Times New Roman;serif"/>
          <w:b w:val="false"/>
          <w:color w:val="1A1A1C"/>
          <w:sz w:val="22"/>
          <w:u w:val="single"/>
        </w:rPr>
        <w:t>Executive</w:t>
      </w:r>
      <w:r>
        <w:rPr>
          <w:color w:val="1A1A1C"/>
        </w:rPr>
        <w:t>”</w:t>
      </w:r>
      <w:r>
        <w:rPr>
          <w:rFonts w:ascii="Times New Roman;serif" w:hAnsi="Times New Roman;serif"/>
          <w:b w:val="false"/>
          <w:color w:val="1A1A1C"/>
          <w:sz w:val="22"/>
        </w:rPr>
        <w:t>).</w:t>
      </w:r>
    </w:p>
    <w:p>
      <w:pPr>
        <w:pStyle w:val="TextBody"/>
        <w:bidi w:val="0"/>
        <w:spacing w:before="10" w:after="283"/>
        <w:jc w:val="both"/>
        <w:rPr/>
      </w:pPr>
      <w:r>
        <w:rPr/>
      </w:r>
    </w:p>
    <w:p>
      <w:pPr>
        <w:pStyle w:val="TextBody"/>
        <w:bidi w:val="0"/>
        <w:spacing w:lineRule="auto" w:line="288" w:before="0" w:after="0"/>
        <w:ind w:left="0" w:right="0" w:firstLine="720"/>
        <w:jc w:val="both"/>
        <w:rPr/>
      </w:pPr>
      <w:r>
        <w:rPr>
          <w:rFonts w:ascii="Times New Roman;serif" w:hAnsi="Times New Roman;serif"/>
          <w:b w:val="false"/>
          <w:color w:val="1A1A1C"/>
          <w:sz w:val="22"/>
        </w:rPr>
        <w:t>WHEREAS, the Company and Executive are currently parties to an existing employment agreement, dated September 27, 2019 (the “</w:t>
      </w:r>
      <w:r>
        <w:rPr>
          <w:rFonts w:ascii="Times New Roman;serif" w:hAnsi="Times New Roman;serif"/>
          <w:b w:val="false"/>
          <w:color w:val="1A1A1C"/>
          <w:sz w:val="22"/>
          <w:u w:val="single"/>
        </w:rPr>
        <w:t>Existing Agreement</w:t>
      </w:r>
      <w:r>
        <w:rPr>
          <w:color w:val="1A1A1C"/>
        </w:rPr>
        <w:t>”</w:t>
      </w:r>
      <w:r>
        <w:rPr>
          <w:rFonts w:ascii="Times New Roman;serif" w:hAnsi="Times New Roman;serif"/>
          <w:b w:val="false"/>
          <w:color w:val="1A1A1C"/>
          <w:sz w:val="22"/>
        </w:rPr>
        <w:t>), pursuant to which Executive serves as Senior Vice President and Chief Financial Officer of the Company;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1A1A1C"/>
          <w:sz w:val="22"/>
        </w:rPr>
        <w:t>WHEREAS, Executive agrees to assume his new position described herein and has delivered to the Chief Executive Officer of the Company, concurrently with the execution of this Agreement, his written resignation as Senior Vice President and Chief Financial Officer of the Company, effective February 28, 2027 (the “</w:t>
      </w:r>
      <w:r>
        <w:rPr>
          <w:rFonts w:ascii="Times New Roman;serif" w:hAnsi="Times New Roman;serif"/>
          <w:b w:val="false"/>
          <w:color w:val="1A1A1C"/>
          <w:sz w:val="22"/>
          <w:u w:val="single"/>
        </w:rPr>
        <w:t>Transition Date</w:t>
      </w:r>
      <w:r>
        <w:rPr>
          <w:color w:val="1A1A1C"/>
        </w:rPr>
        <w:t>”</w:t>
      </w:r>
      <w:r>
        <w:rPr>
          <w:rFonts w:ascii="Times New Roman;serif" w:hAnsi="Times New Roman;serif"/>
          <w:b w:val="false"/>
          <w:color w:val="1A1A1C"/>
          <w:sz w:val="22"/>
        </w:rPr>
        <w:t xml:space="preserv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1A1A1C"/>
          <w:sz w:val="22"/>
        </w:rPr>
        <w:t>WHEREAS, the parties have agreed that Executive will remain employed by the Company in a non-executive transition and advisory role from and after the Transition Date through December 31, 2027 (the “</w:t>
      </w:r>
      <w:r>
        <w:rPr>
          <w:rFonts w:ascii="Times New Roman;serif" w:hAnsi="Times New Roman;serif"/>
          <w:b w:val="false"/>
          <w:color w:val="1A1A1C"/>
          <w:sz w:val="22"/>
          <w:u w:val="single"/>
        </w:rPr>
        <w:t>Retirement Date</w:t>
      </w:r>
      <w:r>
        <w:rPr>
          <w:color w:val="1A1A1C"/>
        </w:rPr>
        <w:t>”</w:t>
      </w:r>
      <w:r>
        <w:rPr>
          <w:rFonts w:ascii="Times New Roman;serif" w:hAnsi="Times New Roman;serif"/>
          <w:b w:val="false"/>
          <w:color w:val="1A1A1C"/>
          <w:sz w:val="22"/>
        </w:rPr>
        <w:t xml:space="preserve">); </w:t>
      </w:r>
    </w:p>
    <w:p>
      <w:pPr>
        <w:pStyle w:val="TextBody"/>
        <w:bidi w:val="0"/>
        <w:spacing w:before="3" w:after="283"/>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1A1A1C"/>
          <w:sz w:val="22"/>
        </w:rPr>
      </w:pPr>
      <w:r>
        <w:rPr>
          <w:rFonts w:ascii="Times New Roman;serif" w:hAnsi="Times New Roman;serif"/>
          <w:b w:val="false"/>
          <w:color w:val="1A1A1C"/>
          <w:sz w:val="22"/>
        </w:rPr>
        <w:t>WHEREAS, the Company desires to have the benefit of Executive's continued service and the restrictive covenants contained herein; and</w:t>
      </w:r>
    </w:p>
    <w:p>
      <w:pPr>
        <w:pStyle w:val="TextBody"/>
        <w:bidi w:val="0"/>
        <w:spacing w:before="3" w:after="283"/>
        <w:ind w:left="0" w:right="0" w:firstLine="720"/>
        <w:jc w:val="both"/>
        <w:rPr/>
      </w:pPr>
      <w:r>
        <w:rPr/>
      </w:r>
    </w:p>
    <w:p>
      <w:pPr>
        <w:pStyle w:val="TextBody"/>
        <w:bidi w:val="0"/>
        <w:spacing w:lineRule="auto" w:line="292" w:before="0" w:after="0"/>
        <w:ind w:left="0" w:right="0" w:firstLine="720"/>
        <w:jc w:val="both"/>
        <w:rPr>
          <w:rFonts w:ascii="Times New Roman;serif" w:hAnsi="Times New Roman;serif"/>
          <w:b w:val="false"/>
          <w:color w:val="1A1A1C"/>
          <w:sz w:val="22"/>
        </w:rPr>
      </w:pPr>
      <w:r>
        <w:rPr>
          <w:rFonts w:ascii="Times New Roman;serif" w:hAnsi="Times New Roman;serif"/>
          <w:b w:val="false"/>
          <w:color w:val="1A1A1C"/>
          <w:sz w:val="22"/>
        </w:rPr>
        <w:t>WHEREAS, the parties desire to enter into this Agreement in order to set forth the terms of Executive's continuing employment through the Retirement Date.</w:t>
      </w:r>
    </w:p>
    <w:p>
      <w:pPr>
        <w:pStyle w:val="TextBody"/>
        <w:bidi w:val="0"/>
        <w:spacing w:before="8" w:after="283"/>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1A1A1C"/>
          <w:sz w:val="22"/>
        </w:rPr>
      </w:pPr>
      <w:r>
        <w:rPr>
          <w:rFonts w:ascii="Times New Roman;serif" w:hAnsi="Times New Roman;serif"/>
          <w:b w:val="false"/>
          <w:color w:val="1A1A1C"/>
          <w:sz w:val="22"/>
        </w:rPr>
        <w:t>NOW, THEREFORE, in consideration of the mutual covenants contained herein and other good and valuable consideration, the receipt and sufficiency of which are hereby acknowledged, and intending to be legally bound, the parties hereby agree as follows:</w:t>
      </w:r>
    </w:p>
    <w:p>
      <w:pPr>
        <w:pStyle w:val="TextBody"/>
        <w:bidi w:val="0"/>
        <w:spacing w:before="1" w:after="283"/>
        <w:jc w:val="both"/>
        <w:rPr/>
      </w:pPr>
      <w:r>
        <w:rPr/>
      </w:r>
    </w:p>
    <w:p>
      <w:pPr>
        <w:pStyle w:val="TextBody"/>
        <w:bidi w:val="0"/>
        <w:spacing w:lineRule="auto" w:line="288" w:before="0" w:after="0"/>
        <w:jc w:val="both"/>
        <w:rPr/>
      </w:pPr>
      <w:r>
        <w:rPr>
          <w:rFonts w:ascii="Times New Roman;serif" w:hAnsi="Times New Roman;serif"/>
          <w:b/>
          <w:color w:val="1A1A1C"/>
          <w:sz w:val="22"/>
        </w:rPr>
        <w:t xml:space="preserve">1.    Effectiveness and Term of Agreement. </w:t>
      </w:r>
      <w:r>
        <w:rPr>
          <w:rFonts w:ascii="Times New Roman;serif" w:hAnsi="Times New Roman;serif"/>
          <w:b w:val="false"/>
          <w:color w:val="1A1A1C"/>
          <w:sz w:val="22"/>
        </w:rPr>
        <w:t>Subject to Executive’s continued employment with the Company as of the Transition Date, this Agreement shall commence immediately following the Transition Date and shall continue until the date of Executive’s retirement on the Retirement Date or until Executive's employment earlier terminates as provided herein (the “</w:t>
      </w:r>
      <w:r>
        <w:rPr>
          <w:rFonts w:ascii="Times New Roman;serif" w:hAnsi="Times New Roman;serif"/>
          <w:b w:val="false"/>
          <w:color w:val="1A1A1C"/>
          <w:sz w:val="22"/>
          <w:u w:val="single"/>
        </w:rPr>
        <w:t>Term</w:t>
      </w:r>
      <w:r>
        <w:rPr>
          <w:color w:val="1A1A1C"/>
        </w:rPr>
        <w:t>”</w:t>
      </w:r>
      <w:r>
        <w:rPr>
          <w:rFonts w:ascii="Times New Roman;serif" w:hAnsi="Times New Roman;serif"/>
          <w:b w:val="false"/>
          <w:color w:val="1A1A1C"/>
          <w:sz w:val="22"/>
        </w:rPr>
        <w:t>). Executive has delivered to the Chief Executive Officer of the Company concurrently with the execution of this Agreement a written resignation as Senior Vice President and Chief Financial Officer of the Company, which resignation shall become effective as of the Transition Date. Notwithstanding anything herein to the contrary, all provisions of the Existing Agreement will continue to apply until the Transition Date, at which time the Existing Agreement shall hereby terminate, and the terms of this Agreement will apply and shall supersede the terms of the Existing Agreement in their entirety.</w:t>
      </w:r>
    </w:p>
    <w:p>
      <w:pPr>
        <w:pStyle w:val="TextBody"/>
        <w:bidi w:val="0"/>
        <w:spacing w:before="10" w:after="283"/>
        <w:jc w:val="both"/>
        <w:rPr/>
      </w:pPr>
      <w:r>
        <w:rPr/>
      </w:r>
    </w:p>
    <w:p>
      <w:pPr>
        <w:pStyle w:val="TextBody"/>
        <w:bidi w:val="0"/>
        <w:spacing w:lineRule="auto" w:line="288"/>
        <w:jc w:val="both"/>
        <w:rPr/>
      </w:pPr>
      <w:r>
        <w:rPr>
          <w:rFonts w:ascii="Times New Roman;serif" w:hAnsi="Times New Roman;serif"/>
          <w:b/>
          <w:color w:val="1A1A1C"/>
          <w:sz w:val="22"/>
        </w:rPr>
        <w:t xml:space="preserve">2.    Terms of Employment. </w:t>
      </w:r>
      <w:r>
        <w:rPr>
          <w:rFonts w:ascii="Times New Roman;serif" w:hAnsi="Times New Roman;serif"/>
          <w:b w:val="false"/>
          <w:color w:val="1A1A1C"/>
          <w:sz w:val="22"/>
        </w:rPr>
        <w:t>During the Term, Executive agrees to be a non-executive employee of the Company, serving solely in a consulting and advisory role to the Company’s Chief Executive Officer and Chief Financial Officer. Executive agrees to assist, as reasonably requested by the Company’s Chief Financial Officer, with the transition of his role following the Transition Date, including, but not limited to, assisting with external reporting, capital allocation and forecasting (collectively, the “</w:t>
      </w:r>
      <w:r>
        <w:rPr>
          <w:rFonts w:ascii="Times New Roman;serif" w:hAnsi="Times New Roman;serif"/>
          <w:b w:val="false"/>
          <w:color w:val="1A1A1C"/>
          <w:sz w:val="22"/>
          <w:u w:val="single"/>
        </w:rPr>
        <w:t>Transition Services</w:t>
      </w:r>
      <w:r>
        <w:rPr>
          <w:color w:val="1A1A1C"/>
        </w:rPr>
        <w:t>”</w:t>
      </w:r>
      <w:r>
        <w:rPr>
          <w:rFonts w:ascii="Times New Roman;serif" w:hAnsi="Times New Roman;serif"/>
          <w:b w:val="false"/>
          <w:color w:val="1A1A1C"/>
          <w:sz w:val="22"/>
        </w:rPr>
        <w:t xml:space="preserve">). Executive will provide the Transition Services on an as-needed basis and it is expected that over the course of the Term, Executive will devote an average of approximately sixty (60) hours per month to providing the Transition Services. Executive agrees to discharge the Transition Services as may be reasonably directed by the Company’s Chief Executive or </w:t>
      </w:r>
    </w:p>
    <w:p>
      <w:pPr>
        <w:pStyle w:val="TextBody"/>
        <w:bidi w:val="0"/>
        <w:spacing w:before="0" w:after="0"/>
        <w:jc w:val="righ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28270"/>
                <wp:effectExtent l="0" t="0" r="0" b="0"/>
                <wp:wrapNone/>
                <wp:docPr id="20" name="Frame20"/>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both"/>
        <w:rPr>
          <w:rFonts w:ascii="Times New Roman;serif" w:hAnsi="Times New Roman;serif"/>
          <w:b w:val="false"/>
          <w:color w:val="1A1A1C"/>
          <w:sz w:val="22"/>
        </w:rPr>
      </w:pPr>
      <w:r>
        <w:rPr>
          <w:rFonts w:ascii="Times New Roman;serif" w:hAnsi="Times New Roman;serif"/>
          <w:b w:val="false"/>
          <w:color w:val="1A1A1C"/>
          <w:sz w:val="22"/>
        </w:rPr>
        <w:t>Chief Financial Officer, and to use his best efforts to perform faithfully and efficiently such Transition Services. Nothing herein shall prohibit Executive from devoting his time to civic and community activities, serving as a member of the boards of directors of other corporations that do not compete with the Company, or managing personal investments, as long as the foregoing do not interfere with the performance of Executive's duties hereunder or violate the terms of the Company's Code of Business Conduct and Ethics, the Company's Corporate Governance Guidelines, or other policies applicable to the Company's executives generally, as those policies may be amended from time to time by the Company.</w:t>
      </w:r>
    </w:p>
    <w:p>
      <w:pPr>
        <w:pStyle w:val="TextBody"/>
        <w:bidi w:val="0"/>
        <w:spacing w:before="6" w:after="283"/>
        <w:jc w:val="both"/>
        <w:rPr/>
      </w:pPr>
      <w:r>
        <w:rPr/>
      </w:r>
    </w:p>
    <w:p>
      <w:pPr>
        <w:pStyle w:val="TextBody"/>
        <w:bidi w:val="0"/>
        <w:spacing w:lineRule="auto" w:line="288" w:before="0" w:after="0"/>
        <w:ind w:left="0" w:right="0" w:hanging="720"/>
        <w:jc w:val="both"/>
        <w:rPr>
          <w:rFonts w:ascii="Times New Roman;serif" w:hAnsi="Times New Roman;serif"/>
          <w:b/>
          <w:color w:val="1A1A1C"/>
          <w:sz w:val="22"/>
        </w:rPr>
      </w:pPr>
      <w:r>
        <w:rPr>
          <w:rFonts w:ascii="Times New Roman;serif" w:hAnsi="Times New Roman;serif"/>
          <w:b/>
          <w:color w:val="1A1A1C"/>
          <w:sz w:val="22"/>
        </w:rPr>
        <w:t>3.    Compensation.</w:t>
      </w:r>
    </w:p>
    <w:p>
      <w:pPr>
        <w:pStyle w:val="TextBody"/>
        <w:bidi w:val="0"/>
        <w:spacing w:before="1" w:after="283"/>
        <w:jc w:val="both"/>
        <w:rPr/>
      </w:pPr>
      <w:r>
        <w:rPr/>
      </w:r>
    </w:p>
    <w:p>
      <w:pPr>
        <w:pStyle w:val="TextBody"/>
        <w:bidi w:val="0"/>
        <w:spacing w:lineRule="auto" w:line="288" w:before="0" w:after="0"/>
        <w:ind w:left="0" w:right="0" w:firstLine="9"/>
        <w:jc w:val="both"/>
        <w:rPr/>
      </w:pPr>
      <w:r>
        <w:rPr>
          <w:rFonts w:ascii="Times New Roman;serif" w:hAnsi="Times New Roman;serif"/>
          <w:b w:val="false"/>
          <w:color w:val="000000"/>
          <w:sz w:val="22"/>
        </w:rPr>
        <w:t>(a)    </w:t>
      </w:r>
      <w:r>
        <w:rPr>
          <w:rFonts w:ascii="Times New Roman;serif" w:hAnsi="Times New Roman;serif"/>
          <w:b w:val="false"/>
          <w:color w:val="1A1A1C"/>
          <w:sz w:val="22"/>
        </w:rPr>
        <w:t>As compensation for Executive's services during the Term under this Agreement, Executive shall be entitled to receive a base salary of $22,000 per month, to be paid in accordance with existing payroll practices for</w:t>
      </w:r>
      <w:r>
        <w:rPr>
          <w:color w:val="000000"/>
        </w:rPr>
        <w:t xml:space="preserve"> </w:t>
      </w:r>
      <w:r>
        <w:rPr>
          <w:rFonts w:ascii="Times New Roman;serif" w:hAnsi="Times New Roman;serif"/>
          <w:b w:val="false"/>
          <w:color w:val="000000"/>
          <w:sz w:val="22"/>
        </w:rPr>
        <w:t xml:space="preserve">executives of the Company. </w:t>
      </w:r>
    </w:p>
    <w:p>
      <w:pPr>
        <w:pStyle w:val="TextBody"/>
        <w:bidi w:val="0"/>
        <w:spacing w:before="0" w:after="0"/>
        <w:jc w:val="both"/>
        <w:rPr/>
      </w:pPr>
      <w:r>
        <w:rPr/>
      </w:r>
    </w:p>
    <w:p>
      <w:pPr>
        <w:pStyle w:val="TextBody"/>
        <w:bidi w:val="0"/>
        <w:spacing w:lineRule="auto" w:line="288" w:before="0" w:after="0"/>
        <w:ind w:left="0" w:right="0" w:firstLine="9"/>
        <w:jc w:val="both"/>
        <w:rPr/>
      </w:pPr>
      <w:r>
        <w:rPr>
          <w:rFonts w:ascii="Times New Roman;serif" w:hAnsi="Times New Roman;serif"/>
          <w:b w:val="false"/>
          <w:color w:val="000000"/>
          <w:sz w:val="22"/>
        </w:rPr>
        <w:t>(b)    During the Term, Executive shall not be eligible to receive any awards under the Company’s 2019 Long-Term Stock Incentive Plan, as amended or any successor plan (the “</w:t>
      </w:r>
      <w:r>
        <w:rPr>
          <w:rFonts w:ascii="Times New Roman;serif" w:hAnsi="Times New Roman;serif"/>
          <w:b w:val="false"/>
          <w:color w:val="000000"/>
          <w:sz w:val="22"/>
          <w:u w:val="single"/>
        </w:rPr>
        <w:t>LTSIP</w:t>
      </w:r>
      <w:r>
        <w:rPr>
          <w:color w:val="000000"/>
        </w:rPr>
        <w:t>”</w:t>
      </w:r>
      <w:r>
        <w:rPr>
          <w:rFonts w:ascii="Times New Roman;serif" w:hAnsi="Times New Roman;serif"/>
          <w:b w:val="false"/>
          <w:color w:val="000000"/>
          <w:sz w:val="22"/>
        </w:rPr>
        <w:t>). For the avoidance of doubt, and notwithstanding anything contained herein to the contrary, Executive’s long-term incentive awards granted under the LTSIP that remain outstanding as of the Transition Date shall continue to be governed by the terms of such awards in effect immediately prior to the execution of this Agreement. In addition, Executive shall be entitled to a pro-rata payment under the Company’s Annual Incentive Plan with respect to the 2027 year with respect to the number of days in 2027 through and including the Transition Date during which he continued to serve as Senior Vice President and Chief Financial Officer based on his salary in effect immediately prior to the Transition Date. Such bonus will be paid at the time it is paid to employees generally.</w:t>
      </w:r>
    </w:p>
    <w:p>
      <w:pPr>
        <w:pStyle w:val="TextBody"/>
        <w:bidi w:val="0"/>
        <w:spacing w:before="0" w:after="0"/>
        <w:jc w:val="both"/>
        <w:rPr/>
      </w:pPr>
      <w:r>
        <w:rPr/>
      </w:r>
    </w:p>
    <w:p>
      <w:pPr>
        <w:pStyle w:val="TextBody"/>
        <w:bidi w:val="0"/>
        <w:spacing w:lineRule="auto" w:line="288" w:before="0" w:after="0"/>
        <w:ind w:left="0" w:right="0" w:firstLine="9"/>
        <w:jc w:val="both"/>
        <w:rPr/>
      </w:pPr>
      <w:r>
        <w:rPr>
          <w:rFonts w:ascii="Times New Roman;serif" w:hAnsi="Times New Roman;serif"/>
          <w:b w:val="false"/>
          <w:color w:val="000000"/>
          <w:sz w:val="22"/>
        </w:rPr>
        <w:t>(c)    During the Term, Executive shall be eligible to participate, in accordance with the terms and conditions thereof, in the welfare, retirement, fringe benefit, and other benefit plans, practices, policies and programs, as may be in effect from time to time, for senior executives of the Company generally (collectively, the “</w:t>
      </w:r>
      <w:r>
        <w:rPr>
          <w:rFonts w:ascii="Times New Roman;serif" w:hAnsi="Times New Roman;serif"/>
          <w:b w:val="false"/>
          <w:color w:val="000000"/>
          <w:sz w:val="22"/>
          <w:u w:val="single"/>
        </w:rPr>
        <w:t>Employee Benefit Plans</w:t>
      </w:r>
      <w:r>
        <w:rPr>
          <w:color w:val="000000"/>
        </w:rPr>
        <w:t>”</w:t>
      </w:r>
      <w:r>
        <w:rPr>
          <w:rFonts w:ascii="Times New Roman;serif" w:hAnsi="Times New Roman;serif"/>
          <w:b w:val="false"/>
          <w:color w:val="000000"/>
          <w:sz w:val="22"/>
        </w:rPr>
        <w:t>). The Company reserves the right to amend or terminate any Employee Benefit Plans at any time in its sole discretion, subject to the terms of such Employee Benefit Plans and applicable law.</w:t>
      </w:r>
    </w:p>
    <w:p>
      <w:pPr>
        <w:pStyle w:val="TextBody"/>
        <w:bidi w:val="0"/>
        <w:spacing w:before="7" w:after="283"/>
        <w:jc w:val="both"/>
        <w:rPr/>
      </w:pPr>
      <w:r>
        <w:rPr/>
      </w:r>
    </w:p>
    <w:p>
      <w:pPr>
        <w:pStyle w:val="TextBody"/>
        <w:bidi w:val="0"/>
        <w:spacing w:lineRule="auto" w:line="288" w:before="0" w:after="0"/>
        <w:ind w:left="0" w:right="0" w:firstLine="9"/>
        <w:jc w:val="both"/>
        <w:rPr>
          <w:rFonts w:ascii="Times New Roman;serif" w:hAnsi="Times New Roman;serif"/>
          <w:b w:val="false"/>
          <w:color w:val="000000"/>
          <w:sz w:val="22"/>
        </w:rPr>
      </w:pPr>
      <w:r>
        <w:rPr>
          <w:rFonts w:ascii="Times New Roman;serif" w:hAnsi="Times New Roman;serif"/>
          <w:b w:val="false"/>
          <w:color w:val="000000"/>
          <w:sz w:val="22"/>
        </w:rPr>
        <w:t>(d)    During the Term, Executive shall be eligible for prompt reimbursement for business expenses reasonably incurred by Executive in accordance with the Company's policies, as may be in effect from time to time, for its senior executives generally.</w:t>
      </w:r>
    </w:p>
    <w:p>
      <w:pPr>
        <w:pStyle w:val="TextBody"/>
        <w:bidi w:val="0"/>
        <w:spacing w:before="0" w:after="0"/>
        <w:ind w:left="0" w:right="0" w:firstLine="12"/>
        <w:jc w:val="both"/>
        <w:rPr/>
      </w:pPr>
      <w:r>
        <w:rPr/>
      </w:r>
    </w:p>
    <w:p>
      <w:pPr>
        <w:pStyle w:val="TextBody"/>
        <w:bidi w:val="0"/>
        <w:spacing w:lineRule="auto" w:line="288" w:before="0" w:after="0"/>
        <w:ind w:left="0" w:right="0" w:firstLine="4"/>
        <w:jc w:val="both"/>
        <w:rPr>
          <w:rFonts w:ascii="Times New Roman;serif" w:hAnsi="Times New Roman;serif"/>
          <w:b w:val="false"/>
          <w:color w:val="000000"/>
          <w:sz w:val="22"/>
        </w:rPr>
      </w:pPr>
      <w:r>
        <w:rPr>
          <w:rFonts w:ascii="Times New Roman;serif" w:hAnsi="Times New Roman;serif"/>
          <w:b w:val="false"/>
          <w:color w:val="000000"/>
          <w:sz w:val="22"/>
        </w:rPr>
        <w:t xml:space="preserve">(e)    During the Term, the Company shall provide Executive with reasonable office space, which office space may differ from that provided to Executive immediately prior to the Transition Date. </w:t>
      </w:r>
    </w:p>
    <w:p>
      <w:pPr>
        <w:pStyle w:val="TextBody"/>
        <w:bidi w:val="0"/>
        <w:spacing w:before="5" w:after="283"/>
        <w:jc w:val="both"/>
        <w:rPr/>
      </w:pPr>
      <w:r>
        <w:rPr/>
      </w:r>
    </w:p>
    <w:p>
      <w:pPr>
        <w:pStyle w:val="TextBody"/>
        <w:bidi w:val="0"/>
        <w:spacing w:lineRule="auto" w:line="288" w:before="0" w:after="0"/>
        <w:ind w:left="0" w:right="0" w:hanging="720"/>
        <w:jc w:val="both"/>
        <w:rPr>
          <w:rFonts w:ascii="Times New Roman;serif" w:hAnsi="Times New Roman;serif"/>
          <w:b/>
          <w:color w:val="000000"/>
          <w:sz w:val="22"/>
        </w:rPr>
      </w:pPr>
      <w:r>
        <w:rPr>
          <w:rFonts w:ascii="Times New Roman;serif" w:hAnsi="Times New Roman;serif"/>
          <w:b/>
          <w:color w:val="000000"/>
          <w:sz w:val="22"/>
        </w:rPr>
        <w:t>4.    Termination of Employment Prior to Retirement Date.</w:t>
      </w:r>
    </w:p>
    <w:p>
      <w:pPr>
        <w:pStyle w:val="TextBody"/>
        <w:bidi w:val="0"/>
        <w:spacing w:before="6" w:after="283"/>
        <w:jc w:val="both"/>
        <w:rPr/>
      </w:pPr>
      <w:r>
        <w:rPr/>
      </w:r>
    </w:p>
    <w:p>
      <w:pPr>
        <w:pStyle w:val="TextBody"/>
        <w:bidi w:val="0"/>
        <w:spacing w:lineRule="auto" w:line="288"/>
        <w:ind w:left="0" w:right="0" w:hanging="0"/>
        <w:jc w:val="both"/>
        <w:rPr/>
      </w:pPr>
      <w:r>
        <w:rPr>
          <w:rFonts w:ascii="Times New Roman;serif" w:hAnsi="Times New Roman;serif"/>
          <w:b w:val="false"/>
          <w:color w:val="000000"/>
          <w:sz w:val="22"/>
        </w:rPr>
        <w:t>(a)    </w:t>
      </w:r>
      <w:r>
        <w:rPr>
          <w:rFonts w:ascii="Times New Roman;serif" w:hAnsi="Times New Roman;serif"/>
          <w:b/>
          <w:color w:val="000000"/>
          <w:sz w:val="22"/>
        </w:rPr>
        <w:t xml:space="preserve">Notice. </w:t>
      </w:r>
      <w:r>
        <w:rPr>
          <w:rFonts w:ascii="Times New Roman;serif" w:hAnsi="Times New Roman;serif"/>
          <w:b w:val="false"/>
          <w:color w:val="000000"/>
          <w:sz w:val="22"/>
        </w:rPr>
        <w:t xml:space="preserve">The employment relationship may be terminated prior to the Retirement Date by the Company with or without Cause or for Incapacity, or by Executive with or without Good Reason, all as defined below, by giving a Notice of Termination. For purposes of this Agreement, a “Notice of Termination” shall mean a notice which shall indicate the specific termination provision in this Agreement relied upon, if any, and shall set forth in </w:t>
      </w:r>
    </w:p>
    <w:p>
      <w:pPr>
        <w:pStyle w:val="TextBody"/>
        <w:bidi w:val="0"/>
        <w:spacing w:before="0" w:after="0"/>
        <w:jc w:val="righ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28270"/>
                <wp:effectExtent l="0" t="0" r="0" b="0"/>
                <wp:wrapNone/>
                <wp:docPr id="21" name="Frame21"/>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reasonable detail the facts and circumstances claimed to provide a basis for termination of Executive's employment under the provision so indicated. All notices under this Section 4(a) shall be given in accordance with the requirements of Section 8.</w:t>
      </w:r>
    </w:p>
    <w:p>
      <w:pPr>
        <w:pStyle w:val="TextBody"/>
        <w:bidi w:val="0"/>
        <w:spacing w:lineRule="auto" w:line="288" w:before="240" w:after="283"/>
        <w:ind w:left="0" w:right="0" w:firstLine="12"/>
        <w:jc w:val="both"/>
        <w:rPr/>
      </w:pPr>
      <w:r>
        <w:rPr>
          <w:rFonts w:ascii="Times New Roman;serif" w:hAnsi="Times New Roman;serif"/>
          <w:b w:val="false"/>
          <w:color w:val="000000"/>
          <w:sz w:val="22"/>
        </w:rPr>
        <w:t>(b)    </w:t>
      </w:r>
      <w:r>
        <w:rPr>
          <w:rFonts w:ascii="Times New Roman;serif" w:hAnsi="Times New Roman;serif"/>
          <w:b/>
          <w:color w:val="000000"/>
          <w:sz w:val="22"/>
        </w:rPr>
        <w:t xml:space="preserve">Incapacity. </w:t>
      </w:r>
      <w:r>
        <w:rPr>
          <w:rFonts w:ascii="Times New Roman;serif" w:hAnsi="Times New Roman;serif"/>
          <w:b w:val="false"/>
          <w:color w:val="000000"/>
          <w:sz w:val="22"/>
        </w:rPr>
        <w:t>If the Company reasonably determines that Executive is unable at any time to perform the duties of Executive's position with or without a reasonable accommodation because of a serious illness, injury, impairment, or physical or mental condition and Executive has exhausted or is not entitled to any further leave or accommodation under applicable law, the Company may terminate Executive's employment for “Incapacity”. In addition, at any time that Executive is on a leave of absence, the Company may temporarily reassign the duties of Executive's position to one or more other executives without creating a basis for Executive's Good Reason resignation, provided that the Company restores such duties to Executive upon Executive's return to work.</w:t>
      </w:r>
    </w:p>
    <w:p>
      <w:pPr>
        <w:pStyle w:val="TextBody"/>
        <w:bidi w:val="0"/>
        <w:spacing w:before="9" w:after="283"/>
        <w:jc w:val="both"/>
        <w:rPr/>
      </w:pPr>
      <w:r>
        <w:rPr/>
      </w:r>
    </w:p>
    <w:p>
      <w:pPr>
        <w:pStyle w:val="TextBody"/>
        <w:bidi w:val="0"/>
        <w:spacing w:lineRule="auto" w:line="288" w:before="0" w:after="0"/>
        <w:ind w:left="0" w:right="0" w:firstLine="3"/>
        <w:jc w:val="both"/>
        <w:rPr/>
      </w:pPr>
      <w:r>
        <w:rPr>
          <w:rFonts w:ascii="Times New Roman;serif" w:hAnsi="Times New Roman;serif"/>
          <w:b w:val="false"/>
          <w:color w:val="000000"/>
          <w:sz w:val="22"/>
        </w:rPr>
        <w:t>(c)    </w:t>
      </w:r>
      <w:r>
        <w:rPr>
          <w:rFonts w:ascii="Times New Roman;serif" w:hAnsi="Times New Roman;serif"/>
          <w:b/>
          <w:color w:val="000000"/>
          <w:sz w:val="22"/>
        </w:rPr>
        <w:t xml:space="preserve">Cause. </w:t>
      </w:r>
      <w:r>
        <w:rPr>
          <w:rFonts w:ascii="Times New Roman;serif" w:hAnsi="Times New Roman;serif"/>
          <w:b w:val="false"/>
          <w:color w:val="000000"/>
          <w:sz w:val="22"/>
        </w:rPr>
        <w:t>Termination of Executive's employment for “Cause” shall mean termination upon:</w:t>
      </w:r>
    </w:p>
    <w:p>
      <w:pPr>
        <w:pStyle w:val="TextBody"/>
        <w:bidi w:val="0"/>
        <w:spacing w:before="2" w:after="283"/>
        <w:jc w:val="both"/>
        <w:rPr/>
      </w:pPr>
      <w:r>
        <w:rPr/>
      </w:r>
    </w:p>
    <w:p>
      <w:pPr>
        <w:pStyle w:val="TextBody"/>
        <w:bidi w:val="0"/>
        <w:spacing w:lineRule="auto" w:line="288" w:before="0" w:after="0"/>
        <w:ind w:left="0" w:right="0" w:firstLine="14"/>
        <w:jc w:val="both"/>
        <w:rPr>
          <w:rFonts w:ascii="Times New Roman;serif" w:hAnsi="Times New Roman;serif"/>
          <w:b w:val="false"/>
          <w:color w:val="000000"/>
          <w:sz w:val="22"/>
        </w:rPr>
      </w:pPr>
      <w:r>
        <w:rPr>
          <w:rFonts w:ascii="Times New Roman;serif" w:hAnsi="Times New Roman;serif"/>
          <w:b w:val="false"/>
          <w:color w:val="000000"/>
          <w:sz w:val="22"/>
        </w:rPr>
        <w:t>(i)    an act of fraud, embezzlement or theft by Executive in connection with Executive's duties or in the course of Executive's employment with the Company;</w:t>
      </w:r>
    </w:p>
    <w:p>
      <w:pPr>
        <w:pStyle w:val="TextBody"/>
        <w:bidi w:val="0"/>
        <w:spacing w:lineRule="auto" w:line="288" w:before="212" w:after="283"/>
        <w:ind w:left="0" w:right="0" w:firstLine="4"/>
        <w:jc w:val="both"/>
        <w:rPr>
          <w:rFonts w:ascii="Times New Roman;serif" w:hAnsi="Times New Roman;serif"/>
          <w:b w:val="false"/>
          <w:color w:val="000000"/>
          <w:sz w:val="22"/>
        </w:rPr>
      </w:pPr>
      <w:r>
        <w:rPr>
          <w:rFonts w:ascii="Times New Roman;serif" w:hAnsi="Times New Roman;serif"/>
          <w:b w:val="false"/>
          <w:color w:val="000000"/>
          <w:sz w:val="22"/>
        </w:rPr>
        <w:t>(ii)    Executive's material breach of any provision of this Agreement, provided that in those instances in which Executive's material breach is capable of being cured, Executive has failed to cure within a thirty (30) day period after notice from the Company;</w:t>
      </w:r>
    </w:p>
    <w:p>
      <w:pPr>
        <w:pStyle w:val="TextBody"/>
        <w:bidi w:val="0"/>
        <w:spacing w:before="2" w:after="283"/>
        <w:jc w:val="both"/>
        <w:rPr/>
      </w:pPr>
      <w:r>
        <w:rPr/>
      </w:r>
    </w:p>
    <w:p>
      <w:pPr>
        <w:pStyle w:val="TextBody"/>
        <w:bidi w:val="0"/>
        <w:spacing w:lineRule="auto" w:line="288" w:before="0" w:after="0"/>
        <w:ind w:left="0" w:right="0" w:firstLine="3"/>
        <w:jc w:val="both"/>
        <w:rPr>
          <w:rFonts w:ascii="Times New Roman;serif" w:hAnsi="Times New Roman;serif"/>
          <w:b w:val="false"/>
          <w:color w:val="000000"/>
          <w:sz w:val="22"/>
        </w:rPr>
      </w:pPr>
      <w:r>
        <w:rPr>
          <w:rFonts w:ascii="Times New Roman;serif" w:hAnsi="Times New Roman;serif"/>
          <w:b w:val="false"/>
          <w:color w:val="000000"/>
          <w:sz w:val="22"/>
        </w:rPr>
        <w:t>(iii)    an act or omission, which is (x) willful or grossly negligent, (y) contrary to established policies or practices of the Company, and (z) materially harmful to the business or reputation of the Company, or to the business of the Company's customers or suppliers as such relate to the Company; or</w:t>
      </w:r>
    </w:p>
    <w:p>
      <w:pPr>
        <w:pStyle w:val="TextBody"/>
        <w:bidi w:val="0"/>
        <w:spacing w:before="4" w:after="283"/>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(iv)    a plea of </w:t>
      </w:r>
      <w:r>
        <w:rPr>
          <w:rFonts w:ascii="Times New Roman;serif" w:hAnsi="Times New Roman;serif"/>
          <w:b w:val="false"/>
          <w:i/>
          <w:color w:val="000000"/>
          <w:sz w:val="22"/>
        </w:rPr>
        <w:t xml:space="preserve">nolo contendere </w:t>
      </w:r>
      <w:r>
        <w:rPr>
          <w:rFonts w:ascii="Times New Roman;serif" w:hAnsi="Times New Roman;serif"/>
          <w:b w:val="false"/>
          <w:color w:val="000000"/>
          <w:sz w:val="22"/>
        </w:rPr>
        <w:t>to, or conviction for, a felony.</w:t>
      </w:r>
    </w:p>
    <w:p>
      <w:pPr>
        <w:pStyle w:val="TextBody"/>
        <w:bidi w:val="0"/>
        <w:spacing w:before="2" w:after="283"/>
        <w:jc w:val="both"/>
        <w:rPr/>
      </w:pPr>
      <w:r>
        <w:rPr/>
      </w:r>
    </w:p>
    <w:p>
      <w:pPr>
        <w:pStyle w:val="TextBody"/>
        <w:bidi w:val="0"/>
        <w:spacing w:lineRule="auto" w:line="288" w:before="0" w:after="0"/>
        <w:ind w:left="0" w:right="0" w:hanging="2"/>
        <w:jc w:val="both"/>
        <w:rPr/>
      </w:pPr>
      <w:r>
        <w:rPr>
          <w:rFonts w:ascii="Times New Roman;serif" w:hAnsi="Times New Roman;serif"/>
          <w:b w:val="false"/>
          <w:color w:val="000000"/>
          <w:sz w:val="22"/>
        </w:rPr>
        <w:t>(d)    </w:t>
      </w:r>
      <w:r>
        <w:rPr>
          <w:rFonts w:ascii="Times New Roman;serif" w:hAnsi="Times New Roman;serif"/>
          <w:b/>
          <w:color w:val="000000"/>
          <w:sz w:val="22"/>
        </w:rPr>
        <w:t xml:space="preserve">Good Reason. </w:t>
      </w:r>
      <w:r>
        <w:rPr>
          <w:rFonts w:ascii="Times New Roman;serif" w:hAnsi="Times New Roman;serif"/>
          <w:b w:val="false"/>
          <w:color w:val="000000"/>
          <w:sz w:val="22"/>
        </w:rPr>
        <w:t>For purposes of this Agreement, “Good Reason” shall mean the occurrence of any of the following circumstances or events:</w:t>
      </w:r>
    </w:p>
    <w:p>
      <w:pPr>
        <w:pStyle w:val="TextBody"/>
        <w:bidi w:val="0"/>
        <w:spacing w:before="8" w:after="283"/>
        <w:jc w:val="both"/>
        <w:rPr/>
      </w:pPr>
      <w:r>
        <w:rPr/>
      </w:r>
    </w:p>
    <w:p>
      <w:pPr>
        <w:pStyle w:val="TextBody"/>
        <w:bidi w:val="0"/>
        <w:spacing w:lineRule="auto" w:line="292" w:before="0" w:after="0"/>
        <w:ind w:left="0" w:right="0" w:firstLine="8"/>
        <w:jc w:val="both"/>
        <w:rPr>
          <w:rFonts w:ascii="Times New Roman;serif" w:hAnsi="Times New Roman;serif"/>
          <w:b w:val="false"/>
          <w:color w:val="000000"/>
          <w:sz w:val="22"/>
        </w:rPr>
      </w:pPr>
      <w:r>
        <w:rPr>
          <w:rFonts w:ascii="Times New Roman;serif" w:hAnsi="Times New Roman;serif"/>
          <w:b w:val="false"/>
          <w:color w:val="000000"/>
          <w:sz w:val="22"/>
        </w:rPr>
        <w:t>(i)    the failure by the Company to pay or provide to Executive any amounts of base salary or earned incentive compensation or any benefits which are due, owing and payable to Executive, or to pay to Executive any portion of an installment of deferred compensation due under any deferred compensation program of the Company;</w:t>
      </w:r>
    </w:p>
    <w:p>
      <w:pPr>
        <w:pStyle w:val="TextBody"/>
        <w:bidi w:val="0"/>
        <w:spacing w:before="7" w:after="283"/>
        <w:jc w:val="both"/>
        <w:rPr/>
      </w:pPr>
      <w:r>
        <w:rPr/>
      </w:r>
    </w:p>
    <w:p>
      <w:pPr>
        <w:pStyle w:val="TextBody"/>
        <w:bidi w:val="0"/>
        <w:spacing w:lineRule="auto" w:line="288" w:before="0" w:after="0"/>
        <w:ind w:left="0" w:right="0" w:hanging="2"/>
        <w:jc w:val="both"/>
        <w:rPr>
          <w:rFonts w:ascii="Times New Roman;serif" w:hAnsi="Times New Roman;serif"/>
          <w:b w:val="false"/>
          <w:color w:val="000000"/>
          <w:sz w:val="22"/>
        </w:rPr>
      </w:pPr>
      <w:r>
        <w:rPr>
          <w:rFonts w:ascii="Times New Roman;serif" w:hAnsi="Times New Roman;serif"/>
          <w:b w:val="false"/>
          <w:color w:val="000000"/>
          <w:sz w:val="22"/>
        </w:rPr>
        <w:t>(ii)    the failure by the Company to continue to provide Executive with benefits substantially similar in the aggregate to the Company's life insurance, medical, dental, health, accident or disability plans in which Executive is participating at the date of this Agreement, except, for the avoidance of doubt, to the extent Executive becomes ineligible at any time on or after the Transition Date to participate in any such plans or programs in accordance with the terms thereof;</w:t>
      </w:r>
    </w:p>
    <w:p>
      <w:pPr>
        <w:pStyle w:val="TextBody"/>
        <w:bidi w:val="0"/>
        <w:spacing w:before="8" w:after="283"/>
        <w:jc w:val="both"/>
        <w:rPr/>
      </w:pPr>
      <w:r>
        <w:rPr/>
      </w:r>
    </w:p>
    <w:p>
      <w:pPr>
        <w:pStyle w:val="TextBody"/>
        <w:bidi w:val="0"/>
        <w:spacing w:lineRule="auto" w:line="288" w:before="1" w:after="283"/>
        <w:ind w:left="0" w:right="0" w:firstLine="4"/>
        <w:jc w:val="both"/>
        <w:rPr>
          <w:rFonts w:ascii="Times New Roman;serif" w:hAnsi="Times New Roman;serif"/>
          <w:b w:val="false"/>
          <w:color w:val="000000"/>
          <w:sz w:val="22"/>
        </w:rPr>
      </w:pPr>
      <w:r>
        <w:rPr>
          <w:rFonts w:ascii="Times New Roman;serif" w:hAnsi="Times New Roman;serif"/>
          <w:b w:val="false"/>
          <w:color w:val="000000"/>
          <w:sz w:val="22"/>
        </w:rPr>
        <w:t>(iii)    the transfer of Executive's principal place of employment to a location fifty (50) or more miles from its location immediately preceding the transfer; or</w:t>
      </w:r>
    </w:p>
    <w:p>
      <w:pPr>
        <w:pStyle w:val="TextBody"/>
        <w:bidi w:val="0"/>
        <w:spacing w:before="0" w:after="0"/>
        <w:jc w:val="righ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28270"/>
                <wp:effectExtent l="0" t="0" r="0" b="0"/>
                <wp:wrapNone/>
                <wp:docPr id="22" name="Frame22"/>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both"/>
        <w:rPr/>
      </w:pPr>
      <w:r>
        <w:rPr/>
      </w:r>
    </w:p>
    <w:p>
      <w:pPr>
        <w:pStyle w:val="TextBody"/>
        <w:bidi w:val="0"/>
        <w:spacing w:lineRule="auto" w:line="295" w:before="0" w:after="0"/>
        <w:jc w:val="both"/>
        <w:rPr>
          <w:rFonts w:ascii="Times New Roman;serif" w:hAnsi="Times New Roman;serif"/>
          <w:b w:val="false"/>
          <w:color w:val="000000"/>
          <w:sz w:val="22"/>
        </w:rPr>
      </w:pPr>
      <w:r>
        <w:rPr>
          <w:rFonts w:ascii="Times New Roman;serif" w:hAnsi="Times New Roman;serif"/>
          <w:b w:val="false"/>
          <w:color w:val="000000"/>
          <w:sz w:val="22"/>
        </w:rPr>
        <w:t>(iv)    without limiting the generality or effect of the foregoing, any material breach of this Agreement by the Company.</w:t>
      </w:r>
    </w:p>
    <w:p>
      <w:pPr>
        <w:pStyle w:val="TextBody"/>
        <w:bidi w:val="0"/>
        <w:spacing w:before="6" w:after="283"/>
        <w:jc w:val="both"/>
        <w:rPr/>
      </w:pPr>
      <w:r>
        <w:rPr/>
      </w:r>
    </w:p>
    <w:p>
      <w:pPr>
        <w:pStyle w:val="TextBody"/>
        <w:bidi w:val="0"/>
        <w:spacing w:lineRule="auto" w:line="292" w:before="1" w:after="283"/>
        <w:jc w:val="both"/>
        <w:rPr/>
      </w:pPr>
      <w:r>
        <w:rPr>
          <w:rFonts w:ascii="Times New Roman;serif" w:hAnsi="Times New Roman;serif"/>
          <w:b w:val="false"/>
          <w:color w:val="000000"/>
          <w:sz w:val="22"/>
        </w:rPr>
        <w:t>Notwithstanding anything else herein, Good Reason shall not exist if, with regard to the circumstances or events relied upon in Executive's Notice of Termination: (x) Executive failed to provide a Notice of Termination to the Company within sixty (60) days of the date Executive knew or should have known of such circumstances or events, (y) the circumstances or events are fully corrected by the Company prior to the Date of Termination, or (z) Executive gives Executive's express written consent to the circumstances or events. Notwithstanding anything to the contrary in this Agreement, Executive agrees and acknowledges that (i) Executive’s written notice of resignation as</w:t>
      </w:r>
      <w:r>
        <w:rPr>
          <w:color w:val="1A1A1C"/>
        </w:rPr>
        <w:t xml:space="preserve"> </w:t>
      </w:r>
      <w:r>
        <w:rPr>
          <w:rFonts w:ascii="Times New Roman;serif" w:hAnsi="Times New Roman;serif"/>
          <w:b w:val="false"/>
          <w:color w:val="000000"/>
          <w:sz w:val="22"/>
        </w:rPr>
        <w:t xml:space="preserve">Senior Vice President </w:t>
      </w:r>
      <w:r>
        <w:rPr>
          <w:rFonts w:ascii="Times New Roman;serif" w:hAnsi="Times New Roman;serif"/>
          <w:b w:val="false"/>
          <w:color w:val="1A1A1C"/>
          <w:sz w:val="22"/>
        </w:rPr>
        <w:t xml:space="preserve">and Chief Financial Officer </w:t>
      </w:r>
      <w:r>
        <w:rPr>
          <w:rFonts w:ascii="Times New Roman;serif" w:hAnsi="Times New Roman;serif"/>
          <w:b w:val="false"/>
          <w:color w:val="000000"/>
          <w:sz w:val="22"/>
        </w:rPr>
        <w:t xml:space="preserve">of the Company, effective as of the Transition Date, which Executive has delivered to the Chief Executive Officer of the Company concurrently with the execution of this Agreement; (ii) Executive’s execution of this Agreement; and (iii) the termination of the Existing Agreement upon the effectiveness of this Agreement shall not, either alone or together, give rise to a termination of employment by Executive for Good Reason or a termination by the Company without Cause pursuant to the Existing Agreement. </w:t>
      </w:r>
    </w:p>
    <w:p>
      <w:pPr>
        <w:pStyle w:val="TextBody"/>
        <w:bidi w:val="0"/>
        <w:spacing w:before="9" w:after="283"/>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2"/>
        </w:rPr>
        <w:t>(e)    </w:t>
      </w:r>
      <w:r>
        <w:rPr>
          <w:rFonts w:ascii="Times New Roman;serif" w:hAnsi="Times New Roman;serif"/>
          <w:b/>
          <w:color w:val="000000"/>
          <w:sz w:val="22"/>
        </w:rPr>
        <w:t xml:space="preserve">Date of Termination. </w:t>
      </w:r>
      <w:r>
        <w:rPr>
          <w:color w:val="000000"/>
        </w:rPr>
        <w:t>“</w:t>
      </w:r>
      <w:r>
        <w:rPr>
          <w:rFonts w:ascii="Times New Roman;serif" w:hAnsi="Times New Roman;serif"/>
          <w:b w:val="false"/>
          <w:color w:val="000000"/>
          <w:sz w:val="22"/>
        </w:rPr>
        <w:t>Date of Termination” shall mean the Retirement Date, or, if earlier, the first to occur of the following:</w:t>
      </w:r>
    </w:p>
    <w:p>
      <w:pPr>
        <w:pStyle w:val="TextBody"/>
        <w:bidi w:val="0"/>
        <w:spacing w:before="1" w:after="283"/>
        <w:jc w:val="both"/>
        <w:rPr/>
      </w:pPr>
      <w:r>
        <w:rPr/>
      </w:r>
    </w:p>
    <w:p>
      <w:pPr>
        <w:pStyle w:val="TextBody"/>
        <w:bidi w:val="0"/>
        <w:spacing w:lineRule="auto" w:line="288" w:before="1"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    if Executive's employment is terminated by reason of Executive's death, the date of Executive's death;</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(ii)    if Executive's employment is terminated by the Company for any reason other than because of Executive's death, the date specified in the Notice of Termination (which shall not be prior to the date of the notice);</w:t>
      </w:r>
    </w:p>
    <w:p>
      <w:pPr>
        <w:pStyle w:val="TextBody"/>
        <w:bidi w:val="0"/>
        <w:spacing w:before="3" w:after="283"/>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(iii)    if Executive's employment is terminated by Executive for any reason, the Date of Termination shall be not less than thirty (30) nor more than sixty (60) days from the date such Notice of Termination is given, or such earlier date after the date such Notice of Termination is given as may be identified by the Company. Unless the Company instructs Executive not to do so, Executive shall continue to perform services as provided in this Agreement through the Date of Termination.</w:t>
      </w:r>
    </w:p>
    <w:p>
      <w:pPr>
        <w:pStyle w:val="TextBody"/>
        <w:bidi w:val="0"/>
        <w:spacing w:before="1" w:after="283"/>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2"/>
        </w:rPr>
        <w:t>(f)     </w:t>
      </w:r>
      <w:r>
        <w:rPr>
          <w:rFonts w:ascii="Times New Roman;serif" w:hAnsi="Times New Roman;serif"/>
          <w:b/>
          <w:color w:val="000000"/>
          <w:sz w:val="22"/>
        </w:rPr>
        <w:t xml:space="preserve">Employee Benefits. </w:t>
      </w:r>
      <w:r>
        <w:rPr>
          <w:rFonts w:ascii="Times New Roman;serif" w:hAnsi="Times New Roman;serif"/>
          <w:b w:val="false"/>
          <w:color w:val="000000"/>
          <w:sz w:val="22"/>
        </w:rPr>
        <w:t>A termination by the Company pursuant to Section 4(c) hereof or by Executive pursuant to Section 4(d) hereof shall not affect any rights which Executive may have pursuant to any Employee Benefit Plans, which rights shall be governed by the terms thereof.</w:t>
      </w:r>
    </w:p>
    <w:p>
      <w:pPr>
        <w:pStyle w:val="TextBody"/>
        <w:bidi w:val="0"/>
        <w:spacing w:before="4" w:after="283"/>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5.    Compensation Upon Termination Prior to Retirement Date by the Company or by Executive for Any Reason.    </w:t>
      </w:r>
    </w:p>
    <w:p>
      <w:pPr>
        <w:pStyle w:val="TextBody"/>
        <w:bidi w:val="0"/>
        <w:spacing w:before="11" w:after="283"/>
        <w:jc w:val="both"/>
        <w:rPr/>
      </w:pPr>
      <w:r>
        <w:rPr/>
      </w:r>
    </w:p>
    <w:p>
      <w:pPr>
        <w:pStyle w:val="TextBody"/>
        <w:bidi w:val="0"/>
        <w:spacing w:lineRule="auto" w:line="283"/>
        <w:ind w:left="0" w:right="0" w:firstLine="9"/>
        <w:jc w:val="both"/>
        <w:rPr>
          <w:rFonts w:ascii="Times New Roman;serif" w:hAnsi="Times New Roman;serif"/>
          <w:b w:val="false"/>
          <w:color w:val="000000"/>
          <w:sz w:val="22"/>
        </w:rPr>
      </w:pPr>
      <w:r>
        <w:rPr>
          <w:rFonts w:ascii="Times New Roman;serif" w:hAnsi="Times New Roman;serif"/>
          <w:b w:val="false"/>
          <w:color w:val="000000"/>
          <w:sz w:val="22"/>
        </w:rPr>
        <w:t xml:space="preserve">(a)    If, prior to the Retirement Date, Executive's employment shall be terminated by the Company for Incapacity, for Cause or without Cause, by Executive for or without Good Reason, or upon Executive's death, the Company shall pay to Executive (or, in the event of Executive's death, to Executive's beneficiary or estate), when the same would otherwise have been due, any accrued amounts then payable to Executive through the Date of Termination </w:t>
      </w:r>
    </w:p>
    <w:p>
      <w:pPr>
        <w:pStyle w:val="TextBody"/>
        <w:bidi w:val="0"/>
        <w:spacing w:before="0" w:after="0"/>
        <w:jc w:val="righ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28270"/>
                <wp:effectExtent l="0" t="0" r="0" b="0"/>
                <wp:wrapNone/>
                <wp:docPr id="23" name="Frame23"/>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3" w:before="0" w:after="0"/>
        <w:jc w:val="both"/>
        <w:rPr>
          <w:rFonts w:ascii="Times New Roman;serif" w:hAnsi="Times New Roman;serif"/>
          <w:b w:val="false"/>
          <w:color w:val="000000"/>
          <w:sz w:val="22"/>
        </w:rPr>
      </w:pPr>
      <w:r>
        <w:rPr>
          <w:rFonts w:ascii="Times New Roman;serif" w:hAnsi="Times New Roman;serif"/>
          <w:b w:val="false"/>
          <w:color w:val="000000"/>
          <w:sz w:val="22"/>
        </w:rPr>
        <w:t>pursuant to any Employee Benefit Plans and shall have no further obligations under this Agreement, other than as set forth in Section 5(b) hereof, to the extent applicable.</w:t>
      </w:r>
    </w:p>
    <w:p>
      <w:pPr>
        <w:pStyle w:val="TextBody"/>
        <w:bidi w:val="0"/>
        <w:spacing w:before="0" w:after="0"/>
        <w:jc w:val="both"/>
        <w:rPr/>
      </w:pPr>
      <w:r>
        <w:rPr/>
      </w:r>
    </w:p>
    <w:p>
      <w:pPr>
        <w:pStyle w:val="TextBody"/>
        <w:bidi w:val="0"/>
        <w:spacing w:lineRule="auto" w:line="292" w:before="0" w:after="0"/>
        <w:ind w:left="0" w:right="0" w:firstLine="12"/>
        <w:jc w:val="both"/>
        <w:rPr>
          <w:rFonts w:ascii="Times New Roman;serif" w:hAnsi="Times New Roman;serif"/>
          <w:b w:val="false"/>
          <w:color w:val="000000"/>
          <w:sz w:val="22"/>
        </w:rPr>
      </w:pPr>
      <w:r>
        <w:rPr>
          <w:rFonts w:ascii="Times New Roman;serif" w:hAnsi="Times New Roman;serif"/>
          <w:b w:val="false"/>
          <w:color w:val="000000"/>
          <w:sz w:val="22"/>
        </w:rPr>
        <w:t>(b)    If, prior to the Retirement Date, Executive’s employment shall be terminated by the Company for Incapacity or for any reason other than Cause, by Executive for Good Reason, or upon Executive’s death, (i) any unvested awards under the LTSIP held by Executive that vest based on the passage of time shall immediately vest in their entirety upon such termination, and (ii) with respect to unvested awards under the LTSIP held by Executive that vest based on the achievement of performance criteria, Executive shall be entitled to receive a pro rata portion (based on the number of full calendar months elapsing in the applicable performance period through the Retirement Date) of the amount Executive would have been entitled to receive under such awards (and at the same time) had he remained employed until the last day of the applicable performance period:</w:t>
      </w:r>
    </w:p>
    <w:p>
      <w:pPr>
        <w:pStyle w:val="TextBody"/>
        <w:bidi w:val="0"/>
        <w:spacing w:before="9" w:after="283"/>
        <w:jc w:val="both"/>
        <w:rPr/>
      </w:pPr>
      <w:r>
        <w:rPr/>
      </w:r>
    </w:p>
    <w:p>
      <w:pPr>
        <w:pStyle w:val="TextBody"/>
        <w:bidi w:val="0"/>
        <w:spacing w:lineRule="auto" w:line="288" w:before="1" w:after="283"/>
        <w:ind w:left="0" w:right="0" w:firstLine="4"/>
        <w:jc w:val="both"/>
        <w:rPr>
          <w:rFonts w:ascii="Times New Roman;serif" w:hAnsi="Times New Roman;serif"/>
          <w:b w:val="false"/>
          <w:color w:val="000000"/>
          <w:sz w:val="22"/>
        </w:rPr>
      </w:pPr>
      <w:r>
        <w:rPr>
          <w:rFonts w:ascii="Times New Roman;serif" w:hAnsi="Times New Roman;serif"/>
          <w:b w:val="false"/>
          <w:color w:val="000000"/>
          <w:sz w:val="22"/>
        </w:rPr>
        <w:t>(c)    The Company may not set-off or counterclaim losses, fines or damages in respect of any claim, debt or obligation against any payment to or benefit for Executive provided for in this Agreement.</w:t>
      </w:r>
    </w:p>
    <w:p>
      <w:pPr>
        <w:pStyle w:val="TextBody"/>
        <w:bidi w:val="0"/>
        <w:spacing w:before="9" w:after="283"/>
        <w:jc w:val="both"/>
        <w:rPr/>
      </w:pPr>
      <w:r>
        <w:rPr/>
      </w:r>
    </w:p>
    <w:p>
      <w:pPr>
        <w:pStyle w:val="TextBody"/>
        <w:bidi w:val="0"/>
        <w:spacing w:lineRule="auto" w:line="285" w:before="0" w:after="0"/>
        <w:ind w:left="0" w:right="0" w:hanging="1"/>
        <w:jc w:val="both"/>
        <w:rPr/>
      </w:pPr>
      <w:r>
        <w:rPr>
          <w:rFonts w:ascii="Times New Roman;serif" w:hAnsi="Times New Roman;serif"/>
          <w:b/>
          <w:color w:val="000000"/>
          <w:sz w:val="22"/>
        </w:rPr>
        <w:t xml:space="preserve">6.    Travel. </w:t>
      </w:r>
      <w:r>
        <w:rPr>
          <w:rFonts w:ascii="Times New Roman;serif" w:hAnsi="Times New Roman;serif"/>
          <w:b w:val="false"/>
          <w:color w:val="000000"/>
          <w:sz w:val="22"/>
        </w:rPr>
        <w:t>Executive shall be required to travel to the extent reasonably necessary for the performance of Executive's responsibilities under this Agreement.</w:t>
      </w:r>
    </w:p>
    <w:p>
      <w:pPr>
        <w:pStyle w:val="TextBody"/>
        <w:bidi w:val="0"/>
        <w:spacing w:before="10" w:after="283"/>
        <w:jc w:val="both"/>
        <w:rPr/>
      </w:pPr>
      <w:r>
        <w:rPr/>
      </w:r>
    </w:p>
    <w:p>
      <w:pPr>
        <w:pStyle w:val="TextBody"/>
        <w:bidi w:val="0"/>
        <w:spacing w:lineRule="auto" w:line="292" w:before="0" w:after="0"/>
        <w:ind w:left="0" w:right="0" w:firstLine="12"/>
        <w:jc w:val="both"/>
        <w:rPr/>
      </w:pPr>
      <w:r>
        <w:rPr>
          <w:rFonts w:ascii="Times New Roman;serif" w:hAnsi="Times New Roman;serif"/>
          <w:b/>
          <w:color w:val="000000"/>
          <w:sz w:val="22"/>
        </w:rPr>
        <w:t xml:space="preserve">7.    Successors; Binding Agreement. </w:t>
      </w:r>
      <w:r>
        <w:rPr>
          <w:rFonts w:ascii="Times New Roman;serif" w:hAnsi="Times New Roman;serif"/>
          <w:b w:val="false"/>
          <w:color w:val="000000"/>
          <w:sz w:val="22"/>
        </w:rPr>
        <w:t>The Company will require any successor (whether direct or indirect, by purchase, merger, consolidation or otherwise) to all or substantially all the business and/or assets of the Company, to expressly assume and agree to perform this Agreement in the same manner and to the same extent that the Company would be required to perform it if no such succession had taken place, and will assign its rights and obligations hereunder to such successor. Failure of the Company to make such an assignment and to obtain such assumption and agreement prior to the effectiveness of any such succession, unless Executive agrees otherwise in writing with the Company or the successor, shall entitle Executive to compensation from the Company in the same amount and on the same terms as Executive would be entitled to hereunder if Executive terminates Executive's employment for Good Reason and the date on which any such succession becomes effective shall be deemed Executive's Date of Termination. As used in this Agreement, “Company” shall mean the Company as hereinbefore defined and any successor to its business and/or assets as aforesaid which assumes and agrees to perform this Agreement by operation of law, or otherwise. This Agreement shall inure to the benefit of and be enforceable by Executive's personal or legal representatives, executors, administrators, successors, heirs, distributees and/or legatees. This Agreement is personal in nature and neither of the parties hereto shall, without the consent of the other, assign, transfer or delegate this Agreement or any rights or obligations hereunder except as expressly provided in this Section 7. Without limiting the generality of the foregoing, Executive's right to receive payments hereunder shall not be assignable or transferable, whether by pledge, creation of a security interest or otherwise, other than by a transfer by Executive's will or by the laws of descent and distribution and, in the event of any attempted assignment or transfer contrary to this Section 7, the Company shall have no liability to pay to the purported assignee or transferee any amount so attempted to be assigned or transferred. The Company and Executive recognize that each party will have no adequate remedy at law for any material breach by the other of any of the agreements contained herein and, in the event of any such breach, the Company and Executive hereby agree and consent that the other shall be entitled to a decree of specific performance, mandamus or other appropriate remedy to enforce performance of this Agreement.</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28270"/>
                <wp:effectExtent l="0" t="0" r="0" b="0"/>
                <wp:wrapNone/>
                <wp:docPr id="24" name="Frame24"/>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92" w:before="0" w:after="0"/>
        <w:ind w:left="0" w:right="0" w:firstLine="12"/>
        <w:jc w:val="both"/>
        <w:rPr/>
      </w:pPr>
      <w:r>
        <w:rPr>
          <w:rFonts w:ascii="Times New Roman;serif" w:hAnsi="Times New Roman;serif"/>
          <w:b/>
          <w:color w:val="000000"/>
          <w:sz w:val="22"/>
        </w:rPr>
        <w:t xml:space="preserve">8.    Notices. </w:t>
      </w:r>
      <w:r>
        <w:rPr>
          <w:rFonts w:ascii="Times New Roman;serif" w:hAnsi="Times New Roman;serif"/>
          <w:b w:val="false"/>
          <w:color w:val="000000"/>
          <w:sz w:val="22"/>
        </w:rPr>
        <w:t>For the purpose of this Agreement, notices and all other communications provided for in this Agreement shall be in writing, and shall be deemed to have been duly given when delivered by hand, or mailed by United States certified mail, return receipt requested, postage prepaid, or sent by Federal Express or similar overnight courier service, addressed to the respective addresses set forth on the signature page of this Agreement, provided that all notices to the Company shall be directed to the attention of the Secretary of the Company (or, if Executive is the Secretary at the time such notice is to be given, to the Chairman of the Company's Board of Directors (the “</w:t>
      </w:r>
      <w:r>
        <w:rPr>
          <w:rFonts w:ascii="Times New Roman;serif" w:hAnsi="Times New Roman;serif"/>
          <w:b w:val="false"/>
          <w:color w:val="000000"/>
          <w:sz w:val="22"/>
          <w:u w:val="single"/>
        </w:rPr>
        <w:t>Board</w:t>
      </w:r>
      <w:r>
        <w:rPr>
          <w:color w:val="000000"/>
        </w:rPr>
        <w:t>”</w:t>
      </w:r>
      <w:r>
        <w:rPr>
          <w:rFonts w:ascii="Times New Roman;serif" w:hAnsi="Times New Roman;serif"/>
          <w:b w:val="false"/>
          <w:color w:val="000000"/>
          <w:sz w:val="22"/>
        </w:rPr>
        <w:t>)), or to such other address or facsimile number as either party may have furnished to the other in writing in accordance herewith, except that notice of change of address shall be effective only upon receipt.</w:t>
      </w:r>
    </w:p>
    <w:p>
      <w:pPr>
        <w:pStyle w:val="TextBody"/>
        <w:bidi w:val="0"/>
        <w:spacing w:before="10" w:after="283"/>
        <w:jc w:val="both"/>
        <w:rPr/>
      </w:pPr>
      <w:r>
        <w:rPr/>
      </w:r>
    </w:p>
    <w:p>
      <w:pPr>
        <w:pStyle w:val="TextBody"/>
        <w:bidi w:val="0"/>
        <w:spacing w:lineRule="auto" w:line="288" w:before="0" w:after="0"/>
        <w:ind w:left="0" w:right="0" w:firstLine="14"/>
        <w:jc w:val="both"/>
        <w:rPr>
          <w:rFonts w:ascii="Times New Roman;serif" w:hAnsi="Times New Roman;serif"/>
          <w:b/>
          <w:color w:val="000000"/>
          <w:sz w:val="22"/>
        </w:rPr>
      </w:pPr>
      <w:r>
        <w:rPr>
          <w:rFonts w:ascii="Times New Roman;serif" w:hAnsi="Times New Roman;serif"/>
          <w:b/>
          <w:color w:val="000000"/>
          <w:sz w:val="22"/>
        </w:rPr>
        <w:t xml:space="preserve">9.    Noncompetition. </w:t>
      </w:r>
    </w:p>
    <w:p>
      <w:pPr>
        <w:pStyle w:val="TextBody"/>
        <w:bidi w:val="0"/>
        <w:spacing w:before="0" w:after="0"/>
        <w:ind w:left="0" w:right="0" w:firstLine="12"/>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(a)    Executive agrees not to directly or indirectly engage in any Competitive Activity from the Transition Date until two (2) years after the Date of Termination. For purposes of this Agreement, the term “Competitive Activity” shall mean Executive’s participation as an employee, director or consultant, without the written consent of the Board or any authorized committee thereof, in the management of any business enterprise anywhere in the world if such enterprise is a “Significant Customer” of any product or service of the Company or any of its affiliates or engages in competition with any product or service of the Company or any of its affiliates (including without limitation any enterprise that is a supplier to an original equipment automotive vehicle manufacturer) or is planning to engage in such competition. For purposes of this Agreement, the term “Significant Customer” shall mean any customer who represents in excess of 5% of the Company’s sales or any of its affiliate’s sales in any of the three calendar years prior to the date of determination. “Competitive Activity” shall not include the mere ownership of, and exercise of rights appurtenant to, securities of a publicly-traded company representing 5% or less of the total voting power and 5% or less of the total value of such an enterprise. Executive agrees that the Company is a global business and that it is appropriate for this Section 9 to apply to Competitive Activity conducted anywhere in the world.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    Executive agrees not to directly or indirectly, either on Executive’s own account or with or for anyone else, solicit or attempt to solicit any of the Company’s customers or any of its affiliate’s customers, solicit or attempt to solicit for any business endeavor or hire or attempt to hire any employee of the Company or any of its affiliates, or otherwise divert or attempt to divert from the Company or any of its affiliates any business whatsoever or interfere with any business relationship between the Company or any of its affiliates and any other person, for a period of two (2) years after the Date of Termination.</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 xml:space="preserve">(c)    Executive acknowledges and agrees that damages in the event of a breach or threatened breach of the covenants in this Section 9 will be difficult to determine and will not afford a full and adequate remedy, and therefore agrees that the Company, in addition to seeking actual damages, may seek specific enforcement of such covenants in any court of competent jurisdiction, including, without limitation, by the issuance of a temporary or permanent injunction, without the necessity of a bond. Executive and the Company agree that the provisions of this Section 9 are reasonable. However, should any court or arbitrator determine that any provision of the covenants of this Section 9 are unreasonable, either in period of time, geographical area, or otherwise, the parties agree that this Section 9 should be interpreted and enforced to the maximum extent which such court or arbitrator deems reasonable. </w:t>
      </w:r>
    </w:p>
    <w:p>
      <w:pPr>
        <w:pStyle w:val="TextBody"/>
        <w:bidi w:val="0"/>
        <w:spacing w:before="0" w:after="0"/>
        <w:jc w:val="righ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28270"/>
                <wp:effectExtent l="0" t="0" r="0" b="0"/>
                <wp:wrapNone/>
                <wp:docPr id="25" name="Frame25"/>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color w:val="000000"/>
          <w:sz w:val="22"/>
        </w:rPr>
      </w:pPr>
      <w:r>
        <w:rPr>
          <w:rFonts w:ascii="Times New Roman;serif" w:hAnsi="Times New Roman;serif"/>
          <w:b/>
          <w:color w:val="000000"/>
          <w:sz w:val="22"/>
        </w:rPr>
        <w:t>10.    Confidentiality and Cooperation.</w:t>
      </w:r>
    </w:p>
    <w:p>
      <w:pPr>
        <w:pStyle w:val="TextBody"/>
        <w:bidi w:val="0"/>
        <w:spacing w:before="4" w:after="283"/>
        <w:jc w:val="both"/>
        <w:rPr/>
      </w:pPr>
      <w:r>
        <w:rPr/>
      </w:r>
    </w:p>
    <w:p>
      <w:pPr>
        <w:pStyle w:val="TextBody"/>
        <w:bidi w:val="0"/>
        <w:spacing w:lineRule="auto" w:line="288" w:before="1" w:after="283"/>
        <w:ind w:left="0" w:right="0" w:firstLine="13"/>
        <w:jc w:val="both"/>
        <w:rPr>
          <w:rFonts w:ascii="Times New Roman;serif" w:hAnsi="Times New Roman;serif"/>
          <w:b w:val="false"/>
          <w:color w:val="000000"/>
          <w:sz w:val="22"/>
        </w:rPr>
      </w:pPr>
      <w:r>
        <w:rPr>
          <w:rFonts w:ascii="Times New Roman;serif" w:hAnsi="Times New Roman;serif"/>
          <w:b w:val="false"/>
          <w:color w:val="000000"/>
          <w:sz w:val="22"/>
        </w:rPr>
        <w:t>(a)    Except for Permitted Disclosures (as set forth in Section 10(d) below), Executive shall not knowingly use, disclose or reveal to any unauthorized person, at any time after the Transition Date, any trade secret or other confidential information relating to the Company or any of its affiliates, or any of their respective businesses or principals, such as, without limitation, dealers' or distributor's lists, information regarding personnel and manufacturing processes, marketing and sales plans, pricing or cost information, and all other such information; and Executive confirms that such information is the exclusive property of the Company and its affiliates. Upon termination of Executive's employment, Executive agrees to promptly return to the Company all Company property and all memoranda, books, papers, letters and other data, and all copies thereof or therefrom, in any way relating to the business of the Company and its affiliates, whether made by Executive or otherwise in Executive's possession.</w:t>
      </w:r>
    </w:p>
    <w:p>
      <w:pPr>
        <w:pStyle w:val="TextBody"/>
        <w:bidi w:val="0"/>
        <w:spacing w:before="9" w:after="283"/>
        <w:jc w:val="both"/>
        <w:rPr/>
      </w:pPr>
      <w:r>
        <w:rPr/>
      </w:r>
    </w:p>
    <w:p>
      <w:pPr>
        <w:pStyle w:val="TextBody"/>
        <w:bidi w:val="0"/>
        <w:spacing w:lineRule="auto" w:line="288" w:before="1" w:after="283"/>
        <w:ind w:left="0" w:right="0" w:firstLine="12"/>
        <w:jc w:val="both"/>
        <w:rPr>
          <w:rFonts w:ascii="Times New Roman;serif" w:hAnsi="Times New Roman;serif"/>
          <w:b w:val="false"/>
          <w:color w:val="000000"/>
          <w:sz w:val="22"/>
        </w:rPr>
      </w:pPr>
      <w:r>
        <w:rPr>
          <w:rFonts w:ascii="Times New Roman;serif" w:hAnsi="Times New Roman;serif"/>
          <w:b w:val="false"/>
          <w:color w:val="000000"/>
          <w:sz w:val="22"/>
        </w:rPr>
        <w:t>(b)    Any design, engineering methods, techniques, discoveries, inventions (whether patentable or not), formulae, formulations, technical and product specifications, bill of materials, equipment descriptions, plans, layouts, drawings, computer programs, assembly, quality control, installation and operating procedures, operating manuals, strategic, technical or marketing information, designs, data, secret knowledge, know-how and all other information of a confidential nature prepared or produced during the period of Executive's employment and which. ideas, processes, and other materials or information relate to any of the businesses of the Company, shall be owned by the Company and its affiliates whether or not Executive should in fact execute an assignment thereof or other instrument or document which may be reasonably necessary to protect and secure such rights to the Company.</w:t>
      </w:r>
    </w:p>
    <w:p>
      <w:pPr>
        <w:pStyle w:val="TextBody"/>
        <w:bidi w:val="0"/>
        <w:spacing w:before="0" w:after="0"/>
        <w:ind w:left="0" w:right="0" w:firstLine="12"/>
        <w:jc w:val="both"/>
        <w:rPr/>
      </w:pPr>
      <w:r>
        <w:rPr/>
      </w:r>
    </w:p>
    <w:p>
      <w:pPr>
        <w:pStyle w:val="TextBody"/>
        <w:bidi w:val="0"/>
        <w:spacing w:lineRule="auto" w:line="288" w:before="1" w:after="283"/>
        <w:ind w:left="0" w:right="0" w:firstLine="12"/>
        <w:jc w:val="both"/>
        <w:rPr>
          <w:rFonts w:ascii="Times New Roman;serif" w:hAnsi="Times New Roman;serif"/>
          <w:b w:val="false"/>
          <w:color w:val="000000"/>
          <w:sz w:val="22"/>
        </w:rPr>
      </w:pPr>
      <w:r>
        <w:rPr>
          <w:rFonts w:ascii="Times New Roman;serif" w:hAnsi="Times New Roman;serif"/>
          <w:b w:val="false"/>
          <w:color w:val="000000"/>
          <w:sz w:val="22"/>
        </w:rPr>
        <w:t>(c)    Following the termination of Executive's employment, Executive agrees to make himself reasonably available to the Company to respond to periodic requests for information relating to the Company or Executive's employment which may be within Executive's knowledge. Executive further agrees to cooperate fully with the Company without requiring service of a subpoena or other legal process in connection with any and all existing or future depositions, litigation, or investigations brought by or against the Company, any entity related to the Company, or any of its (their) agents, officers, directors or employees, whether administrative, civil or criminal in nature, in which and to the extent the Company deems Executive's cooperation necessary. The term “cooperation” does not mean that Executive must provide information that is favorable to the Company; it means only that Executive will provide truthful information within Executive’s knowledge and possession upon request of the Company. In the event that Executive is subpoenaed in connection with any litigation or investigation (other than a subpoena issued by a government agency), Executive will immediately notify the Company. Executive shall not receive any additional compensation, other than reimbursement for reasonable costs and expenses incurred by Executive, in complying with the terms of this Section 10(c).</w:t>
      </w:r>
    </w:p>
    <w:p>
      <w:pPr>
        <w:pStyle w:val="TextBody"/>
        <w:bidi w:val="0"/>
        <w:spacing w:before="0" w:after="0"/>
        <w:ind w:left="0" w:right="0" w:hanging="4"/>
        <w:jc w:val="both"/>
        <w:rPr/>
      </w:pPr>
      <w:r>
        <w:rPr/>
      </w:r>
    </w:p>
    <w:p>
      <w:pPr>
        <w:pStyle w:val="TextBody"/>
        <w:bidi w:val="0"/>
        <w:spacing w:lineRule="auto" w:line="292"/>
        <w:ind w:left="0" w:right="0" w:firstLine="29"/>
        <w:jc w:val="both"/>
        <w:rPr>
          <w:rFonts w:ascii="Times New Roman;serif" w:hAnsi="Times New Roman;serif"/>
          <w:b w:val="false"/>
          <w:color w:val="000000"/>
          <w:sz w:val="22"/>
        </w:rPr>
      </w:pPr>
      <w:r>
        <w:rPr>
          <w:rFonts w:ascii="Times New Roman;serif" w:hAnsi="Times New Roman;serif"/>
          <w:b w:val="false"/>
          <w:color w:val="000000"/>
          <w:sz w:val="22"/>
        </w:rPr>
        <w:t xml:space="preserve">(d)    For the avoidance of doubt, the parties agree that nothing in this Agreement or any other agreement or policy applicable to Executive prohibits or restricts Executive (or Executive’s attorney) from (i) communicating with, or voluntarily providing information Executive believes indicates possible or actual violations of the law to, local, state or federal government agencies (including but not limited to the Securities and Exchange Commission), any legislative body, law enforcement, or any self-regulatory organizations, </w:t>
      </w:r>
    </w:p>
    <w:p>
      <w:pPr>
        <w:pStyle w:val="TextBody"/>
        <w:bidi w:val="0"/>
        <w:spacing w:before="0" w:after="0"/>
        <w:jc w:val="righ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28270"/>
                <wp:effectExtent l="0" t="0" r="0" b="0"/>
                <wp:wrapNone/>
                <wp:docPr id="26" name="Frame26"/>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92" w:before="0" w:after="0"/>
        <w:jc w:val="both"/>
        <w:rPr>
          <w:rFonts w:ascii="Times New Roman;serif" w:hAnsi="Times New Roman;serif"/>
          <w:b w:val="false"/>
          <w:color w:val="000000"/>
          <w:sz w:val="22"/>
        </w:rPr>
      </w:pPr>
      <w:r>
        <w:rPr>
          <w:rFonts w:ascii="Times New Roman;serif" w:hAnsi="Times New Roman;serif"/>
          <w:b w:val="false"/>
          <w:color w:val="000000"/>
          <w:sz w:val="22"/>
        </w:rPr>
        <w:t>(ii) responding to any inquiry about this Agreement or its underlying facts and circumstances by the Securities and Exchange Commission, the Financial Industry Regulatory Authority, any other self-regulatory organization or governmental entity, or (iii) making other disclosures that are protected under the whistleblower provisions of federal law or regulation (collectively, “Permitted Disclosures”). Executive understands and acknowledges that he does not need the prior authorization of the Company to make Permitted Disclosures and that he is not required to notify the Company that he has made Permitted Disclosures. Notwithstanding Executive’s confidentiality and nondisclosure obligations, Executive is hereby advised as follows pursuant to the Defend Trade Secrets Act: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 (A) files any document containing the trade secret under seal; and (B) does not disclose the trade secret, except pursuant to court order.”</w:t>
      </w:r>
    </w:p>
    <w:p>
      <w:pPr>
        <w:pStyle w:val="TextBody"/>
        <w:bidi w:val="0"/>
        <w:spacing w:before="7" w:after="283"/>
        <w:jc w:val="both"/>
        <w:rPr/>
      </w:pPr>
      <w:r>
        <w:rPr/>
      </w:r>
    </w:p>
    <w:p>
      <w:pPr>
        <w:pStyle w:val="TextBody"/>
        <w:bidi w:val="0"/>
        <w:spacing w:lineRule="auto" w:line="288" w:before="0" w:after="0"/>
        <w:ind w:left="0" w:right="0" w:hanging="720"/>
        <w:jc w:val="both"/>
        <w:rPr>
          <w:rFonts w:ascii="Times New Roman;serif" w:hAnsi="Times New Roman;serif"/>
          <w:b/>
          <w:color w:val="000000"/>
          <w:sz w:val="22"/>
        </w:rPr>
      </w:pPr>
      <w:r>
        <w:rPr>
          <w:rFonts w:ascii="Times New Roman;serif" w:hAnsi="Times New Roman;serif"/>
          <w:b/>
          <w:color w:val="000000"/>
          <w:sz w:val="22"/>
        </w:rPr>
        <w:t>11.    Arbitration.</w:t>
      </w:r>
    </w:p>
    <w:p>
      <w:pPr>
        <w:pStyle w:val="TextBody"/>
        <w:bidi w:val="0"/>
        <w:spacing w:before="5" w:after="283"/>
        <w:jc w:val="both"/>
        <w:rPr/>
      </w:pPr>
      <w:r>
        <w:rPr/>
      </w:r>
    </w:p>
    <w:p>
      <w:pPr>
        <w:pStyle w:val="TextBody"/>
        <w:bidi w:val="0"/>
        <w:spacing w:lineRule="auto" w:line="292" w:before="0" w:after="0"/>
        <w:ind w:left="0" w:right="0" w:firstLine="14"/>
        <w:jc w:val="both"/>
        <w:rPr>
          <w:rFonts w:ascii="Times New Roman;serif" w:hAnsi="Times New Roman;serif"/>
          <w:b w:val="false"/>
          <w:color w:val="000000"/>
          <w:sz w:val="22"/>
        </w:rPr>
      </w:pPr>
      <w:r>
        <w:rPr>
          <w:rFonts w:ascii="Times New Roman;serif" w:hAnsi="Times New Roman;serif"/>
          <w:b w:val="false"/>
          <w:color w:val="000000"/>
          <w:sz w:val="22"/>
        </w:rPr>
        <w:t>(a)    Except as contemplated by Section 9(c) or Section 11(c) hereof, any dispute or controversy arising under or in connection with this Agreement that cannot be mutually resolved by the parties to this Agreement and their respective advisors and representatives shall be settled exclusively by arbitration in Southfield, Michigan, before one arbitrator of exemplary qualifications and stature, who shall be selected jointly by an individual to be designated by the Company and an individual to be selected by Executive, or if such two individuals cannot agree on the selection of the arbitrator, who shall be selected pursuant to the procedures of the American Arbitration Association, and such arbitration shall be conducted in accordance with the Employment Dispute Resolution Rules of the American Arbitration Association then in effect.</w:t>
      </w:r>
    </w:p>
    <w:p>
      <w:pPr>
        <w:pStyle w:val="TextBody"/>
        <w:bidi w:val="0"/>
        <w:spacing w:before="9" w:after="283"/>
        <w:jc w:val="both"/>
        <w:rPr/>
      </w:pPr>
      <w:r>
        <w:rPr/>
      </w:r>
    </w:p>
    <w:p>
      <w:pPr>
        <w:pStyle w:val="TextBody"/>
        <w:bidi w:val="0"/>
        <w:spacing w:lineRule="auto" w:line="292" w:before="0" w:after="0"/>
        <w:ind w:left="0" w:right="0" w:firstLine="4"/>
        <w:jc w:val="both"/>
        <w:rPr>
          <w:rFonts w:ascii="Times New Roman;serif" w:hAnsi="Times New Roman;serif"/>
          <w:b w:val="false"/>
          <w:color w:val="000000"/>
          <w:sz w:val="22"/>
        </w:rPr>
      </w:pPr>
      <w:r>
        <w:rPr>
          <w:rFonts w:ascii="Times New Roman;serif" w:hAnsi="Times New Roman;serif"/>
          <w:b w:val="false"/>
          <w:color w:val="000000"/>
          <w:sz w:val="22"/>
        </w:rPr>
        <w:t>(b)    The parties agree to use their best efforts to cause (i) the two individuals set forth in the preceding Section 11(a), or, if applicable, the American Arbitration Association, to appoint the arbitrator within thirty (30) days of the date that a party hereto notifies the other party that a dispute or controversy exists that necessitates the appointment of an arbitrator, and (ii) any arbitration hearing to be held within thirty (30) days of the date of selection of the arbitrator, and, as a condition to his or her selection, such arbitrator must consent to be available for a hearing, at such time.</w:t>
      </w:r>
    </w:p>
    <w:p>
      <w:pPr>
        <w:pStyle w:val="TextBody"/>
        <w:bidi w:val="0"/>
        <w:spacing w:before="6" w:after="283"/>
        <w:jc w:val="both"/>
        <w:rPr/>
      </w:pPr>
      <w:r>
        <w:rPr/>
      </w:r>
    </w:p>
    <w:p>
      <w:pPr>
        <w:pStyle w:val="TextBody"/>
        <w:bidi w:val="0"/>
        <w:spacing w:lineRule="auto" w:line="288"/>
        <w:ind w:left="0" w:right="0" w:firstLine="10"/>
        <w:jc w:val="both"/>
        <w:rPr>
          <w:rFonts w:ascii="Times New Roman;serif" w:hAnsi="Times New Roman;serif"/>
          <w:b w:val="false"/>
          <w:color w:val="000000"/>
          <w:sz w:val="22"/>
        </w:rPr>
      </w:pPr>
      <w:r>
        <w:rPr>
          <w:rFonts w:ascii="Times New Roman;serif" w:hAnsi="Times New Roman;serif"/>
          <w:b w:val="false"/>
          <w:color w:val="000000"/>
          <w:sz w:val="22"/>
        </w:rPr>
        <w:t xml:space="preserve">(c)    Judgment may be entered on the arbitrator's award in any court having jurisdiction, provided that Executive shall be entitled to seek specific performance of Executive's right to be paid and to participate in benefit programs during the pendency of any dispute or controversy arising under or in connection with this Agreement. The Company and Executive hereby agree that the arbitrator shall be empowered to enter an equitable decree mandating specific performance of the terms of this Agreement. If any dispute under this Section 11 shall be pending while Executive remains employed by the Company, Executive shall continue to receive at a minimum the base salary which Executive was receiving </w:t>
      </w:r>
    </w:p>
    <w:p>
      <w:pPr>
        <w:pStyle w:val="TextBody"/>
        <w:bidi w:val="0"/>
        <w:spacing w:before="0" w:after="0"/>
        <w:jc w:val="righ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28270"/>
                <wp:effectExtent l="0" t="0" r="0" b="0"/>
                <wp:wrapNone/>
                <wp:docPr id="27" name="Frame27"/>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immediately prior to the act or omission which forms the basis for the dispute. At the close of the arbitration, such continued base salary payments may be offset against any damages awarded to Executive or may be recovered from Executive if it is determined that Executive was not entitled to the continued payment of base salary under the other provisions of this Agreement.</w:t>
      </w:r>
    </w:p>
    <w:p>
      <w:pPr>
        <w:pStyle w:val="TextBody"/>
        <w:bidi w:val="0"/>
        <w:spacing w:before="9" w:after="283"/>
        <w:jc w:val="both"/>
        <w:rPr/>
      </w:pPr>
      <w:r>
        <w:rPr/>
      </w:r>
    </w:p>
    <w:p>
      <w:pPr>
        <w:pStyle w:val="TextBody"/>
        <w:bidi w:val="0"/>
        <w:spacing w:lineRule="auto" w:line="295" w:before="0" w:after="0"/>
        <w:ind w:left="0" w:right="0" w:firstLine="1"/>
        <w:jc w:val="both"/>
        <w:rPr/>
      </w:pPr>
      <w:r>
        <w:rPr>
          <w:rFonts w:ascii="Times New Roman;serif" w:hAnsi="Times New Roman;serif"/>
          <w:b/>
          <w:color w:val="000000"/>
          <w:sz w:val="22"/>
        </w:rPr>
        <w:t xml:space="preserve">12.    Modifications. </w:t>
      </w:r>
      <w:r>
        <w:rPr>
          <w:rFonts w:ascii="Times New Roman;serif" w:hAnsi="Times New Roman;serif"/>
          <w:b w:val="false"/>
          <w:color w:val="000000"/>
          <w:sz w:val="22"/>
        </w:rPr>
        <w:t>No provision of this Agreement may be modified, amended, waived or discharged unless such modification, amendment, waiver or discharge is agreed to in writing and signed by both Executive and such officer of the Company as may be specifically designated by the Board.</w:t>
      </w:r>
    </w:p>
    <w:p>
      <w:pPr>
        <w:pStyle w:val="TextBody"/>
        <w:bidi w:val="0"/>
        <w:spacing w:lineRule="auto" w:line="288" w:before="240" w:after="283"/>
        <w:jc w:val="both"/>
        <w:rPr/>
      </w:pPr>
      <w:r>
        <w:rPr>
          <w:rFonts w:ascii="Times New Roman;serif" w:hAnsi="Times New Roman;serif"/>
          <w:b/>
          <w:color w:val="000000"/>
          <w:sz w:val="22"/>
        </w:rPr>
        <w:t xml:space="preserve">13.    No Implied Waivers. </w:t>
      </w:r>
      <w:r>
        <w:rPr>
          <w:rFonts w:ascii="Times New Roman;serif" w:hAnsi="Times New Roman;serif"/>
          <w:b w:val="false"/>
          <w:color w:val="000000"/>
          <w:sz w:val="22"/>
        </w:rPr>
        <w:t>Failure of either party at any time to require performance by the other party of any provision hereof shall in no way affect the full right to require such performance at any time thereafter. Waiver by either party of a breach of any obligation hereunder shall not constitute a waiver of any succeeding breach of the same obligation. Failure of either party to exercise any of its rights provided herein shall not constitute a waiver of such right.</w:t>
      </w:r>
    </w:p>
    <w:p>
      <w:pPr>
        <w:pStyle w:val="TextBody"/>
        <w:bidi w:val="0"/>
        <w:spacing w:before="7" w:after="283"/>
        <w:jc w:val="both"/>
        <w:rPr/>
      </w:pPr>
      <w:r>
        <w:rPr/>
      </w:r>
    </w:p>
    <w:p>
      <w:pPr>
        <w:pStyle w:val="TextBody"/>
        <w:bidi w:val="0"/>
        <w:spacing w:lineRule="auto" w:line="288" w:before="0" w:after="0"/>
        <w:ind w:left="0" w:right="0" w:firstLine="5"/>
        <w:jc w:val="both"/>
        <w:rPr/>
      </w:pPr>
      <w:r>
        <w:rPr>
          <w:rFonts w:ascii="Times New Roman;serif" w:hAnsi="Times New Roman;serif"/>
          <w:b/>
          <w:color w:val="000000"/>
          <w:sz w:val="22"/>
        </w:rPr>
        <w:t xml:space="preserve">14.    Governing Law. </w:t>
      </w:r>
      <w:r>
        <w:rPr>
          <w:rFonts w:ascii="Times New Roman;serif" w:hAnsi="Times New Roman;serif"/>
          <w:b w:val="false"/>
          <w:color w:val="000000"/>
          <w:sz w:val="22"/>
        </w:rPr>
        <w:t>The validity, interpretation, construction and performance of this Agreement shall be governed by the laws of the State of Michigan without giving effect to any conflicts of laws rules.</w:t>
      </w:r>
    </w:p>
    <w:p>
      <w:pPr>
        <w:pStyle w:val="TextBody"/>
        <w:bidi w:val="0"/>
        <w:spacing w:before="2" w:after="283"/>
        <w:jc w:val="both"/>
        <w:rPr/>
      </w:pPr>
      <w:r>
        <w:rPr/>
      </w:r>
    </w:p>
    <w:p>
      <w:pPr>
        <w:pStyle w:val="TextBody"/>
        <w:bidi w:val="0"/>
        <w:spacing w:lineRule="auto" w:line="288" w:before="0" w:after="0"/>
        <w:ind w:left="0" w:right="0" w:firstLine="6"/>
        <w:jc w:val="both"/>
        <w:rPr/>
      </w:pPr>
      <w:r>
        <w:rPr>
          <w:rFonts w:ascii="Times New Roman;serif" w:hAnsi="Times New Roman;serif"/>
          <w:b/>
          <w:color w:val="000000"/>
          <w:sz w:val="22"/>
        </w:rPr>
        <w:t xml:space="preserve">15.    Payments Net of Taxes. </w:t>
      </w:r>
      <w:r>
        <w:rPr>
          <w:rFonts w:ascii="Times New Roman;serif" w:hAnsi="Times New Roman;serif"/>
          <w:b w:val="false"/>
          <w:color w:val="000000"/>
          <w:sz w:val="22"/>
        </w:rPr>
        <w:t>Any payments provided for herein which are subject to Federal, State, local or other governmental tax or other withholding requirements or obligations, shall have such amounts withheld prior to payment, and the Company shall be considered to have fully satisfied its obligation hereunder by making such payments to Executive net of and after deduction for all applicable withholding obligations.</w:t>
      </w:r>
    </w:p>
    <w:p>
      <w:pPr>
        <w:pStyle w:val="TextBody"/>
        <w:bidi w:val="0"/>
        <w:spacing w:before="9" w:after="283"/>
        <w:jc w:val="both"/>
        <w:rPr/>
      </w:pPr>
      <w:r>
        <w:rPr/>
      </w:r>
    </w:p>
    <w:p>
      <w:pPr>
        <w:pStyle w:val="TextBody"/>
        <w:bidi w:val="0"/>
        <w:spacing w:lineRule="auto" w:line="288" w:before="0" w:after="0"/>
        <w:ind w:left="0" w:right="0" w:firstLine="4"/>
        <w:jc w:val="both"/>
        <w:rPr/>
      </w:pPr>
      <w:r>
        <w:rPr>
          <w:rFonts w:ascii="Times New Roman;serif" w:hAnsi="Times New Roman;serif"/>
          <w:b/>
          <w:color w:val="000000"/>
          <w:sz w:val="22"/>
        </w:rPr>
        <w:t xml:space="preserve">16.    Clawback. </w:t>
      </w:r>
      <w:r>
        <w:rPr>
          <w:rFonts w:ascii="Times New Roman;serif" w:hAnsi="Times New Roman;serif"/>
          <w:b w:val="false"/>
          <w:color w:val="000000"/>
          <w:sz w:val="22"/>
        </w:rPr>
        <w:t>Notwithstanding any other provisions in this Agreement to the contrary, any incentive-based or other compensation paid to the Executive under this Agreement or any other agreement or arrangement with the Company will be subject to clawback or recoupment as may be required pursuant to any policy currently in place, or adopted by the Company to comply with any law, government regulation, or stock exchange listing requirement, or adopted by the Company for any other reason provided such policy applies to senior executives, as each such policy may be amended from time to time.</w:t>
      </w:r>
    </w:p>
    <w:p>
      <w:pPr>
        <w:pStyle w:val="TextBody"/>
        <w:bidi w:val="0"/>
        <w:spacing w:before="0" w:after="0"/>
        <w:ind w:left="0" w:right="0" w:firstLine="12"/>
        <w:jc w:val="both"/>
        <w:rPr/>
      </w:pPr>
      <w:r>
        <w:rPr/>
      </w:r>
    </w:p>
    <w:p>
      <w:pPr>
        <w:pStyle w:val="TextBody"/>
        <w:bidi w:val="0"/>
        <w:spacing w:lineRule="auto" w:line="288" w:before="0" w:after="0"/>
        <w:ind w:left="0" w:right="0" w:firstLine="4"/>
        <w:jc w:val="both"/>
        <w:rPr/>
      </w:pPr>
      <w:r>
        <w:rPr>
          <w:rFonts w:ascii="Times New Roman;serif" w:hAnsi="Times New Roman;serif"/>
          <w:b/>
          <w:color w:val="000000"/>
          <w:sz w:val="22"/>
        </w:rPr>
        <w:t xml:space="preserve">17.    Capacity of Parties. </w:t>
      </w:r>
      <w:r>
        <w:rPr>
          <w:rFonts w:ascii="Times New Roman;serif" w:hAnsi="Times New Roman;serif"/>
          <w:b w:val="false"/>
          <w:color w:val="000000"/>
          <w:sz w:val="22"/>
        </w:rPr>
        <w:t>The parties hereto warrant that they have the capacity and authority to execute this Agreement.</w:t>
      </w:r>
    </w:p>
    <w:p>
      <w:pPr>
        <w:pStyle w:val="TextBody"/>
        <w:bidi w:val="0"/>
        <w:spacing w:before="2" w:after="283"/>
        <w:jc w:val="both"/>
        <w:rPr/>
      </w:pPr>
      <w:r>
        <w:rPr/>
      </w:r>
    </w:p>
    <w:p>
      <w:pPr>
        <w:pStyle w:val="TextBody"/>
        <w:bidi w:val="0"/>
        <w:spacing w:lineRule="auto" w:line="288" w:before="0" w:after="0"/>
        <w:ind w:left="0" w:right="0" w:firstLine="1"/>
        <w:jc w:val="both"/>
        <w:rPr/>
      </w:pPr>
      <w:r>
        <w:rPr>
          <w:rFonts w:ascii="Times New Roman;serif" w:hAnsi="Times New Roman;serif"/>
          <w:b/>
          <w:color w:val="000000"/>
          <w:sz w:val="22"/>
        </w:rPr>
        <w:t xml:space="preserve">18.    Validity. </w:t>
      </w:r>
      <w:r>
        <w:rPr>
          <w:rFonts w:ascii="Times New Roman;serif" w:hAnsi="Times New Roman;serif"/>
          <w:b w:val="false"/>
          <w:color w:val="000000"/>
          <w:sz w:val="22"/>
        </w:rPr>
        <w:t>The invalidity or unenforceability of any provision of this Agreement shall not, at the option of the party for whose benefit such provision was intended, affect the validity or enforceability of any other provision of the Agreement, which shall remain in full force and effect.</w:t>
      </w:r>
    </w:p>
    <w:p>
      <w:pPr>
        <w:pStyle w:val="TextBody"/>
        <w:bidi w:val="0"/>
        <w:spacing w:before="2" w:after="283"/>
        <w:jc w:val="both"/>
        <w:rPr/>
      </w:pPr>
      <w:r>
        <w:rPr/>
      </w:r>
    </w:p>
    <w:p>
      <w:pPr>
        <w:pStyle w:val="TextBody"/>
        <w:bidi w:val="0"/>
        <w:spacing w:lineRule="auto" w:line="288" w:before="0" w:after="0"/>
        <w:jc w:val="both"/>
        <w:rPr/>
      </w:pPr>
      <w:r>
        <w:rPr>
          <w:rFonts w:ascii="Times New Roman;serif" w:hAnsi="Times New Roman;serif"/>
          <w:b/>
          <w:color w:val="000000"/>
          <w:sz w:val="22"/>
        </w:rPr>
        <w:t xml:space="preserve">19.    Counterparts; Electronic Signature. </w:t>
      </w:r>
      <w:r>
        <w:rPr>
          <w:rFonts w:ascii="Times New Roman;serif" w:hAnsi="Times New Roman;serif"/>
          <w:b w:val="false"/>
          <w:color w:val="000000"/>
          <w:sz w:val="22"/>
        </w:rPr>
        <w:t>This Agreement may be executed in several counterparts, each of which shall be deemed to be an original but all of which together will constitute one and the same instrument. The email or other electronically delivered signatures of the parties shall be deemed to constitute original signatures, and electronic copies hereof shall be deemed to constitute duplicate originals.</w:t>
      </w:r>
    </w:p>
    <w:p>
      <w:pPr>
        <w:pStyle w:val="TextBody"/>
        <w:bidi w:val="0"/>
        <w:spacing w:before="0" w:after="0"/>
        <w:ind w:left="0" w:right="0" w:firstLine="12"/>
        <w:jc w:val="both"/>
        <w:rPr/>
      </w:pPr>
      <w:r>
        <w:rPr/>
      </w:r>
    </w:p>
    <w:p>
      <w:pPr>
        <w:pStyle w:val="TextBody"/>
        <w:bidi w:val="0"/>
        <w:spacing w:lineRule="auto" w:line="288"/>
        <w:jc w:val="both"/>
        <w:rPr/>
      </w:pPr>
      <w:r>
        <w:rPr>
          <w:rFonts w:ascii="Times New Roman;serif" w:hAnsi="Times New Roman;serif"/>
          <w:b/>
          <w:color w:val="000000"/>
          <w:sz w:val="22"/>
        </w:rPr>
        <w:t xml:space="preserve">20.    Entire Agreement. </w:t>
      </w:r>
      <w:r>
        <w:rPr>
          <w:rFonts w:ascii="Times New Roman;serif" w:hAnsi="Times New Roman;serif"/>
          <w:b w:val="false"/>
          <w:color w:val="000000"/>
          <w:sz w:val="22"/>
        </w:rPr>
        <w:t xml:space="preserve">Provided that Executive has delivered a written notice of resignation to the Chief Executive Officer of the Company in accordance with Section 1 hereof, upon the </w:t>
      </w:r>
    </w:p>
    <w:p>
      <w:pPr>
        <w:pStyle w:val="TextBody"/>
        <w:bidi w:val="0"/>
        <w:spacing w:before="0" w:after="0"/>
        <w:jc w:val="righ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28270"/>
                <wp:effectExtent l="0" t="0" r="0" b="0"/>
                <wp:wrapNone/>
                <wp:docPr id="28" name="Frame28"/>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Transition Date, this Agreement will contain the entire agreement by the parties with respect to the matters covered herein and supersede any prior agreement (including, but not limited to, the Existing Agreement), condition, practice, custom, usage and obligation with respect to such matters insofar as any such prior agreement, condition, practice, custom, usage or obligation might have given rise to any enforceable right. No agreements, understandings or representations, oral or otherwise, express or implied, with respect to the subject matter hereof have been made by either party which are not expressly set forth in this Agreement.</w:t>
      </w:r>
    </w:p>
    <w:p>
      <w:pPr>
        <w:pStyle w:val="TextBody"/>
        <w:bidi w:val="0"/>
        <w:spacing w:before="4" w:after="283"/>
        <w:jc w:val="both"/>
        <w:rPr/>
      </w:pPr>
      <w:r>
        <w:rPr/>
      </w:r>
    </w:p>
    <w:p>
      <w:pPr>
        <w:pStyle w:val="TextBody"/>
        <w:bidi w:val="0"/>
        <w:spacing w:lineRule="auto" w:line="288" w:before="0" w:after="0"/>
        <w:ind w:left="0" w:right="0" w:firstLine="6"/>
        <w:jc w:val="both"/>
        <w:rPr/>
      </w:pPr>
      <w:r>
        <w:rPr>
          <w:rFonts w:ascii="Times New Roman;serif" w:hAnsi="Times New Roman;serif"/>
          <w:b/>
          <w:color w:val="000000"/>
          <w:sz w:val="22"/>
        </w:rPr>
        <w:t xml:space="preserve">21.    Legal Fees and Expenses. </w:t>
      </w:r>
      <w:r>
        <w:rPr>
          <w:rFonts w:ascii="Times New Roman;serif" w:hAnsi="Times New Roman;serif"/>
          <w:b w:val="false"/>
          <w:color w:val="000000"/>
          <w:sz w:val="22"/>
        </w:rPr>
        <w:t>It is the intent of the Company that Executive not be required to incur the expenses associated with the enforcement of Executive's rights under this Agreement by litigation or other legal action because the cost and expense thereof would substantially detract from the benefits intended to be extended to Executive hereunder. Accordingly, the Company shall pay or cause to be paid and be solely responsible for any and all reasonable attorneys' and related fees and expenses incurred by Executive (i) as a result of the Company's failure to perform this Agreement or any provision hereof or (ii) as a result of the Company unreasonably or maliciously contesting the validity or enforceability of this Agreement or any provision hereof as aforesaid.</w:t>
      </w:r>
    </w:p>
    <w:p>
      <w:pPr>
        <w:pStyle w:val="TextBody"/>
        <w:bidi w:val="0"/>
        <w:spacing w:before="11" w:after="283"/>
        <w:jc w:val="both"/>
        <w:rPr/>
      </w:pPr>
      <w:r>
        <w:rPr/>
      </w:r>
    </w:p>
    <w:p>
      <w:pPr>
        <w:pStyle w:val="TextBody"/>
        <w:bidi w:val="0"/>
        <w:spacing w:lineRule="auto" w:line="288" w:before="0" w:after="0"/>
        <w:ind w:left="0" w:right="0" w:firstLine="14"/>
        <w:jc w:val="both"/>
        <w:rPr/>
      </w:pPr>
      <w:r>
        <w:rPr>
          <w:rFonts w:ascii="Times New Roman;serif" w:hAnsi="Times New Roman;serif"/>
          <w:b/>
          <w:color w:val="000000"/>
          <w:sz w:val="22"/>
        </w:rPr>
        <w:t xml:space="preserve">22.    Code Section 409A. </w:t>
      </w:r>
      <w:r>
        <w:rPr>
          <w:rFonts w:ascii="Times New Roman;serif" w:hAnsi="Times New Roman;serif"/>
          <w:b w:val="false"/>
          <w:color w:val="000000"/>
          <w:sz w:val="22"/>
        </w:rPr>
        <w:t>This Agreement shall be interpreted in such a manner that all payments to Executive under this Agreement are either exempt from, or comply with, Section 409A of the Internal Revenue Code of 1986, as amended (the “</w:t>
      </w:r>
      <w:r>
        <w:rPr>
          <w:rFonts w:ascii="Times New Roman;serif" w:hAnsi="Times New Roman;serif"/>
          <w:b w:val="false"/>
          <w:color w:val="000000"/>
          <w:sz w:val="22"/>
          <w:u w:val="single"/>
        </w:rPr>
        <w:t>Code</w:t>
      </w:r>
      <w:r>
        <w:rPr>
          <w:color w:val="000000"/>
        </w:rPr>
        <w:t>”</w:t>
      </w:r>
      <w:r>
        <w:rPr>
          <w:rFonts w:ascii="Times New Roman;serif" w:hAnsi="Times New Roman;serif"/>
          <w:b w:val="false"/>
          <w:color w:val="000000"/>
          <w:sz w:val="22"/>
        </w:rPr>
        <w:t>), and the regulations and other interpretive guidance issued thereunder (collectively, “</w:t>
      </w:r>
      <w:r>
        <w:rPr>
          <w:rFonts w:ascii="Times New Roman;serif" w:hAnsi="Times New Roman;serif"/>
          <w:b w:val="false"/>
          <w:color w:val="000000"/>
          <w:sz w:val="22"/>
          <w:u w:val="single"/>
        </w:rPr>
        <w:t>Section 409A</w:t>
      </w:r>
      <w:r>
        <w:rPr>
          <w:color w:val="000000"/>
        </w:rPr>
        <w:t>”</w:t>
      </w:r>
      <w:r>
        <w:rPr>
          <w:rFonts w:ascii="Times New Roman;serif" w:hAnsi="Times New Roman;serif"/>
          <w:b w:val="false"/>
          <w:color w:val="000000"/>
          <w:sz w:val="22"/>
        </w:rPr>
        <w:t xml:space="preserve">), including without limitation any such regulations or other guidance that may be issued after the Transition Date. For purposes of Section 409A, the right to a series of installment payments under this Agreement shall be treated as a right to a series of separate payments. </w:t>
      </w:r>
    </w:p>
    <w:p>
      <w:pPr>
        <w:pStyle w:val="TextBody"/>
        <w:bidi w:val="0"/>
        <w:spacing w:before="0" w:after="0"/>
        <w:ind w:left="0" w:right="0" w:firstLine="12"/>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Lear Corporation Code Section 409A Policies and Procedures as in effect on the Effective Date are hereby incorporated by reference in this Agreement as if set forth in this Agreement, and supersede any conflicting provisions of this Agreement.</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color w:val="000000"/>
          <w:sz w:val="22"/>
        </w:rPr>
      </w:pPr>
      <w:r>
        <w:rPr>
          <w:rFonts w:ascii="Times New Roman;serif" w:hAnsi="Times New Roman;serif"/>
          <w:b/>
          <w:color w:val="000000"/>
          <w:sz w:val="22"/>
        </w:rPr>
        <w:t>23.    No Excise Tax Gross-Up; Possible Reduction of Payments.</w:t>
      </w:r>
    </w:p>
    <w:p>
      <w:pPr>
        <w:pStyle w:val="TextBody"/>
        <w:bidi w:val="0"/>
        <w:spacing w:before="8" w:after="283"/>
        <w:jc w:val="both"/>
        <w:rPr/>
      </w:pPr>
      <w:r>
        <w:rPr/>
      </w:r>
    </w:p>
    <w:p>
      <w:pPr>
        <w:pStyle w:val="TextBody"/>
        <w:bidi w:val="0"/>
        <w:spacing w:lineRule="auto" w:line="285" w:before="0" w:after="0"/>
        <w:ind w:left="0" w:right="0" w:firstLine="16"/>
        <w:jc w:val="both"/>
        <w:rPr/>
      </w:pPr>
      <w:r>
        <w:rPr>
          <w:rFonts w:ascii="Times New Roman;serif" w:hAnsi="Times New Roman;serif"/>
          <w:b w:val="false"/>
          <w:color w:val="000000"/>
          <w:sz w:val="22"/>
        </w:rPr>
        <w:t>(a)    If it is determined that any amount or benefit to be paid or payable to Executive under this Agreement or otherwise in conjunction with his employment (whether paid or payable or distributed or distributable pursuant to the terms of this Agreement or otherwise in conjunction with his employment) would give rise to liability of Executive for the excise tax imposed by Section 4999 of the Code, as amended from time to time, or any successor provision (the “</w:t>
      </w:r>
      <w:r>
        <w:rPr>
          <w:rFonts w:ascii="Times New Roman;serif" w:hAnsi="Times New Roman;serif"/>
          <w:b w:val="false"/>
          <w:color w:val="000000"/>
          <w:sz w:val="22"/>
          <w:u w:val="single"/>
        </w:rPr>
        <w:t>Excise Tax</w:t>
      </w:r>
      <w:r>
        <w:rPr>
          <w:color w:val="000000"/>
        </w:rPr>
        <w:t>”</w:t>
      </w:r>
      <w:r>
        <w:rPr>
          <w:rFonts w:ascii="Times New Roman;serif" w:hAnsi="Times New Roman;serif"/>
          <w:b w:val="false"/>
          <w:color w:val="000000"/>
          <w:sz w:val="22"/>
        </w:rPr>
        <w:t>), then the amount or benefits payable to Executive (the total value of such amounts or benefits, the “</w:t>
      </w:r>
      <w:r>
        <w:rPr>
          <w:rFonts w:ascii="Times New Roman;serif" w:hAnsi="Times New Roman;serif"/>
          <w:b w:val="false"/>
          <w:color w:val="000000"/>
          <w:sz w:val="22"/>
          <w:u w:val="single"/>
        </w:rPr>
        <w:t>Payments</w:t>
      </w:r>
      <w:r>
        <w:rPr>
          <w:color w:val="000000"/>
        </w:rPr>
        <w:t>”</w:t>
      </w:r>
      <w:r>
        <w:rPr>
          <w:rFonts w:ascii="Times New Roman;serif" w:hAnsi="Times New Roman;serif"/>
          <w:b w:val="false"/>
          <w:color w:val="000000"/>
          <w:sz w:val="22"/>
        </w:rPr>
        <w:t>) shall be reduced by the Company to the extent necessary so that no portion of the Payments to Executive is subject to the Excise Tax; provided, however, such reduction shall be made only if it results in the Executive retaining a greater amount of Payments on an after-tax basis (taking into account the Excise Tax and applicable federal, state, and local income and payroll taxes). In the event Payments are required to be reduced pursuant to this Section 23(a), they shall be reduced in the following order of priority in a manner consistent with Section 409A: (i) first from cash compensation, (ii) next from equity compensation, then</w:t>
      </w:r>
    </w:p>
    <w:p>
      <w:pPr>
        <w:pStyle w:val="TextBody"/>
        <w:bidi w:val="0"/>
        <w:spacing w:lineRule="auto" w:line="288" w:before="2" w:after="283"/>
        <w:jc w:val="both"/>
        <w:rPr>
          <w:rFonts w:ascii="Times New Roman;serif" w:hAnsi="Times New Roman;serif"/>
          <w:b w:val="false"/>
          <w:color w:val="000000"/>
          <w:sz w:val="22"/>
        </w:rPr>
      </w:pPr>
      <w:r>
        <w:rPr>
          <w:rFonts w:ascii="Times New Roman;serif" w:hAnsi="Times New Roman;serif"/>
          <w:b w:val="false"/>
          <w:color w:val="000000"/>
          <w:sz w:val="22"/>
        </w:rPr>
        <w:t>(iii) pro-rata among all remaining Payments and benefits.</w:t>
      </w:r>
    </w:p>
    <w:p>
      <w:pPr>
        <w:pStyle w:val="TextBody"/>
        <w:bidi w:val="0"/>
        <w:spacing w:before="1" w:after="283"/>
        <w:jc w:val="both"/>
        <w:rPr/>
      </w:pPr>
      <w:r>
        <w:rPr/>
      </w:r>
    </w:p>
    <w:p>
      <w:pPr>
        <w:pStyle w:val="TextBody"/>
        <w:bidi w:val="0"/>
        <w:spacing w:lineRule="auto" w:line="288" w:before="1" w:after="283"/>
        <w:ind w:left="0" w:right="0" w:firstLine="14"/>
        <w:jc w:val="both"/>
        <w:rPr>
          <w:rFonts w:ascii="Times New Roman;serif" w:hAnsi="Times New Roman;serif"/>
          <w:b w:val="false"/>
          <w:color w:val="000000"/>
          <w:sz w:val="22"/>
        </w:rPr>
      </w:pPr>
      <w:r>
        <w:rPr>
          <w:rFonts w:ascii="Times New Roman;serif" w:hAnsi="Times New Roman;serif"/>
          <w:b w:val="false"/>
          <w:color w:val="000000"/>
          <w:sz w:val="22"/>
        </w:rPr>
        <w:t xml:space="preserve">(b)    The independent public accounting firm serving as the Company's auditing firm, or such other accounting firm, law firm or professional consulting services provider of national reputation and experience reasonably acceptable to the Company and Executive (the </w:t>
      </w:r>
    </w:p>
    <w:p>
      <w:pPr>
        <w:pStyle w:val="TextBody"/>
        <w:bidi w:val="0"/>
        <w:spacing w:before="0" w:after="0"/>
        <w:jc w:val="righ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28270"/>
                <wp:effectExtent l="0" t="0" r="0" b="0"/>
                <wp:wrapNone/>
                <wp:docPr id="29" name="Frame29"/>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 w:after="283"/>
        <w:jc w:val="both"/>
        <w:rPr/>
      </w:pPr>
      <w:r>
        <w:rPr>
          <w:color w:val="000000"/>
        </w:rPr>
        <w:t>“</w:t>
      </w:r>
      <w:r>
        <w:rPr>
          <w:rFonts w:ascii="Times New Roman;serif" w:hAnsi="Times New Roman;serif"/>
          <w:b w:val="false"/>
          <w:color w:val="000000"/>
          <w:sz w:val="22"/>
          <w:u w:val="single"/>
        </w:rPr>
        <w:t>Accountants</w:t>
      </w:r>
      <w:r>
        <w:rPr>
          <w:color w:val="000000"/>
        </w:rPr>
        <w:t>”</w:t>
      </w:r>
      <w:r>
        <w:rPr>
          <w:rFonts w:ascii="Times New Roman;serif" w:hAnsi="Times New Roman;serif"/>
          <w:b w:val="false"/>
          <w:color w:val="000000"/>
          <w:sz w:val="22"/>
        </w:rPr>
        <w:t>) shall make in writing in good faith all calculations and determinations under this Section 23, including the assumptions to be used in arriving at any calculations. For purposes of making the calculations and determinations under this Section 23, the Accountants and each other party may make reasonable assumptions and approximations concerning the application of Section 280G and Section 4999 of the Code. The Company and Executive shall furnish to the Accountants and each other such information and documents as the Accountants and each other may reasonably request to make the calculations and determinations under this Section 23. The Company shall bear all costs the Accountants incur in connection with any calculations contemplated hereby.</w:t>
      </w:r>
    </w:p>
    <w:p>
      <w:pPr>
        <w:pStyle w:val="TextBody"/>
        <w:bidi w:val="0"/>
        <w:spacing w:before="0" w:after="0"/>
        <w:jc w:val="both"/>
        <w:rPr/>
      </w:pPr>
      <w:r>
        <w:rPr/>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28270"/>
                <wp:effectExtent l="0" t="0" r="0" b="0"/>
                <wp:wrapNone/>
                <wp:docPr id="30" name="Frame30"/>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91" w:after="283"/>
        <w:ind w:left="0" w:right="0" w:firstLine="720"/>
        <w:jc w:val="both"/>
        <w:rPr>
          <w:rFonts w:ascii="Times New Roman;serif" w:hAnsi="Times New Roman;serif"/>
          <w:b w:val="false"/>
          <w:color w:val="242628"/>
          <w:sz w:val="22"/>
        </w:rPr>
      </w:pPr>
      <w:r>
        <w:rPr>
          <w:rFonts w:ascii="Times New Roman;serif" w:hAnsi="Times New Roman;serif"/>
          <w:b w:val="false"/>
          <w:color w:val="242628"/>
          <w:sz w:val="22"/>
        </w:rPr>
        <w:t>IN WITNESS WHEREOF, the parties have executed this Agreement as of the date and year first above written.</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tbl>
      <w:tblPr>
        <w:tblW w:w="4319" w:type="dxa"/>
        <w:jc w:val="left"/>
        <w:tblInd w:w="0" w:type="dxa"/>
        <w:tblLayout w:type="fixed"/>
        <w:tblCellMar>
          <w:top w:w="28" w:type="dxa"/>
          <w:left w:w="28" w:type="dxa"/>
          <w:bottom w:w="28" w:type="dxa"/>
          <w:right w:w="28" w:type="dxa"/>
        </w:tblCellMar>
      </w:tblPr>
      <w:tblGrid>
        <w:gridCol w:w="512"/>
        <w:gridCol w:w="452"/>
        <w:gridCol w:w="452"/>
        <w:gridCol w:w="452"/>
        <w:gridCol w:w="452"/>
        <w:gridCol w:w="452"/>
        <w:gridCol w:w="452"/>
        <w:gridCol w:w="452"/>
        <w:gridCol w:w="643"/>
      </w:tblGrid>
      <w:tr>
        <w:trPr/>
        <w:tc>
          <w:tcPr>
            <w:tcW w:w="51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r>
      <w:tr>
        <w:trPr/>
        <w:tc>
          <w:tcPr>
            <w:tcW w:w="4319"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LEAR CORPORATION</w:t>
            </w:r>
          </w:p>
        </w:tc>
      </w:tr>
      <w:tr>
        <w:trPr/>
        <w:tc>
          <w:tcPr>
            <w:tcW w:w="1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9"/>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 xml:space="preserve">/s/ Raymond E. Scott </w:t>
            </w:r>
          </w:p>
        </w:tc>
      </w:tr>
      <w:tr>
        <w:trPr/>
        <w:tc>
          <w:tcPr>
            <w:tcW w:w="431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Raymond E. Scott</w:t>
            </w:r>
          </w:p>
        </w:tc>
      </w:tr>
      <w:tr>
        <w:trPr/>
        <w:tc>
          <w:tcPr>
            <w:tcW w:w="431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President and Chief Executive Officer</w:t>
            </w:r>
          </w:p>
        </w:tc>
      </w:tr>
      <w:tr>
        <w:trPr/>
        <w:tc>
          <w:tcPr>
            <w:tcW w:w="431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Address: 21557 Telegraph Road</w:t>
            </w:r>
          </w:p>
        </w:tc>
      </w:tr>
      <w:tr>
        <w:trPr/>
        <w:tc>
          <w:tcPr>
            <w:tcW w:w="431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Southfield, MI 48033</w:t>
            </w:r>
          </w:p>
        </w:tc>
      </w:tr>
    </w:tbl>
    <w:p>
      <w:pPr>
        <w:pStyle w:val="TextBody"/>
        <w:bidi w:val="0"/>
        <w:spacing w:before="0" w:after="0"/>
        <w:jc w:val="both"/>
        <w:rPr/>
      </w:pPr>
      <w:r>
        <w:rPr/>
      </w:r>
    </w:p>
    <w:tbl>
      <w:tblPr>
        <w:tblW w:w="2174" w:type="dxa"/>
        <w:jc w:val="left"/>
        <w:tblInd w:w="0" w:type="dxa"/>
        <w:tblLayout w:type="fixed"/>
        <w:tblCellMar>
          <w:top w:w="28" w:type="dxa"/>
          <w:left w:w="28" w:type="dxa"/>
          <w:bottom w:w="28" w:type="dxa"/>
          <w:right w:w="28" w:type="dxa"/>
        </w:tblCellMar>
      </w:tblPr>
      <w:tblGrid>
        <w:gridCol w:w="697"/>
        <w:gridCol w:w="611"/>
        <w:gridCol w:w="866"/>
      </w:tblGrid>
      <w:tr>
        <w:trPr/>
        <w:tc>
          <w:tcPr>
            <w:tcW w:w="697"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EXECUTIVE:</w:t>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 xml:space="preserve">/s/ Jason M. Cardew </w:t>
            </w:r>
          </w:p>
        </w:tc>
      </w:tr>
      <w:tr>
        <w:trPr/>
        <w:tc>
          <w:tcPr>
            <w:tcW w:w="21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Jason M. Cardew</w:t>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[contact information</w:t>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intentionally omitted]</w:t>
            </w:r>
          </w:p>
        </w:tc>
      </w:tr>
    </w:tbl>
    <w:p>
      <w:pPr>
        <w:pStyle w:val="TextBody"/>
        <w:bidi w:val="0"/>
        <w:spacing w:before="0" w:after="0"/>
        <w:jc w:val="left"/>
        <w:rPr/>
      </w:pPr>
      <w:r>
        <w:rPr/>
      </w:r>
    </w:p>
    <w:p>
      <w:pPr>
        <w:pStyle w:val="TextBody"/>
        <w:bidi w:val="0"/>
        <w:spacing w:before="0" w:after="0"/>
        <w:jc w:val="left"/>
        <w:rPr/>
      </w:pPr>
      <w:r>
        <w:rPr/>
      </w:r>
    </w:p>
    <w:p>
      <w:pPr>
        <w:pStyle w:val="TextBody"/>
        <w:bidi w:val="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28270"/>
                <wp:effectExtent l="0" t="0" r="0" b="0"/>
                <wp:wrapNone/>
                <wp:docPr id="31" name="Frame31"/>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p>
                  </w:txbxContent>
                </v:textbox>
                <w10:wrap type="none"/>
              </v:rect>
            </w:pict>
          </mc:Fallback>
        </mc:AlternateContent>
      </w:r>
    </w:p>
    <w:p>
      <w:pPr>
        <w:pStyle w:val="TextBody"/>
        <w:bidi w:val="0"/>
        <w:spacing w:before="0" w:after="0"/>
        <w:jc w:val="left"/>
        <w:rPr/>
      </w:pPr>
      <w:r>
        <w:rPr/>
        <w:drawing>
          <wp:inline distT="0" distB="0" distL="0" distR="0">
            <wp:extent cx="1552575" cy="609600"/>
            <wp:effectExtent l="0" t="0" r="0" b="0"/>
            <wp:docPr id="3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 descr=""/>
                    <pic:cNvPicPr>
                      <a:picLocks noChangeAspect="1" noChangeArrowheads="1"/>
                    </pic:cNvPicPr>
                  </pic:nvPicPr>
                  <pic:blipFill>
                    <a:blip r:embed="rId2"/>
                    <a:stretch>
                      <a:fillRect/>
                    </a:stretch>
                  </pic:blipFill>
                  <pic:spPr bwMode="auto">
                    <a:xfrm>
                      <a:off x="0" y="0"/>
                      <a:ext cx="1552575" cy="609600"/>
                    </a:xfrm>
                    <a:prstGeom prst="rect">
                      <a:avLst/>
                    </a:prstGeom>
                  </pic:spPr>
                </pic:pic>
              </a:graphicData>
            </a:graphic>
          </wp:inline>
        </w:drawing>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68" w:before="0" w:after="0"/>
        <w:jc w:val="right"/>
        <w:rPr>
          <w:rFonts w:ascii="Verdana;sans-serif" w:hAnsi="Verdana;sans-serif"/>
          <w:b/>
          <w:color w:val="000000"/>
          <w:sz w:val="22"/>
        </w:rPr>
      </w:pPr>
      <w:r>
        <w:rPr>
          <w:rFonts w:ascii="Verdana;sans-serif" w:hAnsi="Verdana;sans-serif"/>
          <w:b/>
          <w:color w:val="000000"/>
          <w:sz w:val="22"/>
        </w:rPr>
        <w:t>Lear Contact: Katya Pruett</w:t>
      </w:r>
    </w:p>
    <w:p>
      <w:pPr>
        <w:pStyle w:val="TextBody"/>
        <w:bidi w:val="0"/>
        <w:spacing w:lineRule="auto" w:line="276" w:before="0" w:after="0"/>
        <w:jc w:val="right"/>
        <w:rPr>
          <w:rFonts w:ascii="Verdana;sans-serif" w:hAnsi="Verdana;sans-serif"/>
          <w:b/>
          <w:color w:val="000000"/>
          <w:sz w:val="22"/>
        </w:rPr>
      </w:pPr>
      <w:r>
        <w:rPr>
          <w:rFonts w:ascii="Verdana;sans-serif" w:hAnsi="Verdana;sans-serif"/>
          <w:b/>
          <w:color w:val="000000"/>
          <w:sz w:val="22"/>
        </w:rPr>
        <w:t>Contact Information: 248-447-1646</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5" w:before="0" w:after="0"/>
        <w:jc w:val="center"/>
        <w:rPr>
          <w:rFonts w:ascii="Verdana;sans-serif" w:hAnsi="Verdana;sans-serif"/>
          <w:b/>
          <w:color w:val="000000"/>
          <w:sz w:val="28"/>
        </w:rPr>
      </w:pPr>
      <w:r>
        <w:rPr>
          <w:rFonts w:ascii="Verdana;sans-serif" w:hAnsi="Verdana;sans-serif"/>
          <w:b/>
          <w:color w:val="000000"/>
          <w:sz w:val="28"/>
        </w:rPr>
        <w:t>Lear Announces CFO Succession Plan</w:t>
      </w:r>
    </w:p>
    <w:p>
      <w:pPr>
        <w:pStyle w:val="TextBody"/>
        <w:bidi w:val="0"/>
        <w:spacing w:before="0" w:after="0"/>
        <w:jc w:val="center"/>
        <w:rPr/>
      </w:pPr>
      <w:r>
        <w:rPr/>
      </w:r>
    </w:p>
    <w:p>
      <w:pPr>
        <w:pStyle w:val="TextBody"/>
        <w:bidi w:val="0"/>
        <w:spacing w:lineRule="auto" w:line="268" w:before="0" w:after="0"/>
        <w:jc w:val="center"/>
        <w:rPr>
          <w:rFonts w:ascii="Verdana;sans-serif" w:hAnsi="Verdana;sans-serif"/>
          <w:b w:val="false"/>
          <w:i/>
          <w:color w:val="000000"/>
          <w:sz w:val="22"/>
        </w:rPr>
      </w:pPr>
      <w:r>
        <w:rPr>
          <w:rFonts w:ascii="Verdana;sans-serif" w:hAnsi="Verdana;sans-serif"/>
          <w:b w:val="false"/>
          <w:i/>
          <w:color w:val="000000"/>
          <w:sz w:val="22"/>
        </w:rPr>
        <w:t>Jared Fedele to Assume CFO Role Effective March 1, 2027</w:t>
      </w:r>
    </w:p>
    <w:p>
      <w:pPr>
        <w:pStyle w:val="TextBody"/>
        <w:bidi w:val="0"/>
        <w:spacing w:lineRule="auto" w:line="276" w:before="0" w:after="0"/>
        <w:jc w:val="center"/>
        <w:rPr>
          <w:rFonts w:ascii="Verdana;sans-serif" w:hAnsi="Verdana;sans-serif"/>
          <w:b w:val="false"/>
          <w:i/>
          <w:color w:val="000000"/>
          <w:sz w:val="22"/>
        </w:rPr>
      </w:pPr>
      <w:r>
        <w:rPr>
          <w:rFonts w:ascii="Verdana;sans-serif" w:hAnsi="Verdana;sans-serif"/>
          <w:b w:val="false"/>
          <w:i/>
          <w:color w:val="000000"/>
          <w:sz w:val="22"/>
        </w:rPr>
        <w:t>Jason Cardew to Retire from Lear on December 31, 2027</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Verdana;sans-serif" w:hAnsi="Verdana;sans-serif"/>
          <w:b/>
          <w:color w:val="000000"/>
          <w:sz w:val="22"/>
        </w:rPr>
        <w:t>SOUTHFIELD, Mich., October 19, 2026</w:t>
      </w:r>
      <w:r>
        <w:rPr>
          <w:color w:val="000000"/>
        </w:rPr>
        <w:t xml:space="preserve"> — </w:t>
      </w:r>
      <w:r>
        <w:rPr>
          <w:rFonts w:ascii="Verdana;sans-serif" w:hAnsi="Verdana;sans-serif"/>
          <w:b w:val="false"/>
          <w:color w:val="000000"/>
          <w:sz w:val="22"/>
        </w:rPr>
        <w:t>Lear Corporation (NYSE: LEA), a global automotive technology leader in Seating and E-Systems, today announced it has appointed Jared Fedele to the position of Senior Vice President and Chief Financial Officer, effective March 1, 2027, following a robust succession-planning process. Fedele will succeed Jason Cardew, who has elected to retire after 34 years of service. Cardew will continue to serve as Chief Financial Officer through February 28, 2027. He will then serve in a non-executive capacity as Executive Advisor to Lear's senior management team through December 31, 2027, supporting an orderly transition and providing continuity on select strategic matters.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Verdana;sans-serif" w:hAnsi="Verdana;sans-serif"/>
          <w:b w:val="false"/>
          <w:color w:val="000000"/>
          <w:sz w:val="22"/>
        </w:rPr>
        <w:t>I want to thank Jason for his exceptional leadership and contributions to Lear,” said Ray Scott, president and CEO. “Throughout his tenure as CFO, Jason has been a trusted partner who brought vision and rigor to our financial strategy and processes, built a strong global Finance organization and played an important role in positioning Lear for continued profitable growth.”</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Verdana;sans-serif" w:hAnsi="Verdana;sans-serif"/>
          <w:b w:val="false"/>
          <w:color w:val="000000"/>
          <w:sz w:val="22"/>
        </w:rPr>
        <w:t>It has been a privilege to serve as CFO of Lear, and I’m incredibly proud of what we have accomplished together,” Cardew said. “I’ve worked closely with Jared for many years, and I am confident that he has the experience, judgment and deep understanding of our business to lead our Finance organization forward. I look forward to supporting him through a smooth transition.”</w:t>
      </w:r>
    </w:p>
    <w:p>
      <w:pPr>
        <w:pStyle w:val="TextBody"/>
        <w:bidi w:val="0"/>
        <w:spacing w:before="0" w:after="0"/>
        <w:jc w:val="left"/>
        <w:rPr/>
      </w:pPr>
      <w:r>
        <w:rPr/>
      </w:r>
    </w:p>
    <w:p>
      <w:pPr>
        <w:pStyle w:val="TextBody"/>
        <w:bidi w:val="0"/>
        <w:spacing w:lineRule="auto" w:line="288"/>
        <w:jc w:val="left"/>
        <w:rPr>
          <w:rFonts w:ascii="Verdana;sans-serif" w:hAnsi="Verdana;sans-serif"/>
          <w:b w:val="false"/>
          <w:color w:val="000000"/>
          <w:sz w:val="22"/>
        </w:rPr>
      </w:pPr>
      <w:r>
        <w:rPr>
          <w:rFonts w:ascii="Verdana;sans-serif" w:hAnsi="Verdana;sans-serif"/>
          <w:b w:val="false"/>
          <w:color w:val="000000"/>
          <w:sz w:val="22"/>
        </w:rPr>
        <w:t>During his 23-year career with Lear, Fedele has led Global Financial Planning and Analysis and held senior operational finance roles across the company. He currently serves as Vice President of Finance for Seating and E-Systems, overseeing finance for both of Lear’s operating divisions. He brings extensive insight into Lear’s global operations, including more than six years of finance leadership in Asia Pacific across two separate assignments, with significant experience in China supporting the company’s expansion in the region.</w:t>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w:t>
      </w:r>
      <w:r>
        <w:rPr>
          <w:rFonts w:ascii="Verdana;sans-serif" w:hAnsi="Verdana;sans-serif"/>
          <w:b w:val="false"/>
          <w:color w:val="000000"/>
          <w:sz w:val="22"/>
        </w:rPr>
        <w:t>As a Lear veteran with broad experience across our businesses, Jared is well prepared to lead our Finance organization as we continue to execute our strategy,” Scott added. “His appointment reflects the depth of leadership talent we have developed across Lear and his readiness to assume this important role. He is a proven leader with a deep understanding of our business and financial strategy and has led our response to key priorities, including tariffs and initiatives to improve profitability and drive value creation. I am confident Jared will provide strong leadership as we continue to strengthen our financial performance and create long-term value for our shareholders.”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Verdana;sans-serif" w:hAnsi="Verdana;sans-serif"/>
          <w:b w:val="false"/>
          <w:color w:val="000000"/>
          <w:sz w:val="22"/>
        </w:rPr>
        <w:t>I’m honored to take on this role and build on the strong foundation Jason has established at Lear,” Fedele said. “Lear has tremendous opportunities ahead as we continue to invest in innovation, strengthen our competitiveness and grow with our global customers. I look forward to working with the team in this new role to advance our strategic priorities.”</w:t>
      </w:r>
    </w:p>
    <w:p>
      <w:pPr>
        <w:pStyle w:val="TextBody"/>
        <w:bidi w:val="0"/>
        <w:spacing w:before="0" w:after="0"/>
        <w:jc w:val="left"/>
        <w:rPr/>
      </w:pPr>
      <w:r>
        <w:rPr/>
      </w:r>
    </w:p>
    <w:p>
      <w:pPr>
        <w:pStyle w:val="TextBody"/>
        <w:bidi w:val="0"/>
        <w:spacing w:lineRule="auto" w:line="288" w:before="0" w:after="0"/>
        <w:jc w:val="left"/>
        <w:rPr>
          <w:rFonts w:ascii="Verdana;sans-serif" w:hAnsi="Verdana;sans-serif"/>
          <w:b/>
          <w:color w:val="000000"/>
          <w:sz w:val="22"/>
        </w:rPr>
      </w:pPr>
      <w:r>
        <w:rPr>
          <w:rFonts w:ascii="Verdana;sans-serif" w:hAnsi="Verdana;sans-serif"/>
          <w:b/>
          <w:color w:val="000000"/>
          <w:sz w:val="22"/>
        </w:rPr>
        <w:t>About Lear Corporation </w:t>
      </w:r>
    </w:p>
    <w:p>
      <w:pPr>
        <w:pStyle w:val="TextBody"/>
        <w:bidi w:val="0"/>
        <w:spacing w:lineRule="auto" w:line="288" w:before="0" w:after="0"/>
        <w:jc w:val="left"/>
        <w:rPr>
          <w:rFonts w:ascii="Verdana;sans-serif" w:hAnsi="Verdana;sans-serif"/>
          <w:b w:val="false"/>
          <w:color w:val="000000"/>
          <w:sz w:val="22"/>
        </w:rPr>
      </w:pPr>
      <w:r>
        <w:rPr>
          <w:rFonts w:ascii="Verdana;sans-serif" w:hAnsi="Verdana;sans-serif"/>
          <w:b w:val="false"/>
          <w:color w:val="000000"/>
          <w:sz w:val="22"/>
        </w:rPr>
        <w:t>Lear Corporation (NYSE: LEA) is a global automotive leader in Seating and E-Systems. The company designs, manufactures, and delivers advanced technologies to the world’s major automakers. Building on more than 100 years of heritage, Lear is the largest U.S.-based automotive supplier, headquartered in Southfield, Michigan. Driven by a commitment to innovation, operational excellence, and sustainability, Lear’s global team of talented employees is shaping the future of mobility by developing solutions that enhance comfort, safety, and efficiency. More information is available at Lear.com.</w:t>
      </w:r>
    </w:p>
    <w:p>
      <w:pPr>
        <w:pStyle w:val="TextBody"/>
        <w:bidi w:val="0"/>
        <w:spacing w:before="0" w:after="0"/>
        <w:jc w:val="left"/>
        <w:rPr/>
      </w:pPr>
      <w:r>
        <w:rPr/>
      </w:r>
    </w:p>
    <w:p>
      <w:pPr>
        <w:pStyle w:val="TextBody"/>
        <w:bidi w:val="0"/>
        <w:spacing w:lineRule="auto" w:line="288" w:before="0" w:after="0"/>
        <w:jc w:val="center"/>
        <w:rPr>
          <w:rFonts w:ascii="Verdana;sans-serif" w:hAnsi="Verdana;sans-serif"/>
          <w:b w:val="false"/>
          <w:color w:val="000000"/>
          <w:sz w:val="22"/>
        </w:rPr>
      </w:pPr>
      <w:r>
        <w:rPr>
          <w:rFonts w:ascii="Verdana;sans-serif" w:hAnsi="Verdana;sans-serif"/>
          <w:b w:val="false"/>
          <w:color w:val="000000"/>
          <w:sz w:val="22"/>
        </w:rPr>
        <w:t>###</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Verdana">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30</Pages>
  <Words>14692</Words>
  <Characters>79568</Characters>
  <CharactersWithSpaces>94423</CharactersWithSpaces>
  <Paragraphs>316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