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233680</wp:posOffset>
            </wp:positionH>
            <wp:positionV relativeFrom="page">
              <wp:posOffset>629285</wp:posOffset>
            </wp:positionV>
            <wp:extent cx="70891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page">
              <wp:posOffset>233680</wp:posOffset>
            </wp:positionH>
            <wp:positionV relativeFrom="page">
              <wp:posOffset>594995</wp:posOffset>
            </wp:positionV>
            <wp:extent cx="70891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8255"/>
                    </a:xfrm>
                    <a:prstGeom prst="rect">
                      <a:avLst/>
                    </a:prstGeom>
                    <a:noFill/>
                  </pic:spPr>
                </pic:pic>
              </a:graphicData>
            </a:graphic>
          </wp:anchor>
        </w:drawing>
        <w:t>UNITED STATES SECURITIES AND EXCHANGE COMMISSION</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10-K</w:t>
      </w: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136"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w:t>
      </w:r>
    </w:p>
    <w:p>
      <w:pPr>
        <w:spacing w:after="0" w:line="105" w:lineRule="exact"/>
        <w:rPr>
          <w:rFonts w:ascii="MS PGothic" w:cs="MS PGothic" w:eastAsia="MS PGothic" w:hAnsi="MS PGothic"/>
          <w:sz w:val="22"/>
          <w:szCs w:val="22"/>
          <w:color w:val="auto"/>
        </w:rPr>
      </w:pPr>
    </w:p>
    <w:p>
      <w:pPr>
        <w:ind w:left="3900"/>
        <w:spacing w:after="0"/>
        <w:rPr>
          <w:rFonts w:ascii="MS PGothic" w:cs="MS PGothic" w:eastAsia="MS PGothic" w:hAnsi="MS PGothic"/>
          <w:sz w:val="22"/>
          <w:szCs w:val="22"/>
          <w:color w:val="auto"/>
        </w:rPr>
      </w:pPr>
      <w:r>
        <w:rPr>
          <w:rFonts w:ascii="Times New Roman" w:cs="Times New Roman" w:eastAsia="Times New Roman" w:hAnsi="Times New Roman"/>
          <w:sz w:val="18"/>
          <w:szCs w:val="18"/>
          <w:b w:val="1"/>
          <w:bCs w:val="1"/>
          <w:color w:val="auto"/>
        </w:rPr>
        <w:t>For the fiscal year ended December 31, 2025.</w:t>
      </w:r>
    </w:p>
    <w:p>
      <w:pPr>
        <w:spacing w:after="0" w:line="166" w:lineRule="exact"/>
        <w:rPr>
          <w:sz w:val="24"/>
          <w:szCs w:val="24"/>
          <w:color w:val="auto"/>
        </w:rPr>
      </w:pPr>
    </w:p>
    <w:p>
      <w:pPr>
        <w:ind w:left="680" w:hanging="654"/>
        <w:spacing w:after="0"/>
        <w:tabs>
          <w:tab w:leader="none" w:pos="68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37" w:lineRule="exact"/>
        <w:rPr>
          <w:sz w:val="24"/>
          <w:szCs w:val="24"/>
          <w:color w:val="auto"/>
        </w:rPr>
      </w:pPr>
    </w:p>
    <w:tbl>
      <w:tblPr>
        <w:tblLayout w:type="fixed"/>
        <w:tblInd w:w="2420" w:type="dxa"/>
        <w:tblCellMar>
          <w:top w:w="0" w:type="dxa"/>
          <w:left w:w="0" w:type="dxa"/>
          <w:bottom w:w="0" w:type="dxa"/>
          <w:right w:w="0" w:type="dxa"/>
        </w:tblCellMar>
      </w:tblPr>
      <w:tr>
        <w:trPr>
          <w:trHeight w:val="207"/>
        </w:trPr>
        <w:tc>
          <w:tcPr>
            <w:tcW w:w="3340" w:type="dxa"/>
            <w:vAlign w:val="bottom"/>
          </w:tcPr>
          <w:p>
            <w:pPr>
              <w:ind w:left="980"/>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900" w:type="dxa"/>
            <w:vAlign w:val="bottom"/>
            <w:tcBorders>
              <w:bottom w:val="single" w:sz="8" w:color="auto"/>
            </w:tcBorders>
          </w:tcPr>
          <w:p>
            <w:pPr>
              <w:spacing w:after="0"/>
              <w:rPr>
                <w:sz w:val="17"/>
                <w:szCs w:val="17"/>
                <w:color w:val="auto"/>
              </w:rPr>
            </w:pP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to</w:t>
            </w:r>
          </w:p>
        </w:tc>
        <w:tc>
          <w:tcPr>
            <w:tcW w:w="3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78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w w:val="87"/>
              </w:rPr>
              <w:t>.</w:t>
            </w:r>
          </w:p>
        </w:tc>
      </w:tr>
      <w:tr>
        <w:trPr>
          <w:trHeight w:val="291"/>
        </w:trPr>
        <w:tc>
          <w:tcPr>
            <w:tcW w:w="4800" w:type="dxa"/>
            <w:vAlign w:val="bottom"/>
            <w:gridSpan w:val="4"/>
          </w:tcPr>
          <w:p>
            <w:pPr>
              <w:jc w:val="center"/>
              <w:ind w:left="1538"/>
              <w:spacing w:after="0"/>
              <w:rPr>
                <w:sz w:val="20"/>
                <w:szCs w:val="20"/>
                <w:color w:val="auto"/>
              </w:rPr>
            </w:pPr>
            <w:r>
              <w:rPr>
                <w:rFonts w:ascii="Times New Roman" w:cs="Times New Roman" w:eastAsia="Times New Roman" w:hAnsi="Times New Roman"/>
                <w:sz w:val="18"/>
                <w:szCs w:val="18"/>
                <w:b w:val="1"/>
                <w:bCs w:val="1"/>
                <w:color w:val="auto"/>
                <w:w w:val="99"/>
              </w:rPr>
              <w:t>Commission file number: 1-11311</w:t>
            </w:r>
          </w:p>
        </w:tc>
        <w:tc>
          <w:tcPr>
            <w:tcW w:w="5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039"/>
        </w:trPr>
        <w:tc>
          <w:tcPr>
            <w:tcW w:w="6160" w:type="dxa"/>
            <w:vAlign w:val="bottom"/>
            <w:gridSpan w:val="6"/>
          </w:tcPr>
          <w:p>
            <w:pPr>
              <w:jc w:val="center"/>
              <w:ind w:left="178"/>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tc>
      </w:tr>
      <w:tr>
        <w:trPr>
          <w:trHeight w:val="234"/>
        </w:trPr>
        <w:tc>
          <w:tcPr>
            <w:tcW w:w="3340" w:type="dxa"/>
            <w:vAlign w:val="bottom"/>
          </w:tcPr>
          <w:p>
            <w:pPr>
              <w:jc w:val="center"/>
              <w:ind w:right="1538"/>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gridSpan w:val="2"/>
          </w:tcPr>
          <w:p>
            <w:pPr>
              <w:jc w:val="center"/>
              <w:ind w:left="225"/>
              <w:spacing w:after="0"/>
              <w:rPr>
                <w:sz w:val="20"/>
                <w:szCs w:val="20"/>
                <w:color w:val="auto"/>
              </w:rPr>
            </w:pPr>
            <w:r>
              <w:rPr>
                <w:rFonts w:ascii="Times New Roman" w:cs="Times New Roman" w:eastAsia="Times New Roman" w:hAnsi="Times New Roman"/>
                <w:sz w:val="16"/>
                <w:szCs w:val="16"/>
                <w:b w:val="1"/>
                <w:bCs w:val="1"/>
                <w:color w:val="auto"/>
              </w:rPr>
              <w:t>13-3386776</w:t>
            </w:r>
          </w:p>
        </w:tc>
      </w:tr>
      <w:tr>
        <w:trPr>
          <w:trHeight w:val="149"/>
        </w:trPr>
        <w:tc>
          <w:tcPr>
            <w:tcW w:w="3340" w:type="dxa"/>
            <w:vAlign w:val="bottom"/>
          </w:tcPr>
          <w:p>
            <w:pPr>
              <w:jc w:val="center"/>
              <w:ind w:right="1538"/>
              <w:spacing w:after="0" w:line="149" w:lineRule="exact"/>
              <w:rPr>
                <w:sz w:val="20"/>
                <w:szCs w:val="20"/>
                <w:color w:val="auto"/>
              </w:rPr>
            </w:pPr>
            <w:r>
              <w:rPr>
                <w:rFonts w:ascii="Times New Roman" w:cs="Times New Roman" w:eastAsia="Times New Roman" w:hAnsi="Times New Roman"/>
                <w:sz w:val="14"/>
                <w:szCs w:val="14"/>
                <w:color w:val="auto"/>
              </w:rPr>
              <w:t>(State or other jurisdiction of</w:t>
            </w: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gridSpan w:val="2"/>
          </w:tcPr>
          <w:p>
            <w:pPr>
              <w:jc w:val="center"/>
              <w:ind w:left="225"/>
              <w:spacing w:after="0" w:line="149" w:lineRule="exact"/>
              <w:rPr>
                <w:sz w:val="20"/>
                <w:szCs w:val="20"/>
                <w:color w:val="auto"/>
              </w:rPr>
            </w:pPr>
            <w:r>
              <w:rPr>
                <w:rFonts w:ascii="Times New Roman" w:cs="Times New Roman" w:eastAsia="Times New Roman" w:hAnsi="Times New Roman"/>
                <w:sz w:val="14"/>
                <w:szCs w:val="14"/>
                <w:color w:val="auto"/>
              </w:rPr>
              <w:t>(I.R.S. Employer</w:t>
            </w:r>
          </w:p>
        </w:tc>
      </w:tr>
      <w:tr>
        <w:trPr>
          <w:trHeight w:val="188"/>
        </w:trPr>
        <w:tc>
          <w:tcPr>
            <w:tcW w:w="3340" w:type="dxa"/>
            <w:vAlign w:val="bottom"/>
          </w:tcPr>
          <w:p>
            <w:pPr>
              <w:jc w:val="center"/>
              <w:ind w:right="1538"/>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gridSpan w:val="2"/>
          </w:tcPr>
          <w:p>
            <w:pPr>
              <w:jc w:val="center"/>
              <w:ind w:left="225"/>
              <w:spacing w:after="0"/>
              <w:rPr>
                <w:sz w:val="20"/>
                <w:szCs w:val="20"/>
                <w:color w:val="auto"/>
              </w:rPr>
            </w:pPr>
            <w:r>
              <w:rPr>
                <w:rFonts w:ascii="Times New Roman" w:cs="Times New Roman" w:eastAsia="Times New Roman" w:hAnsi="Times New Roman"/>
                <w:sz w:val="14"/>
                <w:szCs w:val="14"/>
                <w:color w:val="auto"/>
              </w:rPr>
              <w:t>Identification No.)</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-987425</wp:posOffset>
            </wp:positionV>
            <wp:extent cx="1474470" cy="4286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428625"/>
                    </a:xfrm>
                    <a:prstGeom prst="rect">
                      <a:avLst/>
                    </a:prstGeom>
                    <a:noFill/>
                  </pic:spPr>
                </pic:pic>
              </a:graphicData>
            </a:graphic>
          </wp:anchor>
        </w:drawing>
      </w:r>
    </w:p>
    <w:p>
      <w:pPr>
        <w:spacing w:after="0" w:line="305"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21557 Telegraph Road, Southfield, MI 48033</w:t>
      </w:r>
    </w:p>
    <w:p>
      <w:pPr>
        <w:spacing w:after="0" w:line="25" w:lineRule="exact"/>
        <w:rPr>
          <w:sz w:val="24"/>
          <w:szCs w:val="24"/>
          <w:color w:val="auto"/>
        </w:rPr>
      </w:pPr>
    </w:p>
    <w:p>
      <w:pPr>
        <w:jc w:val="center"/>
        <w:ind w:right="420"/>
        <w:spacing w:after="0"/>
        <w:rPr>
          <w:sz w:val="20"/>
          <w:szCs w:val="20"/>
          <w:color w:val="auto"/>
        </w:rPr>
      </w:pPr>
      <w:r>
        <w:rPr>
          <w:rFonts w:ascii="Times New Roman" w:cs="Times New Roman" w:eastAsia="Times New Roman" w:hAnsi="Times New Roman"/>
          <w:sz w:val="14"/>
          <w:szCs w:val="14"/>
          <w:color w:val="auto"/>
        </w:rPr>
        <w:t>(Address of principal executive offices)</w:t>
      </w:r>
    </w:p>
    <w:p>
      <w:pPr>
        <w:spacing w:after="0" w:line="11" w:lineRule="exact"/>
        <w:rPr>
          <w:sz w:val="24"/>
          <w:szCs w:val="24"/>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(248) 447-1500</w:t>
      </w:r>
    </w:p>
    <w:p>
      <w:pPr>
        <w:spacing w:after="0" w:line="12" w:lineRule="exact"/>
        <w:rPr>
          <w:sz w:val="24"/>
          <w:szCs w:val="24"/>
          <w:color w:val="auto"/>
        </w:rPr>
      </w:pPr>
    </w:p>
    <w:p>
      <w:pPr>
        <w:ind w:left="420"/>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2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ectPr>
          <w:pgSz w:w="11900" w:h="16838" w:orient="portrait"/>
          <w:cols w:equalWidth="0" w:num="1">
            <w:col w:w="11240"/>
          </w:cols>
          <w:pgMar w:left="320" w:top="1148" w:right="339" w:bottom="1440" w:gutter="0" w:footer="0" w:header="0"/>
        </w:sectPr>
      </w:pPr>
    </w:p>
    <w:p>
      <w:pPr>
        <w:spacing w:after="0" w:line="37"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14"/>
          <w:szCs w:val="14"/>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Trading Symbol(s)</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p>
      <w:pPr>
        <w:spacing w:after="0" w:line="44" w:lineRule="exact"/>
        <w:rPr>
          <w:sz w:val="24"/>
          <w:szCs w:val="24"/>
          <w:color w:val="auto"/>
        </w:rPr>
      </w:pPr>
    </w:p>
    <w:p>
      <w:pPr>
        <w:sectPr>
          <w:pgSz w:w="11900" w:h="16838" w:orient="portrait"/>
          <w:cols w:equalWidth="0" w:num="3">
            <w:col w:w="4300" w:space="720"/>
            <w:col w:w="1400" w:space="720"/>
            <w:col w:w="4100"/>
          </w:cols>
          <w:pgMar w:left="320" w:top="1148" w:right="339" w:bottom="1440" w:gutter="0" w:footer="0" w:header="0"/>
          <w:type w:val="continuous"/>
        </w:sectPr>
      </w:pPr>
    </w:p>
    <w:p>
      <w:pPr>
        <w:jc w:val="center"/>
        <w:ind w:left="760"/>
        <w:spacing w:after="0"/>
        <w:rPr>
          <w:sz w:val="20"/>
          <w:szCs w:val="20"/>
          <w:color w:val="auto"/>
        </w:rPr>
      </w:pPr>
      <w:r>
        <w:rPr>
          <w:rFonts w:ascii="Times New Roman" w:cs="Times New Roman" w:eastAsia="Times New Roman" w:hAnsi="Times New Roman"/>
          <w:sz w:val="14"/>
          <w:szCs w:val="14"/>
          <w:color w:val="auto"/>
        </w:rPr>
        <w:t>Common Stock, par value $0.01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LEA</w:t>
      </w:r>
    </w:p>
    <w:p>
      <w:pPr>
        <w:spacing w:after="0" w:line="20" w:lineRule="exact"/>
        <w:rPr>
          <w:sz w:val="24"/>
          <w:szCs w:val="24"/>
          <w:color w:val="auto"/>
        </w:rPr>
      </w:pPr>
      <w:r>
        <w:rPr>
          <w:sz w:val="24"/>
          <w:szCs w:val="24"/>
          <w:color w:val="auto"/>
        </w:rPr>
        <w:br w:type="column"/>
      </w:r>
    </w:p>
    <w:p>
      <w:pPr>
        <w:jc w:val="center"/>
        <w:ind w:right="1980"/>
        <w:spacing w:after="0"/>
        <w:rPr>
          <w:sz w:val="20"/>
          <w:szCs w:val="20"/>
          <w:color w:val="auto"/>
        </w:rPr>
      </w:pPr>
      <w:r>
        <w:rPr>
          <w:rFonts w:ascii="Times New Roman" w:cs="Times New Roman" w:eastAsia="Times New Roman" w:hAnsi="Times New Roman"/>
          <w:sz w:val="14"/>
          <w:szCs w:val="14"/>
          <w:color w:val="auto"/>
        </w:rPr>
        <w:t>New York Stock Exchange</w:t>
      </w:r>
    </w:p>
    <w:p>
      <w:pPr>
        <w:spacing w:after="0" w:line="200" w:lineRule="exact"/>
        <w:rPr>
          <w:sz w:val="24"/>
          <w:szCs w:val="24"/>
          <w:color w:val="auto"/>
        </w:rPr>
      </w:pPr>
    </w:p>
    <w:p>
      <w:pPr>
        <w:sectPr>
          <w:pgSz w:w="11900" w:h="16838" w:orient="portrait"/>
          <w:cols w:equalWidth="0" w:num="3">
            <w:col w:w="4740" w:space="720"/>
            <w:col w:w="1520" w:space="720"/>
            <w:col w:w="3540"/>
          </w:cols>
          <w:pgMar w:left="320" w:top="1148" w:right="339" w:bottom="1440" w:gutter="0" w:footer="0" w:header="0"/>
          <w:type w:val="continuous"/>
        </w:sectPr>
      </w:pPr>
    </w:p>
    <w:p>
      <w:pPr>
        <w:spacing w:after="0" w:line="5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 xml:space="preserve">Securities registered pursuant to Section 12(g) of the Act: </w:t>
      </w:r>
      <w:r>
        <w:rPr>
          <w:rFonts w:ascii="Times New Roman" w:cs="Times New Roman" w:eastAsia="Times New Roman" w:hAnsi="Times New Roman"/>
          <w:sz w:val="16"/>
          <w:szCs w:val="16"/>
          <w:color w:val="auto"/>
        </w:rPr>
        <w:t>None</w:t>
      </w:r>
    </w:p>
    <w:p>
      <w:pPr>
        <w:sectPr>
          <w:pgSz w:w="11900" w:h="16838" w:orient="portrait"/>
          <w:cols w:equalWidth="0" w:num="1">
            <w:col w:w="11240"/>
          </w:cols>
          <w:pgMar w:left="320" w:top="1148" w:right="339" w:bottom="1440" w:gutter="0" w:footer="0" w:header="0"/>
          <w:type w:val="continuous"/>
        </w:sectPr>
      </w:pPr>
    </w:p>
    <w:p>
      <w:pPr>
        <w:spacing w:after="0" w:line="120"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Indicate by check mark if the registrant is a well-known seasoned issuer, as defined in Rule 405 of the Securities Act.</w:t>
      </w:r>
    </w:p>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Yes</w:t>
      </w:r>
    </w:p>
    <w:p>
      <w:pPr>
        <w:spacing w:after="0" w:line="20" w:lineRule="exact"/>
        <w:rPr>
          <w:sz w:val="24"/>
          <w:szCs w:val="24"/>
          <w:color w:val="auto"/>
        </w:rPr>
      </w:pPr>
      <w:r>
        <w:rPr>
          <w:sz w:val="24"/>
          <w:szCs w:val="24"/>
          <w:color w:val="auto"/>
        </w:rPr>
        <w:br w:type="column"/>
      </w:r>
    </w:p>
    <w:p>
      <w:pPr>
        <w:spacing w:after="0" w:line="68" w:lineRule="exact"/>
        <w:rPr>
          <w:sz w:val="24"/>
          <w:szCs w:val="24"/>
          <w:color w:val="auto"/>
        </w:rPr>
      </w:pPr>
    </w:p>
    <w:p>
      <w:pPr>
        <w:spacing w:after="0" w:line="188" w:lineRule="exact"/>
        <w:rPr>
          <w:sz w:val="20"/>
          <w:szCs w:val="20"/>
          <w:color w:val="auto"/>
        </w:rPr>
      </w:pPr>
      <w:r>
        <w:rPr>
          <w:rFonts w:ascii="Arial Unicode MS" w:cs="Arial Unicode MS" w:eastAsia="Arial Unicode MS" w:hAnsi="Arial Unicode MS"/>
          <w:sz w:val="14"/>
          <w:szCs w:val="14"/>
          <w:color w:val="auto"/>
        </w:rPr>
        <w:t>☒</w:t>
      </w:r>
    </w:p>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No</w:t>
      </w:r>
    </w:p>
    <w:p>
      <w:pPr>
        <w:spacing w:after="0" w:line="20" w:lineRule="exact"/>
        <w:rPr>
          <w:sz w:val="24"/>
          <w:szCs w:val="24"/>
          <w:color w:val="auto"/>
        </w:rPr>
      </w:pPr>
      <w:r>
        <w:rPr>
          <w:sz w:val="24"/>
          <w:szCs w:val="24"/>
          <w:color w:val="auto"/>
        </w:rPr>
        <w:br w:type="column"/>
      </w:r>
    </w:p>
    <w:p>
      <w:pPr>
        <w:spacing w:after="0" w:line="68" w:lineRule="exact"/>
        <w:rPr>
          <w:sz w:val="24"/>
          <w:szCs w:val="24"/>
          <w:color w:val="auto"/>
        </w:rPr>
      </w:pPr>
    </w:p>
    <w:p>
      <w:pPr>
        <w:spacing w:after="0" w:line="188" w:lineRule="exact"/>
        <w:rPr>
          <w:sz w:val="20"/>
          <w:szCs w:val="20"/>
          <w:color w:val="auto"/>
        </w:rPr>
      </w:pPr>
      <w:r>
        <w:rPr>
          <w:rFonts w:ascii="Arial Unicode MS" w:cs="Arial Unicode MS" w:eastAsia="Arial Unicode MS" w:hAnsi="Arial Unicode MS"/>
          <w:sz w:val="14"/>
          <w:szCs w:val="14"/>
          <w:color w:val="auto"/>
        </w:rPr>
        <w:t>☐</w:t>
      </w:r>
    </w:p>
    <w:p>
      <w:pPr>
        <w:spacing w:after="0" w:line="109" w:lineRule="exact"/>
        <w:rPr>
          <w:sz w:val="24"/>
          <w:szCs w:val="24"/>
          <w:color w:val="auto"/>
        </w:rPr>
      </w:pPr>
    </w:p>
    <w:p>
      <w:pPr>
        <w:sectPr>
          <w:pgSz w:w="11900" w:h="16838" w:orient="portrait"/>
          <w:cols w:equalWidth="0" w:num="5">
            <w:col w:w="6760" w:space="140"/>
            <w:col w:w="200" w:space="80"/>
            <w:col w:w="140" w:space="140"/>
            <w:col w:w="180" w:space="60"/>
            <w:col w:w="3540"/>
          </w:cols>
          <w:pgMar w:left="320" w:top="1148" w:right="339" w:bottom="1440" w:gutter="0" w:footer="0" w:header="0"/>
          <w:type w:val="continuous"/>
        </w:sectPr>
      </w:pP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Indicate by check mark if the registrant is not required to file reports pursuant to Section 13 or Section 15(d) of the Act.</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Yes</w:t>
      </w:r>
    </w:p>
    <w:p>
      <w:pPr>
        <w:spacing w:after="0" w:line="20" w:lineRule="exact"/>
        <w:rPr>
          <w:sz w:val="24"/>
          <w:szCs w:val="24"/>
          <w:color w:val="auto"/>
        </w:rPr>
      </w:pPr>
      <w:r>
        <w:rPr>
          <w:sz w:val="24"/>
          <w:szCs w:val="24"/>
          <w:color w:val="auto"/>
        </w:rPr>
        <w:br w:type="column"/>
      </w:r>
    </w:p>
    <w:p>
      <w:pPr>
        <w:spacing w:after="0" w:line="168" w:lineRule="exact"/>
        <w:rPr>
          <w:sz w:val="20"/>
          <w:szCs w:val="20"/>
          <w:color w:val="auto"/>
        </w:rPr>
      </w:pPr>
      <w:r>
        <w:rPr>
          <w:rFonts w:ascii="Arial Unicode MS" w:cs="Arial Unicode MS" w:eastAsia="Arial Unicode MS" w:hAnsi="Arial Unicode MS"/>
          <w:sz w:val="14"/>
          <w:szCs w:val="14"/>
          <w:color w:val="auto"/>
        </w:rPr>
        <w:t>☐</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No</w:t>
      </w:r>
    </w:p>
    <w:p>
      <w:pPr>
        <w:spacing w:after="0" w:line="20" w:lineRule="exact"/>
        <w:rPr>
          <w:sz w:val="24"/>
          <w:szCs w:val="24"/>
          <w:color w:val="auto"/>
        </w:rPr>
      </w:pPr>
      <w:r>
        <w:rPr>
          <w:sz w:val="24"/>
          <w:szCs w:val="24"/>
          <w:color w:val="auto"/>
        </w:rPr>
        <w:br w:type="column"/>
      </w:r>
    </w:p>
    <w:p>
      <w:pPr>
        <w:spacing w:after="0" w:line="168" w:lineRule="exact"/>
        <w:rPr>
          <w:sz w:val="20"/>
          <w:szCs w:val="20"/>
          <w:color w:val="auto"/>
        </w:rPr>
      </w:pPr>
      <w:r>
        <w:rPr>
          <w:rFonts w:ascii="Arial Unicode MS" w:cs="Arial Unicode MS" w:eastAsia="Arial Unicode MS" w:hAnsi="Arial Unicode MS"/>
          <w:sz w:val="14"/>
          <w:szCs w:val="14"/>
          <w:color w:val="auto"/>
        </w:rPr>
        <w:t>☒</w:t>
      </w:r>
    </w:p>
    <w:p>
      <w:pPr>
        <w:spacing w:after="0" w:line="127" w:lineRule="exact"/>
        <w:rPr>
          <w:sz w:val="24"/>
          <w:szCs w:val="24"/>
          <w:color w:val="auto"/>
        </w:rPr>
      </w:pPr>
    </w:p>
    <w:p>
      <w:pPr>
        <w:sectPr>
          <w:pgSz w:w="11900" w:h="16838" w:orient="portrait"/>
          <w:cols w:equalWidth="0" w:num="5">
            <w:col w:w="6900" w:space="120"/>
            <w:col w:w="220" w:space="80"/>
            <w:col w:w="120" w:space="140"/>
            <w:col w:w="180" w:space="80"/>
            <w:col w:w="3400"/>
          </w:cols>
          <w:pgMar w:left="320" w:top="1148" w:right="339" w:bottom="1440" w:gutter="0" w:footer="0" w:header="0"/>
          <w:type w:val="continuous"/>
        </w:sectPr>
      </w:pPr>
    </w:p>
    <w:p>
      <w:pPr>
        <w:spacing w:after="0" w:line="193"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Act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No </w:t>
      </w:r>
      <w:r>
        <w:rPr>
          <w:rFonts w:ascii="Arial Unicode MS" w:cs="Arial Unicode MS" w:eastAsia="Arial Unicode MS" w:hAnsi="Arial Unicode MS"/>
          <w:sz w:val="14"/>
          <w:szCs w:val="14"/>
          <w:color w:val="auto"/>
        </w:rPr>
        <w:t>☐</w:t>
      </w:r>
    </w:p>
    <w:p>
      <w:pPr>
        <w:spacing w:after="0" w:line="74" w:lineRule="exact"/>
        <w:rPr>
          <w:sz w:val="24"/>
          <w:szCs w:val="24"/>
          <w:color w:val="auto"/>
        </w:rPr>
      </w:pPr>
    </w:p>
    <w:p>
      <w:pPr>
        <w:spacing w:after="0" w:line="199"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No </w:t>
      </w:r>
      <w:r>
        <w:rPr>
          <w:rFonts w:ascii="Arial Unicode MS" w:cs="Arial Unicode MS" w:eastAsia="Arial Unicode MS" w:hAnsi="Arial Unicode MS"/>
          <w:sz w:val="14"/>
          <w:szCs w:val="14"/>
          <w:color w:val="auto"/>
        </w:rPr>
        <w:t>☐</w:t>
      </w:r>
    </w:p>
    <w:p>
      <w:pPr>
        <w:spacing w:after="0" w:line="75" w:lineRule="exact"/>
        <w:rPr>
          <w:sz w:val="24"/>
          <w:szCs w:val="24"/>
          <w:color w:val="auto"/>
        </w:rPr>
      </w:pPr>
    </w:p>
    <w:p>
      <w:pPr>
        <w:spacing w:after="0" w:line="30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11240"/>
          </w:cols>
          <w:pgMar w:left="320" w:top="1148" w:right="339" w:bottom="1440" w:gutter="0" w:footer="0" w:header="0"/>
          <w:type w:val="continuous"/>
        </w:sectPr>
      </w:pPr>
    </w:p>
    <w:p>
      <w:pPr>
        <w:spacing w:after="0" w:line="81" w:lineRule="exact"/>
        <w:rPr>
          <w:sz w:val="24"/>
          <w:szCs w:val="24"/>
          <w:color w:val="auto"/>
        </w:rPr>
      </w:pPr>
    </w:p>
    <w:p>
      <w:pPr>
        <w:ind w:left="280" w:right="220"/>
        <w:spacing w:after="0" w:line="342" w:lineRule="auto"/>
        <w:rPr>
          <w:sz w:val="20"/>
          <w:szCs w:val="20"/>
          <w:color w:val="auto"/>
        </w:rPr>
      </w:pPr>
      <w:r>
        <w:rPr>
          <w:rFonts w:ascii="Times New Roman" w:cs="Times New Roman" w:eastAsia="Times New Roman" w:hAnsi="Times New Roman"/>
          <w:sz w:val="14"/>
          <w:szCs w:val="14"/>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spacing w:after="0" w:line="188" w:lineRule="exact"/>
        <w:rPr>
          <w:sz w:val="20"/>
          <w:szCs w:val="20"/>
          <w:color w:val="auto"/>
        </w:rPr>
      </w:pPr>
      <w:r>
        <w:rPr>
          <w:rFonts w:ascii="Arial Unicode MS" w:cs="Arial Unicode MS" w:eastAsia="Arial Unicode MS" w:hAnsi="Arial Unicode MS"/>
          <w:sz w:val="14"/>
          <w:szCs w:val="14"/>
          <w:color w:val="auto"/>
        </w:rPr>
        <w:t>☒</w:t>
      </w:r>
    </w:p>
    <w:p>
      <w:pPr>
        <w:spacing w:after="0" w:line="54" w:lineRule="exact"/>
        <w:rPr>
          <w:sz w:val="24"/>
          <w:szCs w:val="24"/>
          <w:color w:val="auto"/>
        </w:rPr>
      </w:pPr>
    </w:p>
    <w:p>
      <w:pPr>
        <w:spacing w:after="0" w:line="188" w:lineRule="exact"/>
        <w:rPr>
          <w:sz w:val="20"/>
          <w:szCs w:val="20"/>
          <w:color w:val="auto"/>
        </w:rPr>
      </w:pPr>
      <w:r>
        <w:rPr>
          <w:rFonts w:ascii="Arial Unicode MS" w:cs="Arial Unicode MS" w:eastAsia="Arial Unicode MS" w:hAnsi="Arial Unicode MS"/>
          <w:sz w:val="14"/>
          <w:szCs w:val="14"/>
          <w:color w:val="auto"/>
        </w:rPr>
        <w:t>☐</w:t>
      </w:r>
    </w:p>
    <w:p>
      <w:pPr>
        <w:spacing w:after="0" w:line="20" w:lineRule="exact"/>
        <w:rPr>
          <w:sz w:val="24"/>
          <w:szCs w:val="24"/>
          <w:color w:val="auto"/>
        </w:rPr>
      </w:pPr>
      <w:r>
        <w:rPr>
          <w:sz w:val="24"/>
          <w:szCs w:val="24"/>
          <w:color w:val="auto"/>
        </w:rPr>
        <w:br w:type="column"/>
      </w:r>
    </w:p>
    <w:p>
      <w:pPr>
        <w:spacing w:after="0" w:line="6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Accelerated filer</w:t>
      </w:r>
    </w:p>
    <w:p>
      <w:pPr>
        <w:spacing w:after="0" w:line="4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spacing w:after="0" w:line="188" w:lineRule="exact"/>
        <w:rPr>
          <w:sz w:val="20"/>
          <w:szCs w:val="20"/>
          <w:color w:val="auto"/>
        </w:rPr>
      </w:pPr>
      <w:r>
        <w:rPr>
          <w:rFonts w:ascii="Arial Unicode MS" w:cs="Arial Unicode MS" w:eastAsia="Arial Unicode MS" w:hAnsi="Arial Unicode MS"/>
          <w:sz w:val="14"/>
          <w:szCs w:val="14"/>
          <w:color w:val="auto"/>
        </w:rPr>
        <w:t>☐</w:t>
      </w:r>
    </w:p>
    <w:p>
      <w:pPr>
        <w:spacing w:after="0" w:line="54" w:lineRule="exact"/>
        <w:rPr>
          <w:sz w:val="24"/>
          <w:szCs w:val="24"/>
          <w:color w:val="auto"/>
        </w:rPr>
      </w:pPr>
    </w:p>
    <w:p>
      <w:pPr>
        <w:spacing w:after="0" w:line="188" w:lineRule="exact"/>
        <w:rPr>
          <w:sz w:val="20"/>
          <w:szCs w:val="20"/>
          <w:color w:val="auto"/>
        </w:rPr>
      </w:pPr>
      <w:r>
        <w:rPr>
          <w:rFonts w:ascii="Arial Unicode MS" w:cs="Arial Unicode MS" w:eastAsia="Arial Unicode MS" w:hAnsi="Arial Unicode MS"/>
          <w:sz w:val="14"/>
          <w:szCs w:val="14"/>
          <w:color w:val="auto"/>
        </w:rPr>
        <w:t>☐</w:t>
      </w:r>
    </w:p>
    <w:p>
      <w:pPr>
        <w:spacing w:after="0" w:line="20" w:lineRule="exact"/>
        <w:rPr>
          <w:sz w:val="24"/>
          <w:szCs w:val="24"/>
          <w:color w:val="auto"/>
        </w:rPr>
      </w:pPr>
      <w:r>
        <w:rPr>
          <w:sz w:val="24"/>
          <w:szCs w:val="24"/>
          <w:color w:val="auto"/>
        </w:rPr>
        <w:br w:type="column"/>
      </w:r>
    </w:p>
    <w:p>
      <w:pPr>
        <w:spacing w:after="0" w:line="6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spacing w:after="0" w:line="188" w:lineRule="exact"/>
        <w:rPr>
          <w:sz w:val="20"/>
          <w:szCs w:val="20"/>
          <w:color w:val="auto"/>
        </w:rPr>
      </w:pPr>
      <w:r>
        <w:rPr>
          <w:rFonts w:ascii="Arial Unicode MS" w:cs="Arial Unicode MS" w:eastAsia="Arial Unicode MS" w:hAnsi="Arial Unicode MS"/>
          <w:sz w:val="14"/>
          <w:szCs w:val="14"/>
          <w:color w:val="auto"/>
        </w:rPr>
        <w:t>☐</w:t>
      </w:r>
    </w:p>
    <w:p>
      <w:pPr>
        <w:spacing w:after="0" w:line="424" w:lineRule="exact"/>
        <w:rPr>
          <w:sz w:val="24"/>
          <w:szCs w:val="24"/>
          <w:color w:val="auto"/>
        </w:rPr>
      </w:pPr>
    </w:p>
    <w:p>
      <w:pPr>
        <w:sectPr>
          <w:pgSz w:w="11900" w:h="16838" w:orient="portrait"/>
          <w:cols w:equalWidth="0" w:num="6">
            <w:col w:w="1800" w:space="720"/>
            <w:col w:w="900" w:space="720"/>
            <w:col w:w="1880" w:space="720"/>
            <w:col w:w="940" w:space="720"/>
            <w:col w:w="1560" w:space="700"/>
            <w:col w:w="580"/>
          </w:cols>
          <w:pgMar w:left="320" w:top="1148" w:right="339" w:bottom="1440" w:gutter="0" w:footer="0" w:header="0"/>
          <w:type w:val="continuous"/>
        </w:sectPr>
      </w:pPr>
    </w:p>
    <w:p>
      <w:pPr>
        <w:spacing w:after="0" w:line="199"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4"/>
          <w:szCs w:val="14"/>
          <w:color w:val="auto"/>
        </w:rPr>
        <w:t>☐</w:t>
      </w:r>
    </w:p>
    <w:p>
      <w:pPr>
        <w:spacing w:after="0" w:line="75" w:lineRule="exact"/>
        <w:rPr>
          <w:sz w:val="24"/>
          <w:szCs w:val="24"/>
          <w:color w:val="auto"/>
        </w:rPr>
      </w:pPr>
    </w:p>
    <w:p>
      <w:pPr>
        <w:spacing w:after="0" w:line="193"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 Unicode MS" w:cs="Arial Unicode MS" w:eastAsia="Arial Unicode MS" w:hAnsi="Arial Unicode MS"/>
          <w:sz w:val="14"/>
          <w:szCs w:val="14"/>
          <w:color w:val="auto"/>
        </w:rPr>
        <w:t>☒</w:t>
      </w:r>
    </w:p>
    <w:p>
      <w:pPr>
        <w:spacing w:after="0" w:line="74" w:lineRule="exact"/>
        <w:rPr>
          <w:sz w:val="24"/>
          <w:szCs w:val="24"/>
          <w:color w:val="auto"/>
        </w:rPr>
      </w:pPr>
    </w:p>
    <w:p>
      <w:pPr>
        <w:spacing w:after="0" w:line="199"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Arial Unicode MS" w:cs="Arial Unicode MS" w:eastAsia="Arial Unicode MS" w:hAnsi="Arial Unicode MS"/>
          <w:sz w:val="14"/>
          <w:szCs w:val="14"/>
          <w:color w:val="auto"/>
        </w:rPr>
        <w:t>☐</w:t>
      </w:r>
    </w:p>
    <w:p>
      <w:pPr>
        <w:spacing w:after="0" w:line="75" w:lineRule="exact"/>
        <w:rPr>
          <w:sz w:val="24"/>
          <w:szCs w:val="24"/>
          <w:color w:val="auto"/>
        </w:rPr>
      </w:pPr>
    </w:p>
    <w:p>
      <w:pPr>
        <w:spacing w:after="0" w:line="200" w:lineRule="exact"/>
        <w:rPr>
          <w:sz w:val="20"/>
          <w:szCs w:val="20"/>
          <w:color w:val="auto"/>
        </w:rPr>
      </w:pPr>
      <w:r>
        <w:rPr>
          <w:rFonts w:ascii="Times New Roman" w:cs="Times New Roman" w:eastAsia="Times New Roman" w:hAnsi="Times New Roman"/>
          <w:sz w:val="14"/>
          <w:szCs w:val="14"/>
          <w:color w:val="auto"/>
        </w:rPr>
        <w:t>Indicate by check mark whether any of those error corrections are restatements that required a recovery analysis of incentive-based compensation received by any of the registrant's executive o</w:t>
      </w:r>
      <w:r>
        <w:rPr>
          <w:rFonts w:ascii="Arial Unicode MS" w:cs="Arial Unicode MS" w:eastAsia="Arial Unicode MS" w:hAnsi="Arial Unicode MS"/>
          <w:sz w:val="14"/>
          <w:szCs w:val="14"/>
          <w:color w:val="auto"/>
        </w:rPr>
        <w:t>ﬃ</w:t>
      </w:r>
      <w:r>
        <w:rPr>
          <w:rFonts w:ascii="Times New Roman" w:cs="Times New Roman" w:eastAsia="Times New Roman" w:hAnsi="Times New Roman"/>
          <w:sz w:val="14"/>
          <w:szCs w:val="14"/>
          <w:color w:val="auto"/>
        </w:rPr>
        <w:t xml:space="preserve">cers during the relevant recovery period pursuant to §240.10D-1(b). </w:t>
      </w:r>
      <w:r>
        <w:rPr>
          <w:rFonts w:ascii="Arial Unicode MS" w:cs="Arial Unicode MS" w:eastAsia="Arial Unicode MS" w:hAnsi="Arial Unicode MS"/>
          <w:sz w:val="14"/>
          <w:szCs w:val="14"/>
          <w:color w:val="auto"/>
        </w:rPr>
        <w:t>☐</w:t>
      </w:r>
    </w:p>
    <w:p>
      <w:pPr>
        <w:spacing w:after="0" w:line="43" w:lineRule="exact"/>
        <w:rPr>
          <w:sz w:val="24"/>
          <w:szCs w:val="24"/>
          <w:color w:val="auto"/>
        </w:rPr>
      </w:pPr>
    </w:p>
    <w:p>
      <w:pPr>
        <w:spacing w:after="0" w:line="188" w:lineRule="exact"/>
        <w:tabs>
          <w:tab w:leader="none" w:pos="6060" w:val="left"/>
          <w:tab w:leader="none" w:pos="662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Act).</w:t>
        <w:tab/>
        <w:t xml:space="preserve">Yes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ab/>
        <w:t xml:space="preserve">No </w:t>
      </w:r>
      <w:r>
        <w:rPr>
          <w:rFonts w:ascii="Arial Unicode MS" w:cs="Arial Unicode MS" w:eastAsia="Arial Unicode MS" w:hAnsi="Arial Unicode MS"/>
          <w:sz w:val="14"/>
          <w:szCs w:val="14"/>
          <w:color w:val="auto"/>
        </w:rPr>
        <w:t>☒</w:t>
      </w:r>
    </w:p>
    <w:p>
      <w:pPr>
        <w:spacing w:after="0" w:line="127" w:lineRule="exact"/>
        <w:rPr>
          <w:sz w:val="24"/>
          <w:szCs w:val="24"/>
          <w:color w:val="auto"/>
        </w:rPr>
      </w:pPr>
    </w:p>
    <w:p>
      <w:pPr>
        <w:spacing w:after="0" w:line="302" w:lineRule="auto"/>
        <w:rPr>
          <w:sz w:val="20"/>
          <w:szCs w:val="20"/>
          <w:color w:val="auto"/>
        </w:rPr>
      </w:pPr>
      <w:r>
        <w:rPr>
          <w:rFonts w:ascii="Times New Roman" w:cs="Times New Roman" w:eastAsia="Times New Roman" w:hAnsi="Times New Roman"/>
          <w:sz w:val="14"/>
          <w:szCs w:val="14"/>
          <w:color w:val="auto"/>
        </w:rPr>
        <w:t>As of June 28, 2025, the aggregate market value of the registrant's common stock, par value $0.01 per share, held by non-affiliates of the registrant was $5,002,133,126. The closing price of the common stock on June 28, 2025, as reported on the New York Stock Exchange, was $94.32 per share.</w:t>
      </w:r>
    </w:p>
    <w:p>
      <w:pPr>
        <w:spacing w:after="0" w:line="5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As of February 10, 2026, the number of shares outstanding of the registrant's common stock was 50,727,454 shares.</w:t>
      </w:r>
    </w:p>
    <w:p>
      <w:pPr>
        <w:spacing w:after="0" w:line="121"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19" w:lineRule="exact"/>
        <w:rPr>
          <w:sz w:val="24"/>
          <w:szCs w:val="24"/>
          <w:color w:val="auto"/>
        </w:rPr>
      </w:pPr>
    </w:p>
    <w:p>
      <w:pPr>
        <w:spacing w:after="0" w:line="278" w:lineRule="auto"/>
        <w:rPr>
          <w:sz w:val="20"/>
          <w:szCs w:val="20"/>
          <w:color w:val="auto"/>
        </w:rPr>
      </w:pPr>
      <w:r>
        <w:rPr>
          <w:rFonts w:ascii="Times New Roman" w:cs="Times New Roman" w:eastAsia="Times New Roman" w:hAnsi="Times New Roman"/>
          <w:sz w:val="14"/>
          <w:szCs w:val="14"/>
          <w:color w:val="auto"/>
        </w:rPr>
        <w:t>Certain sections of the registrant's Notice of Annual Meeting of Shareholders and Definitive Proxy Statement on Schedule 14A for its Annual Meeting of Shareholders to be held in May 2026, as described in the Cross Reference Sheet and Table of Contents included herewith,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406400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8"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FF"/>
              </w:rPr>
              <w:t>Table of Contents</w:t>
            </w: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90"/>
        </w:trPr>
        <w:tc>
          <w:tcPr>
            <w:tcW w:w="1360" w:type="dxa"/>
            <w:vAlign w:val="bottom"/>
            <w:tcBorders>
              <w:top w:val="single" w:sz="8" w:color="0000FF"/>
            </w:tcBorders>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0" w:type="dxa"/>
            <w:vAlign w:val="bottom"/>
            <w:gridSpan w:val="21"/>
          </w:tcPr>
          <w:p>
            <w:pPr>
              <w:jc w:val="center"/>
              <w:ind w:right="1920"/>
              <w:spacing w:after="0"/>
              <w:rPr>
                <w:sz w:val="20"/>
                <w:szCs w:val="20"/>
                <w:color w:val="auto"/>
              </w:rPr>
            </w:pPr>
            <w:r>
              <w:rPr>
                <w:rFonts w:ascii="Times New Roman" w:cs="Times New Roman" w:eastAsia="Times New Roman" w:hAnsi="Times New Roman"/>
                <w:sz w:val="18"/>
                <w:szCs w:val="18"/>
                <w:b w:val="1"/>
                <w:bCs w:val="1"/>
                <w:color w:val="auto"/>
                <w:w w:val="99"/>
              </w:rPr>
              <w:t>LEAR CORPORATION AND SUBSIDIARIES</w:t>
            </w: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300" w:type="dxa"/>
            <w:vAlign w:val="bottom"/>
            <w:gridSpan w:val="24"/>
          </w:tcPr>
          <w:p>
            <w:pPr>
              <w:jc w:val="center"/>
              <w:ind w:right="1220"/>
              <w:spacing w:after="0"/>
              <w:rPr>
                <w:sz w:val="20"/>
                <w:szCs w:val="20"/>
                <w:color w:val="auto"/>
              </w:rPr>
            </w:pPr>
            <w:r>
              <w:rPr>
                <w:rFonts w:ascii="Times New Roman" w:cs="Times New Roman" w:eastAsia="Times New Roman" w:hAnsi="Times New Roman"/>
                <w:sz w:val="18"/>
                <w:szCs w:val="18"/>
                <w:b w:val="1"/>
                <w:bCs w:val="1"/>
                <w:color w:val="auto"/>
                <w:w w:val="99"/>
              </w:rPr>
              <w:t>CROSS REFERENCE SHEET AND TABLE OF CONTENTS</w:t>
            </w: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0"/>
        </w:trPr>
        <w:tc>
          <w:tcPr>
            <w:tcW w:w="1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20" w:type="dxa"/>
            <w:vAlign w:val="bottom"/>
            <w:gridSpan w:val="6"/>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8"/>
              </w:rPr>
              <w:t>Page Number</w:t>
            </w:r>
          </w:p>
        </w:tc>
        <w:tc>
          <w:tcPr>
            <w:tcW w:w="0" w:type="dxa"/>
            <w:vAlign w:val="bottom"/>
          </w:tcPr>
          <w:p>
            <w:pPr>
              <w:spacing w:after="0"/>
              <w:rPr>
                <w:sz w:val="1"/>
                <w:szCs w:val="1"/>
                <w:color w:val="auto"/>
              </w:rPr>
            </w:pPr>
          </w:p>
        </w:tc>
      </w:tr>
      <w:tr>
        <w:trPr>
          <w:trHeight w:val="198"/>
        </w:trPr>
        <w:tc>
          <w:tcPr>
            <w:tcW w:w="1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0000FF"/>
                <w:w w:val="95"/>
              </w:rPr>
              <w:t>PART I</w:t>
            </w:r>
          </w:p>
        </w:tc>
        <w:tc>
          <w:tcPr>
            <w:tcW w:w="3480" w:type="dxa"/>
            <w:vAlign w:val="bottom"/>
            <w:gridSpan w:val="11"/>
            <w:vMerge w:val="restart"/>
          </w:tcPr>
          <w:p>
            <w:pPr>
              <w:spacing w:after="0"/>
              <w:rPr>
                <w:sz w:val="17"/>
                <w:szCs w:val="17"/>
                <w:color w:val="auto"/>
              </w:rPr>
            </w:pPr>
          </w:p>
        </w:tc>
        <w:tc>
          <w:tcPr>
            <w:tcW w:w="1620" w:type="dxa"/>
            <w:vAlign w:val="bottom"/>
            <w:gridSpan w:val="6"/>
          </w:tcPr>
          <w:p>
            <w:pPr>
              <w:jc w:val="center"/>
              <w:ind w:left="470"/>
              <w:spacing w:after="0" w:line="198" w:lineRule="exact"/>
              <w:rPr>
                <w:sz w:val="20"/>
                <w:szCs w:val="20"/>
                <w:color w:val="auto"/>
              </w:rPr>
            </w:pPr>
            <w:r>
              <w:rPr>
                <w:rFonts w:ascii="Times New Roman" w:cs="Times New Roman" w:eastAsia="Times New Roman" w:hAnsi="Times New Roman"/>
                <w:sz w:val="18"/>
                <w:szCs w:val="18"/>
                <w:b w:val="1"/>
                <w:bCs w:val="1"/>
                <w:color w:val="auto"/>
                <w:w w:val="99"/>
              </w:rPr>
              <w:t>or Reference</w:t>
            </w:r>
          </w:p>
        </w:tc>
        <w:tc>
          <w:tcPr>
            <w:tcW w:w="0" w:type="dxa"/>
            <w:vAlign w:val="bottom"/>
          </w:tcPr>
          <w:p>
            <w:pPr>
              <w:spacing w:after="0"/>
              <w:rPr>
                <w:sz w:val="1"/>
                <w:szCs w:val="1"/>
                <w:color w:val="auto"/>
              </w:rPr>
            </w:pPr>
          </w:p>
        </w:tc>
      </w:tr>
      <w:tr>
        <w:trPr>
          <w:trHeight w:val="215"/>
        </w:trPr>
        <w:tc>
          <w:tcPr>
            <w:tcW w:w="1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Borders>
              <w:bottom w:val="single" w:sz="8" w:color="0000FF"/>
            </w:tcBorders>
            <w:vMerge w:val="continue"/>
          </w:tcPr>
          <w:p>
            <w:pPr>
              <w:spacing w:after="0"/>
              <w:rPr>
                <w:sz w:val="18"/>
                <w:szCs w:val="18"/>
                <w:color w:val="auto"/>
              </w:rPr>
            </w:pPr>
          </w:p>
        </w:tc>
        <w:tc>
          <w:tcPr>
            <w:tcW w:w="3480" w:type="dxa"/>
            <w:vAlign w:val="bottom"/>
            <w:gridSpan w:val="11"/>
            <w:vMerge w:val="continue"/>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640" w:type="dxa"/>
            <w:vAlign w:val="bottom"/>
          </w:tcPr>
          <w:p>
            <w:pPr>
              <w:spacing w:after="0"/>
              <w:rPr>
                <w:sz w:val="20"/>
                <w:szCs w:val="20"/>
                <w:color w:val="auto"/>
              </w:rPr>
            </w:pPr>
            <w:r>
              <w:rPr>
                <w:rFonts w:ascii="Times New Roman" w:cs="Times New Roman" w:eastAsia="Times New Roman" w:hAnsi="Times New Roman"/>
                <w:sz w:val="18"/>
                <w:szCs w:val="18"/>
                <w:color w:val="0000FF"/>
                <w:w w:val="96"/>
              </w:rPr>
              <w:t>Business</w:t>
            </w:r>
          </w:p>
        </w:tc>
        <w:tc>
          <w:tcPr>
            <w:tcW w:w="6660" w:type="dxa"/>
            <w:vAlign w:val="bottom"/>
            <w:gridSpan w:val="27"/>
          </w:tcPr>
          <w:p>
            <w:pPr>
              <w:spacing w:after="0"/>
              <w:rPr>
                <w:sz w:val="18"/>
                <w:szCs w:val="18"/>
                <w:color w:val="auto"/>
              </w:rPr>
            </w:pPr>
          </w:p>
        </w:tc>
        <w:tc>
          <w:tcPr>
            <w:tcW w:w="1140" w:type="dxa"/>
            <w:vAlign w:val="bottom"/>
            <w:gridSpan w:val="3"/>
          </w:tcPr>
          <w:p>
            <w:pPr>
              <w:jc w:val="center"/>
              <w:ind w:left="970"/>
              <w:spacing w:after="0"/>
              <w:rPr>
                <w:sz w:val="20"/>
                <w:szCs w:val="20"/>
                <w:color w:val="auto"/>
              </w:rPr>
            </w:pPr>
            <w:r>
              <w:rPr>
                <w:rFonts w:ascii="Times New Roman" w:cs="Times New Roman" w:eastAsia="Times New Roman" w:hAnsi="Times New Roman"/>
                <w:sz w:val="18"/>
                <w:szCs w:val="18"/>
                <w:color w:val="0000FF"/>
                <w:w w:val="88"/>
              </w:rPr>
              <w:t>3</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80" w:type="dxa"/>
            <w:vAlign w:val="bottom"/>
            <w:gridSpan w:val="2"/>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1A.</w:t>
            </w:r>
          </w:p>
        </w:tc>
        <w:tc>
          <w:tcPr>
            <w:tcW w:w="730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1220" w:type="dxa"/>
            <w:vAlign w:val="bottom"/>
            <w:gridSpan w:val="4"/>
          </w:tcPr>
          <w:p>
            <w:pPr>
              <w:jc w:val="center"/>
              <w:ind w:left="870"/>
              <w:spacing w:after="0"/>
              <w:rPr>
                <w:sz w:val="20"/>
                <w:szCs w:val="20"/>
                <w:color w:val="auto"/>
              </w:rPr>
            </w:pPr>
            <w:r>
              <w:rPr>
                <w:rFonts w:ascii="Times New Roman" w:cs="Times New Roman" w:eastAsia="Times New Roman" w:hAnsi="Times New Roman"/>
                <w:sz w:val="18"/>
                <w:szCs w:val="18"/>
                <w:color w:val="0000FF"/>
                <w:w w:val="99"/>
              </w:rPr>
              <w:t>21</w:t>
            </w: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80" w:type="dxa"/>
            <w:vAlign w:val="bottom"/>
            <w:gridSpan w:val="2"/>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1B.</w:t>
            </w:r>
          </w:p>
        </w:tc>
        <w:tc>
          <w:tcPr>
            <w:tcW w:w="19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w w:val="97"/>
              </w:rPr>
              <w:t>Unresolved staff comments</w:t>
            </w:r>
          </w:p>
        </w:tc>
        <w:tc>
          <w:tcPr>
            <w:tcW w:w="5320" w:type="dxa"/>
            <w:vAlign w:val="bottom"/>
            <w:gridSpan w:val="19"/>
          </w:tcPr>
          <w:p>
            <w:pPr>
              <w:spacing w:after="0"/>
              <w:rPr>
                <w:sz w:val="18"/>
                <w:szCs w:val="18"/>
                <w:color w:val="auto"/>
              </w:rPr>
            </w:pPr>
          </w:p>
        </w:tc>
        <w:tc>
          <w:tcPr>
            <w:tcW w:w="1060" w:type="dxa"/>
            <w:vAlign w:val="bottom"/>
            <w:gridSpan w:val="2"/>
          </w:tcPr>
          <w:p>
            <w:pPr>
              <w:spacing w:after="0"/>
              <w:rPr>
                <w:sz w:val="18"/>
                <w:szCs w:val="18"/>
                <w:color w:val="auto"/>
              </w:rPr>
            </w:pPr>
          </w:p>
        </w:tc>
        <w:tc>
          <w:tcPr>
            <w:tcW w:w="160" w:type="dxa"/>
            <w:vAlign w:val="bottom"/>
            <w:gridSpan w:val="2"/>
          </w:tcPr>
          <w:p>
            <w:pPr>
              <w:jc w:val="center"/>
              <w:ind w:right="40"/>
              <w:spacing w:after="0"/>
              <w:rPr>
                <w:sz w:val="20"/>
                <w:szCs w:val="20"/>
                <w:color w:val="auto"/>
              </w:rPr>
            </w:pPr>
            <w:r>
              <w:rPr>
                <w:rFonts w:ascii="Times New Roman" w:cs="Times New Roman" w:eastAsia="Times New Roman" w:hAnsi="Times New Roman"/>
                <w:sz w:val="17"/>
                <w:szCs w:val="17"/>
                <w:color w:val="0000FF"/>
                <w:w w:val="70"/>
              </w:rPr>
              <w:t>30</w:t>
            </w: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80" w:type="dxa"/>
            <w:vAlign w:val="bottom"/>
            <w:gridSpan w:val="2"/>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1C.</w:t>
            </w:r>
          </w:p>
        </w:tc>
        <w:tc>
          <w:tcPr>
            <w:tcW w:w="19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Cybersecurity</w:t>
            </w:r>
          </w:p>
        </w:tc>
        <w:tc>
          <w:tcPr>
            <w:tcW w:w="5320" w:type="dxa"/>
            <w:vAlign w:val="bottom"/>
            <w:gridSpan w:val="19"/>
          </w:tcPr>
          <w:p>
            <w:pPr>
              <w:spacing w:after="0"/>
              <w:rPr>
                <w:sz w:val="18"/>
                <w:szCs w:val="18"/>
                <w:color w:val="auto"/>
              </w:rPr>
            </w:pPr>
          </w:p>
        </w:tc>
        <w:tc>
          <w:tcPr>
            <w:tcW w:w="1060" w:type="dxa"/>
            <w:vAlign w:val="bottom"/>
            <w:gridSpan w:val="2"/>
          </w:tcPr>
          <w:p>
            <w:pPr>
              <w:spacing w:after="0"/>
              <w:rPr>
                <w:sz w:val="18"/>
                <w:szCs w:val="18"/>
                <w:color w:val="auto"/>
              </w:rPr>
            </w:pPr>
          </w:p>
        </w:tc>
        <w:tc>
          <w:tcPr>
            <w:tcW w:w="160" w:type="dxa"/>
            <w:vAlign w:val="bottom"/>
            <w:gridSpan w:val="2"/>
          </w:tcPr>
          <w:p>
            <w:pPr>
              <w:jc w:val="center"/>
              <w:ind w:right="40"/>
              <w:spacing w:after="0"/>
              <w:rPr>
                <w:sz w:val="20"/>
                <w:szCs w:val="20"/>
                <w:color w:val="auto"/>
              </w:rPr>
            </w:pPr>
            <w:r>
              <w:rPr>
                <w:rFonts w:ascii="Times New Roman" w:cs="Times New Roman" w:eastAsia="Times New Roman" w:hAnsi="Times New Roman"/>
                <w:sz w:val="17"/>
                <w:szCs w:val="17"/>
                <w:color w:val="0000FF"/>
                <w:w w:val="70"/>
              </w:rPr>
              <w:t>31</w:t>
            </w: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10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6300" w:type="dxa"/>
            <w:vAlign w:val="bottom"/>
            <w:gridSpan w:val="24"/>
          </w:tcPr>
          <w:p>
            <w:pPr>
              <w:spacing w:after="0"/>
              <w:rPr>
                <w:sz w:val="18"/>
                <w:szCs w:val="18"/>
                <w:color w:val="auto"/>
              </w:rPr>
            </w:pPr>
          </w:p>
        </w:tc>
        <w:tc>
          <w:tcPr>
            <w:tcW w:w="1060" w:type="dxa"/>
            <w:vAlign w:val="bottom"/>
            <w:gridSpan w:val="2"/>
          </w:tcPr>
          <w:p>
            <w:pPr>
              <w:spacing w:after="0"/>
              <w:rPr>
                <w:sz w:val="18"/>
                <w:szCs w:val="18"/>
                <w:color w:val="auto"/>
              </w:rPr>
            </w:pPr>
          </w:p>
        </w:tc>
        <w:tc>
          <w:tcPr>
            <w:tcW w:w="160" w:type="dxa"/>
            <w:vAlign w:val="bottom"/>
            <w:gridSpan w:val="2"/>
          </w:tcPr>
          <w:p>
            <w:pPr>
              <w:jc w:val="center"/>
              <w:ind w:right="40"/>
              <w:spacing w:after="0"/>
              <w:rPr>
                <w:sz w:val="20"/>
                <w:szCs w:val="20"/>
                <w:color w:val="auto"/>
              </w:rPr>
            </w:pPr>
            <w:r>
              <w:rPr>
                <w:rFonts w:ascii="Times New Roman" w:cs="Times New Roman" w:eastAsia="Times New Roman" w:hAnsi="Times New Roman"/>
                <w:sz w:val="17"/>
                <w:szCs w:val="17"/>
                <w:color w:val="0000FF"/>
                <w:w w:val="70"/>
              </w:rPr>
              <w:t>32</w:t>
            </w: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80" w:type="dxa"/>
            <w:vAlign w:val="bottom"/>
            <w:gridSpan w:val="2"/>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640" w:type="dxa"/>
            <w:vAlign w:val="bottom"/>
            <w:tcBorders>
              <w:left w:val="single" w:sz="8" w:color="0000FF"/>
            </w:tcBorders>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730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1220" w:type="dxa"/>
            <w:vAlign w:val="bottom"/>
            <w:gridSpan w:val="4"/>
          </w:tcPr>
          <w:p>
            <w:pPr>
              <w:jc w:val="center"/>
              <w:ind w:left="870"/>
              <w:spacing w:after="0"/>
              <w:rPr>
                <w:sz w:val="20"/>
                <w:szCs w:val="20"/>
                <w:color w:val="auto"/>
              </w:rPr>
            </w:pPr>
            <w:r>
              <w:rPr>
                <w:rFonts w:ascii="Times New Roman" w:cs="Times New Roman" w:eastAsia="Times New Roman" w:hAnsi="Times New Roman"/>
                <w:sz w:val="18"/>
                <w:szCs w:val="18"/>
                <w:color w:val="0000FF"/>
                <w:w w:val="99"/>
              </w:rPr>
              <w:t>32</w:t>
            </w: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730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1220" w:type="dxa"/>
            <w:vAlign w:val="bottom"/>
            <w:gridSpan w:val="4"/>
          </w:tcPr>
          <w:p>
            <w:pPr>
              <w:jc w:val="center"/>
              <w:ind w:left="870"/>
              <w:spacing w:after="0"/>
              <w:rPr>
                <w:sz w:val="20"/>
                <w:szCs w:val="20"/>
                <w:color w:val="auto"/>
              </w:rPr>
            </w:pPr>
            <w:r>
              <w:rPr>
                <w:rFonts w:ascii="Times New Roman" w:cs="Times New Roman" w:eastAsia="Times New Roman" w:hAnsi="Times New Roman"/>
                <w:sz w:val="18"/>
                <w:szCs w:val="18"/>
                <w:color w:val="0000FF"/>
                <w:w w:val="99"/>
              </w:rPr>
              <w:t>32</w:t>
            </w: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80" w:type="dxa"/>
            <w:vAlign w:val="bottom"/>
            <w:gridSpan w:val="2"/>
          </w:tcPr>
          <w:p>
            <w:pPr>
              <w:ind w:left="20"/>
              <w:spacing w:after="0" w:line="205" w:lineRule="exact"/>
              <w:rPr>
                <w:sz w:val="20"/>
                <w:szCs w:val="20"/>
                <w:color w:val="auto"/>
              </w:rPr>
            </w:pPr>
            <w:r>
              <w:rPr>
                <w:rFonts w:ascii="Times New Roman" w:cs="Times New Roman" w:eastAsia="Times New Roman" w:hAnsi="Times New Roman"/>
                <w:sz w:val="18"/>
                <w:szCs w:val="18"/>
                <w:color w:val="auto"/>
              </w:rPr>
              <w:t>SUPPLEMENTARY</w:t>
            </w:r>
          </w:p>
        </w:tc>
        <w:tc>
          <w:tcPr>
            <w:tcW w:w="6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80" w:type="dxa"/>
            <w:vAlign w:val="bottom"/>
            <w:gridSpan w:val="2"/>
          </w:tcPr>
          <w:p>
            <w:pPr>
              <w:ind w:left="20"/>
              <w:spacing w:after="0" w:line="194" w:lineRule="exact"/>
              <w:rPr>
                <w:sz w:val="20"/>
                <w:szCs w:val="20"/>
                <w:color w:val="auto"/>
              </w:rPr>
            </w:pPr>
            <w:r>
              <w:rPr>
                <w:rFonts w:ascii="Times New Roman" w:cs="Times New Roman" w:eastAsia="Times New Roman" w:hAnsi="Times New Roman"/>
                <w:sz w:val="18"/>
                <w:szCs w:val="18"/>
                <w:color w:val="auto"/>
              </w:rPr>
              <w:t>ITEM.</w:t>
            </w:r>
          </w:p>
        </w:tc>
        <w:tc>
          <w:tcPr>
            <w:tcW w:w="7300" w:type="dxa"/>
            <w:vAlign w:val="bottom"/>
            <w:gridSpan w:val="28"/>
          </w:tcPr>
          <w:p>
            <w:pPr>
              <w:spacing w:after="0" w:line="194" w:lineRule="exact"/>
              <w:rPr>
                <w:sz w:val="20"/>
                <w:szCs w:val="20"/>
                <w:color w:val="auto"/>
              </w:rPr>
            </w:pPr>
            <w:r>
              <w:rPr>
                <w:rFonts w:ascii="Times New Roman" w:cs="Times New Roman" w:eastAsia="Times New Roman" w:hAnsi="Times New Roman"/>
                <w:sz w:val="18"/>
                <w:szCs w:val="18"/>
                <w:color w:val="0000FF"/>
              </w:rPr>
              <w:t>Information about our executive officers</w:t>
            </w:r>
          </w:p>
        </w:tc>
        <w:tc>
          <w:tcPr>
            <w:tcW w:w="1220" w:type="dxa"/>
            <w:vAlign w:val="bottom"/>
            <w:gridSpan w:val="4"/>
          </w:tcPr>
          <w:p>
            <w:pPr>
              <w:jc w:val="center"/>
              <w:ind w:left="870"/>
              <w:spacing w:after="0" w:line="194" w:lineRule="exact"/>
              <w:rPr>
                <w:sz w:val="20"/>
                <w:szCs w:val="20"/>
                <w:color w:val="auto"/>
              </w:rPr>
            </w:pPr>
            <w:r>
              <w:rPr>
                <w:rFonts w:ascii="Times New Roman" w:cs="Times New Roman" w:eastAsia="Times New Roman" w:hAnsi="Times New Roman"/>
                <w:sz w:val="18"/>
                <w:szCs w:val="18"/>
                <w:color w:val="0000FF"/>
                <w:w w:val="99"/>
              </w:rPr>
              <w:t>33</w:t>
            </w: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940" w:type="dxa"/>
            <w:vAlign w:val="bottom"/>
            <w:tcBorders>
              <w:top w:val="single" w:sz="8" w:color="0000FF"/>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0000FF"/>
                <w:w w:val="97"/>
              </w:rPr>
              <w:t>PART II</w:t>
            </w:r>
          </w:p>
        </w:tc>
        <w:tc>
          <w:tcPr>
            <w:tcW w:w="3440" w:type="dxa"/>
            <w:vAlign w:val="bottom"/>
            <w:gridSpan w:val="10"/>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ITEM 5.</w:t>
            </w:r>
          </w:p>
        </w:tc>
        <w:tc>
          <w:tcPr>
            <w:tcW w:w="7300" w:type="dxa"/>
            <w:vAlign w:val="bottom"/>
            <w:tcBorders>
              <w:bottom w:val="single" w:sz="8" w:color="0000FF"/>
            </w:tcBorders>
            <w:gridSpan w:val="28"/>
          </w:tcPr>
          <w:p>
            <w:pPr>
              <w:spacing w:after="0"/>
              <w:rPr>
                <w:sz w:val="20"/>
                <w:szCs w:val="20"/>
                <w:color w:val="auto"/>
              </w:rPr>
            </w:pPr>
            <w:r>
              <w:rPr>
                <w:rFonts w:ascii="Times New Roman" w:cs="Times New Roman" w:eastAsia="Times New Roman" w:hAnsi="Times New Roman"/>
                <w:sz w:val="18"/>
                <w:szCs w:val="18"/>
                <w:color w:val="0000FF"/>
                <w:w w:val="99"/>
              </w:rPr>
              <w:t>Market for the Company's common equity, related stockholder matters and issuer purchases of equity</w:t>
            </w:r>
          </w:p>
        </w:tc>
        <w:tc>
          <w:tcPr>
            <w:tcW w:w="1060" w:type="dxa"/>
            <w:vAlign w:val="bottom"/>
            <w:gridSpan w:val="2"/>
            <w:vMerge w:val="restart"/>
          </w:tcPr>
          <w:p>
            <w:pPr>
              <w:spacing w:after="0"/>
              <w:rPr>
                <w:sz w:val="18"/>
                <w:szCs w:val="18"/>
                <w:color w:val="auto"/>
              </w:rPr>
            </w:pPr>
          </w:p>
        </w:tc>
        <w:tc>
          <w:tcPr>
            <w:tcW w:w="16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7"/>
                <w:szCs w:val="17"/>
                <w:color w:val="0000FF"/>
                <w:w w:val="70"/>
              </w:rPr>
              <w:t>35</w:t>
            </w: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080" w:type="dxa"/>
            <w:vAlign w:val="bottom"/>
            <w:gridSpan w:val="2"/>
            <w:vMerge w:val="continue"/>
          </w:tcPr>
          <w:p>
            <w:pPr>
              <w:spacing w:after="0"/>
              <w:rPr>
                <w:sz w:val="14"/>
                <w:szCs w:val="14"/>
                <w:color w:val="auto"/>
              </w:rPr>
            </w:pPr>
          </w:p>
        </w:tc>
        <w:tc>
          <w:tcPr>
            <w:tcW w:w="660" w:type="dxa"/>
            <w:vAlign w:val="bottom"/>
            <w:gridSpan w:val="2"/>
          </w:tcPr>
          <w:p>
            <w:pPr>
              <w:spacing w:after="0" w:line="169" w:lineRule="exact"/>
              <w:rPr>
                <w:sz w:val="20"/>
                <w:szCs w:val="20"/>
                <w:color w:val="auto"/>
              </w:rPr>
            </w:pPr>
            <w:r>
              <w:rPr>
                <w:rFonts w:ascii="Times New Roman" w:cs="Times New Roman" w:eastAsia="Times New Roman" w:hAnsi="Times New Roman"/>
                <w:sz w:val="18"/>
                <w:szCs w:val="18"/>
                <w:color w:val="0000FF"/>
                <w:w w:val="91"/>
              </w:rPr>
              <w:t>securities</w:t>
            </w:r>
          </w:p>
        </w:tc>
        <w:tc>
          <w:tcPr>
            <w:tcW w:w="6640" w:type="dxa"/>
            <w:vAlign w:val="bottom"/>
            <w:gridSpan w:val="26"/>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6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80" w:type="dxa"/>
            <w:vAlign w:val="bottom"/>
            <w:gridSpan w:val="2"/>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6.</w:t>
            </w:r>
          </w:p>
        </w:tc>
        <w:tc>
          <w:tcPr>
            <w:tcW w:w="6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2"/>
              </w:rPr>
              <w:t>Reserved</w:t>
            </w:r>
          </w:p>
        </w:tc>
        <w:tc>
          <w:tcPr>
            <w:tcW w:w="6640" w:type="dxa"/>
            <w:vAlign w:val="bottom"/>
            <w:gridSpan w:val="26"/>
          </w:tcPr>
          <w:p>
            <w:pPr>
              <w:spacing w:after="0"/>
              <w:rPr>
                <w:sz w:val="18"/>
                <w:szCs w:val="18"/>
                <w:color w:val="auto"/>
              </w:rPr>
            </w:pPr>
          </w:p>
        </w:tc>
        <w:tc>
          <w:tcPr>
            <w:tcW w:w="1060" w:type="dxa"/>
            <w:vAlign w:val="bottom"/>
            <w:gridSpan w:val="2"/>
          </w:tcPr>
          <w:p>
            <w:pPr>
              <w:spacing w:after="0"/>
              <w:rPr>
                <w:sz w:val="18"/>
                <w:szCs w:val="18"/>
                <w:color w:val="auto"/>
              </w:rPr>
            </w:pPr>
          </w:p>
        </w:tc>
        <w:tc>
          <w:tcPr>
            <w:tcW w:w="160" w:type="dxa"/>
            <w:vAlign w:val="bottom"/>
            <w:gridSpan w:val="2"/>
          </w:tcPr>
          <w:p>
            <w:pPr>
              <w:jc w:val="center"/>
              <w:ind w:right="40"/>
              <w:spacing w:after="0"/>
              <w:rPr>
                <w:sz w:val="20"/>
                <w:szCs w:val="20"/>
                <w:color w:val="auto"/>
              </w:rPr>
            </w:pPr>
            <w:r>
              <w:rPr>
                <w:rFonts w:ascii="Times New Roman" w:cs="Times New Roman" w:eastAsia="Times New Roman" w:hAnsi="Times New Roman"/>
                <w:sz w:val="17"/>
                <w:szCs w:val="17"/>
                <w:color w:val="0000FF"/>
                <w:w w:val="70"/>
              </w:rPr>
              <w:t>36</w:t>
            </w: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80" w:type="dxa"/>
            <w:vAlign w:val="bottom"/>
            <w:gridSpan w:val="2"/>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7.</w:t>
            </w:r>
          </w:p>
        </w:tc>
        <w:tc>
          <w:tcPr>
            <w:tcW w:w="730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220" w:type="dxa"/>
            <w:vAlign w:val="bottom"/>
            <w:gridSpan w:val="4"/>
          </w:tcPr>
          <w:p>
            <w:pPr>
              <w:jc w:val="center"/>
              <w:ind w:left="870"/>
              <w:spacing w:after="0"/>
              <w:rPr>
                <w:sz w:val="20"/>
                <w:szCs w:val="20"/>
                <w:color w:val="auto"/>
              </w:rPr>
            </w:pPr>
            <w:r>
              <w:rPr>
                <w:rFonts w:ascii="Times New Roman" w:cs="Times New Roman" w:eastAsia="Times New Roman" w:hAnsi="Times New Roman"/>
                <w:sz w:val="18"/>
                <w:szCs w:val="18"/>
                <w:color w:val="0000FF"/>
                <w:w w:val="99"/>
              </w:rPr>
              <w:t>37</w:t>
            </w: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9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7A.</w:t>
            </w:r>
          </w:p>
        </w:tc>
        <w:tc>
          <w:tcPr>
            <w:tcW w:w="616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140" w:type="dxa"/>
            <w:vAlign w:val="bottom"/>
            <w:gridSpan w:val="3"/>
          </w:tcPr>
          <w:p>
            <w:pPr>
              <w:spacing w:after="0"/>
              <w:rPr>
                <w:sz w:val="18"/>
                <w:szCs w:val="18"/>
                <w:color w:val="auto"/>
              </w:rPr>
            </w:pPr>
          </w:p>
        </w:tc>
        <w:tc>
          <w:tcPr>
            <w:tcW w:w="1060" w:type="dxa"/>
            <w:vAlign w:val="bottom"/>
            <w:gridSpan w:val="2"/>
          </w:tcPr>
          <w:p>
            <w:pPr>
              <w:spacing w:after="0"/>
              <w:rPr>
                <w:sz w:val="18"/>
                <w:szCs w:val="18"/>
                <w:color w:val="auto"/>
              </w:rPr>
            </w:pPr>
          </w:p>
        </w:tc>
        <w:tc>
          <w:tcPr>
            <w:tcW w:w="160" w:type="dxa"/>
            <w:vAlign w:val="bottom"/>
            <w:gridSpan w:val="2"/>
          </w:tcPr>
          <w:p>
            <w:pPr>
              <w:jc w:val="center"/>
              <w:ind w:right="40"/>
              <w:spacing w:after="0"/>
              <w:rPr>
                <w:sz w:val="20"/>
                <w:szCs w:val="20"/>
                <w:color w:val="auto"/>
              </w:rPr>
            </w:pPr>
            <w:r>
              <w:rPr>
                <w:rFonts w:ascii="Times New Roman" w:cs="Times New Roman" w:eastAsia="Times New Roman" w:hAnsi="Times New Roman"/>
                <w:sz w:val="17"/>
                <w:szCs w:val="17"/>
                <w:color w:val="0000FF"/>
                <w:w w:val="70"/>
              </w:rPr>
              <w:t>54</w:t>
            </w: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9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8.</w:t>
            </w:r>
          </w:p>
        </w:tc>
        <w:tc>
          <w:tcPr>
            <w:tcW w:w="730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Consolidated financial statements and supplementary data</w:t>
            </w:r>
          </w:p>
        </w:tc>
        <w:tc>
          <w:tcPr>
            <w:tcW w:w="1220" w:type="dxa"/>
            <w:vAlign w:val="bottom"/>
            <w:gridSpan w:val="4"/>
          </w:tcPr>
          <w:p>
            <w:pPr>
              <w:jc w:val="center"/>
              <w:ind w:left="870"/>
              <w:spacing w:after="0"/>
              <w:rPr>
                <w:sz w:val="20"/>
                <w:szCs w:val="20"/>
                <w:color w:val="auto"/>
              </w:rPr>
            </w:pPr>
            <w:r>
              <w:rPr>
                <w:rFonts w:ascii="Times New Roman" w:cs="Times New Roman" w:eastAsia="Times New Roman" w:hAnsi="Times New Roman"/>
                <w:sz w:val="18"/>
                <w:szCs w:val="18"/>
                <w:color w:val="0000FF"/>
                <w:w w:val="99"/>
              </w:rPr>
              <w:t>55</w:t>
            </w: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80" w:type="dxa"/>
            <w:vAlign w:val="bottom"/>
            <w:gridSpan w:val="2"/>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20" w:type="dxa"/>
            <w:vAlign w:val="bottom"/>
            <w:gridSpan w:val="5"/>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9.</w:t>
            </w:r>
          </w:p>
        </w:tc>
        <w:tc>
          <w:tcPr>
            <w:tcW w:w="6260" w:type="dxa"/>
            <w:vAlign w:val="bottom"/>
            <w:tcBorders>
              <w:bottom w:val="single" w:sz="8" w:color="0000FF"/>
            </w:tcBorders>
            <w:gridSpan w:val="26"/>
          </w:tcPr>
          <w:p>
            <w:pPr>
              <w:spacing w:after="0"/>
              <w:rPr>
                <w:sz w:val="20"/>
                <w:szCs w:val="20"/>
                <w:color w:val="auto"/>
              </w:rPr>
            </w:pPr>
            <w:r>
              <w:rPr>
                <w:rFonts w:ascii="Times New Roman" w:cs="Times New Roman" w:eastAsia="Times New Roman" w:hAnsi="Times New Roman"/>
                <w:sz w:val="18"/>
                <w:szCs w:val="18"/>
                <w:color w:val="0000FF"/>
                <w:w w:val="99"/>
              </w:rPr>
              <w:t>Changes in and disagreements with accountants on accounting and financial disclosure</w:t>
            </w:r>
          </w:p>
        </w:tc>
        <w:tc>
          <w:tcPr>
            <w:tcW w:w="1040" w:type="dxa"/>
            <w:vAlign w:val="bottom"/>
            <w:gridSpan w:val="2"/>
          </w:tcPr>
          <w:p>
            <w:pPr>
              <w:spacing w:after="0"/>
              <w:rPr>
                <w:sz w:val="18"/>
                <w:szCs w:val="18"/>
                <w:color w:val="auto"/>
              </w:rPr>
            </w:pPr>
          </w:p>
        </w:tc>
        <w:tc>
          <w:tcPr>
            <w:tcW w:w="1060" w:type="dxa"/>
            <w:vAlign w:val="bottom"/>
            <w:gridSpan w:val="2"/>
          </w:tcPr>
          <w:p>
            <w:pPr>
              <w:spacing w:after="0"/>
              <w:rPr>
                <w:sz w:val="18"/>
                <w:szCs w:val="18"/>
                <w:color w:val="auto"/>
              </w:rPr>
            </w:pPr>
          </w:p>
        </w:tc>
        <w:tc>
          <w:tcPr>
            <w:tcW w:w="160" w:type="dxa"/>
            <w:vAlign w:val="bottom"/>
            <w:tcBorders>
              <w:bottom w:val="single" w:sz="8" w:color="0000FF"/>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70"/>
              </w:rPr>
              <w:t>109</w:t>
            </w: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9A.</w:t>
            </w:r>
          </w:p>
        </w:tc>
        <w:tc>
          <w:tcPr>
            <w:tcW w:w="176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8"/>
              </w:rPr>
              <w:t>Controls and procedures</w:t>
            </w:r>
          </w:p>
        </w:tc>
        <w:tc>
          <w:tcPr>
            <w:tcW w:w="5540" w:type="dxa"/>
            <w:vAlign w:val="bottom"/>
            <w:gridSpan w:val="20"/>
          </w:tcPr>
          <w:p>
            <w:pPr>
              <w:spacing w:after="0"/>
              <w:rPr>
                <w:sz w:val="18"/>
                <w:szCs w:val="18"/>
                <w:color w:val="auto"/>
              </w:rPr>
            </w:pPr>
          </w:p>
        </w:tc>
        <w:tc>
          <w:tcPr>
            <w:tcW w:w="1060" w:type="dxa"/>
            <w:vAlign w:val="bottom"/>
            <w:gridSpan w:val="2"/>
          </w:tcPr>
          <w:p>
            <w:pPr>
              <w:spacing w:after="0"/>
              <w:rPr>
                <w:sz w:val="18"/>
                <w:szCs w:val="18"/>
                <w:color w:val="auto"/>
              </w:rPr>
            </w:pPr>
          </w:p>
        </w:tc>
        <w:tc>
          <w:tcPr>
            <w:tcW w:w="160" w:type="dxa"/>
            <w:vAlign w:val="bottom"/>
            <w:tcBorders>
              <w:bottom w:val="single" w:sz="8" w:color="0000FF"/>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70"/>
              </w:rPr>
              <w:t>109</w:t>
            </w: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9B.</w:t>
            </w:r>
          </w:p>
        </w:tc>
        <w:tc>
          <w:tcPr>
            <w:tcW w:w="730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1580" w:type="dxa"/>
            <w:vAlign w:val="bottom"/>
            <w:gridSpan w:val="5"/>
          </w:tcPr>
          <w:p>
            <w:pPr>
              <w:jc w:val="center"/>
              <w:ind w:left="530"/>
              <w:spacing w:after="0"/>
              <w:rPr>
                <w:sz w:val="20"/>
                <w:szCs w:val="20"/>
                <w:color w:val="auto"/>
              </w:rPr>
            </w:pPr>
            <w:r>
              <w:rPr>
                <w:rFonts w:ascii="Times New Roman" w:cs="Times New Roman" w:eastAsia="Times New Roman" w:hAnsi="Times New Roman"/>
                <w:sz w:val="18"/>
                <w:szCs w:val="18"/>
                <w:color w:val="0000FF"/>
              </w:rPr>
              <w:t>109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80" w:type="dxa"/>
            <w:vAlign w:val="bottom"/>
            <w:gridSpan w:val="2"/>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Borders>
              <w:right w:val="single" w:sz="8" w:color="0000FF"/>
            </w:tcBorders>
            <w:gridSpan w:val="2"/>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9C.</w:t>
            </w:r>
          </w:p>
        </w:tc>
        <w:tc>
          <w:tcPr>
            <w:tcW w:w="4760" w:type="dxa"/>
            <w:vAlign w:val="bottom"/>
            <w:tcBorders>
              <w:bottom w:val="single" w:sz="8" w:color="0000FF"/>
            </w:tcBorders>
            <w:gridSpan w:val="23"/>
          </w:tcPr>
          <w:p>
            <w:pPr>
              <w:spacing w:after="0"/>
              <w:rPr>
                <w:sz w:val="20"/>
                <w:szCs w:val="20"/>
                <w:color w:val="auto"/>
              </w:rPr>
            </w:pPr>
            <w:r>
              <w:rPr>
                <w:rFonts w:ascii="Times New Roman" w:cs="Times New Roman" w:eastAsia="Times New Roman" w:hAnsi="Times New Roman"/>
                <w:sz w:val="18"/>
                <w:szCs w:val="18"/>
                <w:color w:val="0000FF"/>
                <w:w w:val="99"/>
              </w:rPr>
              <w:t>Disclosure regarding foreign jurisdictions that prevent inspections</w:t>
            </w:r>
          </w:p>
        </w:tc>
        <w:tc>
          <w:tcPr>
            <w:tcW w:w="2540" w:type="dxa"/>
            <w:vAlign w:val="bottom"/>
            <w:gridSpan w:val="5"/>
          </w:tcPr>
          <w:p>
            <w:pPr>
              <w:spacing w:after="0"/>
              <w:rPr>
                <w:sz w:val="18"/>
                <w:szCs w:val="18"/>
                <w:color w:val="auto"/>
              </w:rPr>
            </w:pPr>
          </w:p>
        </w:tc>
        <w:tc>
          <w:tcPr>
            <w:tcW w:w="1060" w:type="dxa"/>
            <w:vAlign w:val="bottom"/>
            <w:gridSpan w:val="2"/>
          </w:tcPr>
          <w:p>
            <w:pPr>
              <w:spacing w:after="0"/>
              <w:rPr>
                <w:sz w:val="18"/>
                <w:szCs w:val="18"/>
                <w:color w:val="auto"/>
              </w:rPr>
            </w:pPr>
          </w:p>
        </w:tc>
        <w:tc>
          <w:tcPr>
            <w:tcW w:w="160" w:type="dxa"/>
            <w:vAlign w:val="bottom"/>
            <w:tcBorders>
              <w:bottom w:val="single" w:sz="8" w:color="0000FF"/>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70"/>
              </w:rPr>
              <w:t>109</w:t>
            </w: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Borders>
              <w:bottom w:val="single" w:sz="8" w:color="0000FF"/>
            </w:tcBorders>
            <w:gridSpan w:val="7"/>
          </w:tcPr>
          <w:p>
            <w:pPr>
              <w:jc w:val="center"/>
              <w:spacing w:after="0"/>
              <w:rPr>
                <w:sz w:val="20"/>
                <w:szCs w:val="20"/>
                <w:color w:val="auto"/>
              </w:rPr>
            </w:pPr>
            <w:r>
              <w:rPr>
                <w:rFonts w:ascii="Times New Roman" w:cs="Times New Roman" w:eastAsia="Times New Roman" w:hAnsi="Times New Roman"/>
                <w:sz w:val="18"/>
                <w:szCs w:val="18"/>
                <w:b w:val="1"/>
                <w:bCs w:val="1"/>
                <w:color w:val="0000FF"/>
                <w:w w:val="97"/>
              </w:rPr>
              <w:t>PART III (1)</w:t>
            </w:r>
          </w:p>
        </w:tc>
        <w:tc>
          <w:tcPr>
            <w:tcW w:w="3280" w:type="dxa"/>
            <w:vAlign w:val="bottom"/>
            <w:gridSpan w:val="8"/>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10.</w:t>
            </w:r>
          </w:p>
        </w:tc>
        <w:tc>
          <w:tcPr>
            <w:tcW w:w="41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w w:val="98"/>
              </w:rPr>
              <w:t>Directors, executive officers and corporate governance (2)</w:t>
            </w:r>
          </w:p>
        </w:tc>
        <w:tc>
          <w:tcPr>
            <w:tcW w:w="3120" w:type="dxa"/>
            <w:vAlign w:val="bottom"/>
            <w:gridSpan w:val="6"/>
          </w:tcPr>
          <w:p>
            <w:pPr>
              <w:spacing w:after="0"/>
              <w:rPr>
                <w:sz w:val="18"/>
                <w:szCs w:val="18"/>
                <w:color w:val="auto"/>
              </w:rPr>
            </w:pPr>
          </w:p>
        </w:tc>
        <w:tc>
          <w:tcPr>
            <w:tcW w:w="1220" w:type="dxa"/>
            <w:vAlign w:val="bottom"/>
            <w:gridSpan w:val="4"/>
          </w:tcPr>
          <w:p>
            <w:pPr>
              <w:jc w:val="center"/>
              <w:ind w:left="870"/>
              <w:spacing w:after="0"/>
              <w:rPr>
                <w:sz w:val="20"/>
                <w:szCs w:val="20"/>
                <w:color w:val="auto"/>
              </w:rPr>
            </w:pPr>
            <w:r>
              <w:rPr>
                <w:rFonts w:ascii="Times New Roman" w:cs="Times New Roman" w:eastAsia="Times New Roman" w:hAnsi="Times New Roman"/>
                <w:sz w:val="18"/>
                <w:szCs w:val="18"/>
                <w:color w:val="0000FF"/>
                <w:w w:val="96"/>
              </w:rPr>
              <w:t>110</w:t>
            </w: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9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11.</w:t>
            </w:r>
          </w:p>
        </w:tc>
        <w:tc>
          <w:tcPr>
            <w:tcW w:w="19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w w:val="96"/>
              </w:rPr>
              <w:t>Executive compensation (3)</w:t>
            </w:r>
          </w:p>
        </w:tc>
        <w:tc>
          <w:tcPr>
            <w:tcW w:w="2200" w:type="dxa"/>
            <w:vAlign w:val="bottom"/>
            <w:gridSpan w:val="13"/>
          </w:tcPr>
          <w:p>
            <w:pPr>
              <w:spacing w:after="0"/>
              <w:rPr>
                <w:sz w:val="18"/>
                <w:szCs w:val="18"/>
                <w:color w:val="auto"/>
              </w:rPr>
            </w:pPr>
          </w:p>
        </w:tc>
        <w:tc>
          <w:tcPr>
            <w:tcW w:w="3120" w:type="dxa"/>
            <w:vAlign w:val="bottom"/>
            <w:gridSpan w:val="6"/>
          </w:tcPr>
          <w:p>
            <w:pPr>
              <w:spacing w:after="0"/>
              <w:rPr>
                <w:sz w:val="18"/>
                <w:szCs w:val="18"/>
                <w:color w:val="auto"/>
              </w:rPr>
            </w:pPr>
          </w:p>
        </w:tc>
        <w:tc>
          <w:tcPr>
            <w:tcW w:w="1220" w:type="dxa"/>
            <w:vAlign w:val="bottom"/>
            <w:gridSpan w:val="4"/>
          </w:tcPr>
          <w:p>
            <w:pPr>
              <w:jc w:val="center"/>
              <w:ind w:left="870"/>
              <w:spacing w:after="0"/>
              <w:rPr>
                <w:sz w:val="20"/>
                <w:szCs w:val="20"/>
                <w:color w:val="auto"/>
              </w:rPr>
            </w:pPr>
            <w:r>
              <w:rPr>
                <w:rFonts w:ascii="Times New Roman" w:cs="Times New Roman" w:eastAsia="Times New Roman" w:hAnsi="Times New Roman"/>
                <w:sz w:val="18"/>
                <w:szCs w:val="18"/>
                <w:color w:val="0000FF"/>
                <w:w w:val="96"/>
              </w:rPr>
              <w:t>110</w:t>
            </w: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94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12.</w:t>
            </w:r>
          </w:p>
        </w:tc>
        <w:tc>
          <w:tcPr>
            <w:tcW w:w="730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 (4)</w:t>
            </w:r>
          </w:p>
        </w:tc>
        <w:tc>
          <w:tcPr>
            <w:tcW w:w="1220" w:type="dxa"/>
            <w:vAlign w:val="bottom"/>
            <w:gridSpan w:val="4"/>
          </w:tcPr>
          <w:p>
            <w:pPr>
              <w:jc w:val="center"/>
              <w:ind w:left="870"/>
              <w:spacing w:after="0"/>
              <w:rPr>
                <w:sz w:val="20"/>
                <w:szCs w:val="20"/>
                <w:color w:val="auto"/>
              </w:rPr>
            </w:pPr>
            <w:r>
              <w:rPr>
                <w:rFonts w:ascii="Times New Roman" w:cs="Times New Roman" w:eastAsia="Times New Roman" w:hAnsi="Times New Roman"/>
                <w:sz w:val="18"/>
                <w:szCs w:val="18"/>
                <w:color w:val="0000FF"/>
                <w:w w:val="96"/>
              </w:rPr>
              <w:t>111</w:t>
            </w: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80" w:type="dxa"/>
            <w:vAlign w:val="bottom"/>
            <w:gridSpan w:val="2"/>
          </w:tcPr>
          <w:p>
            <w:pPr>
              <w:spacing w:after="0" w:line="20" w:lineRule="exact"/>
              <w:rPr>
                <w:sz w:val="1"/>
                <w:szCs w:val="1"/>
                <w:color w:val="auto"/>
              </w:rPr>
            </w:pPr>
          </w:p>
        </w:tc>
        <w:tc>
          <w:tcPr>
            <w:tcW w:w="1520" w:type="dxa"/>
            <w:vAlign w:val="bottom"/>
            <w:gridSpan w:val="6"/>
            <w:shd w:val="clear" w:color="auto" w:fill="0000FF"/>
          </w:tcPr>
          <w:p>
            <w:pPr>
              <w:spacing w:after="0" w:line="20" w:lineRule="exact"/>
              <w:rPr>
                <w:sz w:val="1"/>
                <w:szCs w:val="1"/>
                <w:color w:val="auto"/>
              </w:rPr>
            </w:pPr>
          </w:p>
        </w:tc>
        <w:tc>
          <w:tcPr>
            <w:tcW w:w="146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720" w:type="dxa"/>
            <w:vAlign w:val="bottom"/>
            <w:gridSpan w:val="5"/>
            <w:shd w:val="clear" w:color="auto" w:fill="0000FF"/>
          </w:tcPr>
          <w:p>
            <w:pPr>
              <w:spacing w:after="0" w:line="20" w:lineRule="exact"/>
              <w:rPr>
                <w:sz w:val="1"/>
                <w:szCs w:val="1"/>
                <w:color w:val="auto"/>
              </w:rPr>
            </w:pPr>
          </w:p>
        </w:tc>
        <w:tc>
          <w:tcPr>
            <w:tcW w:w="1600" w:type="dxa"/>
            <w:vAlign w:val="bottom"/>
            <w:gridSpan w:val="5"/>
            <w:shd w:val="clear" w:color="auto" w:fill="0000FF"/>
          </w:tcPr>
          <w:p>
            <w:pPr>
              <w:spacing w:after="0" w:line="20" w:lineRule="exact"/>
              <w:rPr>
                <w:sz w:val="1"/>
                <w:szCs w:val="1"/>
                <w:color w:val="auto"/>
              </w:rPr>
            </w:pPr>
          </w:p>
        </w:tc>
        <w:tc>
          <w:tcPr>
            <w:tcW w:w="178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Borders>
              <w:right w:val="single" w:sz="8" w:color="0000FF"/>
            </w:tcBorders>
            <w:gridSpan w:val="2"/>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13.</w:t>
            </w:r>
          </w:p>
        </w:tc>
        <w:tc>
          <w:tcPr>
            <w:tcW w:w="548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w w:val="99"/>
              </w:rPr>
              <w:t>Certain relationships and related transactions, and director independence (5)</w:t>
            </w:r>
          </w:p>
        </w:tc>
        <w:tc>
          <w:tcPr>
            <w:tcW w:w="1780" w:type="dxa"/>
            <w:vAlign w:val="bottom"/>
            <w:gridSpan w:val="3"/>
          </w:tcPr>
          <w:p>
            <w:pPr>
              <w:spacing w:after="0"/>
              <w:rPr>
                <w:sz w:val="18"/>
                <w:szCs w:val="18"/>
                <w:color w:val="auto"/>
              </w:rPr>
            </w:pPr>
          </w:p>
        </w:tc>
        <w:tc>
          <w:tcPr>
            <w:tcW w:w="40" w:type="dxa"/>
            <w:vAlign w:val="bottom"/>
          </w:tcPr>
          <w:p>
            <w:pPr>
              <w:spacing w:after="0"/>
              <w:rPr>
                <w:sz w:val="18"/>
                <w:szCs w:val="18"/>
                <w:color w:val="auto"/>
              </w:rPr>
            </w:pPr>
          </w:p>
        </w:tc>
        <w:tc>
          <w:tcPr>
            <w:tcW w:w="1220" w:type="dxa"/>
            <w:vAlign w:val="bottom"/>
            <w:gridSpan w:val="4"/>
          </w:tcPr>
          <w:p>
            <w:pPr>
              <w:jc w:val="center"/>
              <w:ind w:left="870"/>
              <w:spacing w:after="0"/>
              <w:rPr>
                <w:sz w:val="20"/>
                <w:szCs w:val="20"/>
                <w:color w:val="auto"/>
              </w:rPr>
            </w:pPr>
            <w:r>
              <w:rPr>
                <w:rFonts w:ascii="Times New Roman" w:cs="Times New Roman" w:eastAsia="Times New Roman" w:hAnsi="Times New Roman"/>
                <w:sz w:val="18"/>
                <w:szCs w:val="18"/>
                <w:color w:val="0000FF"/>
                <w:w w:val="96"/>
              </w:rPr>
              <w:t>111</w:t>
            </w: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80" w:type="dxa"/>
            <w:vAlign w:val="bottom"/>
            <w:gridSpan w:val="2"/>
          </w:tcPr>
          <w:p>
            <w:pPr>
              <w:spacing w:after="0" w:line="20" w:lineRule="exact"/>
              <w:rPr>
                <w:sz w:val="1"/>
                <w:szCs w:val="1"/>
                <w:color w:val="auto"/>
              </w:rPr>
            </w:pPr>
          </w:p>
        </w:tc>
        <w:tc>
          <w:tcPr>
            <w:tcW w:w="1520" w:type="dxa"/>
            <w:vAlign w:val="bottom"/>
            <w:gridSpan w:val="6"/>
            <w:shd w:val="clear" w:color="auto" w:fill="0000FF"/>
          </w:tcPr>
          <w:p>
            <w:pPr>
              <w:spacing w:after="0" w:line="20" w:lineRule="exact"/>
              <w:rPr>
                <w:sz w:val="1"/>
                <w:szCs w:val="1"/>
                <w:color w:val="auto"/>
              </w:rPr>
            </w:pPr>
          </w:p>
        </w:tc>
        <w:tc>
          <w:tcPr>
            <w:tcW w:w="146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720" w:type="dxa"/>
            <w:vAlign w:val="bottom"/>
            <w:gridSpan w:val="5"/>
            <w:shd w:val="clear" w:color="auto" w:fill="0000FF"/>
          </w:tcPr>
          <w:p>
            <w:pPr>
              <w:spacing w:after="0" w:line="20" w:lineRule="exact"/>
              <w:rPr>
                <w:sz w:val="1"/>
                <w:szCs w:val="1"/>
                <w:color w:val="auto"/>
              </w:rPr>
            </w:pPr>
          </w:p>
        </w:tc>
        <w:tc>
          <w:tcPr>
            <w:tcW w:w="1600" w:type="dxa"/>
            <w:vAlign w:val="bottom"/>
            <w:gridSpan w:val="5"/>
            <w:shd w:val="clear" w:color="auto" w:fill="0000FF"/>
          </w:tcPr>
          <w:p>
            <w:pPr>
              <w:spacing w:after="0" w:line="20" w:lineRule="exact"/>
              <w:rPr>
                <w:sz w:val="1"/>
                <w:szCs w:val="1"/>
                <w:color w:val="auto"/>
              </w:rPr>
            </w:pPr>
          </w:p>
        </w:tc>
        <w:tc>
          <w:tcPr>
            <w:tcW w:w="1820" w:type="dxa"/>
            <w:vAlign w:val="bottom"/>
            <w:gridSpan w:val="4"/>
          </w:tcPr>
          <w:p>
            <w:pPr>
              <w:spacing w:after="0" w:line="20" w:lineRule="exact"/>
              <w:rPr>
                <w:sz w:val="1"/>
                <w:szCs w:val="1"/>
                <w:color w:val="auto"/>
              </w:rPr>
            </w:pPr>
          </w:p>
        </w:tc>
        <w:tc>
          <w:tcPr>
            <w:tcW w:w="1060" w:type="dxa"/>
            <w:vAlign w:val="bottom"/>
            <w:tcBorders>
              <w:right w:val="single" w:sz="8" w:color="0000FF"/>
            </w:tcBorders>
            <w:gridSpan w:val="2"/>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14.</w:t>
            </w:r>
          </w:p>
        </w:tc>
        <w:tc>
          <w:tcPr>
            <w:tcW w:w="548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Principal accounting fees and services (6)</w:t>
            </w:r>
          </w:p>
        </w:tc>
        <w:tc>
          <w:tcPr>
            <w:tcW w:w="1820" w:type="dxa"/>
            <w:vAlign w:val="bottom"/>
            <w:gridSpan w:val="4"/>
          </w:tcPr>
          <w:p>
            <w:pPr>
              <w:spacing w:after="0"/>
              <w:rPr>
                <w:sz w:val="18"/>
                <w:szCs w:val="18"/>
                <w:color w:val="auto"/>
              </w:rPr>
            </w:pPr>
          </w:p>
        </w:tc>
        <w:tc>
          <w:tcPr>
            <w:tcW w:w="1220" w:type="dxa"/>
            <w:vAlign w:val="bottom"/>
            <w:gridSpan w:val="4"/>
          </w:tcPr>
          <w:p>
            <w:pPr>
              <w:jc w:val="center"/>
              <w:ind w:left="870"/>
              <w:spacing w:after="0"/>
              <w:rPr>
                <w:sz w:val="20"/>
                <w:szCs w:val="20"/>
                <w:color w:val="auto"/>
              </w:rPr>
            </w:pPr>
            <w:r>
              <w:rPr>
                <w:rFonts w:ascii="Times New Roman" w:cs="Times New Roman" w:eastAsia="Times New Roman" w:hAnsi="Times New Roman"/>
                <w:sz w:val="18"/>
                <w:szCs w:val="18"/>
                <w:color w:val="0000FF"/>
                <w:w w:val="96"/>
              </w:rPr>
              <w:t>111</w:t>
            </w: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94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40" w:type="dxa"/>
            <w:vAlign w:val="bottom"/>
            <w:gridSpan w:val="14"/>
          </w:tcPr>
          <w:p>
            <w:pPr>
              <w:jc w:val="center"/>
              <w:ind w:right="3420"/>
              <w:spacing w:after="0"/>
              <w:rPr>
                <w:sz w:val="20"/>
                <w:szCs w:val="20"/>
                <w:color w:val="auto"/>
              </w:rPr>
            </w:pPr>
            <w:r>
              <w:rPr>
                <w:rFonts w:ascii="Times New Roman" w:cs="Times New Roman" w:eastAsia="Times New Roman" w:hAnsi="Times New Roman"/>
                <w:sz w:val="18"/>
                <w:szCs w:val="18"/>
                <w:b w:val="1"/>
                <w:bCs w:val="1"/>
                <w:color w:val="0000FF"/>
                <w:w w:val="97"/>
              </w:rPr>
              <w:t>PART IV</w:t>
            </w: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15.</w:t>
            </w:r>
          </w:p>
        </w:tc>
        <w:tc>
          <w:tcPr>
            <w:tcW w:w="316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Exhibits and financial statement schedule</w:t>
            </w:r>
          </w:p>
        </w:tc>
        <w:tc>
          <w:tcPr>
            <w:tcW w:w="720" w:type="dxa"/>
            <w:vAlign w:val="bottom"/>
            <w:tcBorders>
              <w:top w:val="single" w:sz="8" w:color="0000FF"/>
            </w:tcBorders>
            <w:gridSpan w:val="5"/>
          </w:tcPr>
          <w:p>
            <w:pPr>
              <w:spacing w:after="0"/>
              <w:rPr>
                <w:sz w:val="18"/>
                <w:szCs w:val="18"/>
                <w:color w:val="auto"/>
              </w:rPr>
            </w:pPr>
          </w:p>
        </w:tc>
        <w:tc>
          <w:tcPr>
            <w:tcW w:w="3420" w:type="dxa"/>
            <w:vAlign w:val="bottom"/>
            <w:gridSpan w:val="9"/>
          </w:tcPr>
          <w:p>
            <w:pPr>
              <w:spacing w:after="0"/>
              <w:rPr>
                <w:sz w:val="18"/>
                <w:szCs w:val="18"/>
                <w:color w:val="auto"/>
              </w:rPr>
            </w:pPr>
          </w:p>
        </w:tc>
        <w:tc>
          <w:tcPr>
            <w:tcW w:w="1220" w:type="dxa"/>
            <w:vAlign w:val="bottom"/>
            <w:gridSpan w:val="4"/>
          </w:tcPr>
          <w:p>
            <w:pPr>
              <w:jc w:val="center"/>
              <w:ind w:left="870"/>
              <w:spacing w:after="0"/>
              <w:rPr>
                <w:sz w:val="20"/>
                <w:szCs w:val="20"/>
                <w:color w:val="auto"/>
              </w:rPr>
            </w:pPr>
            <w:r>
              <w:rPr>
                <w:rFonts w:ascii="Times New Roman" w:cs="Times New Roman" w:eastAsia="Times New Roman" w:hAnsi="Times New Roman"/>
                <w:sz w:val="18"/>
                <w:szCs w:val="18"/>
                <w:color w:val="0000FF"/>
                <w:w w:val="96"/>
              </w:rPr>
              <w:t>112</w:t>
            </w: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80" w:type="dxa"/>
            <w:vAlign w:val="bottom"/>
            <w:gridSpan w:val="2"/>
          </w:tcPr>
          <w:p>
            <w:pPr>
              <w:spacing w:after="0" w:line="20" w:lineRule="exact"/>
              <w:rPr>
                <w:sz w:val="1"/>
                <w:szCs w:val="1"/>
                <w:color w:val="auto"/>
              </w:rPr>
            </w:pPr>
          </w:p>
        </w:tc>
        <w:tc>
          <w:tcPr>
            <w:tcW w:w="1520" w:type="dxa"/>
            <w:vAlign w:val="bottom"/>
            <w:gridSpan w:val="6"/>
            <w:shd w:val="clear" w:color="auto" w:fill="0000FF"/>
          </w:tcPr>
          <w:p>
            <w:pPr>
              <w:spacing w:after="0" w:line="20" w:lineRule="exact"/>
              <w:rPr>
                <w:sz w:val="1"/>
                <w:szCs w:val="1"/>
                <w:color w:val="auto"/>
              </w:rPr>
            </w:pPr>
          </w:p>
        </w:tc>
        <w:tc>
          <w:tcPr>
            <w:tcW w:w="1460" w:type="dxa"/>
            <w:vAlign w:val="bottom"/>
            <w:gridSpan w:val="5"/>
            <w:shd w:val="clear" w:color="auto" w:fill="0000FF"/>
          </w:tcPr>
          <w:p>
            <w:pPr>
              <w:spacing w:after="0" w:line="20" w:lineRule="exact"/>
              <w:rPr>
                <w:sz w:val="1"/>
                <w:szCs w:val="1"/>
                <w:color w:val="auto"/>
              </w:rPr>
            </w:pPr>
          </w:p>
        </w:tc>
        <w:tc>
          <w:tcPr>
            <w:tcW w:w="4320" w:type="dxa"/>
            <w:vAlign w:val="bottom"/>
            <w:gridSpan w:val="17"/>
          </w:tcPr>
          <w:p>
            <w:pPr>
              <w:spacing w:after="0" w:line="20" w:lineRule="exact"/>
              <w:rPr>
                <w:sz w:val="1"/>
                <w:szCs w:val="1"/>
                <w:color w:val="auto"/>
              </w:rPr>
            </w:pPr>
          </w:p>
        </w:tc>
        <w:tc>
          <w:tcPr>
            <w:tcW w:w="1060" w:type="dxa"/>
            <w:vAlign w:val="bottom"/>
            <w:tcBorders>
              <w:right w:val="single" w:sz="8" w:color="0000FF"/>
            </w:tcBorders>
            <w:gridSpan w:val="2"/>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1"/>
        </w:trPr>
        <w:tc>
          <w:tcPr>
            <w:tcW w:w="2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16.</w:t>
            </w:r>
          </w:p>
        </w:tc>
        <w:tc>
          <w:tcPr>
            <w:tcW w:w="15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8"/>
              </w:rPr>
              <w:t>Form 10-K summary</w:t>
            </w:r>
          </w:p>
        </w:tc>
        <w:tc>
          <w:tcPr>
            <w:tcW w:w="1460" w:type="dxa"/>
            <w:vAlign w:val="bottom"/>
            <w:gridSpan w:val="5"/>
          </w:tcPr>
          <w:p>
            <w:pPr>
              <w:spacing w:after="0"/>
              <w:rPr>
                <w:sz w:val="24"/>
                <w:szCs w:val="24"/>
                <w:color w:val="auto"/>
              </w:rPr>
            </w:pPr>
          </w:p>
        </w:tc>
        <w:tc>
          <w:tcPr>
            <w:tcW w:w="4320" w:type="dxa"/>
            <w:vAlign w:val="bottom"/>
            <w:gridSpan w:val="17"/>
          </w:tcPr>
          <w:p>
            <w:pPr>
              <w:spacing w:after="0"/>
              <w:rPr>
                <w:sz w:val="24"/>
                <w:szCs w:val="24"/>
                <w:color w:val="auto"/>
              </w:rPr>
            </w:pPr>
          </w:p>
        </w:tc>
        <w:tc>
          <w:tcPr>
            <w:tcW w:w="1220" w:type="dxa"/>
            <w:vAlign w:val="bottom"/>
            <w:gridSpan w:val="4"/>
          </w:tcPr>
          <w:p>
            <w:pPr>
              <w:jc w:val="center"/>
              <w:ind w:left="870"/>
              <w:spacing w:after="0"/>
              <w:rPr>
                <w:sz w:val="20"/>
                <w:szCs w:val="20"/>
                <w:color w:val="auto"/>
              </w:rPr>
            </w:pPr>
            <w:r>
              <w:rPr>
                <w:rFonts w:ascii="Times New Roman" w:cs="Times New Roman" w:eastAsia="Times New Roman" w:hAnsi="Times New Roman"/>
                <w:sz w:val="18"/>
                <w:szCs w:val="18"/>
                <w:color w:val="0000FF"/>
                <w:w w:val="96"/>
              </w:rPr>
              <w:t>112</w:t>
            </w: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w:t>
      </w:r>
    </w:p>
    <w:p>
      <w:pPr>
        <w:spacing w:after="0" w:line="27" w:lineRule="exact"/>
        <w:rPr>
          <w:sz w:val="20"/>
          <w:szCs w:val="20"/>
          <w:color w:val="auto"/>
        </w:rPr>
      </w:pPr>
    </w:p>
    <w:p>
      <w:pPr>
        <w:ind w:left="580" w:right="20" w:hanging="572"/>
        <w:spacing w:after="0" w:line="250" w:lineRule="auto"/>
        <w:tabs>
          <w:tab w:leader="none" w:pos="57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information is incorporated by reference, as indicated below, to the registrant's Definitive Proxy Statement on Schedule 14A for its Annual Meeting of Shareholders to be held in May 2026 (the "Proxy Statement").</w:t>
      </w:r>
    </w:p>
    <w:p>
      <w:pPr>
        <w:ind w:left="580" w:right="20" w:hanging="572"/>
        <w:spacing w:after="0" w:line="250" w:lineRule="auto"/>
        <w:tabs>
          <w:tab w:leader="none" w:pos="57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portion of the information required is incorporated by reference to the Proxy Statement sections entitled "Election of Directors" and "Directors and Corporate Governance."</w:t>
      </w:r>
    </w:p>
    <w:p>
      <w:pPr>
        <w:jc w:val="both"/>
        <w:ind w:left="580" w:hanging="572"/>
        <w:spacing w:after="0" w:line="250" w:lineRule="auto"/>
        <w:tabs>
          <w:tab w:leader="none" w:pos="57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Proxy Statement sections entitled "Directors and Corporate Governance — Director Compensation," "Compensation Discussion and Analysis," "Executive Compensation," "Compensation Committee Interlocks and Insider Participation" and "Compensation Committee Report."</w:t>
      </w:r>
    </w:p>
    <w:p>
      <w:pPr>
        <w:spacing w:after="0" w:line="1" w:lineRule="exact"/>
        <w:rPr>
          <w:rFonts w:ascii="Times New Roman" w:cs="Times New Roman" w:eastAsia="Times New Roman" w:hAnsi="Times New Roman"/>
          <w:sz w:val="18"/>
          <w:szCs w:val="18"/>
          <w:color w:val="auto"/>
        </w:rPr>
      </w:pPr>
    </w:p>
    <w:p>
      <w:pPr>
        <w:ind w:left="580" w:hanging="572"/>
        <w:spacing w:after="0" w:line="250" w:lineRule="auto"/>
        <w:tabs>
          <w:tab w:leader="none" w:pos="57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portion of the information required is incorporated by reference to the Proxy Statement section entitled "Directors and Corporate Governance — Security Ownership of Certain Beneficial Owners, Directors and Management."</w:t>
      </w:r>
    </w:p>
    <w:p>
      <w:pPr>
        <w:ind w:left="580" w:hanging="572"/>
        <w:spacing w:after="0" w:line="250" w:lineRule="auto"/>
        <w:tabs>
          <w:tab w:leader="none" w:pos="57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Proxy Statement sections entitled "Certain Relationships and Related Party Transactions" and "Directors and Corporate Governance — Independence of Directors."</w:t>
      </w:r>
    </w:p>
    <w:p>
      <w:pPr>
        <w:ind w:left="560" w:hanging="552"/>
        <w:spacing w:after="0"/>
        <w:tabs>
          <w:tab w:leader="none" w:pos="5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Proxy Statement section entitled "Fees of Independent Accountants."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550545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 – BUSINESS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 this Annual Report on Form 10-K (this "Report"), when we use the terms the "Company," "Lear," "we," "us" and "our," unless otherwise indicated or the context otherwise requires, we are referring to Lear Corporation and its consolidated subsidiaries. A substantial portion of the Company's operations are conducted through subsidiaries controlled by Lear Corporation. The Company is also a party to various joint venture arrangements. Certain disclosures included in this Report constitute forward-looking statements that are subject to risks and uncertainties. See Item 1A, "Risk Factors," and Part II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Item 7, "Management's Discussion and Analysis of Financial Condition and Results of Operations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Forward-Looking Statements."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BUSINESS OF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 xml:space="preserve">Lear Corporation is a global automotive technology leader in Seating and E-Systems, enabling superior in-vehicle experiences for consumers around the world. We supply complete seat systems, key seat components, complete electrical distribution and connection systems, high-voltage power distribution products, including battery disconnect units ("BDUs"), and low-voltage power distribution products and electronic controllers to all of the world's major automotive manufacturers. At Lear, we are </w:t>
      </w:r>
      <w:r>
        <w:rPr>
          <w:rFonts w:ascii="Times New Roman" w:cs="Times New Roman" w:eastAsia="Times New Roman" w:hAnsi="Times New Roman"/>
          <w:sz w:val="18"/>
          <w:szCs w:val="18"/>
          <w:i w:val="1"/>
          <w:iCs w:val="1"/>
          <w:color w:val="auto"/>
        </w:rPr>
        <w:t>Making every drive better</w:t>
      </w:r>
      <w:r>
        <w:rPr>
          <w:rFonts w:ascii="Times New Roman" w:cs="Times New Roman" w:eastAsia="Times New Roman" w:hAnsi="Times New Roman"/>
          <w:sz w:val="23"/>
          <w:szCs w:val="23"/>
          <w:i w:val="1"/>
          <w:iCs w:val="1"/>
          <w:color w:val="auto"/>
          <w:vertAlign w:val="superscript"/>
        </w:rPr>
        <w:t>TM</w:t>
      </w:r>
      <w:r>
        <w:rPr>
          <w:rFonts w:ascii="Times New Roman" w:cs="Times New Roman" w:eastAsia="Times New Roman" w:hAnsi="Times New Roman"/>
          <w:sz w:val="18"/>
          <w:szCs w:val="18"/>
          <w:color w:val="auto"/>
        </w:rPr>
        <w:t xml:space="preserve"> by providing technology for safer, smarter and more comfortable journeys, while adhering to our values — </w:t>
      </w:r>
      <w:r>
        <w:rPr>
          <w:rFonts w:ascii="Times New Roman" w:cs="Times New Roman" w:eastAsia="Times New Roman" w:hAnsi="Times New Roman"/>
          <w:sz w:val="18"/>
          <w:szCs w:val="18"/>
          <w:i w:val="1"/>
          <w:iCs w:val="1"/>
          <w:color w:val="auto"/>
        </w:rPr>
        <w:t>Be Inclusive. Be Inventive. Get Results the Right Way</w:t>
      </w:r>
      <w:r>
        <w:rPr>
          <w:rFonts w:ascii="Times New Roman" w:cs="Times New Roman" w:eastAsia="Times New Roman" w:hAnsi="Times New Roman"/>
          <w:sz w:val="18"/>
          <w:szCs w:val="18"/>
          <w:color w:val="auto"/>
        </w:rPr>
        <w:t>.</w:t>
      </w:r>
    </w:p>
    <w:p>
      <w:pPr>
        <w:spacing w:after="0" w:line="9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258 manufacturing, engineering and administrative locations in 36 countries. We continue to grow our business in every major automotive producing region of the world, both organically and through complementary acquisitions. We continue to evaluate our manufacturing footprint to optimize our cost structure.</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Lear is built on a foundation and strong culture of innovation, operational excellence, and engineering and program management capabilities. We use our product and process design and technological expertise, as well as our global reach and competitive manufacturing footprint, to achieve the following financial goals and objectives:</w:t>
      </w:r>
    </w:p>
    <w:p>
      <w:pPr>
        <w:spacing w:after="0" w:line="68" w:lineRule="exact"/>
        <w:rPr>
          <w:sz w:val="20"/>
          <w:szCs w:val="20"/>
          <w:color w:val="auto"/>
        </w:rPr>
      </w:pPr>
    </w:p>
    <w:p>
      <w:pPr>
        <w:ind w:left="400" w:hanging="230"/>
        <w:spacing w:after="0"/>
        <w:tabs>
          <w:tab w:leader="none" w:pos="4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deliver profitable growth while balancing risks and returns;</w:t>
      </w:r>
    </w:p>
    <w:p>
      <w:pPr>
        <w:spacing w:after="0" w:line="117" w:lineRule="exact"/>
        <w:rPr>
          <w:rFonts w:ascii="Times New Roman" w:cs="Times New Roman" w:eastAsia="Times New Roman" w:hAnsi="Times New Roman"/>
          <w:sz w:val="18"/>
          <w:szCs w:val="18"/>
          <w:color w:val="auto"/>
        </w:rPr>
      </w:pPr>
    </w:p>
    <w:p>
      <w:pPr>
        <w:ind w:left="400" w:hanging="230"/>
        <w:spacing w:after="0"/>
        <w:tabs>
          <w:tab w:leader="none" w:pos="4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 in product and process innovations to drive business growth and profitability;</w:t>
      </w:r>
    </w:p>
    <w:p>
      <w:pPr>
        <w:spacing w:after="0" w:line="117" w:lineRule="exact"/>
        <w:rPr>
          <w:rFonts w:ascii="Times New Roman" w:cs="Times New Roman" w:eastAsia="Times New Roman" w:hAnsi="Times New Roman"/>
          <w:sz w:val="18"/>
          <w:szCs w:val="18"/>
          <w:color w:val="auto"/>
        </w:rPr>
      </w:pPr>
    </w:p>
    <w:p>
      <w:pPr>
        <w:ind w:left="400" w:hanging="230"/>
        <w:spacing w:after="0"/>
        <w:tabs>
          <w:tab w:leader="none" w:pos="4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 strong balance sheet with investment grade credit metrics; and</w:t>
      </w:r>
    </w:p>
    <w:p>
      <w:pPr>
        <w:spacing w:after="0" w:line="117" w:lineRule="exact"/>
        <w:rPr>
          <w:rFonts w:ascii="Times New Roman" w:cs="Times New Roman" w:eastAsia="Times New Roman" w:hAnsi="Times New Roman"/>
          <w:sz w:val="18"/>
          <w:szCs w:val="18"/>
          <w:color w:val="auto"/>
        </w:rPr>
      </w:pPr>
    </w:p>
    <w:p>
      <w:pPr>
        <w:ind w:left="400" w:hanging="230"/>
        <w:spacing w:after="0"/>
        <w:tabs>
          <w:tab w:leader="none" w:pos="4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Generate strong cash flow and return excess cash to shareholders.</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business is organized under two reporting segments: Seating and E-Systems. Each of these segments has a varied product and technology portfolio across a number of component categories. Further, we continuously evaluate this portfolio, aligning it with industry trends while balancing risk-adjusted returns, which allows us to offer value-added solutions to our customers.</w:t>
      </w:r>
    </w:p>
    <w:p>
      <w:pPr>
        <w:spacing w:after="0" w:line="10" w:lineRule="exact"/>
        <w:rPr>
          <w:sz w:val="20"/>
          <w:szCs w:val="20"/>
          <w:color w:val="auto"/>
        </w:rPr>
      </w:pPr>
    </w:p>
    <w:p>
      <w:pPr>
        <w:jc w:val="both"/>
        <w:ind w:left="420" w:hanging="250"/>
        <w:spacing w:after="0" w:line="268" w:lineRule="auto"/>
        <w:tabs>
          <w:tab w:leader="none" w:pos="4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Seating </w:t>
      </w:r>
      <w:r>
        <w:rPr>
          <w:rFonts w:ascii="Times New Roman" w:cs="Times New Roman" w:eastAsia="Times New Roman" w:hAnsi="Times New Roman"/>
          <w:sz w:val="18"/>
          <w:szCs w:val="18"/>
          <w:color w:val="auto"/>
        </w:rPr>
        <w:t>— Our Seating segment consists of the design, development, engineering and manufacture of complete seat systems and key seat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components. Our capabilities in operations and supply chain management enable synchronized assembly and just-in-time delivery of complex complete seat systems at high volumes to our customers.</w:t>
      </w:r>
    </w:p>
    <w:p>
      <w:pPr>
        <w:spacing w:after="0" w:line="12" w:lineRule="exact"/>
        <w:rPr>
          <w:rFonts w:ascii="Times New Roman" w:cs="Times New Roman" w:eastAsia="Times New Roman" w:hAnsi="Times New Roman"/>
          <w:sz w:val="18"/>
          <w:szCs w:val="18"/>
          <w:color w:val="auto"/>
        </w:rPr>
      </w:pPr>
    </w:p>
    <w:p>
      <w:pPr>
        <w:jc w:val="both"/>
        <w:ind w:left="42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the most vertically integrated global seat supplier, our key seat component product offerings include seat trim covers; surface materials such as leather and fabric; seat mechanisms; seat cushioning; headrests; and thermal comfort systems such as seat heating, ventilation, active cooling, pneumatic lumbar and massage products. All of these products are compatible with traditional internal combustion engine ("ICE") architectures and electrified powertrains, including the full range of hybrid, plug-in hybrid and battery electric architectures. Our thermal comfort systems are facilitated by our seat system, component and integration capabilities, together with our competencies in electronics, sensors, software and algorithms.</w:t>
      </w:r>
    </w:p>
    <w:p>
      <w:pPr>
        <w:spacing w:after="0" w:line="21" w:lineRule="exact"/>
        <w:rPr>
          <w:rFonts w:ascii="Times New Roman" w:cs="Times New Roman" w:eastAsia="Times New Roman" w:hAnsi="Times New Roman"/>
          <w:sz w:val="18"/>
          <w:szCs w:val="18"/>
          <w:color w:val="auto"/>
        </w:rPr>
      </w:pPr>
    </w:p>
    <w:p>
      <w:pPr>
        <w:jc w:val="both"/>
        <w:ind w:left="420" w:right="20" w:hanging="250"/>
        <w:spacing w:after="0" w:line="262" w:lineRule="auto"/>
        <w:tabs>
          <w:tab w:leader="none" w:pos="4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E-Systems </w:t>
      </w:r>
      <w:r>
        <w:rPr>
          <w:rFonts w:ascii="Times New Roman" w:cs="Times New Roman" w:eastAsia="Times New Roman" w:hAnsi="Times New Roman"/>
          <w:sz w:val="18"/>
          <w:szCs w:val="18"/>
          <w:color w:val="auto"/>
        </w:rPr>
        <w:t>— Our E-Systems segment consists of the design, development, engineering and manufacture of complete electrical distribution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connection systems; high-voltage power distribution products, including BDUs; and low-voltage power distribution products and electronic controllers. These capabilities enable us to provide our customers with customizable solutions with optimized designs at competitive costs for both low-voltage and high-voltage vehicle architectures.</w:t>
      </w:r>
    </w:p>
    <w:p>
      <w:pPr>
        <w:spacing w:after="0" w:line="18" w:lineRule="exact"/>
        <w:rPr>
          <w:rFonts w:ascii="Times New Roman" w:cs="Times New Roman" w:eastAsia="Times New Roman" w:hAnsi="Times New Roman"/>
          <w:sz w:val="18"/>
          <w:szCs w:val="18"/>
          <w:color w:val="auto"/>
        </w:rPr>
      </w:pPr>
    </w:p>
    <w:p>
      <w:pPr>
        <w:ind w:left="1060" w:hanging="324"/>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Electrical distribution and connection systems utilize low-voltage and high-voltage wire and high-speed data cables to connect networks' electrical signals and manage electrical power within the vehicle for all types of powertrains – from traditional ICE architectures to the full range of electrified powertrains that require management of higher voltage and power. Key components of our electrical distribution and connection systems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060" w:right="20"/>
        <w:spacing w:after="0" w:line="281" w:lineRule="auto"/>
        <w:rPr>
          <w:sz w:val="20"/>
          <w:szCs w:val="20"/>
          <w:color w:val="auto"/>
        </w:rPr>
      </w:pPr>
      <w:r>
        <w:rPr>
          <w:rFonts w:ascii="Times New Roman" w:cs="Times New Roman" w:eastAsia="Times New Roman" w:hAnsi="Times New Roman"/>
          <w:sz w:val="18"/>
          <w:szCs w:val="18"/>
          <w:color w:val="auto"/>
        </w:rPr>
        <w:t>portfolio include wire harnesses, terminals and connectors, high-voltage battery connection systems and engineered components. High-voltage battery connection systems include intercell connect boards, bus bars and main battery interface connection systems.</w:t>
      </w:r>
    </w:p>
    <w:p>
      <w:pPr>
        <w:spacing w:after="0" w:line="1" w:lineRule="exact"/>
        <w:rPr>
          <w:sz w:val="20"/>
          <w:szCs w:val="20"/>
          <w:color w:val="auto"/>
        </w:rPr>
      </w:pPr>
    </w:p>
    <w:p>
      <w:pPr>
        <w:ind w:left="1060" w:hanging="324"/>
        <w:spacing w:after="0" w:line="281" w:lineRule="auto"/>
        <w:rPr>
          <w:sz w:val="20"/>
          <w:szCs w:val="20"/>
          <w:color w:val="auto"/>
        </w:rPr>
      </w:pPr>
      <w:r>
        <w:rPr>
          <w:rFonts w:ascii="Times New Roman" w:cs="Times New Roman" w:eastAsia="Times New Roman" w:hAnsi="Times New Roman"/>
          <w:sz w:val="18"/>
          <w:szCs w:val="18"/>
          <w:color w:val="auto"/>
        </w:rPr>
        <w:t>– High-voltage power distribution products control the flow and distribution of high-voltage power throughout electric and hybrid vehicles and include BDUs, which control all electrical energy flowing into and out of high-voltage batteries in electrified vehicles.</w:t>
      </w:r>
    </w:p>
    <w:p>
      <w:pPr>
        <w:spacing w:after="0" w:line="1" w:lineRule="exact"/>
        <w:rPr>
          <w:sz w:val="20"/>
          <w:szCs w:val="20"/>
          <w:color w:val="auto"/>
        </w:rPr>
      </w:pPr>
    </w:p>
    <w:p>
      <w:pPr>
        <w:ind w:left="1060" w:hanging="324"/>
        <w:spacing w:after="0" w:line="258" w:lineRule="auto"/>
        <w:rPr>
          <w:sz w:val="20"/>
          <w:szCs w:val="20"/>
          <w:color w:val="auto"/>
        </w:rPr>
      </w:pPr>
      <w:r>
        <w:rPr>
          <w:rFonts w:ascii="Times New Roman" w:cs="Times New Roman" w:eastAsia="Times New Roman" w:hAnsi="Times New Roman"/>
          <w:sz w:val="18"/>
          <w:szCs w:val="18"/>
          <w:color w:val="auto"/>
        </w:rPr>
        <w:t>– Low-voltage power distribution products and electronic controllers facilitate signal, data and/or power management within the vehicle and include the associated software required to facilitate these functions. Key components of this portfolio include zonal controllers, body domain control modules, and smart and passive power distribution modules. Our software offerings include embedded control, cybersecurity software and software to control hardware devices. Our customers traditionally have sourced our electronic hardware together with the software that we integrate and embed in it.</w:t>
      </w:r>
    </w:p>
    <w:p>
      <w:pPr>
        <w:spacing w:after="0" w:line="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serve all of the world's major automotive manufacturers through both our Seating and E-Systems businesses, and we have automotive content on more than 500 vehicle nameplates worldwide. It is common for us to have both seating and electrical and/or electronic content on the same vehicle platform.</w:t>
      </w:r>
    </w:p>
    <w:p>
      <w:pPr>
        <w:spacing w:after="0" w:line="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businesses benefit globally from leveraging common operating standards and disciplines, including world-class product development and manufacturing processes, as well as common customer support and regional infrastructures, all of which contribute to our reputation for operational excellence. Our core capabilities are shared across component categories and include high-precision manufacturing and assembly with short lead times, complex, global supply chain management, global engineering and program management, the agility to establish and/or transfer production between facilities, and a unique, customer-focused culture. In select instances, we are able to manufacture both Seating and E-Systems components in the same facility. Our businesses also utilize proprietary, industry-specific processes and standards, leverage common low-cost engineering centers and share centralized operating support functions. These functions include logistics, as well as all major administrative functions, such as corporate finance, executive administration, health and safety, human resources, information technology and legal.</w:t>
      </w:r>
    </w:p>
    <w:p>
      <w:pPr>
        <w:spacing w:after="0" w:line="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continue to build on our reputation for operational excellence through organic and inorganic investments in automation and other advanced manufacturing technologies and the digital transformation of both our operations and administrative functions. These investments and transformation involve the integration of new technologies, such as artificial intelligence ("AI"), machine learning and advanced automation, into production facilities and business operations. These technologies enable smart and automated machines and smart factories to communicate, analyze and optimize products and processes, resulting in higher efficiency, quality and responsiveness to customers.</w:t>
      </w:r>
    </w:p>
    <w:p>
      <w:pPr>
        <w:spacing w:after="0" w:line="72"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IDEA by Lear</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 Innovative. Digital. Engineered. Automated. - reflects our commitment to continue to strengthen our competitive position in both of our business segments and to enhance the efficiency of our administrative functions. IDEA by Lear</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supports our strategy to drive growth and improve profitability through the development of innovative products and the utilization of advanced technologies and process automation that increase efficiency and extend our leadership position in operational excellence. We are leveraging our internal capabilities through strategic partnerships (e.g., Palantir Technologies, Inc. ("Palantir")) and acquisitions to rapidly develop and deploy automation and AI solutions. Our strategic acquisitions of ASI Automation, InTouch Automation, StoneShield Engineering, Thagora Technology SRL and WIP Industrial Automation are further enhancing our automation system integration expertise. Our new facility in Rochester Hills, Michigan is an industry first site, capable of fully automated manufacturing of ComfortFlex by Lear</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and ComfortMax Seat by Lear</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seating systems. These strategic initiatives further advance our leadership in automotive technology and enable greater efficiency, superior quality and faster execution.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Available Information on our Website</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website address is http://www.lear.com. We make available on our website, free of charge, the periodic reports that we file with or furnish to the Securities and Exchange Commission ("SEC"), as well as all amendments to these reports, as soon as reasonably practicable after such reports are filed with or furnished to the SEC. We also make available on our website or in printed form upon request, free of charge, our Corporate Governance Guidelines, Code of Business Conduct and Ethics, charters for the standing committees of our Board of Directors (the "Board") and other information related to the Company. We are not including the information contained on our website as part of, or incorporating it by reference into, this Report.</w:t>
      </w:r>
    </w:p>
    <w:p>
      <w:pPr>
        <w:spacing w:after="0" w:line="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SEC maintains an internet site (http://www.sec.gov) that contains reports, proxy and information statements and other information related to issuers that file electronically with the SEC.</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History</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Lear was founded in Detroit in 1917 as American Metal Products, a manufacturer of seating assemblies and other components for the automotive and aircraft industries, and was incorporated in Delaware in 1987. Through a management-led buyout in 1988, Lear Corporation established itself as a privately held seat assembly operation for the North American automobile market with annual sales of approximately $900 million. We completed an initial public offering in 1994 and developed into a global supplier through organic growth and a series of acquisitions.</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May 1999, we acquired UT Automotive, Inc. ("UT Automotive") from United Technologies Corporation. UT Automotive was a leading supplier of automotive electrical distribution systems. The acquisition of UT Automotive represented our entry into automotive electrical and electronic systems and formed the basis for our current E-Systems segment.</w:t>
      </w:r>
    </w:p>
    <w:p>
      <w:pPr>
        <w:spacing w:after="0" w:line="1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We have subsequently augmented our organic growth plans with selective acquisitions and investments to expand our component capabilities and global footprint, as well as our automation and other advanced manufacturing technologies, including the following:</w:t>
      </w:r>
    </w:p>
    <w:p>
      <w:pPr>
        <w:spacing w:after="0" w:line="1" w:lineRule="exact"/>
        <w:rPr>
          <w:sz w:val="20"/>
          <w:szCs w:val="20"/>
          <w:color w:val="auto"/>
        </w:rPr>
      </w:pPr>
    </w:p>
    <w:p>
      <w:pPr>
        <w:ind w:left="400" w:hanging="230"/>
        <w:spacing w:after="0"/>
        <w:tabs>
          <w:tab w:leader="none" w:pos="4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May 2012, we acquired Guilford Mills, a leading supplier of automotive seat and interior fabric, for approximately $243 million.</w:t>
      </w:r>
    </w:p>
    <w:p>
      <w:pPr>
        <w:spacing w:after="0" w:line="63" w:lineRule="exact"/>
        <w:rPr>
          <w:rFonts w:ascii="Times New Roman" w:cs="Times New Roman" w:eastAsia="Times New Roman" w:hAnsi="Times New Roman"/>
          <w:sz w:val="18"/>
          <w:szCs w:val="18"/>
          <w:color w:val="auto"/>
        </w:rPr>
      </w:pPr>
    </w:p>
    <w:p>
      <w:pPr>
        <w:ind w:left="420" w:right="20" w:hanging="250"/>
        <w:spacing w:after="0" w:line="281" w:lineRule="auto"/>
        <w:tabs>
          <w:tab w:leader="none" w:pos="4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January 2015, we acquired Everett Smith Group, Ltd., the parent company of Eagle Ottawa, LLC ("Eagle Ottawa"), the world's leading provider of leather for the automotive industry, for approximately $844 million.</w:t>
      </w:r>
    </w:p>
    <w:p>
      <w:pPr>
        <w:spacing w:after="0" w:line="1" w:lineRule="exact"/>
        <w:rPr>
          <w:rFonts w:ascii="Times New Roman" w:cs="Times New Roman" w:eastAsia="Times New Roman" w:hAnsi="Times New Roman"/>
          <w:sz w:val="18"/>
          <w:szCs w:val="18"/>
          <w:color w:val="auto"/>
        </w:rPr>
      </w:pPr>
    </w:p>
    <w:p>
      <w:pPr>
        <w:ind w:left="400" w:hanging="230"/>
        <w:spacing w:after="0"/>
        <w:tabs>
          <w:tab w:leader="none" w:pos="4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April 2017, we acquired Grupo Antolin's automotive seating business for approximately $292 million.</w:t>
      </w:r>
    </w:p>
    <w:p>
      <w:pPr>
        <w:spacing w:after="0" w:line="63" w:lineRule="exact"/>
        <w:rPr>
          <w:rFonts w:ascii="Times New Roman" w:cs="Times New Roman" w:eastAsia="Times New Roman" w:hAnsi="Times New Roman"/>
          <w:sz w:val="18"/>
          <w:szCs w:val="18"/>
          <w:color w:val="auto"/>
        </w:rPr>
      </w:pPr>
    </w:p>
    <w:p>
      <w:pPr>
        <w:ind w:left="420" w:right="20" w:hanging="250"/>
        <w:spacing w:after="0" w:line="281" w:lineRule="auto"/>
        <w:tabs>
          <w:tab w:leader="none" w:pos="4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2018, we acquired ASI Automation, a privately held supplier of automated storage and retrieval systems, JIT robotics, conveyor integration and shipping systems.</w:t>
      </w:r>
    </w:p>
    <w:p>
      <w:pPr>
        <w:spacing w:after="0" w:line="1" w:lineRule="exact"/>
        <w:rPr>
          <w:rFonts w:ascii="Times New Roman" w:cs="Times New Roman" w:eastAsia="Times New Roman" w:hAnsi="Times New Roman"/>
          <w:sz w:val="18"/>
          <w:szCs w:val="18"/>
          <w:color w:val="auto"/>
        </w:rPr>
      </w:pPr>
    </w:p>
    <w:p>
      <w:pPr>
        <w:jc w:val="both"/>
        <w:ind w:left="420" w:hanging="250"/>
        <w:spacing w:after="0" w:line="266" w:lineRule="auto"/>
        <w:tabs>
          <w:tab w:leader="none" w:pos="4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2021, we acquired M&amp;N Plastics, an injection molding specialist and manufacturer of engineered plastic components for automotive electrical distribution applications. This acquisition enabled the significant expansion of our footprint and capabilities with respect to engineered components and enhanced our vertical integration capabilities in connection systems.</w:t>
      </w:r>
    </w:p>
    <w:p>
      <w:pPr>
        <w:spacing w:after="0" w:line="13" w:lineRule="exact"/>
        <w:rPr>
          <w:rFonts w:ascii="Times New Roman" w:cs="Times New Roman" w:eastAsia="Times New Roman" w:hAnsi="Times New Roman"/>
          <w:sz w:val="18"/>
          <w:szCs w:val="18"/>
          <w:color w:val="auto"/>
        </w:rPr>
      </w:pPr>
    </w:p>
    <w:p>
      <w:pPr>
        <w:jc w:val="both"/>
        <w:ind w:left="420" w:hanging="250"/>
        <w:spacing w:after="0" w:line="261" w:lineRule="auto"/>
        <w:tabs>
          <w:tab w:leader="none" w:pos="4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February 2022, we acquired substantially all of Kongsberg Automotive's Interior Comfort Systems business unit ("Kongsberg ICS") for approximately $188 million. Kongsberg ICS specializes in thermal comfort systems, including seat massage, lumbar, heat and ventilation products. This acquisition enhances our seat component capabilities by adding specialized thermal comfort seating solutions and further differentiates our product offerings by improving the seat system's performance and packaging.</w:t>
      </w:r>
    </w:p>
    <w:p>
      <w:pPr>
        <w:spacing w:after="0" w:line="17" w:lineRule="exact"/>
        <w:rPr>
          <w:rFonts w:ascii="Times New Roman" w:cs="Times New Roman" w:eastAsia="Times New Roman" w:hAnsi="Times New Roman"/>
          <w:sz w:val="18"/>
          <w:szCs w:val="18"/>
          <w:color w:val="auto"/>
        </w:rPr>
      </w:pPr>
    </w:p>
    <w:p>
      <w:pPr>
        <w:jc w:val="both"/>
        <w:ind w:left="420" w:hanging="250"/>
        <w:spacing w:after="0" w:line="258" w:lineRule="auto"/>
        <w:tabs>
          <w:tab w:leader="none" w:pos="4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May 2022, we acquired Romanian-based Thagora Technology SRL ("Thagora") to access scalable smart-manufacturing capabilities that combine advanced vision technology, proprietary algorithms and automated cutting systems. Thagora's proprietary solutions complement our sustainable manufacturing processes by improving the production yield of our Seating segment's surface materials operations and lowering energy usage during production. In addition, Thagora's manufacturing automation technologies bring significant advances to our manufacturing operations through engineering and logistics enhancements, including improved material traceability and facility footprint utilization capabilities.</w:t>
      </w:r>
    </w:p>
    <w:p>
      <w:pPr>
        <w:spacing w:after="0" w:line="21" w:lineRule="exact"/>
        <w:rPr>
          <w:rFonts w:ascii="Times New Roman" w:cs="Times New Roman" w:eastAsia="Times New Roman" w:hAnsi="Times New Roman"/>
          <w:sz w:val="18"/>
          <w:szCs w:val="18"/>
          <w:color w:val="auto"/>
        </w:rPr>
      </w:pPr>
    </w:p>
    <w:p>
      <w:pPr>
        <w:jc w:val="both"/>
        <w:ind w:left="420" w:hanging="250"/>
        <w:spacing w:after="0" w:line="266" w:lineRule="auto"/>
        <w:tabs>
          <w:tab w:leader="none" w:pos="4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November 2022, we acquired InTouch Automation ("InTouch"), a supplier of manufacturing automation technologies and complex automated testing equipment critical in the production of automotive seats. InTouch's product portfolio is aligned with our manufacturing automation strategy to implement technologies designed to automate the testing and validation of seat components and complete seats.</w:t>
      </w:r>
    </w:p>
    <w:p>
      <w:pPr>
        <w:spacing w:after="0" w:line="13" w:lineRule="exact"/>
        <w:rPr>
          <w:rFonts w:ascii="Times New Roman" w:cs="Times New Roman" w:eastAsia="Times New Roman" w:hAnsi="Times New Roman"/>
          <w:sz w:val="18"/>
          <w:szCs w:val="18"/>
          <w:color w:val="auto"/>
        </w:rPr>
      </w:pPr>
    </w:p>
    <w:p>
      <w:pPr>
        <w:jc w:val="both"/>
        <w:ind w:left="420" w:hanging="250"/>
        <w:spacing w:after="0" w:line="258" w:lineRule="auto"/>
        <w:tabs>
          <w:tab w:leader="none" w:pos="4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April 2023, we acquired I.G. Bauerhin ("IGB"), a privately held supplier of automotive seat heating, ventilation and active cooling, steering wheel heating, seat sensors and electronic control modules, headquartered in Grundau-Rothenbergen, Germany, for approximately $175 million. Our acquisition furthers our comprehensive strategy to develop and integrate a complete portfolio of thermal comfort systems for automotive seating. IGB provides active cooling, as well as additional scale to our seat heating and ventilation capabilities and complements the lumbar and massage capabilities obtained with our acquisition of Kongsberg ICS.</w:t>
      </w:r>
    </w:p>
    <w:p>
      <w:pPr>
        <w:spacing w:after="0" w:line="21" w:lineRule="exact"/>
        <w:rPr>
          <w:rFonts w:ascii="Times New Roman" w:cs="Times New Roman" w:eastAsia="Times New Roman" w:hAnsi="Times New Roman"/>
          <w:sz w:val="18"/>
          <w:szCs w:val="18"/>
          <w:color w:val="auto"/>
        </w:rPr>
      </w:pPr>
    </w:p>
    <w:p>
      <w:pPr>
        <w:jc w:val="both"/>
        <w:ind w:left="420" w:hanging="250"/>
        <w:spacing w:after="0" w:line="260" w:lineRule="auto"/>
        <w:tabs>
          <w:tab w:leader="none" w:pos="415" w:val="left"/>
        </w:tabs>
        <w:numPr>
          <w:ilvl w:val="0"/>
          <w:numId w:val="7"/>
        </w:numPr>
        <w:rPr>
          <w:rFonts w:ascii="Arial" w:cs="Arial" w:eastAsia="Arial" w:hAnsi="Arial"/>
          <w:sz w:val="18"/>
          <w:szCs w:val="18"/>
          <w:color w:val="auto"/>
        </w:rPr>
      </w:pPr>
      <w:r>
        <w:rPr>
          <w:rFonts w:ascii="Times New Roman" w:cs="Times New Roman" w:eastAsia="Times New Roman" w:hAnsi="Times New Roman"/>
          <w:sz w:val="18"/>
          <w:szCs w:val="18"/>
          <w:color w:val="auto"/>
        </w:rPr>
        <w:t>In July 2024, we acquired WIP Industrial Automation ("WIP"), a privately held company based in Valladolid, Spain. WIP develops, integrates and deploys cutting-edge technologies to create customized automation solutions for production applications used in our business. Our acquisition of WIP further strengthens our robotics and AI-based capabilities, which are important for production efficiency, quality and safety in a modern manufacturing environment.</w:t>
      </w:r>
    </w:p>
    <w:p>
      <w:pPr>
        <w:spacing w:after="0" w:line="20" w:lineRule="exact"/>
        <w:rPr>
          <w:rFonts w:ascii="Arial" w:cs="Arial" w:eastAsia="Arial" w:hAnsi="Arial"/>
          <w:sz w:val="18"/>
          <w:szCs w:val="18"/>
          <w:color w:val="auto"/>
        </w:rPr>
      </w:pPr>
    </w:p>
    <w:p>
      <w:pPr>
        <w:jc w:val="both"/>
        <w:ind w:left="420" w:hanging="250"/>
        <w:spacing w:after="0" w:line="261" w:lineRule="auto"/>
        <w:tabs>
          <w:tab w:leader="none" w:pos="4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February 2025, we acquired StoneShield Engineering ("StoneShield"), a privately held system integrator based in Castelo Branco, Portugal. StoneShield specializes in the design and development of automation technology for the wire harness industry with expertise in robotics, automated taping applications and high voltage harness assembly. Our acquisition of StoneShield has accelerated the automation of our production processes throughout our electrical distribution business, further improving our efficiency and operational excellence.</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supply all vehicle segments of the automotive light vehicle original equipment market in every major automotive producing region in the world. Our sales are driven by the number of vehicles produced by the automotive manufacturers and our content per vehicle.</w:t>
      </w:r>
    </w:p>
    <w:p>
      <w:pPr>
        <w:spacing w:after="0" w:line="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Since 2020, the global economy, as well as the automotive industry, have been influenced directly and indirectly by macroeconomic events resulting in unfavorable conditions, including increases in tariffs, a customer cybersecurity incident, shortages of semiconductor chips and other components, elevated inflation levels on commodities and labor, higher interest rates, and labor and energy shortages in certain markets. Certain of these factors, among others, continue to impact consumer demand. Our strategy to mitigate these impacts encompasses our comprehensive cost management process, including cost technology optimization, actions to further align our manufacturing capacity to the current industry production environment and investments in automation and other advanced manufacturing technologies, as well as commercial recovery mechanisms. This will allow us to enhance operational efficiencies, improve the utilization of existing facilities and equipment to reduce future expenditures, and streamline administrative functions.</w:t>
      </w:r>
    </w:p>
    <w:p>
      <w:pPr>
        <w:spacing w:after="0" w:line="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Due to the interconnectedness of the global economy, policy changes in one area of the world can have an immediate and material impact on markets around the world. Since his inauguration in January 2025, U.S. President Donald J. Trump has announced various tariffs that impact industries around the world, including the automotive industry. As of the date of this Report, many of the tariffs announced, implemented or threatened by the current U.S. administration apply to (a) the countries in which we do business or from which we purchase, either directly or indirectly, materials or components, including China, Mexico and Canada, and (b) the materials or components that we purchase, either directly or indirectly, or produce, including steel, aluminum and automobile parts, among others, and therefore could adversely impact our business by increasing our operating costs, requiring us to incur significant costs to transition to alternative suppliers if our mitigation efforts are unsuccessful, or negatively impacting our customers' production. In addition to tariffs, the U.S. and foreign governments have implemented sanctions, export controls and other trade restrictions that impact industries around the world, including the automotive industry.</w:t>
      </w:r>
    </w:p>
    <w:p>
      <w:pPr>
        <w:spacing w:after="0" w:line="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Although industry production returned to pre-pandemic levels in 2023, industry production in 2025 remained approximately 2% below 2017 peak levels, and 2025 industry production levels in North America and Europe, our two largest markets, remained approximately 10% and 24%, respectively, below prior peak levels. Industry production in the second half of 2025 was impacted by production disruptions at Jaguar Land Rover due to a cybersecurity incident. Industry production in 2025 increased 4% as compared to 2024 (based on January 2026 S&amp;P Global Mobility projections). On a Lear sales-weighted basis</w:t>
      </w:r>
      <w:r>
        <w:rPr>
          <w:rFonts w:ascii="Times New Roman" w:cs="Times New Roman" w:eastAsia="Times New Roman" w:hAnsi="Times New Roman"/>
          <w:sz w:val="9"/>
          <w:szCs w:val="9"/>
          <w:color w:val="auto"/>
        </w:rPr>
        <w:t>(1)</w:t>
      </w:r>
      <w:r>
        <w:rPr>
          <w:rFonts w:ascii="Times New Roman" w:cs="Times New Roman" w:eastAsia="Times New Roman" w:hAnsi="Times New Roman"/>
          <w:sz w:val="18"/>
          <w:szCs w:val="18"/>
          <w:color w:val="auto"/>
        </w:rPr>
        <w:t>, industry production in 2025 increased 1% as compared to 2024.</w:t>
      </w:r>
    </w:p>
    <w:p>
      <w:pPr>
        <w:spacing w:after="0" w:line="71" w:lineRule="exact"/>
        <w:rPr>
          <w:sz w:val="20"/>
          <w:szCs w:val="20"/>
          <w:color w:val="auto"/>
        </w:rPr>
      </w:pPr>
    </w:p>
    <w:p>
      <w:pPr>
        <w:ind w:right="20" w:firstLine="8"/>
        <w:spacing w:after="0" w:line="270" w:lineRule="auto"/>
        <w:tabs>
          <w:tab w:leader="none" w:pos="148" w:val="left"/>
        </w:tabs>
        <w:numPr>
          <w:ilvl w:val="0"/>
          <w:numId w:val="8"/>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The production change on a Lear sales-weighted basis is calculated using Lear's prior year regional sales mix. Management believes this provides a more meaningful comparison of our global revenue growth relative to global vehicle production.</w:t>
      </w:r>
    </w:p>
    <w:p>
      <w:pPr>
        <w:spacing w:after="0" w:line="18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a description of risks related to macroeconomic events and tariffs, sanctions, export controls and other trade restrictions, see Item 1A, "Risk Factors," included in this Report.</w:t>
      </w:r>
    </w:p>
    <w:p>
      <w:pPr>
        <w:spacing w:after="0" w:line="5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Global automotive industry production volumes in certain key regions for 2025, as compared to 2024, are shown below. Our actual results are impacted by the specific volume mix of products within each market, as well as other factors described in Item 1A, "Risk Factors," included in this Report.</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thousands of units)</w:t>
            </w:r>
          </w:p>
        </w:tc>
        <w:tc>
          <w:tcPr>
            <w:tcW w:w="3040" w:type="dxa"/>
            <w:vAlign w:val="bottom"/>
            <w:tcBorders>
              <w:top w:val="single" w:sz="8" w:color="auto"/>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color w:val="auto"/>
              </w:rPr>
              <w:t xml:space="preserve">2025 </w:t>
            </w:r>
            <w:r>
              <w:rPr>
                <w:rFonts w:ascii="Times New Roman" w:cs="Times New Roman" w:eastAsia="Times New Roman" w:hAnsi="Times New Roman"/>
                <w:sz w:val="18"/>
                <w:szCs w:val="18"/>
                <w:color w:val="auto"/>
                <w:vertAlign w:val="superscript"/>
              </w:rPr>
              <w:t>(1)</w:t>
            </w:r>
          </w:p>
        </w:tc>
        <w:tc>
          <w:tcPr>
            <w:tcW w:w="1400" w:type="dxa"/>
            <w:vAlign w:val="bottom"/>
            <w:tcBorders>
              <w:top w:val="single" w:sz="8" w:color="auto"/>
              <w:bottom w:val="single" w:sz="8" w:color="auto"/>
            </w:tcBorders>
          </w:tcPr>
          <w:p>
            <w:pPr>
              <w:jc w:val="right"/>
              <w:ind w:right="496"/>
              <w:spacing w:after="0" w:line="230" w:lineRule="exact"/>
              <w:rPr>
                <w:sz w:val="20"/>
                <w:szCs w:val="20"/>
                <w:color w:val="auto"/>
              </w:rPr>
            </w:pPr>
            <w:r>
              <w:rPr>
                <w:rFonts w:ascii="Times New Roman" w:cs="Times New Roman" w:eastAsia="Times New Roman" w:hAnsi="Times New Roman"/>
                <w:sz w:val="26"/>
                <w:szCs w:val="26"/>
                <w:color w:val="auto"/>
                <w:vertAlign w:val="subscript"/>
              </w:rPr>
              <w:t>2024</w:t>
            </w:r>
            <w:r>
              <w:rPr>
                <w:rFonts w:ascii="Times New Roman" w:cs="Times New Roman" w:eastAsia="Times New Roman" w:hAnsi="Times New Roman"/>
                <w:sz w:val="9"/>
                <w:szCs w:val="9"/>
                <w:color w:val="auto"/>
              </w:rPr>
              <w:t>(1) (2)</w:t>
            </w:r>
          </w:p>
        </w:tc>
        <w:tc>
          <w:tcPr>
            <w:tcW w:w="1220" w:type="dxa"/>
            <w:vAlign w:val="bottom"/>
            <w:tcBorders>
              <w:top w:val="single" w:sz="8" w:color="auto"/>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color w:val="auto"/>
              </w:rPr>
              <w:t>% Change</w:t>
            </w:r>
          </w:p>
        </w:tc>
      </w:tr>
      <w:tr>
        <w:trPr>
          <w:trHeight w:val="223"/>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North America</w:t>
            </w:r>
          </w:p>
        </w:tc>
        <w:tc>
          <w:tcPr>
            <w:tcW w:w="304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15,289.7</w:t>
            </w:r>
          </w:p>
        </w:tc>
        <w:tc>
          <w:tcPr>
            <w:tcW w:w="140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rPr>
              <w:t>15,449.6</w:t>
            </w:r>
          </w:p>
        </w:tc>
        <w:tc>
          <w:tcPr>
            <w:tcW w:w="1220" w:type="dxa"/>
            <w:vAlign w:val="bottom"/>
            <w:shd w:val="clear" w:color="auto" w:fill="CCEEFF"/>
          </w:tcPr>
          <w:p>
            <w:pPr>
              <w:jc w:val="right"/>
              <w:ind w:right="393"/>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 and Africa</w:t>
            </w:r>
          </w:p>
        </w:tc>
        <w:tc>
          <w:tcPr>
            <w:tcW w:w="304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17,357.5</w:t>
            </w:r>
          </w:p>
        </w:tc>
        <w:tc>
          <w:tcPr>
            <w:tcW w:w="1400" w:type="dxa"/>
            <w:vAlign w:val="bottom"/>
          </w:tcPr>
          <w:p>
            <w:pPr>
              <w:jc w:val="right"/>
              <w:ind w:right="176"/>
              <w:spacing w:after="0"/>
              <w:rPr>
                <w:sz w:val="20"/>
                <w:szCs w:val="20"/>
                <w:color w:val="auto"/>
              </w:rPr>
            </w:pPr>
            <w:r>
              <w:rPr>
                <w:rFonts w:ascii="Times New Roman" w:cs="Times New Roman" w:eastAsia="Times New Roman" w:hAnsi="Times New Roman"/>
                <w:sz w:val="18"/>
                <w:szCs w:val="18"/>
                <w:color w:val="auto"/>
              </w:rPr>
              <w:t>17,608.6</w:t>
            </w:r>
          </w:p>
        </w:tc>
        <w:tc>
          <w:tcPr>
            <w:tcW w:w="1220" w:type="dxa"/>
            <w:vAlign w:val="bottom"/>
          </w:tcPr>
          <w:p>
            <w:pPr>
              <w:jc w:val="right"/>
              <w:ind w:right="393"/>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w:t>
            </w:r>
          </w:p>
        </w:tc>
        <w:tc>
          <w:tcPr>
            <w:tcW w:w="304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54,065.2</w:t>
            </w:r>
          </w:p>
        </w:tc>
        <w:tc>
          <w:tcPr>
            <w:tcW w:w="140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rPr>
              <w:t>50,583.5</w:t>
            </w:r>
          </w:p>
        </w:tc>
        <w:tc>
          <w:tcPr>
            <w:tcW w:w="1220" w:type="dxa"/>
            <w:vAlign w:val="bottom"/>
            <w:shd w:val="clear" w:color="auto" w:fill="CCEEFF"/>
          </w:tcPr>
          <w:p>
            <w:pPr>
              <w:jc w:val="right"/>
              <w:ind w:right="453"/>
              <w:spacing w:after="0"/>
              <w:rPr>
                <w:sz w:val="20"/>
                <w:szCs w:val="20"/>
                <w:color w:val="auto"/>
              </w:rPr>
            </w:pPr>
            <w:r>
              <w:rPr>
                <w:rFonts w:ascii="Times New Roman" w:cs="Times New Roman" w:eastAsia="Times New Roman" w:hAnsi="Times New Roman"/>
                <w:sz w:val="18"/>
                <w:szCs w:val="18"/>
                <w:color w:val="auto"/>
              </w:rPr>
              <w:t>7%</w:t>
            </w:r>
          </w:p>
        </w:tc>
      </w:tr>
      <w:tr>
        <w:trPr>
          <w:trHeight w:val="230"/>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South America</w:t>
            </w:r>
          </w:p>
        </w:tc>
        <w:tc>
          <w:tcPr>
            <w:tcW w:w="304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2,953.3</w:t>
            </w:r>
          </w:p>
        </w:tc>
        <w:tc>
          <w:tcPr>
            <w:tcW w:w="1400" w:type="dxa"/>
            <w:vAlign w:val="bottom"/>
          </w:tcPr>
          <w:p>
            <w:pPr>
              <w:jc w:val="right"/>
              <w:ind w:right="176"/>
              <w:spacing w:after="0"/>
              <w:rPr>
                <w:sz w:val="20"/>
                <w:szCs w:val="20"/>
                <w:color w:val="auto"/>
              </w:rPr>
            </w:pPr>
            <w:r>
              <w:rPr>
                <w:rFonts w:ascii="Times New Roman" w:cs="Times New Roman" w:eastAsia="Times New Roman" w:hAnsi="Times New Roman"/>
                <w:sz w:val="18"/>
                <w:szCs w:val="18"/>
                <w:color w:val="auto"/>
              </w:rPr>
              <w:t>2,890.0</w:t>
            </w:r>
          </w:p>
        </w:tc>
        <w:tc>
          <w:tcPr>
            <w:tcW w:w="1220" w:type="dxa"/>
            <w:vAlign w:val="bottom"/>
          </w:tcPr>
          <w:p>
            <w:pPr>
              <w:jc w:val="right"/>
              <w:ind w:right="453"/>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4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040" w:type="dxa"/>
            <w:vAlign w:val="bottom"/>
            <w:tcBorders>
              <w:bottom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1,936.5</w:t>
            </w:r>
          </w:p>
        </w:tc>
        <w:tc>
          <w:tcPr>
            <w:tcW w:w="1400" w:type="dxa"/>
            <w:vAlign w:val="bottom"/>
            <w:tcBorders>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rPr>
              <w:t>1,791.4</w:t>
            </w:r>
          </w:p>
        </w:tc>
        <w:tc>
          <w:tcPr>
            <w:tcW w:w="1220" w:type="dxa"/>
            <w:vAlign w:val="bottom"/>
            <w:tcBorders>
              <w:bottom w:val="single" w:sz="8" w:color="auto"/>
            </w:tcBorders>
            <w:shd w:val="clear" w:color="auto" w:fill="CCEEFF"/>
          </w:tcPr>
          <w:p>
            <w:pPr>
              <w:jc w:val="right"/>
              <w:ind w:right="453"/>
              <w:spacing w:after="0"/>
              <w:rPr>
                <w:sz w:val="20"/>
                <w:szCs w:val="20"/>
                <w:color w:val="auto"/>
              </w:rPr>
            </w:pPr>
            <w:r>
              <w:rPr>
                <w:rFonts w:ascii="Times New Roman" w:cs="Times New Roman" w:eastAsia="Times New Roman" w:hAnsi="Times New Roman"/>
                <w:sz w:val="18"/>
                <w:szCs w:val="18"/>
                <w:color w:val="auto"/>
              </w:rPr>
              <w:t>8%</w:t>
            </w:r>
          </w:p>
        </w:tc>
      </w:tr>
      <w:tr>
        <w:trPr>
          <w:trHeight w:val="230"/>
        </w:trPr>
        <w:tc>
          <w:tcPr>
            <w:tcW w:w="4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Global automotive industry production</w:t>
            </w:r>
          </w:p>
        </w:tc>
        <w:tc>
          <w:tcPr>
            <w:tcW w:w="304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8"/>
                <w:szCs w:val="18"/>
                <w:color w:val="auto"/>
              </w:rPr>
              <w:t>91,602.2</w:t>
            </w:r>
          </w:p>
        </w:tc>
        <w:tc>
          <w:tcPr>
            <w:tcW w:w="140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8"/>
                <w:szCs w:val="18"/>
                <w:color w:val="auto"/>
              </w:rPr>
              <w:t>88,323.1</w:t>
            </w:r>
          </w:p>
        </w:tc>
        <w:tc>
          <w:tcPr>
            <w:tcW w:w="122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8"/>
                <w:szCs w:val="18"/>
                <w:color w:val="auto"/>
              </w:rPr>
              <w:t>4%</w:t>
            </w:r>
          </w:p>
        </w:tc>
      </w:tr>
    </w:tbl>
    <w:p>
      <w:pPr>
        <w:spacing w:after="0" w:line="112" w:lineRule="exact"/>
        <w:rPr>
          <w:sz w:val="20"/>
          <w:szCs w:val="20"/>
          <w:color w:val="auto"/>
        </w:rPr>
      </w:pPr>
    </w:p>
    <w:p>
      <w:pPr>
        <w:ind w:left="300" w:hanging="292"/>
        <w:spacing w:after="0"/>
        <w:tabs>
          <w:tab w:leader="none" w:pos="300" w:val="left"/>
        </w:tabs>
        <w:numPr>
          <w:ilvl w:val="0"/>
          <w:numId w:val="9"/>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Production data based on S&amp;P Global Mobility.</w:t>
      </w:r>
    </w:p>
    <w:p>
      <w:pPr>
        <w:spacing w:after="0" w:line="27" w:lineRule="exact"/>
        <w:rPr>
          <w:rFonts w:ascii="Times New Roman" w:cs="Times New Roman" w:eastAsia="Times New Roman" w:hAnsi="Times New Roman"/>
          <w:sz w:val="9"/>
          <w:szCs w:val="9"/>
          <w:color w:val="auto"/>
        </w:rPr>
      </w:pPr>
    </w:p>
    <w:p>
      <w:pPr>
        <w:ind w:left="240" w:hanging="232"/>
        <w:spacing w:after="0" w:line="192" w:lineRule="auto"/>
        <w:tabs>
          <w:tab w:leader="none" w:pos="240" w:val="left"/>
        </w:tabs>
        <w:numPr>
          <w:ilvl w:val="0"/>
          <w:numId w:val="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Production data for 2024 has been updated from our 2024 Annual Report on Form 10-K to reflect actual production levels.</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Automotive sales and production can also be affected by the age of the vehicle fleet and related scrappage rates, labor relations issues, unforeseen operational disruptions, labor shortages, fuel prices, regulatory requirements, government initiatives and incentives, trade agreements, tariffs and other non-tariff trade barriers (including recent U.S. tariffs imposed or threatened to be imposed on Mexico, Canada and China, as well as other countries and any retaliatory actions taken by such countries), the availability and cost of raw materials and critical components, logistics issues, cybersecurity incidents, and the availability and cost of credit, as well as vehicle affordability and consumer preferences regarding vehicle powertrains (including preferences regarding electric and hybrid vehicles), size, configuration and features, among other factors. The impact of potential tariffs on our business and financial condition, if any, is subject to a number of factors that are not yet known or are subject to change, including the effective date and duration of such tariffs, the scope and nature of any tariffs, the amount of any tariffs, any countermeasures that the target countries may take in response to such tariffs. In light of these uncertainties, we can provide no assurances that any mitigating actions that may become available to us, such as our ability to pass along some or all of the costs of any tariffs to some or all of our customers, will continue to be successful. Our sales and production may be further affected by new entrants to the industry, as well as various automakers and suppliers entering or expanding in certain regions, and the restructuring actions, including facility closures, of our customers and suppliers. Our operating results are also significantly impacted by the overall commercial success of the vehicle platforms for which we supply particular products, as well as the profitability of the products that we supply for these platforms, which is determined, in part, by the level of vertical integration. The loss of business with respect to any vehicle model for which we are a significant supplier, or a decrease in the production levels of any such models, could adversely affect our operating results. In addition, larger cars and light trucks, as well as vehicle platforms that offer more features and functionality, such as luxury, sport utility and crossover vehicles, typically have more content and, therefore, tend to have a more significant impact on our operating results.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Details on our sales in certain key regions for 2025 and 2024 are provided below:</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0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5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color w:val="auto"/>
              </w:rPr>
              <w:t>2025</w:t>
            </w:r>
          </w:p>
        </w:tc>
        <w:tc>
          <w:tcPr>
            <w:tcW w:w="40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632"/>
              <w:spacing w:after="0"/>
              <w:rPr>
                <w:sz w:val="20"/>
                <w:szCs w:val="20"/>
                <w:color w:val="auto"/>
              </w:rPr>
            </w:pPr>
            <w:r>
              <w:rPr>
                <w:rFonts w:ascii="Times New Roman" w:cs="Times New Roman" w:eastAsia="Times New Roman" w:hAnsi="Times New Roman"/>
                <w:sz w:val="14"/>
                <w:szCs w:val="14"/>
                <w:color w:val="auto"/>
              </w:rPr>
              <w:t>2024</w:t>
            </w:r>
          </w:p>
        </w:tc>
        <w:tc>
          <w:tcPr>
            <w:tcW w:w="1220" w:type="dxa"/>
            <w:vAlign w:val="bottom"/>
            <w:tcBorders>
              <w:top w:val="single" w:sz="8" w:color="auto"/>
              <w:bottom w:val="single" w:sz="8" w:color="auto"/>
            </w:tcBorders>
          </w:tcPr>
          <w:p>
            <w:pPr>
              <w:ind w:left="280"/>
              <w:spacing w:after="0"/>
              <w:rPr>
                <w:sz w:val="20"/>
                <w:szCs w:val="20"/>
                <w:color w:val="auto"/>
              </w:rPr>
            </w:pPr>
            <w:r>
              <w:rPr>
                <w:rFonts w:ascii="Times New Roman" w:cs="Times New Roman" w:eastAsia="Times New Roman" w:hAnsi="Times New Roman"/>
                <w:sz w:val="14"/>
                <w:szCs w:val="14"/>
                <w:color w:val="auto"/>
              </w:rPr>
              <w:t>% Change</w:t>
            </w:r>
          </w:p>
        </w:tc>
      </w:tr>
      <w:tr>
        <w:trPr>
          <w:trHeight w:val="23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North America</w:t>
            </w:r>
          </w:p>
        </w:tc>
        <w:tc>
          <w:tcPr>
            <w:tcW w:w="25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9,809.4</w:t>
            </w:r>
          </w:p>
        </w:tc>
        <w:tc>
          <w:tcPr>
            <w:tcW w:w="4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9,749.1</w:t>
            </w:r>
          </w:p>
        </w:tc>
        <w:tc>
          <w:tcPr>
            <w:tcW w:w="1220" w:type="dxa"/>
            <w:vAlign w:val="bottom"/>
            <w:shd w:val="clear" w:color="auto" w:fill="CCEEFF"/>
          </w:tcPr>
          <w:p>
            <w:pPr>
              <w:jc w:val="center"/>
              <w:ind w:right="12"/>
              <w:spacing w:after="0"/>
              <w:rPr>
                <w:sz w:val="20"/>
                <w:szCs w:val="20"/>
                <w:color w:val="auto"/>
              </w:rPr>
            </w:pPr>
            <w:r>
              <w:rPr>
                <w:rFonts w:ascii="Times New Roman" w:cs="Times New Roman" w:eastAsia="Times New Roman" w:hAnsi="Times New Roman"/>
                <w:sz w:val="18"/>
                <w:szCs w:val="18"/>
                <w:color w:val="auto"/>
                <w:w w:val="99"/>
              </w:rPr>
              <w:t>1%</w:t>
            </w:r>
          </w:p>
        </w:tc>
      </w:tr>
      <w:tr>
        <w:trPr>
          <w:trHeight w:val="229"/>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 and Africa</w:t>
            </w:r>
          </w:p>
        </w:tc>
        <w:tc>
          <w:tcPr>
            <w:tcW w:w="2500" w:type="dxa"/>
            <w:vAlign w:val="bottom"/>
          </w:tcPr>
          <w:p>
            <w:pPr>
              <w:spacing w:after="0"/>
              <w:rPr>
                <w:sz w:val="19"/>
                <w:szCs w:val="19"/>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8,029.3</w:t>
            </w:r>
          </w:p>
        </w:tc>
        <w:tc>
          <w:tcPr>
            <w:tcW w:w="400" w:type="dxa"/>
            <w:vAlign w:val="bottom"/>
          </w:tcPr>
          <w:p>
            <w:pPr>
              <w:spacing w:after="0"/>
              <w:rPr>
                <w:sz w:val="19"/>
                <w:szCs w:val="19"/>
                <w:color w:val="auto"/>
              </w:rPr>
            </w:pPr>
          </w:p>
        </w:tc>
        <w:tc>
          <w:tcPr>
            <w:tcW w:w="120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8,298.4</w:t>
            </w:r>
          </w:p>
        </w:tc>
        <w:tc>
          <w:tcPr>
            <w:tcW w:w="122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9"/>
              </w:rPr>
              <w:t>(3%)</w:t>
            </w:r>
          </w:p>
        </w:tc>
      </w:tr>
      <w:tr>
        <w:trPr>
          <w:trHeight w:val="23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w:t>
            </w:r>
          </w:p>
        </w:tc>
        <w:tc>
          <w:tcPr>
            <w:tcW w:w="2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4,556.5</w:t>
            </w:r>
          </w:p>
        </w:tc>
        <w:tc>
          <w:tcPr>
            <w:tcW w:w="4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4,392.4</w:t>
            </w:r>
          </w:p>
        </w:tc>
        <w:tc>
          <w:tcPr>
            <w:tcW w:w="1220" w:type="dxa"/>
            <w:vAlign w:val="bottom"/>
            <w:shd w:val="clear" w:color="auto" w:fill="CCEEFF"/>
          </w:tcPr>
          <w:p>
            <w:pPr>
              <w:jc w:val="center"/>
              <w:ind w:right="12"/>
              <w:spacing w:after="0"/>
              <w:rPr>
                <w:sz w:val="20"/>
                <w:szCs w:val="20"/>
                <w:color w:val="auto"/>
              </w:rPr>
            </w:pPr>
            <w:r>
              <w:rPr>
                <w:rFonts w:ascii="Times New Roman" w:cs="Times New Roman" w:eastAsia="Times New Roman" w:hAnsi="Times New Roman"/>
                <w:sz w:val="18"/>
                <w:szCs w:val="18"/>
                <w:color w:val="auto"/>
                <w:w w:val="99"/>
              </w:rPr>
              <w:t>4%</w:t>
            </w:r>
          </w:p>
        </w:tc>
      </w:tr>
      <w:tr>
        <w:trPr>
          <w:trHeight w:val="229"/>
        </w:trPr>
        <w:tc>
          <w:tcPr>
            <w:tcW w:w="4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South America</w:t>
            </w:r>
          </w:p>
        </w:tc>
        <w:tc>
          <w:tcPr>
            <w:tcW w:w="2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863.9</w:t>
            </w:r>
          </w:p>
        </w:tc>
        <w:tc>
          <w:tcPr>
            <w:tcW w:w="4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866.1</w:t>
            </w: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0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5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23,259.1</w:t>
            </w:r>
          </w:p>
        </w:tc>
        <w:tc>
          <w:tcPr>
            <w:tcW w:w="4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23,306.0</w:t>
            </w:r>
          </w:p>
        </w:tc>
        <w:tc>
          <w:tcPr>
            <w:tcW w:w="12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408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China (consolidated)</w:t>
            </w:r>
          </w:p>
        </w:tc>
        <w:tc>
          <w:tcPr>
            <w:tcW w:w="25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3,041.1</w:t>
            </w:r>
          </w:p>
        </w:tc>
        <w:tc>
          <w:tcPr>
            <w:tcW w:w="4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2,969.5</w:t>
            </w:r>
          </w:p>
        </w:tc>
        <w:tc>
          <w:tcPr>
            <w:tcW w:w="1220" w:type="dxa"/>
            <w:vAlign w:val="bottom"/>
            <w:shd w:val="clear" w:color="auto" w:fill="CCEEFF"/>
          </w:tcPr>
          <w:p>
            <w:pPr>
              <w:jc w:val="center"/>
              <w:ind w:right="12"/>
              <w:spacing w:after="0"/>
              <w:rPr>
                <w:sz w:val="20"/>
                <w:szCs w:val="20"/>
                <w:color w:val="auto"/>
              </w:rPr>
            </w:pPr>
            <w:r>
              <w:rPr>
                <w:rFonts w:ascii="Times New Roman" w:cs="Times New Roman" w:eastAsia="Times New Roman" w:hAnsi="Times New Roman"/>
                <w:sz w:val="18"/>
                <w:szCs w:val="18"/>
                <w:color w:val="auto"/>
                <w:w w:val="99"/>
              </w:rPr>
              <w:t>2%</w:t>
            </w:r>
          </w:p>
        </w:tc>
      </w:tr>
      <w:tr>
        <w:trPr>
          <w:trHeight w:val="237"/>
        </w:trPr>
        <w:tc>
          <w:tcPr>
            <w:tcW w:w="4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 (non-consolidated)</w:t>
            </w:r>
          </w:p>
        </w:tc>
        <w:tc>
          <w:tcPr>
            <w:tcW w:w="25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2,096.2</w:t>
            </w:r>
          </w:p>
        </w:tc>
        <w:tc>
          <w:tcPr>
            <w:tcW w:w="4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2,104.0</w:t>
            </w: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bl>
    <w:p>
      <w:pPr>
        <w:spacing w:after="0" w:line="18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ability to reduce the risks inherent in certain concentrations of our business, and thereby maintain our financial performance in the future, will depend, in part, on our ability to continue to diversify our sales on a customer, product, platform and geographic basis to better reflect the market overall.</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automotive industry, and our business, continue to be shaped by the broad trend of electrification. The adoption of electrified vehicles has been slower than anticipated, particularly in the United States. Demand for, and regulatory developments related to, improved energy efficiency and sustainability (e.g., government mandates related to fuel economy and carbon emissions) have also had a significant impact on this trend.</w:t>
      </w:r>
    </w:p>
    <w:p>
      <w:pPr>
        <w:spacing w:after="0" w:line="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2026, the battery electric vehicle market is expected to represent 19% of global light vehicle production (based on January 2026 S&amp;P Global Mobility projections), as compared to 16% in 2025 and 13% in 2024. Battery electric vehicle production increased to 14.5 million units in 2025 from 11.3 million units in 2024, primarily driven by growth in China and Europe. Increasing demand for electrified vehicles is driven by numerous product offerings from traditional automotive manufacturers as well as new entrants to the market, government requirements and incentives, automotive manufacturers' internal targets and a growing segment of end consumers who are seeking alternatives to vehicles with traditional ICE architectures. Meeting this demand requires further use of electronically controlled and assisted powertrains and related components to improve fuel efficiency; the adoption of alternative energy powertrains, such as 48-volt mild hybrid, full hybrid, plug-in hybrid and pure battery electric powertrains that facilitate electrification of the vehicle; and the use of lighter weight materials throughout the vehicle.</w:t>
      </w:r>
    </w:p>
    <w:p>
      <w:pPr>
        <w:spacing w:after="0" w:line="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business is also influenced by vehicle segment trends that continue to experience a shift in consumer preference toward crossover and sport utility vehicles. This trend positively impacts our business as content per vehicle on such vehicles, especially within our Seating business, can be significantly higher. Crossover and sport utility vehicle production has grown to approximately 49% of total vehicle production in 2025, up from 40% five years ago.</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Strategy</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Through our products, processes, technology and strategic initiatives, we are well-positioned to capitalize on business growth opportunities. We are focused on profitably growing our businesses and have implemented a strategy designed to deliver industry-leading, long-term financial returns. This strategy is based on the following four pillars designed to drive growth and profitability in both of our business segments:</w:t>
      </w:r>
    </w:p>
    <w:p>
      <w:pPr>
        <w:spacing w:after="0" w:line="14" w:lineRule="exact"/>
        <w:rPr>
          <w:sz w:val="20"/>
          <w:szCs w:val="20"/>
          <w:color w:val="auto"/>
        </w:rPr>
      </w:pPr>
    </w:p>
    <w:p>
      <w:pPr>
        <w:ind w:left="400" w:hanging="230"/>
        <w:spacing w:after="0"/>
        <w:tabs>
          <w:tab w:leader="none" w:pos="4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 our market leadership position in Seating with priceable features, including modularity and thermal comfort systems;</w:t>
      </w:r>
    </w:p>
    <w:p>
      <w:pPr>
        <w:spacing w:after="0" w:line="63" w:lineRule="exact"/>
        <w:rPr>
          <w:rFonts w:ascii="Times New Roman" w:cs="Times New Roman" w:eastAsia="Times New Roman" w:hAnsi="Times New Roman"/>
          <w:sz w:val="18"/>
          <w:szCs w:val="18"/>
          <w:color w:val="auto"/>
        </w:rPr>
      </w:pPr>
    </w:p>
    <w:p>
      <w:pPr>
        <w:ind w:left="400" w:hanging="230"/>
        <w:spacing w:after="0"/>
        <w:tabs>
          <w:tab w:leader="none" w:pos="4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margins in E-Systems through a focused portfolio that leverages our strong operating capabilities and customer relationships;</w:t>
      </w:r>
    </w:p>
    <w:p>
      <w:pPr>
        <w:spacing w:after="0" w:line="63" w:lineRule="exact"/>
        <w:rPr>
          <w:rFonts w:ascii="Times New Roman" w:cs="Times New Roman" w:eastAsia="Times New Roman" w:hAnsi="Times New Roman"/>
          <w:sz w:val="18"/>
          <w:szCs w:val="18"/>
          <w:color w:val="auto"/>
        </w:rPr>
      </w:pPr>
    </w:p>
    <w:p>
      <w:pPr>
        <w:ind w:left="420" w:hanging="250"/>
        <w:spacing w:after="0" w:line="281" w:lineRule="auto"/>
        <w:tabs>
          <w:tab w:leader="none" w:pos="41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 on our reputation for operational excellence through organic and inorganic investments, including partnerships, in automation and digital technologies; and</w:t>
      </w:r>
    </w:p>
    <w:p>
      <w:pPr>
        <w:spacing w:after="0" w:line="1" w:lineRule="exact"/>
        <w:rPr>
          <w:rFonts w:ascii="Times New Roman" w:cs="Times New Roman" w:eastAsia="Times New Roman" w:hAnsi="Times New Roman"/>
          <w:sz w:val="18"/>
          <w:szCs w:val="18"/>
          <w:color w:val="auto"/>
        </w:rPr>
      </w:pPr>
    </w:p>
    <w:p>
      <w:pPr>
        <w:ind w:left="400" w:hanging="230"/>
        <w:spacing w:after="0"/>
        <w:tabs>
          <w:tab w:leader="none" w:pos="4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Prioritize our employee and sustainability initiatives that drive business growth, cost reductions and improved workforce retention.</w:t>
      </w:r>
    </w:p>
    <w:p>
      <w:pPr>
        <w:spacing w:after="0" w:line="117"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In our Seating business, our unique product offerings are providing us with an opportunity to offer value added solutions to our customers and to use our leading market position to capture additional market share. Our key seat component products include seat trim covers; surface materials such as leather and fabric; seat mechanisms; seat cushioning; headrests; and thermal comfort systems such as seat heating, ventilation, active cooling, pneumatic lumbar and massage products. Further, we are leveraging our distinct combination of complete seat system, seat component and thermal comfort expertise and capabilities with our ComfortFlex by Lear</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module, an architecture of modular designs combining two or more thermal comfort functions, and our ComfortMax Seat by Lear</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module, the integration of one or more thermal comfort features into the seat trim cover. These ComfortFlex by Lear</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and ComfortMax Seat by Lear</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modules can reduce sub-components by up to 50% and increase airflow directly to the occupant by up to 40%, as compared to currently available designs. With our thermal comfort systems expertise, we are poised to capitalize on the market trends in electric vehicles, second and third row comfort, and ride sharing, while also providing greater design, cost, production and energy efficiency for our customers.</w:t>
      </w:r>
    </w:p>
    <w:p>
      <w:pPr>
        <w:spacing w:after="0" w:line="9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our E-Systems business, our broad capabilities in electrical distribution and connection systems; high-voltage power distribution products, including BDUs; and low-voltage power distribution products and electronic controllers support the trend toward electrification, as well as the evolution toward zone-based vehicle electrical architectures for both ICE and electrified powertrains. We are investing in and expanding our electrical distribution and connection systems business. This business is benefiting from expanded content per vehicle in line with higher circuit counts supporting high-speed data movement within the vehicle, as well as high-voltage wire harnesses and high-voltage battery components such as intercell connect boards on electrified powertrains. In addition, we have enhanced our vertical integration capabilities in connection systems through the acquisition of M&amp;N Plastics. Our high-voltage power distribution business, including our BDU business, and our low-voltage power distribution business are benefiting from the increased adoption of electrified powertrains. Differentiation through higher power management capacity, lighter weight solutions, and optimized and vertically integrated manufacturing solutions provide us with a competitive advantage in the electrification market. Our electronic controllers business is benefiting from the adoption of new vehicle electrical architectures with more integrated power management and control, which is aligned with our strong history of providing highly complex and integrated electronics to our customers. We are focusing future investments on those products where we believe that we have a competitive advantage and we can achieve industry-leading financial returns.</w:t>
      </w:r>
    </w:p>
    <w:p>
      <w:pPr>
        <w:spacing w:after="0" w:line="7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Our investments in IDEA by Lear</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technologies and the digital transformation of both our operations and administrative functions aim to improve profitability through process improvements and further efficiency gains. Our 2018 acquisition of ASI Automation provides us with automated storage and retrieval systems, JIT robotics, conveyor integration and shipping systems. Our 2022 acquisition of Thagora provides us with scalable smart-manufacturing capabilities that combine advanced vision technology, proprietary algorithms and automated cutting systems. This platform generates both material and labor efficiencies in our surface materials operations and lowers energy usage during production. Our 2022 acquisition of InTouch provides us with automated end-of-line seat function testing, equipment and software integration capabilities and vision system technologies. Our 2024 acquisition of WIP further strengthens our robotics and AI-based capabilities which are important for production efficiency, safety and quality in a modern manufacturing environment. Our 2025 acquisition of StoneShield accelerates the automation of our production processes throughout our electrical distribution business. Through the integration of these technologies into our operations, these acquisitions have enabled us to further our in-house product and process capabilities and strengthen our competitive differentiation.</w:t>
      </w:r>
    </w:p>
    <w:p>
      <w:pPr>
        <w:spacing w:after="0" w:line="91"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8"/>
          <w:szCs w:val="18"/>
          <w:color w:val="auto"/>
        </w:rPr>
        <w:t>We continue to embed responsible and sustainable principles into our key business processes and operations. We have developed products such as FlexAir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 100% recyclable alternative to traditional foam, ReNewKnit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 sustainable sueded alternative material that is fully recyclable at its end of life and composed of 100% recycled plastic bottles, and SoyFoam</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a substitute for certain petroleum-based products. We also have improved energy efficiency in our operations and established climate goals to reduce carbon emissions and increase the use of renewable energy.</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Seating Segment</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Lear is a recognized global leader in complete seat systems. Based on independent market studies and management estimates, we believe we are one of the two largest suppliers of complete seat systems globally on the basis of revenue with strong positions in all major markets and a 26% global market share in 2025. We are also a recognized leader in key individual seat components produced for complete seat systems.</w:t>
      </w:r>
    </w:p>
    <w:p>
      <w:pPr>
        <w:spacing w:after="0" w:line="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Seating segment consists of the design, development, engineering, assembly and just-in-time delivery of complete seat systems, as well as all major seat components, including seat trim covers; surface materials such as leather and fabric; seat mechanisms; seat cushioning; headrests; and thermal comfort systems such as seat heating, ventilation, active cooling, pneumatic lumbar and massage products. Our extensive system-level knowledge and component-level capabilities, including internal development of sensor and control algorithms, have provided a strong foundation for innovation and commercialization of thermal comfort systems and convenience features. We believe that with our comprehensive set of component offerings, we are a leader in the global market. Overall, our global manufacturing and engineering expertise, low-cost footprint, complete component capabilities, quality leadership and strong customer relationships provide us with a catalyst for both organic and inorganic growth opportunities to enable us to reach our mid-term target global market share of 29% in complete automotive seat systems.</w:t>
      </w:r>
    </w:p>
    <w:p>
      <w:pPr>
        <w:spacing w:after="0" w:line="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produce seat systems that are fully assembled and ready for installation in light vehicles globally. Seat systems are generally designed and engineered for specific vehicle models or platforms. We develop seat systems and components for all vehicle segments from compact cars to pick-up trucks and full-size sport utility vehicles. We are the world leader in luxury and performance automotive seating, providing craftsmanship, elegance in design, use of innovative materials and industry-leading technology required by premium brands and vehicles, including those produced by Alfa Romeo, Audi, BMW, BYD, Cadillac, Chevrolet, Ferrari, GMC, Jaguar, Lamborghini, Land Rover, Lincoln, Maserati, Mercedes-Benz, NIO, Polestar, Porsche, Seres Auto and Volvo.</w:t>
      </w:r>
    </w:p>
    <w:p>
      <w:pPr>
        <w:spacing w:after="0" w:line="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executing on our strategy to extend our leadership position in the market through unique product offerings and selective vertical integration. Our acquisition of Kongsberg ICS provided us with capabilities in seat massage, lumbar, heating and ventilation. Our acquisition of IGB provided us with capabilities in seat heating, ventilation and active cooling, steering wheel heating, seat sensors and electronic control modules. Further, selective vertical integration of key seat components is enhancing growth and increasing profitability, as well as improving quality. In this regard, we have developed standardized seat mechanisms that can be used across multiple vehicle programs to minimize investment costs. Our seat mechanisms are developed and manufactured in key locations to supply every major automotive producing region in the world. We believe that our precision-engineered seat mechanism expertise and low-cost manufacturing footprint provide us with a competitive advantage.</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seat cover operations have continued to expand in low-cost markets, including precision cutting, assembly, sewing and lamination. Our acquisition of Eagle Ottawa provided us an industry-leading market share in automotive leather globally. Our capabilities in leather design, development and manufacturing allow us to deliver the most luxurious, durable and performance-tested leathers to our customers. Our acquisition of Guilford Mills provided us with Guilford Performance Textiles, a line of automotive seat and interior fabrics. On a global basis, we can provide a full range of seat cover capabilities, including design and surface coating solutions, as well as unique leather and fabric applications. We believe that the combination of these capabilities in seat surface materials differentiates us and provides us with a competitive advantage facilitating our leadership position in the industry.</w:t>
      </w:r>
    </w:p>
    <w:p>
      <w:pPr>
        <w:spacing w:after="0" w:line="7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We are committed to reducing the environmental footprint of our products, operations and supply chain as a means to drive business growth and reduce costs. We are working to improve the sustainability of our operations through identification and reduction of generated waste, reuse of materials whenever possible and recycling. Our sustainability efforts leverage available technology to replace certain petroleum-based products with more sustainable alternatives, such as SoyFoam</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and, more recently, FlexAir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our 100% recyclable non-foam alternative that reduces both CO2 emissions and mass and is being integrated into our customized and innovative portfolio of products. In addition, we have focused development efforts on commercializing a range of fabrics that contain recycled, renewable or recyclable yarns that reduce our environmental impact. These fabrics include our ReNewKnit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sustainable sueded alternative material, which is a first-to-market automotive textile that is fully recyclable at its end of life and composed of 100% recycled plastic bottles. ReNewKnit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fibers are spun from polyester yarn and finished with a foam-free recycled fleece backing.</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Thermal Comfort Systems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thermal comfort systems consist largely of seat heating, ventilation, active cooling, pneumatic lumbar and massage products, together with other thermal products such as panel and steering wheel heating. Over the past decade, we have dedicated significant engineering resources to designing, developing and advancing the future of thermal comfort systems. Our recent acquisitions of Kongsberg ICS and IGB further expanded our unique capabilities with experienced engineering and</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manufacturing leaders to accelerate the execution of our thermal comfort systems strategy and provide purchasing, logistics, administrative and footprint synergies to improve our cost competitiveness. Through component modularity efforts, we are innovating and enhancing product design by combining multiple functions that were previously provided across multiple components into modular solutions. Traditionally, heating, ventilation, lumbar and massage products have been designed as independent systems in a multi-layered model. We are redefining comfort, design and performance through ComfortFlex by Lear</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and ComfortMax Seat by Lear</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These revolutionary designs further reduce part complexity, mass and package size (allowing for easier adoption in second and third rows) and significantly improves the final seat assembly process by reducing the number of components assembled into our seats in the just-in-time facilities, while providing a more efficient system with improved performance (including reduced time to sensation) and enhanced comfort for the occupant. In addition, our complete thermal comfort module can be supplied to any seat supplier and is compatible with any seat structure with traditional foam or FlexAir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Our new facility in Rochester Hills, Michigan is an industry first site, capable of fully automated manufacturing of ComfortFlex by Lear</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and ComfortMax Seat by Lear</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seating systems. We believe that we are the only supplier with the complete capabilities necessary to realize these modular concepts, providing a unique value proposition to our customers.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Advanced Seating Craftsmanship and Innovation</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believe that our broad capabilities, including advanced design and material integration skills, provide us with a competitive advantage. Our team has developed a portfolio of technologies that deliver sustainable products, differentiated design, craftsmanship and comfort. We are leveraging our unique position to be an industry leader in design and facilitating customer interactions with designers and engineers working collaboratively to create innovative solutions early in the design process. The breadth of our portfolio and depth of our design expertise allows us to better integrate all seat components and bring innovative designs into production with the highest level of craftsmanship, providing differentiated design comfort, quality and overall value to the end consumer. We believe that our unmatched component capabilities, design expertise, global manufacturing presence, and portfolio of enabling and sustainable technologies provide a unique value proposition to our customers and will drive market share gains for our business.</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that we are the only fully integrated seat supplier with global capabilities in critical seat components, together with software design, integration and manufacturing expertise. To maintain our competitive advantage, we continue to drive advanced seating innovations through a combination of comprehensive product capabilities aligned with industry trends and early customer engagement. The result is a broad portfolio of innovative, sustainable solutions enabling our intelligent seating offerings for consumers.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Intelligent Seating (INTU</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i w:val="1"/>
          <w:iCs w:val="1"/>
          <w:color w:val="auto"/>
        </w:rPr>
        <w:t xml:space="preserve"> Seating)</w:t>
      </w:r>
    </w:p>
    <w:p>
      <w:pPr>
        <w:spacing w:after="0" w:line="60"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The seat offers a direct connection between the driver, passengers and vehicle systems. Our development of INTU</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technologies provides the driver and passengers with intelligent, intuitive seat system options that offer advanced comfort solutions, including thermal products, as well as configurable seating product technologies. Our extensive knowledge in consumer ergonomics and comfort, in combination with our electronics capabilities, facilitated the development of our INTU</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seat features, which are capable of being programmed to identify certain key occupant inputs and automatically adjust the appropriate seat parameters to provide consumers with a better, highly personalized, in-vehicle experience.</w:t>
      </w:r>
    </w:p>
    <w:p>
      <w:pPr>
        <w:spacing w:after="0" w:line="9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Our INTU</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Comfort features were developed to improve comfort throughout long drives. Derived from our research, INTU</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Comfort deploys proprietary technology and in-house developed analytical processes to identify the optimal seat position for the occupant given certain conditions. For example, on extended trips, the lumbar support is continuously adjusted for optimal comfort, and seat bolsters automatically adjust during sharp curves to provide the driver with optimal support. We received our first production award incorporating these advanced features which is expected to launch in 2027 with a luxury European automaker. We have developed and designed efficiencies into individual seat components and full system integration to outperform existing systems.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Core Capabilities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With capabilities unmatched by any seat supplier in the industry, we consistently produce world-class seat systems to meet or exceed the expectations of every type of driver and passenger. Our designs incorporate intelligent features, and our patented modular sub-assemblies with embedded technologies have the potential to transform the seating market.</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maintain state-of-the-art testing, instrumentation and data analysis capabilities. We have in-house, industry-leading seat validation test centers featuring crash worthiness, durability and full acoustic and sound quality testing capabilities. Together with computer-controlled data acquisition and analysis capabilities, these centers provide precisely controlled laboratory conditions for sophisticated testing of parts, materials and systems. In addition, we incorporate many convenience, comfort and safety features into our designs, including advanced whiplash prevention concepts, integrated restraint seat systems and side impact airbags. We also invest in our computer-aided engineering design and computer-aided manufacturing systems to facilitate a more efficient design process.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have developed products and materials to improve comfort and ease of adjustment, promote customization and styling flexibility, increase durability and reliability, enhance safety, expand the usage of environmentally friendly materials and reduce cost and weight.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core capabilities extend into key seat components serving as a platform for innovation as well, including:</w:t>
      </w:r>
    </w:p>
    <w:p>
      <w:pPr>
        <w:spacing w:after="0" w:line="63" w:lineRule="exact"/>
        <w:rPr>
          <w:sz w:val="20"/>
          <w:szCs w:val="20"/>
          <w:color w:val="auto"/>
        </w:rPr>
      </w:pPr>
    </w:p>
    <w:p>
      <w:pPr>
        <w:jc w:val="both"/>
        <w:ind w:left="420" w:hanging="250"/>
        <w:spacing w:after="0" w:line="244" w:lineRule="auto"/>
        <w:tabs>
          <w:tab w:leader="none" w:pos="41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Leather and Fabric – We deliver the most luxurious, durable and performance-tested leathers to more automotive brands globally than any other automotive leather supplier, while promoting sustainable and responsible sourcing practices. Our premium leathers are designed for seamless integration with our industry-leading secondary operations, exceeding customer expectations for quality and service. Our Eagle Ottawa premium leather group has developed and launched, in both Europe and North America, a new technology that allows for the creation of highly customizable designs with new levels of definition and pillowing, improving the comfort and style of the seat while enabling the necessary air flow for ventilated seats. Additionally, our proprietary anti-soiling performance leather finishing technology, Ansolé</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improves durability and protects against staining and fading.</w:t>
      </w:r>
    </w:p>
    <w:p>
      <w:pPr>
        <w:spacing w:after="0" w:line="34" w:lineRule="exact"/>
        <w:rPr>
          <w:rFonts w:ascii="Times New Roman" w:cs="Times New Roman" w:eastAsia="Times New Roman" w:hAnsi="Times New Roman"/>
          <w:sz w:val="18"/>
          <w:szCs w:val="18"/>
          <w:color w:val="auto"/>
        </w:rPr>
      </w:pPr>
    </w:p>
    <w:p>
      <w:pPr>
        <w:jc w:val="both"/>
        <w:ind w:left="420"/>
        <w:spacing w:after="0" w:line="22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fabrics, we have focused development efforts on commercializing a range of fabrics that contain recycled, renewable or recyclable yarns that reduce our environmental impact. These fabrics include our ReNewKnit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sustainable sueded alternative material that is fully recyclable at its end of life and composed of 100% recycled plastic bottles. ReNewKnit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has launched with three global automotive manufacturers and is generating improved margins when compared to traditional fabrics. Our branded TeXstyle</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surface material coatings and treatment technologies enhance cleanability by releasing and repelling stains; prevent the growth of bacteria and mildew through the addition of antimicrobial treatments, including silver ion technologies; protect fabric against water and oil-based stains; minimize soiling of light colors; and are anti-static and anti-dusting.</w:t>
      </w:r>
    </w:p>
    <w:p>
      <w:pPr>
        <w:spacing w:after="0" w:line="39" w:lineRule="exact"/>
        <w:rPr>
          <w:rFonts w:ascii="Times New Roman" w:cs="Times New Roman" w:eastAsia="Times New Roman" w:hAnsi="Times New Roman"/>
          <w:sz w:val="18"/>
          <w:szCs w:val="18"/>
          <w:color w:val="auto"/>
        </w:rPr>
      </w:pPr>
    </w:p>
    <w:p>
      <w:pPr>
        <w:jc w:val="both"/>
        <w:ind w:left="420" w:hanging="250"/>
        <w:spacing w:after="0" w:line="266" w:lineRule="auto"/>
        <w:tabs>
          <w:tab w:leader="none" w:pos="41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Seat Mechanisms – We supply world-class front and rear seat systems, recliners, tracks, latches and other products in a scalable modular family. Our seat architectures are a core component of our industry-leading vertical integration capabilities around the world. Smaller, low-weight and low-noise materials deliver high performance, safety and functionality.</w:t>
      </w:r>
    </w:p>
    <w:p>
      <w:pPr>
        <w:spacing w:after="0" w:line="13" w:lineRule="exact"/>
        <w:rPr>
          <w:rFonts w:ascii="Times New Roman" w:cs="Times New Roman" w:eastAsia="Times New Roman" w:hAnsi="Times New Roman"/>
          <w:sz w:val="18"/>
          <w:szCs w:val="18"/>
          <w:color w:val="auto"/>
        </w:rPr>
      </w:pPr>
    </w:p>
    <w:p>
      <w:pPr>
        <w:jc w:val="both"/>
        <w:ind w:left="4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high-speed smart fold technology is a folding adjustment mechanism that delivers premium convenience while maintaining leading safety and comfort benefits. Our mini recliners and micro adjust tracks are seat mechanisms that provide precision movement and facilitate interior packaging space flexibility. Our ECO Structures utilize an innovative hub and spoke concept offering economic solutions for developing markets.</w:t>
      </w:r>
    </w:p>
    <w:p>
      <w:pPr>
        <w:spacing w:after="0" w:line="13" w:lineRule="exact"/>
        <w:rPr>
          <w:rFonts w:ascii="Times New Roman" w:cs="Times New Roman" w:eastAsia="Times New Roman" w:hAnsi="Times New Roman"/>
          <w:sz w:val="18"/>
          <w:szCs w:val="18"/>
          <w:color w:val="auto"/>
        </w:rPr>
      </w:pPr>
    </w:p>
    <w:p>
      <w:pPr>
        <w:jc w:val="both"/>
        <w:ind w:left="420" w:hanging="250"/>
        <w:spacing w:after="0" w:line="261" w:lineRule="auto"/>
        <w:tabs>
          <w:tab w:leader="none" w:pos="41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Zero Gravity Seat – Zero gravity seats (i.e., seats designed to replicate the sensation of weightlessness) have become increasingly more important in the local China market as they provide an enhanced comfort experience for the second row occupants. We have developed and launched a zero gravity seat for second row occupants that includes a 65 degree recline, a raising calf rest for lower leg support, an adaptive arm rest and occupant body pressure distribution, together with various comfort features, including integrated pneumatic neck support and heated back massage.</w:t>
      </w:r>
    </w:p>
    <w:p>
      <w:pPr>
        <w:spacing w:after="0" w:line="14" w:lineRule="exact"/>
        <w:rPr>
          <w:rFonts w:ascii="Times New Roman" w:cs="Times New Roman" w:eastAsia="Times New Roman" w:hAnsi="Times New Roman"/>
          <w:sz w:val="18"/>
          <w:szCs w:val="18"/>
          <w:color w:val="auto"/>
        </w:rPr>
      </w:pPr>
    </w:p>
    <w:p>
      <w:pPr>
        <w:jc w:val="both"/>
        <w:ind w:left="420" w:hanging="250"/>
        <w:spacing w:after="0" w:line="223" w:lineRule="auto"/>
        <w:tabs>
          <w:tab w:leader="none" w:pos="41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Foam and Comfort – Our FlexAir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technologies offer a 100% recyclable non-foam alternative to traditional foam. Our highly engineered low-profile foam, low-emission foam and our first-to-market, U.S.-sourced SoyFoam</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are break-through innovations in comfort, safety and sustainability. Our first FlexAir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production award launched in 2024.</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Manufacturing Leadership</w:t>
      </w:r>
    </w:p>
    <w:p>
      <w:pPr>
        <w:spacing w:after="0" w:line="11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continued focus on expanding our expertise and capabilities in materials, logistics and manufacturing is a key enabler in providing our customers with world-class seat system products. Our unique proprietary processes and employee engagement initiatives will continue to provide us with a competitive advantage.</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pioneered just-in-time seat assembly. Typically located adjacent to or near our customers' manufacturing and assembly sites, our just-in-time facilities deliver assembled seats matching our customers' exact build specifications for a particular day, shift and sequence. Our expertise in logistics and lean manufacturing processes enable us to meet our customers' delivery requirements while maintaining inventories at optimum levels.</w:t>
      </w:r>
    </w:p>
    <w:p>
      <w:pPr>
        <w:spacing w:after="0" w:line="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believe that we are the world's most vertically integrated manufacturer of complete seat systems, providing us with a competitive advantage in terms of cost and quality. We utilize the latest industry innovations and automated technologies to facilitate our continuous improvement efforts. We are rapidly developing and deploying automation and AI solutions throughout our Seating operations. Through our partnership with Palantir, we have improved our efficiency and quality using a cycle time deviation tool which provides real-time data on shop floor performance. Our recent strategic investments in automation and other advanced manufacturing technologies, including the 2018 acquisition of ASI Automation, the 2022 acquisitions of Thagora and InTouch and the 2024 acquisition of WIP, have resulted in lower manufacturing costs, improved safety and ergonomics, and higher production reliability. These strategic initiatives further advance our leadership in automotive technology and enable greater efficiency, superior quality and faster execution. Moreover, we have continued to expand our employee engagement initiatives, achieving global scalability and successfully driving cultural advances. Our</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initiatives have resulted in improvements in quality, lower employee absenteeism, material cost savings and a reduction in average assembly build times per seat set.</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global footprint enables us to competitively quote just-in-time and component business opportunities that align with evolving market trends. Domestically, we are strategically positioned for growth as the largest U.S. headquartered automotive supplier, leveraging our U.S. manufacturing presence to support automotive manufacturers seeking to onshore vehicle production. We continue to invest in product and process innovation, allowing us to integrate capital required for just-in-time operations at a significant cost advantage. This not only accelerates speed to launch but also enhances our ability to competitively quote new and conquest business.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Customers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top five customers of our Seating segment are: General Motors, Mercedes-Benz, Stellantis, Volkswagen and BMW.</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Competition</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Key competitors in the Seating segment globally include Adient plc, Forvia SE, Magna International Inc., Ningbo Jifeng Auto Parts Co., Ltd. / Grammer AG, Toyota Boshoku Corporation, TS Tech Co., Ltd. and Yanfeng Automotive Systems Co., Ltd., which have varying market presence depending on the region, country or automotive manufacturer. Toyota Motor Corporation and Honda Motor Co. Ltd. hold equity ownership positions in Toyota Boshoku Corporation and TS Tech Co., Ltd., respectively. A limited number of other automotive manufacturers maintain a presence in the seat system market through wholly-owned subsidiaries, joint ventures or in-house operations, such as FinDreams Technology Co., Ltd. and Nobo Automotive Systems Co., Ltd. In seat components, we compete with the seat system suppliers identified above, as well as certain suppliers that specialize in particular components.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additional factors that may impact our Seating segment's business, financial condition, operating results and/or cash flows, see Item 1A, "Risk Factors."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E-Systems Segment</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E-Systems segment consists of the design, development, engineering and manufacture of complete electrical distribution and connection systems; high-voltage power distribution products, including BDUs; and low-voltage power distribution products and electronic controllers for vehicles globally. We are a leader in signal distribution and power management within the vehicle for all types of powertrains – from traditional ICE architectures to the full range of electrified powertrains. Our expertise and product portfolio support new vehicle electrical architectures, including the adoption of high-voltage electrified vehicle architectures and the transition to zone-based vehicle electrical architectures. We are expanding our capabilities and introducing new product lines, primarily within our electrical distribution and connections systems business and including intercell connect boards, BDUs, engineered components, high-voltage wire, high-speed data cables and zonal controllers. Further, we are de-emphasizing and exiting certain electronics product lines, including audio modules, lighting modules, on-board chargers, telematics control units and niche electronic controllers, where we do not see a path to sustainable risk-adjusted financial returns.</w:t>
      </w:r>
    </w:p>
    <w:p>
      <w:pPr>
        <w:spacing w:after="0" w:line="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our E-Systems business, the electrification of the vehicle powertrain adds significant content per vehicle for our products, including high-voltage wire harnesses, high-voltage battery connection systems (intercell connect boards, bus bars and main battery interface connection systems) and BDUs.</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the continuing evolution of the vehicle electrical architecture is introducing more highly integrated power management and control electronics (or zonal controllers) and greatly expanding the use of high-speed data within the vehicle. Our customers are adopting these new architectures on both ICE and electrified powertrains to enable continued integration of more electrical and electronic content and to enable future software-defined functionality. These market demands align favorably with our expertise in zonal controllers and high-speed data cables.</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product portfolio strategy enables increased leverage of our investments across a focused product portfolio and creates a competitive advantage as we are able to offer our customers customized solutions optimized to provide complete architecture benefits. Our component designs consider the performance of the complete architecture, creating superior value for our customers.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Electrical Distribution and Connection Systems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Electrical distribution and connection systems route network and electrical signals and manage electrical power within the vehicle for all types of powertrains, including traditional ICE architectures and the full range of electrified powertrains, supporting the current industry trend toward electrification. Key components of electrical distribution and connection systems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include wire harnesses, terminals and connectors, high voltage battery connection systems and engineered components for both ICE architectures and electrified powertrains that require management of higher voltage and power.</w:t>
      </w:r>
    </w:p>
    <w:p>
      <w:pPr>
        <w:spacing w:after="0" w:line="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Wire harness assemblies, together with connection systems, link all of the various electrical and electronic devices within the vehicle to each other and/or to a power source. Our wire harnesses provide low-voltage (12 volts and 48 volts) and high-voltage (400 volts – 800 volts) power distribution. Low-voltage wire harnesses are used on all light duty vehicles, and high voltage wire harnesses are used on vehicles with electrified powertrains. Wire harness assemblies are a collection of individual circuits fabricated from raw and insulated wire, which is automatically cut to length and terminated during the manufacturing process. Individual circuits are assembled together, inserted into connectors and wrapped or taped to form wire harness assemblies. The assembly process is labor intensive, and as a result, production is generally performed in low-cost labor sites in Mexico, Honduras, Brazil, Eastern Europe, Africa, China and the Philippines.</w:t>
      </w:r>
    </w:p>
    <w:p>
      <w:pPr>
        <w:spacing w:after="0" w:line="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Connection systems include terminals and connectors, high-voltage battery connection systems and engineered components that join wire harnesses together at their respective end points or connect electronic devices to wire harnesses. Connection systems can vary significantly in size and complexity depending on the amount of power or data being transferred and the number of connections being made at any particular point in the electrical distribution system. Connection systems support both low-voltage and high-voltage power distribution. Low-voltage connection systems are used on all light duty vehicles and high-voltage connection systems are used on vehicles with electrified powertrains. Our connection systems are produced using highly automated processes, including stamping, injection molding and automated assembly processes. Our connection systems are currently manufactured in Germany, the Czech Republic, Morocco, China and the United States. Key material inputs to our connection systems business include metals, such as copper and aluminum, and various resins.</w:t>
      </w:r>
    </w:p>
    <w:p>
      <w:pPr>
        <w:spacing w:after="0" w:line="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High voltage battery connection systems consist of stamped and molded components and assemblies that provide connections between battery cells, from the battery pack to the vehicle electrical architecture, and between other electrical components within the high-voltage battery pack. High-voltage battery connection systems can vary in size and design to accommodate various high-voltage battery architectures and enable safe and efficient electrified powertrain battery packs. Specific products include intercell connect boards, bus bars and main battery connection systems. These products are produced using highly automated processes, including stamping, bending, molding and assembly. Our established capabilities in connection systems and engineered components facilitate our ability to produce these products. Our high-voltage battery connection systems are produced in Germany, the United States, the Czech Republic, Mexico and China. Key material inputs to our high-voltage battery connection systems business include metals, such as copper, aluminum, and steel, and various resins.</w:t>
      </w:r>
    </w:p>
    <w:p>
      <w:pPr>
        <w:spacing w:after="0" w:line="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Engineered components consist of molded components included in wire harness assemblies. These components perform specific functions, such as protection, routing, sealing or covering, to ensure that the wire harness assembly properly performs its function. In 2021, we acquired M&amp;N Plastics, a privately owned injection molding specialist and manufacturer of engineered plastic components for automotive electrical distribution applications, which enabled the significant expansion of our footprint and capabilities with respect to engineered components. Engineered component capabilities are a significant contributor to vertically integrated product assemblies and enable business growth across electrical distribution and connection systems and our Seating business due to increased control of product cost and quality, as well as the supply chain. Engineered components are applicable to all vehicle architectures and are produced using molding processes. Our engineered components are currently manufactured in Germany, the Czech Republic, Morocco, China and the United States. Key material inputs to our engineered components are various resins.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High-Voltage Power Distribution Products, including BDUs</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our E-Systems segment, we also design, develop, engineer and manufacture high-voltage power distribution products, including BDUs. These products control the flow and distribution of high-voltage power throughout electric and hybrid vehicles and include BDUs, which control all electrical energy flowing into and out of high-voltage batteries in electric and hybrid vehicles. More than fifteen years of experience in high-voltage power distribution products, together with our expertise in areas integral to the performance of BDUs, such as power and thermal management and electrical architecture integration, have contributed to our well-established market position and our ability to effectively and competitively supply BDUs. High-voltage power distribution products are applicable to all electrified powertrain vehicles, but the size, complexity and configuration can vary widely dependent upon the power requirements of individual vehicle platforms. Our high-voltage power distribution products are currently manufactured in Mexico, China, Spain and Morocco. Key material inputs to our high-voltage power distribution products include metals, including copper and aluminum, various resins, and power components, such as fuses, e-fuses and contactors.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Low-Voltage Power Distribution Products and Electronic Controllers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our E-Systems segment, we also design, develop, engineer and manufacture low-voltage power distribution products and electronic controllers that control various functions and power distribution within the vehicle. Our electronic product offerings include zonal controllers, body domain modules, and smart and passive power distribution units. These units are typically</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purchased with embedded software to manage vehicle functions, control power distribution and ensure vehicle network connection. We assemble these modules using specialized, high-speed surface mount placement equipment and assembly processes in Mexico, Europe, Morocco and China.</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Technology</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complete electrical distribution and connection system design capabilities, coupled with market-leading component technologies, allow early access to our customers' product development teams, which provides an indication of our customers' product needs and enables us to develop system design efficiencies. Our expertise is developed and delivered by more than 1,900 engineers across fourteen countries and is led by four global technology centers of excellence in China, Germany, Spain and the United States for each of our major product lines in this segment.</w:t>
      </w:r>
    </w:p>
    <w:p>
      <w:pPr>
        <w:spacing w:after="0" w:line="7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electrical distribution and connection systems, our technology includes expertise in the design and use of alternative conductor materials, such as aluminum, copper-clad steel and other hybrid alloys. Alternative conductor materials can enable weight and packaging size reductions for electrical distribution and connection systems. We also have developed proprietary manufacturing process technologies, such as our vertical manufacturing system that features three dimensional wire harness assembly boards. Our expertise in connection system technology facilitates our ability to implement these small gauge and alternative alloy conductors. We have developed advanced capabilities in aluminum terminals and aluminum wire termination, ultra small gauge termination and high-voltage terminals and connectors. We have developed high density in-line connectors and new small gauge terminals that will enable wire gauge reduction and provide our customers with smaller and lower cost solutions. In high-voltage battery connection systems, we have established a leading capability in power density (power per packaging size) that is being adopted by multiple automotive manufacturers. In addition, we have developed highly integrated and highly automated solutions to improve the performance of high-voltage batteries. These technologies are supported by our proprietary virtual proving grounds, which is an industry-leading suite of in-house developed tools and processes to significantly reduce design, development and validation testing time and expense. Our ongoing and accelerating investments in automation and other advanced manufacturing technologies, including the automation of wire harness manufacturing, design for automation and digital transformation, will yield future efficiencies and flexibility to our operations.</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high-voltage power distribution products, including BDUs, and low-voltage power distribution products, we have developed many patented or patent pending technologies that enable management of higher power levels and efficient thermal management. Our technology and capabilities were awarded an Automotive News PACE Award for technological excellence in 2021. In addition, we partnered with BASF and General Motors to develop the BDU in the 2022 GMC Hummer EV and won the Society of Plastics Engineers Automotive Innovation Award for the electric and autonomous vehicle systems category in 2023. Our BDU capabilities enable the highest power large-format vehicles by utilizing innovative technologies, including flat-flex wires to quickly dissipate heat. These technologies are also scalable to achieve superior performance for vehicles with lower power requirements.</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electronic controllers, we are a market leader in zone control, body domain control and power distribution technology. In 2025, we were awarded an Automotive News PACE award for our software-based algorithmic circuit protection and modular pin header design, which are used on our zone controller launching in 2026. Further, our expertise in e-fuse technology is leading to the adoption of new advanced technologies while supporting functional safety requirement increases. Software is a critical element of this part of our business. Software capabilities are becoming more important in the management of complex and highly sophisticated electronic architectures. Software within the vehicle is rapidly growing as a key element of technological innovation and a cost effective way to provide new features and functions.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Manufacturing Leadership</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leveraging our investments in automation and other advanced manufacturing technologies to build on our reputation for operational excellence. We are developing a common operating system in our wiring facilities that will provide significant operating efficiencies. Further, our partnership with Palantir has enabled increased digitalization of our operations leading to enhanced visibility, control, efficiency and quality. Our unique processes and people-focused culture provide us with a sustainable global competitive advantage.</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2025 acquisition of StoneShield is accelerating the automation of our production processes throughout our electrical distribution business, further improving our efficiency and operational excellence. We believe that coupling our world class operations with strategic automation will allow us to proactively navigate labor market dynamics and position us as a preferred solution provider to our customers.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Customers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top five customers of our E-Systems segment are: Ford, General Motors, Jaguar Land Rover, Geely (including Polestar and Volvo) and Volkswagen.</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Competition</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Key competitors in electrical distribution and connection systems include Aptiv PLC, Leoni AG, Molex Incorporated (a subsidiary of Koch Industries Inc.), Sumitomo Corporation, TE Connectivity and Yazaki Corporation. Key competitors in BDUs include Delta Electronics, Inc., LS E-Mobility, Panasonic Holdings Corporation and Yazaki Corporation. Key competitors in electronic controllers include Aumovio SE, Aptiv PLC, Denso Corporation, Harman International Industries, Incorporated (a subsidiary of Samsung Electronics Co. Ltd.), Hella (a subsidiary of Forvia SE), Motherson Group, Robert Bosch GmbH, Valeo S.A. and Visteon Corporation.</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additional factors that may impact our E-Systems segment's business, financial condition, operating results and/or cash flows, see Item 1A, "Risk Factors," included in this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Sustainability</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42424"/>
        </w:rPr>
        <w:t xml:space="preserve">For many of our customers and other stakeholders, sustainability is a business consideration. </w:t>
      </w:r>
      <w:r>
        <w:rPr>
          <w:rFonts w:ascii="Times New Roman" w:cs="Times New Roman" w:eastAsia="Times New Roman" w:hAnsi="Times New Roman"/>
          <w:sz w:val="18"/>
          <w:szCs w:val="18"/>
          <w:color w:val="000000"/>
        </w:rPr>
        <w:t>We continue to embed sustainable initiatives into our global</w:t>
      </w:r>
      <w:r>
        <w:rPr>
          <w:rFonts w:ascii="Times New Roman" w:cs="Times New Roman" w:eastAsia="Times New Roman" w:hAnsi="Times New Roman"/>
          <w:sz w:val="18"/>
          <w:szCs w:val="18"/>
          <w:color w:val="242424"/>
        </w:rPr>
        <w:t xml:space="preserve"> </w:t>
      </w:r>
      <w:r>
        <w:rPr>
          <w:rFonts w:ascii="Times New Roman" w:cs="Times New Roman" w:eastAsia="Times New Roman" w:hAnsi="Times New Roman"/>
          <w:sz w:val="18"/>
          <w:szCs w:val="18"/>
          <w:color w:val="000000"/>
        </w:rPr>
        <w:t xml:space="preserve">operations and processes, </w:t>
      </w:r>
      <w:r>
        <w:rPr>
          <w:rFonts w:ascii="Times New Roman" w:cs="Times New Roman" w:eastAsia="Times New Roman" w:hAnsi="Times New Roman"/>
          <w:sz w:val="18"/>
          <w:szCs w:val="18"/>
          <w:color w:val="242424"/>
        </w:rPr>
        <w:t>recognizing that growing customer and consumer demand for sustainable products provides opportunities for growth.</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42424"/>
        </w:rPr>
        <w:t>Furthermore, the more efficient use of energy and natural resources offers the potential to lower our operating costs while reducing our environmental impact. We also integrate responsible and sustainable principles into our key business processes, including enterprise risk management, innovation, procurement, product and process development, and sales.</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Our sustainability strategy is developed by a cross-functional team, approved by senior management, and overseen by the Governance and Sustainability Committee of our Board. We actively communicate our goals and activities to investors through public disclosures available on our website and in our SEC filings. Our sustainability efforts demonstrate how we live our core value to </w:t>
      </w:r>
      <w:r>
        <w:rPr>
          <w:rFonts w:ascii="Times New Roman" w:cs="Times New Roman" w:eastAsia="Times New Roman" w:hAnsi="Times New Roman"/>
          <w:sz w:val="18"/>
          <w:szCs w:val="18"/>
          <w:i w:val="1"/>
          <w:iCs w:val="1"/>
          <w:color w:val="auto"/>
        </w:rPr>
        <w:t>Get Results the Right Way</w:t>
      </w:r>
      <w:r>
        <w:rPr>
          <w:rFonts w:ascii="Times New Roman" w:cs="Times New Roman" w:eastAsia="Times New Roman" w:hAnsi="Times New Roman"/>
          <w:sz w:val="18"/>
          <w:szCs w:val="18"/>
          <w:color w:val="auto"/>
        </w:rPr>
        <w:t>, which we reinforce through our annual recommitment to the United Nations Global Compact.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Energy Efficiency and Carbon Reduction Efforts at Lear</w:t>
      </w:r>
    </w:p>
    <w:p>
      <w:pPr>
        <w:spacing w:after="0" w:line="225" w:lineRule="exact"/>
        <w:rPr>
          <w:sz w:val="20"/>
          <w:szCs w:val="20"/>
          <w:color w:val="auto"/>
        </w:rPr>
      </w:pPr>
    </w:p>
    <w:p>
      <w:pPr>
        <w:ind w:left="400" w:hanging="230"/>
        <w:spacing w:after="0"/>
        <w:tabs>
          <w:tab w:leader="none" w:pos="400"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How We Are Driving Sustainability in Our Production Processes</w:t>
      </w:r>
    </w:p>
    <w:p>
      <w:pPr>
        <w:spacing w:after="0" w:line="119" w:lineRule="exact"/>
        <w:rPr>
          <w:rFonts w:ascii="Times New Roman" w:cs="Times New Roman" w:eastAsia="Times New Roman" w:hAnsi="Times New Roman"/>
          <w:sz w:val="18"/>
          <w:szCs w:val="18"/>
          <w:i w:val="1"/>
          <w:iCs w:val="1"/>
          <w:color w:val="auto"/>
        </w:rPr>
      </w:pPr>
    </w:p>
    <w:p>
      <w:pPr>
        <w:jc w:val="both"/>
        <w:ind w:left="420"/>
        <w:spacing w:after="0" w:line="258"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We employ standardized processes developed globally that are designed to optimize energy use, reduce costs, lower greenhouse gas emissions, prevent pollution and ensure safe, sustainable production. Our near-term climate goals for 2030 include 100% usage of renewable energy for electricity consumption and a 50% reduction in Scope 1 and 2 carbon emissions at our facilities globally. We also aim to achieve a 35% reduction in Scope 3 emissions by 2033. In 2024, the Science Based Targets initiative (SBTi) validated our near-term greenhouse gas reduction targets for Scopes 1 and 2, and our Scope 3 emissions. We aspire to achieve carbon neutrality by 2050.</w:t>
      </w:r>
    </w:p>
    <w:p>
      <w:pPr>
        <w:spacing w:after="0" w:line="75" w:lineRule="exact"/>
        <w:rPr>
          <w:rFonts w:ascii="Times New Roman" w:cs="Times New Roman" w:eastAsia="Times New Roman" w:hAnsi="Times New Roman"/>
          <w:sz w:val="18"/>
          <w:szCs w:val="18"/>
          <w:i w:val="1"/>
          <w:iCs w:val="1"/>
          <w:color w:val="auto"/>
        </w:rPr>
      </w:pPr>
    </w:p>
    <w:p>
      <w:pPr>
        <w:jc w:val="both"/>
        <w:ind w:left="420"/>
        <w:spacing w:after="0" w:line="266"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We are implementing a multifaceted approach to achieve these goals. In our internal operations, we are focused on increasing our usage of renewable energy, as well as on efforts to reduce energy consumption and use energy more efficiently. In particular, we have developed, and are implementing, a comprehensive renewable energy strategy which includes the following:</w:t>
      </w:r>
    </w:p>
    <w:p>
      <w:pPr>
        <w:spacing w:after="0" w:line="13" w:lineRule="exact"/>
        <w:rPr>
          <w:rFonts w:ascii="Times New Roman" w:cs="Times New Roman" w:eastAsia="Times New Roman" w:hAnsi="Times New Roman"/>
          <w:sz w:val="18"/>
          <w:szCs w:val="18"/>
          <w:i w:val="1"/>
          <w:iCs w:val="1"/>
          <w:color w:val="auto"/>
        </w:rPr>
      </w:pPr>
    </w:p>
    <w:p>
      <w:pPr>
        <w:ind w:left="580"/>
        <w:spacing w:after="0"/>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  On-site renewable energy generation at certain sites (we currently have solar arrays operating at 22 sites in Europe, South America and China);</w:t>
      </w:r>
    </w:p>
    <w:p>
      <w:pPr>
        <w:spacing w:after="0" w:line="63" w:lineRule="exact"/>
        <w:rPr>
          <w:rFonts w:ascii="Times New Roman" w:cs="Times New Roman" w:eastAsia="Times New Roman" w:hAnsi="Times New Roman"/>
          <w:sz w:val="18"/>
          <w:szCs w:val="18"/>
          <w:i w:val="1"/>
          <w:iCs w:val="1"/>
          <w:color w:val="auto"/>
        </w:rPr>
      </w:pPr>
    </w:p>
    <w:p>
      <w:pPr>
        <w:ind w:left="580"/>
        <w:spacing w:after="0"/>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  Virtual power purchase agreements, where viable, to support new renewable energy projects;</w:t>
      </w:r>
    </w:p>
    <w:p>
      <w:pPr>
        <w:spacing w:after="0" w:line="63" w:lineRule="exact"/>
        <w:rPr>
          <w:rFonts w:ascii="Times New Roman" w:cs="Times New Roman" w:eastAsia="Times New Roman" w:hAnsi="Times New Roman"/>
          <w:sz w:val="18"/>
          <w:szCs w:val="18"/>
          <w:i w:val="1"/>
          <w:iCs w:val="1"/>
          <w:color w:val="auto"/>
        </w:rPr>
      </w:pPr>
    </w:p>
    <w:p>
      <w:pPr>
        <w:ind w:left="580"/>
        <w:spacing w:after="0"/>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  Purchasing energy attribute certificates, whether bundled with existing energy purchases or unbundled in certain regions; and</w:t>
      </w:r>
    </w:p>
    <w:p>
      <w:pPr>
        <w:spacing w:after="0" w:line="63" w:lineRule="exact"/>
        <w:rPr>
          <w:rFonts w:ascii="Times New Roman" w:cs="Times New Roman" w:eastAsia="Times New Roman" w:hAnsi="Times New Roman"/>
          <w:sz w:val="18"/>
          <w:szCs w:val="18"/>
          <w:i w:val="1"/>
          <w:iCs w:val="1"/>
          <w:color w:val="auto"/>
        </w:rPr>
      </w:pPr>
    </w:p>
    <w:p>
      <w:pPr>
        <w:ind w:left="580"/>
        <w:spacing w:after="0"/>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  Procuring renewable energy through electric utility programs, if viable.</w:t>
      </w:r>
    </w:p>
    <w:p>
      <w:pPr>
        <w:spacing w:after="0" w:line="117" w:lineRule="exact"/>
        <w:rPr>
          <w:sz w:val="20"/>
          <w:szCs w:val="20"/>
          <w:color w:val="auto"/>
        </w:rPr>
      </w:pPr>
    </w:p>
    <w:p>
      <w:pPr>
        <w:jc w:val="both"/>
        <w:ind w:left="420"/>
        <w:spacing w:after="0" w:line="261" w:lineRule="auto"/>
        <w:rPr>
          <w:sz w:val="20"/>
          <w:szCs w:val="20"/>
          <w:color w:val="auto"/>
        </w:rPr>
      </w:pPr>
      <w:r>
        <w:rPr>
          <w:rFonts w:ascii="Times New Roman" w:cs="Times New Roman" w:eastAsia="Times New Roman" w:hAnsi="Times New Roman"/>
          <w:sz w:val="18"/>
          <w:szCs w:val="18"/>
          <w:color w:val="auto"/>
        </w:rPr>
        <w:t>Our operations globally use our Energy Efficiency, Water Usage and Waste Reduction Playbooks to promote sustainable practices within our facilities, while at the same time increasing operational efficiency and reducing costs. In addition, our facilities' specifications for new construction and significant building refurbishments require the consideration of more energy efficient systems, such as heating and cooling systems, wherever practicable.</w:t>
      </w:r>
    </w:p>
    <w:p>
      <w:pPr>
        <w:spacing w:after="0" w:line="72" w:lineRule="exact"/>
        <w:rPr>
          <w:sz w:val="20"/>
          <w:szCs w:val="20"/>
          <w:color w:val="auto"/>
        </w:rPr>
      </w:pPr>
    </w:p>
    <w:p>
      <w:pPr>
        <w:jc w:val="both"/>
        <w:ind w:left="420"/>
        <w:spacing w:after="0" w:line="261" w:lineRule="auto"/>
        <w:rPr>
          <w:sz w:val="20"/>
          <w:szCs w:val="20"/>
          <w:color w:val="auto"/>
        </w:rPr>
      </w:pPr>
      <w:r>
        <w:rPr>
          <w:rFonts w:ascii="Times New Roman" w:cs="Times New Roman" w:eastAsia="Times New Roman" w:hAnsi="Times New Roman"/>
          <w:sz w:val="18"/>
          <w:szCs w:val="18"/>
          <w:color w:val="auto"/>
        </w:rPr>
        <w:t>While the foregoing efforts will help us drive toward the elimination of carbon emissions in those areas we directly control (Scope 1 and 2 emissions), we are also working across our value chain (including Scope 3 emissions). We are communicating to our suppliers our carbon and renewable energy goals, as well as our expectation that our suppliers have, and follow, their own internal policies regarding the conservation and efficient use of natural resources, including energy.</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400" w:hanging="230"/>
        <w:spacing w:after="0"/>
        <w:tabs>
          <w:tab w:leader="none" w:pos="400"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How We Are Driving Sustainable Products</w:t>
      </w:r>
    </w:p>
    <w:p>
      <w:pPr>
        <w:spacing w:after="0" w:line="119" w:lineRule="exact"/>
        <w:rPr>
          <w:rFonts w:ascii="Times New Roman" w:cs="Times New Roman" w:eastAsia="Times New Roman" w:hAnsi="Times New Roman"/>
          <w:sz w:val="18"/>
          <w:szCs w:val="18"/>
          <w:i w:val="1"/>
          <w:iCs w:val="1"/>
          <w:color w:val="auto"/>
        </w:rPr>
      </w:pPr>
    </w:p>
    <w:p>
      <w:pPr>
        <w:jc w:val="both"/>
        <w:ind w:left="420"/>
        <w:spacing w:after="0" w:line="243"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Certain of our product offerings are designed to capitalize on regulatory requirements and consumer preferences related to sustainability, such as electrical distribution and connection systems and BDUs designed for high-voltage applications, providing growth opportunities for our business. Our ComfortFlex by Lear</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and ComfortMax Seat by Lear</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modules can increase the efficiency of a vehicle's HVAC system and, in turn, potentially facilitate greater fuel efficiency, as well as an increased range for electric vehicles. In addition, our lightweight components and vertical integration capabilities can facilitate weight reductions and other performance efficiencies in our products, in turn enabling lower emissions and increased battery driving range.</w:t>
      </w:r>
    </w:p>
    <w:p>
      <w:pPr>
        <w:spacing w:after="0" w:line="88" w:lineRule="exact"/>
        <w:rPr>
          <w:rFonts w:ascii="Times New Roman" w:cs="Times New Roman" w:eastAsia="Times New Roman" w:hAnsi="Times New Roman"/>
          <w:sz w:val="18"/>
          <w:szCs w:val="18"/>
          <w:i w:val="1"/>
          <w:iCs w:val="1"/>
          <w:color w:val="auto"/>
        </w:rPr>
      </w:pPr>
    </w:p>
    <w:p>
      <w:pPr>
        <w:jc w:val="both"/>
        <w:ind w:left="420"/>
        <w:spacing w:after="0" w:line="235"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We are also developing products that are environmentally sustainable and that promote circularity in line with certain customer expectations and regulatory requirements. These products include, without limitation, FlexAir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our 100% recyclable non-foam alternative, and ReNewKnit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our sustainable wrap-knit textile alternative that is fully recyclable at its end of life and composed of 100% recycled material.</w:t>
      </w:r>
    </w:p>
    <w:p>
      <w:pPr>
        <w:spacing w:after="0" w:line="91" w:lineRule="exact"/>
        <w:rPr>
          <w:rFonts w:ascii="Times New Roman" w:cs="Times New Roman" w:eastAsia="Times New Roman" w:hAnsi="Times New Roman"/>
          <w:sz w:val="18"/>
          <w:szCs w:val="18"/>
          <w:i w:val="1"/>
          <w:iCs w:val="1"/>
          <w:color w:val="auto"/>
        </w:rPr>
      </w:pPr>
    </w:p>
    <w:p>
      <w:pPr>
        <w:jc w:val="both"/>
        <w:ind w:left="420"/>
        <w:spacing w:after="0" w:line="261"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We are committed to working with our suppliers and customers to source raw materials, including leather, in a sustainable manner. Our leather operations source cattle hides as a byproduct of the beef industry and are helping to protect forests by working to eliminate purchases of such hides from cattle farms involved in deforestation and forest degradation. Our No Deforestation Policy aligns with industry standards and requires of our suppliers:</w:t>
      </w:r>
    </w:p>
    <w:p>
      <w:pPr>
        <w:spacing w:after="0" w:line="17" w:lineRule="exact"/>
        <w:rPr>
          <w:rFonts w:ascii="Times New Roman" w:cs="Times New Roman" w:eastAsia="Times New Roman" w:hAnsi="Times New Roman"/>
          <w:sz w:val="18"/>
          <w:szCs w:val="18"/>
          <w:i w:val="1"/>
          <w:iCs w:val="1"/>
          <w:color w:val="auto"/>
        </w:rPr>
      </w:pPr>
    </w:p>
    <w:p>
      <w:pPr>
        <w:ind w:left="580"/>
        <w:spacing w:after="0"/>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  Supply chain transparency, so that all materials supplied to us are from legal sources;</w:t>
      </w:r>
    </w:p>
    <w:p>
      <w:pPr>
        <w:spacing w:after="0" w:line="63" w:lineRule="exact"/>
        <w:rPr>
          <w:rFonts w:ascii="Times New Roman" w:cs="Times New Roman" w:eastAsia="Times New Roman" w:hAnsi="Times New Roman"/>
          <w:sz w:val="18"/>
          <w:szCs w:val="18"/>
          <w:i w:val="1"/>
          <w:iCs w:val="1"/>
          <w:color w:val="auto"/>
        </w:rPr>
      </w:pPr>
    </w:p>
    <w:p>
      <w:pPr>
        <w:ind w:left="580"/>
        <w:spacing w:after="0"/>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  Land is not clear-cut or burned for production or development; and</w:t>
      </w:r>
    </w:p>
    <w:p>
      <w:pPr>
        <w:spacing w:after="0" w:line="63" w:lineRule="exact"/>
        <w:rPr>
          <w:rFonts w:ascii="Times New Roman" w:cs="Times New Roman" w:eastAsia="Times New Roman" w:hAnsi="Times New Roman"/>
          <w:sz w:val="18"/>
          <w:szCs w:val="18"/>
          <w:i w:val="1"/>
          <w:iCs w:val="1"/>
          <w:color w:val="auto"/>
        </w:rPr>
      </w:pPr>
    </w:p>
    <w:p>
      <w:pPr>
        <w:ind w:left="580"/>
        <w:spacing w:after="0"/>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  Compliance with governmental laws, regulations and guidelines regarding deforestation.</w:t>
      </w:r>
    </w:p>
    <w:p>
      <w:pPr>
        <w:spacing w:after="0" w:line="117" w:lineRule="exact"/>
        <w:rPr>
          <w:sz w:val="20"/>
          <w:szCs w:val="20"/>
          <w:color w:val="auto"/>
        </w:rPr>
      </w:pPr>
    </w:p>
    <w:p>
      <w:pPr>
        <w:jc w:val="both"/>
        <w:ind w:left="420"/>
        <w:spacing w:after="0" w:line="261" w:lineRule="auto"/>
        <w:rPr>
          <w:sz w:val="20"/>
          <w:szCs w:val="20"/>
          <w:color w:val="auto"/>
        </w:rPr>
      </w:pPr>
      <w:r>
        <w:rPr>
          <w:rFonts w:ascii="Times New Roman" w:cs="Times New Roman" w:eastAsia="Times New Roman" w:hAnsi="Times New Roman"/>
          <w:sz w:val="18"/>
          <w:szCs w:val="18"/>
          <w:color w:val="auto"/>
        </w:rPr>
        <w:t>With respect to the Amazon rainforest, 100% of the direct Brazilian suppliers to our leather operations use georeferencing technology to confirm that their suppliers did not directly buy cattle from farms involved in deforestation, invasion of indigenous and protected areas or other human rights violations. To monitor our suppliers' compliance with these requirements, we may conduct audits or assessments and/or require third-party verification.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Sustainability And Governance Initiatives</w:t>
      </w:r>
    </w:p>
    <w:p>
      <w:pPr>
        <w:spacing w:after="0" w:line="119" w:lineRule="exact"/>
        <w:rPr>
          <w:sz w:val="20"/>
          <w:szCs w:val="20"/>
          <w:color w:val="auto"/>
        </w:rPr>
      </w:pPr>
    </w:p>
    <w:p>
      <w:pPr>
        <w:jc w:val="both"/>
        <w:ind w:left="420"/>
        <w:spacing w:after="0" w:line="266" w:lineRule="auto"/>
        <w:rPr>
          <w:sz w:val="20"/>
          <w:szCs w:val="20"/>
          <w:color w:val="auto"/>
        </w:rPr>
      </w:pPr>
      <w:r>
        <w:rPr>
          <w:rFonts w:ascii="Times New Roman" w:cs="Times New Roman" w:eastAsia="Times New Roman" w:hAnsi="Times New Roman"/>
          <w:sz w:val="18"/>
          <w:szCs w:val="18"/>
          <w:color w:val="auto"/>
        </w:rPr>
        <w:t>We are especially proud of our employees' efforts to support our global communities. Through our Operation GIVE campaign at our Southfield, Michigan headquarters, over $700,000 in employee contributions benefited local programs focused on economic well-being, education and the environment in 2025. In addition, our teams completed numerous volunteer projects to support the global communities where we live and work.</w:t>
      </w:r>
    </w:p>
    <w:p>
      <w:pPr>
        <w:spacing w:after="0" w:line="68" w:lineRule="exact"/>
        <w:rPr>
          <w:sz w:val="20"/>
          <w:szCs w:val="20"/>
          <w:color w:val="auto"/>
        </w:rPr>
      </w:pPr>
    </w:p>
    <w:p>
      <w:pPr>
        <w:jc w:val="both"/>
        <w:ind w:left="420"/>
        <w:spacing w:after="0" w:line="282" w:lineRule="auto"/>
        <w:rPr>
          <w:sz w:val="20"/>
          <w:szCs w:val="20"/>
          <w:color w:val="auto"/>
        </w:rPr>
      </w:pPr>
      <w:r>
        <w:rPr>
          <w:rFonts w:ascii="Times New Roman" w:cs="Times New Roman" w:eastAsia="Times New Roman" w:hAnsi="Times New Roman"/>
          <w:sz w:val="18"/>
          <w:szCs w:val="18"/>
          <w:color w:val="auto"/>
        </w:rPr>
        <w:t>Our commitment to human rights is set forth in our Human Rights Policy which clearly defines how we approach, govern and defend the dignity of people throughout our operations, our global supply chain and our communities.</w:t>
      </w:r>
    </w:p>
    <w:p>
      <w:pPr>
        <w:spacing w:after="0" w:line="54" w:lineRule="exact"/>
        <w:rPr>
          <w:sz w:val="20"/>
          <w:szCs w:val="20"/>
          <w:color w:val="auto"/>
        </w:rPr>
      </w:pPr>
    </w:p>
    <w:p>
      <w:pPr>
        <w:jc w:val="both"/>
        <w:ind w:left="420"/>
        <w:spacing w:after="0" w:line="258" w:lineRule="auto"/>
        <w:rPr>
          <w:sz w:val="20"/>
          <w:szCs w:val="20"/>
          <w:color w:val="auto"/>
        </w:rPr>
      </w:pPr>
      <w:r>
        <w:rPr>
          <w:rFonts w:ascii="Times New Roman" w:cs="Times New Roman" w:eastAsia="Times New Roman" w:hAnsi="Times New Roman"/>
          <w:sz w:val="18"/>
          <w:szCs w:val="18"/>
          <w:color w:val="auto"/>
        </w:rPr>
        <w:t>Our governance activities help ensure that our business and operations are conducted in compliance with all applicable laws, as well as Lear's policies and procedures, particularly our Code of Business Conduct and Ethics. Our Board and its Audit and Governance and Sustainability Committees oversee our compliance and governance activities. Our expectations related to conducting business in a sustainable and ethical manner extend to our supply base. Suppliers must meet the requirements of our Supplier Sustainability Policy and Global Requirements Manual and Code of Conduct for Suppliers. We monitor and assess their compliance both internally and through the use of a third party.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Management</w:t>
      </w:r>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human capital management strategy reflects our belief that delivering the highest quality products and services requires a work environment that prioritizes safety and fosters collaboration, inclusion and respect for our employees worldwide. Oversight of this strategy rests with our Board and its People and Compensation Committee.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and 2024, our global employment levels were approximately:</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7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Region</w:t>
            </w:r>
          </w:p>
        </w:tc>
        <w:tc>
          <w:tcPr>
            <w:tcW w:w="6280" w:type="dxa"/>
            <w:vAlign w:val="bottom"/>
            <w:tcBorders>
              <w:top w:val="single" w:sz="8" w:color="auto"/>
              <w:bottom w:val="single" w:sz="8" w:color="auto"/>
            </w:tcBorders>
          </w:tcPr>
          <w:p>
            <w:pPr>
              <w:jc w:val="right"/>
              <w:ind w:right="832"/>
              <w:spacing w:after="0"/>
              <w:rPr>
                <w:sz w:val="20"/>
                <w:szCs w:val="20"/>
                <w:color w:val="auto"/>
              </w:rPr>
            </w:pPr>
            <w:r>
              <w:rPr>
                <w:rFonts w:ascii="Times New Roman" w:cs="Times New Roman" w:eastAsia="Times New Roman" w:hAnsi="Times New Roman"/>
                <w:sz w:val="14"/>
                <w:szCs w:val="14"/>
                <w:color w:val="auto"/>
              </w:rPr>
              <w:t>2025</w:t>
            </w:r>
          </w:p>
        </w:tc>
        <w:tc>
          <w:tcPr>
            <w:tcW w:w="1200" w:type="dxa"/>
            <w:vAlign w:val="bottom"/>
            <w:tcBorders>
              <w:top w:val="single" w:sz="8" w:color="auto"/>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color w:val="auto"/>
              </w:rPr>
              <w:t>2024</w:t>
            </w:r>
          </w:p>
        </w:tc>
      </w:tr>
      <w:tr>
        <w:trPr>
          <w:trHeight w:val="229"/>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 and Canada</w:t>
            </w:r>
          </w:p>
        </w:tc>
        <w:tc>
          <w:tcPr>
            <w:tcW w:w="628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9,800</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10,400</w:t>
            </w:r>
          </w:p>
        </w:tc>
      </w:tr>
      <w:tr>
        <w:trPr>
          <w:trHeight w:val="230"/>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Mexico</w:t>
            </w:r>
          </w:p>
        </w:tc>
        <w:tc>
          <w:tcPr>
            <w:tcW w:w="628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48,600</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51,900</w:t>
            </w:r>
          </w:p>
        </w:tc>
      </w:tr>
      <w:tr>
        <w:trPr>
          <w:trHeight w:val="230"/>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Central and South America</w:t>
            </w:r>
          </w:p>
        </w:tc>
        <w:tc>
          <w:tcPr>
            <w:tcW w:w="628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21,000</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23,500</w:t>
            </w:r>
          </w:p>
        </w:tc>
      </w:tr>
      <w:tr>
        <w:trPr>
          <w:trHeight w:val="229"/>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 and Africa</w:t>
            </w:r>
          </w:p>
        </w:tc>
        <w:tc>
          <w:tcPr>
            <w:tcW w:w="628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62,900</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64,500</w:t>
            </w:r>
          </w:p>
        </w:tc>
      </w:tr>
      <w:tr>
        <w:trPr>
          <w:trHeight w:val="230"/>
        </w:trPr>
        <w:tc>
          <w:tcPr>
            <w:tcW w:w="37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w:t>
            </w:r>
          </w:p>
        </w:tc>
        <w:tc>
          <w:tcPr>
            <w:tcW w:w="6280" w:type="dxa"/>
            <w:vAlign w:val="bottom"/>
            <w:tcBorders>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22,000</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23,400</w:t>
            </w:r>
          </w:p>
        </w:tc>
      </w:tr>
      <w:tr>
        <w:trPr>
          <w:trHeight w:val="230"/>
        </w:trPr>
        <w:tc>
          <w:tcPr>
            <w:tcW w:w="37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628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rPr>
              <w:t>164,300</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173,700</w:t>
            </w:r>
          </w:p>
        </w:tc>
      </w:tr>
      <w:tr>
        <w:trPr>
          <w:trHeight w:val="864"/>
        </w:trPr>
        <w:tc>
          <w:tcPr>
            <w:tcW w:w="3760" w:type="dxa"/>
            <w:vAlign w:val="bottom"/>
          </w:tcPr>
          <w:p>
            <w:pPr>
              <w:spacing w:after="0"/>
              <w:rPr>
                <w:sz w:val="24"/>
                <w:szCs w:val="24"/>
                <w:color w:val="auto"/>
              </w:rPr>
            </w:pPr>
          </w:p>
        </w:tc>
        <w:tc>
          <w:tcPr>
            <w:tcW w:w="6280" w:type="dxa"/>
            <w:vAlign w:val="bottom"/>
          </w:tcPr>
          <w:p>
            <w:pPr>
              <w:jc w:val="right"/>
              <w:ind w:right="4232"/>
              <w:spacing w:after="0"/>
              <w:rPr>
                <w:sz w:val="20"/>
                <w:szCs w:val="20"/>
                <w:color w:val="auto"/>
              </w:rPr>
            </w:pPr>
            <w:r>
              <w:rPr>
                <w:rFonts w:ascii="Times New Roman" w:cs="Times New Roman" w:eastAsia="Times New Roman" w:hAnsi="Times New Roman"/>
                <w:sz w:val="18"/>
                <w:szCs w:val="18"/>
                <w:color w:val="auto"/>
              </w:rPr>
              <w:t>16</w:t>
            </w:r>
          </w:p>
        </w:tc>
        <w:tc>
          <w:tcPr>
            <w:tcW w:w="1200" w:type="dxa"/>
            <w:vAlign w:val="bottom"/>
          </w:tcPr>
          <w:p>
            <w:pPr>
              <w:spacing w:after="0"/>
              <w:rPr>
                <w:sz w:val="24"/>
                <w:szCs w:val="24"/>
                <w:color w:val="auto"/>
              </w:rPr>
            </w:pPr>
          </w:p>
        </w:tc>
      </w:tr>
      <w:tr>
        <w:trPr>
          <w:trHeight w:val="115"/>
        </w:trPr>
        <w:tc>
          <w:tcPr>
            <w:tcW w:w="3760" w:type="dxa"/>
            <w:vAlign w:val="bottom"/>
            <w:tcBorders>
              <w:bottom w:val="single" w:sz="8" w:color="9A9A9A"/>
            </w:tcBorders>
          </w:tcPr>
          <w:p>
            <w:pPr>
              <w:spacing w:after="0"/>
              <w:rPr>
                <w:sz w:val="10"/>
                <w:szCs w:val="10"/>
                <w:color w:val="auto"/>
              </w:rPr>
            </w:pPr>
          </w:p>
        </w:tc>
        <w:tc>
          <w:tcPr>
            <w:tcW w:w="628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compensation and benefits strategy is designed to attract and retain top talent, foster a productive work environment and align employee interests with those of our stakeholders. Compensation includes base salary and, as appropriate for each role, performance-based and long-term incentive programs. We also offer market-competitive benefits, which may include medical, life and disability insurance, retirement savings plans, paid time off, parental leave and tuition reimbursement.</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substantial number of our employees are members of industrial trade unions or national trade organizations. We maintain collective bargaining agreements with several North American unions, including the United Auto Workers, Unifor, International Brotherhood of Electrical Workers and Workers United. Each unionized facility in the United States and Canada has its own agreement with independent expiration dates. Most employees in Mexico and Europe belong to industrial trade unions or confederations operating under national contracts not specific to any one employer. Labor disputes have been infrequent, and we have resolved all such matters promptly. We believe our employee relations are generally positive.</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See Item 1A, "Risk Factors — A significant labor dispute involving us or one or more of our customers or suppliers or that could otherwise affect our operations could adversely affect our financial performance," and Part II — Item 7, "Management's Discussion and Analysis of Financial Condition and Results of Operations — Forward-Looking Statements," included in this Report.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Engagement</w:t>
      </w:r>
    </w:p>
    <w:p>
      <w:pPr>
        <w:spacing w:after="0" w:line="11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Together We Win (TWW) </w:t>
      </w:r>
      <w:r>
        <w:rPr>
          <w:rFonts w:ascii="Times New Roman" w:cs="Times New Roman" w:eastAsia="Times New Roman" w:hAnsi="Times New Roman"/>
          <w:sz w:val="18"/>
          <w:szCs w:val="18"/>
          <w:color w:val="auto"/>
        </w:rPr>
        <w:t>has been our global employee engagement program to continue to enhance our culture. Plants progress through four segments —</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leadership, work environment, employee involvement and team empowerment. </w:t>
      </w:r>
      <w:r>
        <w:rPr>
          <w:rFonts w:ascii="Times New Roman" w:cs="Times New Roman" w:eastAsia="Times New Roman" w:hAnsi="Times New Roman"/>
          <w:sz w:val="18"/>
          <w:szCs w:val="18"/>
          <w:i w:val="1"/>
          <w:iCs w:val="1"/>
          <w:color w:val="auto"/>
        </w:rPr>
        <w:t>TWW</w:t>
      </w:r>
      <w:r>
        <w:rPr>
          <w:rFonts w:ascii="Times New Roman" w:cs="Times New Roman" w:eastAsia="Times New Roman" w:hAnsi="Times New Roman"/>
          <w:sz w:val="18"/>
          <w:szCs w:val="18"/>
          <w:color w:val="auto"/>
        </w:rPr>
        <w:t xml:space="preserve"> unites manufacturing employees worldwide to achieve excellence based on metrics such as quality, absenteeism, health and safety, and operational efficiency.</w:t>
      </w:r>
    </w:p>
    <w:p>
      <w:pPr>
        <w:spacing w:after="0" w:line="6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We are evolving </w:t>
      </w:r>
      <w:r>
        <w:rPr>
          <w:rFonts w:ascii="Times New Roman" w:cs="Times New Roman" w:eastAsia="Times New Roman" w:hAnsi="Times New Roman"/>
          <w:sz w:val="18"/>
          <w:szCs w:val="18"/>
          <w:i w:val="1"/>
          <w:iCs w:val="1"/>
          <w:color w:val="auto"/>
        </w:rPr>
        <w:t>TWW</w:t>
      </w:r>
      <w:r>
        <w:rPr>
          <w:rFonts w:ascii="Times New Roman" w:cs="Times New Roman" w:eastAsia="Times New Roman" w:hAnsi="Times New Roman"/>
          <w:sz w:val="18"/>
          <w:szCs w:val="18"/>
          <w:color w:val="auto"/>
        </w:rPr>
        <w:t xml:space="preserve"> to focus on the </w:t>
      </w:r>
      <w:r>
        <w:rPr>
          <w:rFonts w:ascii="Times New Roman" w:cs="Times New Roman" w:eastAsia="Times New Roman" w:hAnsi="Times New Roman"/>
          <w:sz w:val="18"/>
          <w:szCs w:val="18"/>
          <w:i w:val="1"/>
          <w:iCs w:val="1"/>
          <w:color w:val="auto"/>
        </w:rPr>
        <w:t>Employee Experience (EX)</w:t>
      </w:r>
      <w:r>
        <w:rPr>
          <w:rFonts w:ascii="Times New Roman" w:cs="Times New Roman" w:eastAsia="Times New Roman" w:hAnsi="Times New Roman"/>
          <w:sz w:val="18"/>
          <w:szCs w:val="18"/>
          <w:color w:val="auto"/>
        </w:rPr>
        <w:t xml:space="preserve"> and to improve every stage of the employee lifecycle — from hiring to retirement — through continuous feedback and tailored workplace adjustments based on that feedback. </w:t>
      </w:r>
      <w:r>
        <w:rPr>
          <w:rFonts w:ascii="Times New Roman" w:cs="Times New Roman" w:eastAsia="Times New Roman" w:hAnsi="Times New Roman"/>
          <w:sz w:val="18"/>
          <w:szCs w:val="18"/>
          <w:i w:val="1"/>
          <w:iCs w:val="1"/>
          <w:color w:val="auto"/>
        </w:rPr>
        <w:t>EX</w:t>
      </w:r>
      <w:r>
        <w:rPr>
          <w:rFonts w:ascii="Times New Roman" w:cs="Times New Roman" w:eastAsia="Times New Roman" w:hAnsi="Times New Roman"/>
          <w:sz w:val="18"/>
          <w:szCs w:val="18"/>
          <w:color w:val="auto"/>
        </w:rPr>
        <w:t xml:space="preserve"> efficiency will be evaluated by both operating performance indicators and employee metrics at a plant level. The program is currently being piloted in plants and administrative offices globally.</w:t>
      </w:r>
    </w:p>
    <w:p>
      <w:pPr>
        <w:spacing w:after="0" w:line="6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Champions of Lear </w:t>
      </w:r>
      <w:r>
        <w:rPr>
          <w:rFonts w:ascii="Times New Roman" w:cs="Times New Roman" w:eastAsia="Times New Roman" w:hAnsi="Times New Roman"/>
          <w:sz w:val="18"/>
          <w:szCs w:val="18"/>
          <w:color w:val="auto"/>
        </w:rPr>
        <w:t>is a recognition program celebrating teams of employees who demonstrate the highest levels of operational excellence, innovation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cultural leadership in our Company. Applications from individuals, teams or plants are reviewed by a diverse panel, including Lear leadership.</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Health and Safety</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health and safety programs are designed around global standards with appropriate variations to address the multiple jurisdictions and unique working environments of our manufacturing operations. Our health and safety management system is compliant with the International Organization for Standardization ("ISO") 45001 standard, and we implemented a more comprehensive program which combines ISO 14001 and 45001 requirements to improve efficiency and performance. Each of our locations performs regular safety audits to ensure that proper safety policies are in place and appropriate safety training is provided. In addition, we engage an independent third-party conformity assessment and certification vendor to audit selected operations for adherence to our global health and safety standards.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Talent Development and Culture</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We are committed to employee development. In 2025, we delivered more than six million hours of training on safety, leadership, quality, continuous improvement, lean manufacturing, and ISO, IATF and other certifications. Development opportunities enable employees at all levels to build their competencies and grow their careers and include programs for first-time managers, operational leadership academies and executive MBA scholarships. For example, our </w:t>
      </w:r>
      <w:r>
        <w:rPr>
          <w:rFonts w:ascii="Times New Roman" w:cs="Times New Roman" w:eastAsia="Times New Roman" w:hAnsi="Times New Roman"/>
          <w:sz w:val="18"/>
          <w:szCs w:val="18"/>
          <w:i w:val="1"/>
          <w:iCs w:val="1"/>
          <w:color w:val="auto"/>
        </w:rPr>
        <w:t>Global Shop Floor Leadership Program (GREAT)</w:t>
      </w:r>
      <w:r>
        <w:rPr>
          <w:rFonts w:ascii="Times New Roman" w:cs="Times New Roman" w:eastAsia="Times New Roman" w:hAnsi="Times New Roman"/>
          <w:sz w:val="18"/>
          <w:szCs w:val="18"/>
          <w:color w:val="auto"/>
        </w:rPr>
        <w:t xml:space="preserve"> equips plant supervisors with essential leadership skills, while </w:t>
      </w:r>
      <w:r>
        <w:rPr>
          <w:rFonts w:ascii="Times New Roman" w:cs="Times New Roman" w:eastAsia="Times New Roman" w:hAnsi="Times New Roman"/>
          <w:sz w:val="18"/>
          <w:szCs w:val="18"/>
          <w:i w:val="1"/>
          <w:iCs w:val="1"/>
          <w:color w:val="auto"/>
        </w:rPr>
        <w:t>Together We Grow</w:t>
      </w:r>
      <w:r>
        <w:rPr>
          <w:rFonts w:ascii="Times New Roman" w:cs="Times New Roman" w:eastAsia="Times New Roman" w:hAnsi="Times New Roman"/>
          <w:sz w:val="18"/>
          <w:szCs w:val="18"/>
          <w:color w:val="auto"/>
        </w:rPr>
        <w:t xml:space="preserve"> helps high-potential leaders build networks and careers at Lear.</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promote equal opportunity through human resource policies and practices. We value inclusion and diversity of all types. Our eight employee resource groups (ERGs) are open to all employees globally and held over 300 global events in 2025 to foster engagement and inclusion.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Ethics and Compliance</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conduct business with integrity and comply with all applicable laws. Our Code of Business Conduct and Ethics (the "Code") is the cornerstone of this commitment. In 2025, we enhanced the Code with expanded guidance, embedded training refreshers and a "Talk to Us" feature for direct communication with our Ethics &amp; Compliance team. We also introduced self-service tools for conflict-of-interest checks and government meeting disclosures.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Employees can report concerns through multiple channels, including a toll-free helpline, mobile app, online form and dedicated email, with anonymous reporting where permitted. Our strict Anti-Retaliation Policy protects employees who report in good faith. Oversight of ethics and compliance rests with senior management and the Audit Committee of our Board, which receives regular updates on program effectiveness from our Chief Compliance Officer. These measures underscore our commitment to transparency, accountability and ethical practices essential for long-term shareholder value.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2025, General Motors, one of the largest automotive and light truck manufacturers in the world, accounted for 22% of our net sales. In addition, Ford accounted for 12%, Mercedes-Benz and Volkswagen each accounted for 10% and Stellantis accounted for 9% of our 2025 net sales. Through acquisitions and organic growth, we strive to diversify our customer base to be reflective of the evolving regional markets in which we operate. We supply and have expertise in all vehicle segments of the automotive market. Our sales content tends to be higher on those vehicle platforms and segments which offer more features and functionality. The popularity of particular vehicle platforms and segments varies over time and by regional market. We expect to continue to win new business and grow sales in-line with or at a rate greater than overall automotive industry production. For further information related to our customers and domestic and foreign sales and operations, see Note 13, "Segment Reporting," to the consolidated financial statements included in this Report.</w:t>
      </w:r>
    </w:p>
    <w:p>
      <w:pPr>
        <w:spacing w:after="0" w:line="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customers award business to their suppliers in a number of ways, including the award of complete systems, which allows suppliers either to manufacture components internally or to purchase components from other suppliers at their discretion. Certain of our customers also elect to award certain components directly to component suppliers and independent of the award of the complete system. We have selectively expanded certain of our product offerings and component capabilities and continue to invest in manufacturing capacity in low-cost regions to enhance our cost structure and increase our vertical integration opportunities and participation in our customers' direct component sourcing.</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customers typically award contracts several years before actual production is scheduled to begin. Each year, the automotive manufacturers introduce new models, update existing models and discontinue certain models and, periodically, even complete brands. In this process, we may be selected as the supplier on a new model, we may continue as the supplier on an updated model or we may lose the business on a new or updated model to a competitor.</w:t>
      </w:r>
    </w:p>
    <w:p>
      <w:pPr>
        <w:spacing w:after="0" w:line="6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core sales backlog reflects our estimated net sales over the next two years from formally awarded new programs, less lost and discontinued programs. This measure excludes the sales backlog at our non-consolidated joint ventures and the impact of the wind down of non-core products in our E-Systems business. As of February 2026, our 2026 to 2027 sales backlog is $1.3 billion of which 90% and 10% are related to our Seating and E-Systems segments, respectively. Our current sales backlog reflects $0.6 billion related to 2026. In addition, our 2026 to 2027 sales backlog at our non-consolidated joint ventures is approximately $0.6 billion. Our current sales backlog assumes volumes based on the independent industry projections of S&amp;P Global Mobility as of January 2026 and internal estimates, a Euro exchange rate of $1.16/Euro and a Chinese renminbi exchange rate of 7.10/$. This sales backlog is generally subject to a number of risks and uncertainties, including vehicle production volumes on new and replacement programs and foreign exchange rates, as well as the timing of production launches and changes in customer development plans. For additional information regarding risks that may affect our sales backlog, see Item 1A, "Risk Factors," and Part II — Item 7, "Management's Discussion and Analysis of Financial Condition and Results of Operations — Forward-Looking Statements," included in this Report.</w:t>
      </w:r>
    </w:p>
    <w:p>
      <w:pPr>
        <w:spacing w:after="0" w:line="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receive purchase orders from our customers that generally provide for the supply of a customer's annual requirements for a particular vehicle model and assembly plant, or in some cases, for the supply of a customer's requirements for the life of a particular vehicle model, rather than for the purchase of a specified quantity of products. Although most purchase orders may be terminated by our customers at any time, such terminations have been infrequent and have not had a material impact on our operating results. We are subject to risks that an automotive manufacturer will produce fewer units of a vehicle model than anticipated or that an automotive manufacturer will not award us a replacement program following the life of a vehicle model. To reduce our reliance on any one vehicle model, we produce automotive systems and components for a broad cross-section of both new and established models. However, larger cars and light trucks, as well as vehicle platforms that offer more features and functionality, such as luxury, sport utility and crossover vehicles, typically have more content and, therefore, tend to have a more significant impact on our operating performance. Our net sales for the year ended December 31, 2025, consisted of 21% passenger cars, 57% crossover and sport utility vehicles and 21% trucks and vans.</w:t>
      </w:r>
    </w:p>
    <w:p>
      <w:pPr>
        <w:spacing w:after="0" w:line="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agreements with our major customers generally provide for an annual productivity price reduction. In addition, raw material, energy, commodity, product component and labor costs can be volatile. Cost reductions through product design changes and improved manufacturing productivity through automation and other advanced technologies, together with similar price reduction programs with our suppliers and commercial negotiations with our customers and suppliers, are designed to more than offset these customer-imposed price reductions and cost increases. Certain of these strategies may limit our opportunities in a declining price environment. In addition, we are exposed to market risk associated with fluctuations in foreign exchange as a result of our low-cost footprint and vertical integration strategies. We use derivative financial instruments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reduce our exposure to fluctuations in foreign exchange rates. For additional information regarding our foreign exchange and commodity price risk, see Part II — Item 7, "Management's Discussion and Analysis of Financial Condition and Results of Operations — Liquidity and Capital Resources — Commodity Prices," and Item 7A, "Quantitative and Qualitative Disclosures about Market Risk — Market Risk Sensitivity — Foreign Exchange," included in this Report.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principal operations are directly related to the automotive industry. Consequently, we may experience seasonal fluctuations to the extent automotive vehicle production slows, such as in the summer months when many customer plants close for holidays and/or model year changeovers, as well as in December when many customer plants close for the holidays.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Raw Materials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principal raw materials used in our seat systems, electrical distribution and connection systems, BDUs and electronic controllers are generally available and obtained from multiple suppliers under various types of supply agreements. Components such as seat trim covers, surface materials such as leather and fabric, seat mechanisms, seat cushioning, thermal comfort systems such as seat heating, ventilation, active cooling, pneumatic lumbar and massage products, headrests, connection systems and certain other components are either manufactured by us internally or purchased from multiple suppliers under various types of supply agreements (certain of which are sourced by our customers and certain of which are sourced by us). The majority of the steel used in our products is comprised of fabricated components that are integrated into a seat system, such as seat frames, recliner mechanisms, seat tracks and other mechanical components. Therefore, our exposure to changes in steel prices is primarily indirect, through these purchased components. With the exception of certain connection systems, the materials that we use to manufacture wire harness assemblies are substantially purchased from suppliers, including extruded and insulated wire and cable. The majority of our copper purchases are comprised of extruded wire and cable that we integrate into electrical wire harnesses. In general, our copper purchases, as well as a significant portion of our leather purchases, are subject to price index agreements with our customers and suppliers. We utilize a combination of short-term and long-term supply contracts to purchase key components. We generally retain the right to terminate these agreements if our supplier does not remain competitive in terms of cost, quality, delivery, technology or customer support.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Worldwide, we have approximately 2,700 patents and patent applications pending. While we believe that our patent portfolio is a valuable asset, no individual patent or group of patents is critical to the success of our business. We also license selected technologies to automotive manufacturers and to other automotive suppliers. We continually strive to identify and implement new technologies for use in the design and development of our products.</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Advanced technology development is conducted worldwide at our seven advanced technology centers and at our product engineering centers. At these centers, we engineer our products to comply with applicable safety standards, meet quality and durability standards, respond to environmental conditions and conform to customer and consumer requirements. Our global innovation and technology center located in Southfield, Michigan, develops and integrates new concepts and is our central location for consumer research, benchmarking, craftsmanship and industrial design activity.</w:t>
      </w:r>
    </w:p>
    <w:p>
      <w:pPr>
        <w:spacing w:after="0" w:line="72"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7"/>
          <w:szCs w:val="17"/>
          <w:color w:val="auto"/>
        </w:rPr>
        <w:t>We have numerous registered trademarks in the United States and in many foreign countries. The most important of these marks include LEAR CORPORATION</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(including our stylized version thereof) and LEAR</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which are widely used in connection with our products and services. Our other principal brands include GUILFORD</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EAGLE OTTAWA</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THAGORA</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and IGB AUTOMOTIVE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ComfortFlex by Lear</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7"/>
          <w:szCs w:val="17"/>
          <w:color w:val="auto"/>
        </w:rPr>
        <w:t xml:space="preserve"> technology, ComfortMax Seat by Lear</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7"/>
          <w:szCs w:val="17"/>
          <w:color w:val="auto"/>
        </w:rPr>
        <w:t xml:space="preserve"> technology, ConfigurE+</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7"/>
          <w:szCs w:val="17"/>
          <w:color w:val="auto"/>
        </w:rPr>
        <w:t xml:space="preserve"> seating, FlexAir</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non-foam alternative, INTU</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seating, ProTec</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active head restraints, ReNewKnit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fabrics, SoyFoam</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7"/>
          <w:szCs w:val="17"/>
          <w:color w:val="auto"/>
        </w:rPr>
        <w:t xml:space="preserve"> foam substitute and TeXstyle</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7"/>
          <w:szCs w:val="17"/>
          <w:color w:val="auto"/>
        </w:rPr>
        <w:t xml:space="preserve"> fabrics are some of our other trademarks used in connection with certain of our product lines.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Regulations and Environmental Matters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subject to a variety of federal, state, local and foreign laws and regulations, including those related to health, safety and, increasingly, sustainability matters. Costs incurred to comply with these governmental regulations are not material to our capital expenditures, financial performance or competitive position. For additional information about the impact of government regulations on our business, see Item 1A, "Risk Factors — Legal and Regulatory Risks," included in this Report.</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committed to sustainability in our operations and products. We adhere to local, state, federal and foreign laws, regulations and ordinances which govern activities or operations that may have adverse environmental effects. These laws, regulations and ordinances may impose liability for clean-up costs resulting from past spills, disposals or other releases of hazardous wastes. For a description of our outstanding environmental matters and other legal proceedings, see Note 12, "Legal and Other Contingencies," to the consolidated financial statements included in this Report.</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our customers are subject to significant environmentally focused state, federal and foreign laws and regulations that regulate vehicle emissions, fuel economy and other matters related to the environmental impact of vehicles. To the extent that such laws and regulations ultimately increase or decrease automotive vehicle production, such laws and regulations would likely impact our business. See Item 1A, "Risk Factors," included in this Report.</w:t>
      </w:r>
    </w:p>
    <w:p>
      <w:pPr>
        <w:spacing w:after="0" w:line="64"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Furthermore, we currently offer products that advance sustainability, such as ReNewKnit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FlexAir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and are creating technologies that facilitate environmentally friendly transportation alternatives, such as electric and hybrid vehicles. Our expertise, capabilities and environmental leadership are allowing us to expand our product offerings in this area.</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Joint Ventures and Noncontrolling Interests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form joint ventures in order to gain entry into new markets, expand our product offerings and broaden our customer base. In particular, we believe that certain joint ventures have provided us, and will continue to provide us, with the opportunity to expand our business relationships with Asian automotive manufacturers, particularly in emerging markets. We also partner with companies having significant local experience in commerce and customs, as well as capacity, to reduce our financial risk and enhance our potential for achieving expected financial returns. In some cases, these joint ventures may be located in North America and used to expand our customer relationships.</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2025, we had eighteen operating joint ventures located in five countries. Of these joint ventures, eight are consolidated, and ten are accounted for using the equity method of accounting. Sixteen of the joint ventures operate in Asia, and two operate in North America (both of which are dedicated to serving Asian automotive manufacturers). Net sales of our consolidated joint ventures accounted for approximately 9% of our net sales in 2025. As of December 31, 2025, our investments in non-consolidated joint ventures totaled $232 million.</w:t>
      </w:r>
    </w:p>
    <w:p>
      <w:pPr>
        <w:spacing w:after="0" w:line="7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summary of our non-consolidated operating joint ventures, including ownership percentages, is shown below. For further information related to our joint ventures, see Note 4, "Investments in Affiliates and Other Related Party Transactions," to the consolidated financial statements included in this Report.</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196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Country</w:t>
            </w:r>
          </w:p>
        </w:tc>
        <w:tc>
          <w:tcPr>
            <w:tcW w:w="6320" w:type="dxa"/>
            <w:vAlign w:val="bottom"/>
            <w:tcBorders>
              <w:top w:val="single" w:sz="8" w:color="auto"/>
            </w:tcBorders>
            <w:vMerge w:val="restart"/>
          </w:tcPr>
          <w:p>
            <w:pPr>
              <w:ind w:left="280"/>
              <w:spacing w:after="0"/>
              <w:rPr>
                <w:sz w:val="20"/>
                <w:szCs w:val="20"/>
                <w:color w:val="auto"/>
              </w:rPr>
            </w:pPr>
            <w:r>
              <w:rPr>
                <w:rFonts w:ascii="Times New Roman" w:cs="Times New Roman" w:eastAsia="Times New Roman" w:hAnsi="Times New Roman"/>
                <w:sz w:val="14"/>
                <w:szCs w:val="14"/>
                <w:color w:val="auto"/>
              </w:rPr>
              <w:t>Name</w:t>
            </w:r>
          </w:p>
        </w:tc>
        <w:tc>
          <w:tcPr>
            <w:tcW w:w="2960" w:type="dxa"/>
            <w:vAlign w:val="bottom"/>
            <w:tcBorders>
              <w:top w:val="single" w:sz="8" w:color="auto"/>
            </w:tcBorders>
          </w:tcPr>
          <w:p>
            <w:pPr>
              <w:ind w:left="1620"/>
              <w:spacing w:after="0"/>
              <w:rPr>
                <w:sz w:val="20"/>
                <w:szCs w:val="20"/>
                <w:color w:val="auto"/>
              </w:rPr>
            </w:pPr>
            <w:r>
              <w:rPr>
                <w:rFonts w:ascii="Times New Roman" w:cs="Times New Roman" w:eastAsia="Times New Roman" w:hAnsi="Times New Roman"/>
                <w:sz w:val="14"/>
                <w:szCs w:val="14"/>
                <w:color w:val="auto"/>
              </w:rPr>
              <w:t>Ownership</w:t>
            </w:r>
          </w:p>
        </w:tc>
        <w:tc>
          <w:tcPr>
            <w:tcW w:w="0" w:type="dxa"/>
            <w:vAlign w:val="bottom"/>
          </w:tcPr>
          <w:p>
            <w:pPr>
              <w:spacing w:after="0"/>
              <w:rPr>
                <w:sz w:val="1"/>
                <w:szCs w:val="1"/>
                <w:color w:val="auto"/>
              </w:rPr>
            </w:pPr>
          </w:p>
        </w:tc>
      </w:tr>
      <w:tr>
        <w:trPr>
          <w:trHeight w:val="193"/>
        </w:trPr>
        <w:tc>
          <w:tcPr>
            <w:tcW w:w="1960" w:type="dxa"/>
            <w:vAlign w:val="bottom"/>
            <w:tcBorders>
              <w:bottom w:val="single" w:sz="8" w:color="auto"/>
            </w:tcBorders>
            <w:vMerge w:val="continue"/>
          </w:tcPr>
          <w:p>
            <w:pPr>
              <w:spacing w:after="0"/>
              <w:rPr>
                <w:sz w:val="16"/>
                <w:szCs w:val="16"/>
                <w:color w:val="auto"/>
              </w:rPr>
            </w:pPr>
          </w:p>
        </w:tc>
        <w:tc>
          <w:tcPr>
            <w:tcW w:w="6320" w:type="dxa"/>
            <w:vAlign w:val="bottom"/>
            <w:tcBorders>
              <w:bottom w:val="single" w:sz="8" w:color="auto"/>
            </w:tcBorders>
            <w:vMerge w:val="continue"/>
          </w:tcPr>
          <w:p>
            <w:pPr>
              <w:spacing w:after="0"/>
              <w:rPr>
                <w:sz w:val="16"/>
                <w:szCs w:val="16"/>
                <w:color w:val="auto"/>
              </w:rPr>
            </w:pPr>
          </w:p>
        </w:tc>
        <w:tc>
          <w:tcPr>
            <w:tcW w:w="2960" w:type="dxa"/>
            <w:vAlign w:val="bottom"/>
            <w:tcBorders>
              <w:bottom w:val="single" w:sz="8" w:color="auto"/>
            </w:tcBorders>
          </w:tcPr>
          <w:p>
            <w:pPr>
              <w:ind w:left="1620"/>
              <w:spacing w:after="0"/>
              <w:rPr>
                <w:sz w:val="20"/>
                <w:szCs w:val="20"/>
                <w:color w:val="auto"/>
              </w:rPr>
            </w:pPr>
            <w:r>
              <w:rPr>
                <w:rFonts w:ascii="Times New Roman" w:cs="Times New Roman" w:eastAsia="Times New Roman" w:hAnsi="Times New Roman"/>
                <w:sz w:val="14"/>
                <w:szCs w:val="14"/>
                <w:color w:val="auto"/>
              </w:rPr>
              <w:t>Percentage</w:t>
            </w:r>
          </w:p>
        </w:tc>
        <w:tc>
          <w:tcPr>
            <w:tcW w:w="0" w:type="dxa"/>
            <w:vAlign w:val="bottom"/>
          </w:tcPr>
          <w:p>
            <w:pPr>
              <w:spacing w:after="0"/>
              <w:rPr>
                <w:sz w:val="1"/>
                <w:szCs w:val="1"/>
                <w:color w:val="auto"/>
              </w:rPr>
            </w:pPr>
          </w:p>
        </w:tc>
      </w:tr>
      <w:tr>
        <w:trPr>
          <w:trHeight w:val="228"/>
        </w:trPr>
        <w:tc>
          <w:tcPr>
            <w:tcW w:w="1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63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Beijing BHAP Lear Automotive Systems Co., Ltd.</w:t>
            </w:r>
          </w:p>
        </w:tc>
        <w:tc>
          <w:tcPr>
            <w:tcW w:w="2960" w:type="dxa"/>
            <w:vAlign w:val="bottom"/>
            <w:shd w:val="clear" w:color="auto" w:fill="CCEEFF"/>
          </w:tcPr>
          <w:p>
            <w:pPr>
              <w:jc w:val="center"/>
              <w:ind w:left="833"/>
              <w:spacing w:after="0"/>
              <w:rPr>
                <w:sz w:val="20"/>
                <w:szCs w:val="20"/>
                <w:color w:val="auto"/>
              </w:rPr>
            </w:pPr>
            <w:r>
              <w:rPr>
                <w:rFonts w:ascii="Times New Roman" w:cs="Times New Roman" w:eastAsia="Times New Roman" w:hAnsi="Times New Roman"/>
                <w:sz w:val="18"/>
                <w:szCs w:val="18"/>
                <w:color w:val="auto"/>
                <w:w w:val="96"/>
              </w:rPr>
              <w:t>50%</w:t>
            </w:r>
          </w:p>
        </w:tc>
        <w:tc>
          <w:tcPr>
            <w:tcW w:w="0" w:type="dxa"/>
            <w:vAlign w:val="bottom"/>
          </w:tcPr>
          <w:p>
            <w:pPr>
              <w:spacing w:after="0"/>
              <w:rPr>
                <w:sz w:val="1"/>
                <w:szCs w:val="1"/>
                <w:color w:val="auto"/>
              </w:rPr>
            </w:pPr>
          </w:p>
        </w:tc>
      </w:tr>
      <w:tr>
        <w:trPr>
          <w:trHeight w:val="230"/>
        </w:trPr>
        <w:tc>
          <w:tcPr>
            <w:tcW w:w="1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63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Beijing Lear Hyundai Transys Co., Ltd.</w:t>
            </w:r>
          </w:p>
        </w:tc>
        <w:tc>
          <w:tcPr>
            <w:tcW w:w="2960" w:type="dxa"/>
            <w:vAlign w:val="bottom"/>
          </w:tcPr>
          <w:p>
            <w:pPr>
              <w:jc w:val="center"/>
              <w:ind w:left="853"/>
              <w:spacing w:after="0"/>
              <w:rPr>
                <w:sz w:val="20"/>
                <w:szCs w:val="20"/>
                <w:color w:val="auto"/>
              </w:rPr>
            </w:pPr>
            <w:r>
              <w:rPr>
                <w:rFonts w:ascii="Times New Roman" w:cs="Times New Roman" w:eastAsia="Times New Roman" w:hAnsi="Times New Roman"/>
                <w:sz w:val="18"/>
                <w:szCs w:val="18"/>
                <w:color w:val="auto"/>
                <w:w w:val="99"/>
              </w:rPr>
              <w:t>50</w:t>
            </w:r>
          </w:p>
        </w:tc>
        <w:tc>
          <w:tcPr>
            <w:tcW w:w="0" w:type="dxa"/>
            <w:vAlign w:val="bottom"/>
          </w:tcPr>
          <w:p>
            <w:pPr>
              <w:spacing w:after="0"/>
              <w:rPr>
                <w:sz w:val="1"/>
                <w:szCs w:val="1"/>
                <w:color w:val="auto"/>
              </w:rPr>
            </w:pPr>
          </w:p>
        </w:tc>
      </w:tr>
      <w:tr>
        <w:trPr>
          <w:trHeight w:val="229"/>
        </w:trPr>
        <w:tc>
          <w:tcPr>
            <w:tcW w:w="1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63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Guangzhou Lear Automotive Components Co., Ltd.</w:t>
            </w:r>
          </w:p>
        </w:tc>
        <w:tc>
          <w:tcPr>
            <w:tcW w:w="2960" w:type="dxa"/>
            <w:vAlign w:val="bottom"/>
            <w:shd w:val="clear" w:color="auto" w:fill="CCEEFF"/>
          </w:tcPr>
          <w:p>
            <w:pPr>
              <w:jc w:val="center"/>
              <w:ind w:left="853"/>
              <w:spacing w:after="0"/>
              <w:rPr>
                <w:sz w:val="20"/>
                <w:szCs w:val="20"/>
                <w:color w:val="auto"/>
              </w:rPr>
            </w:pPr>
            <w:r>
              <w:rPr>
                <w:rFonts w:ascii="Times New Roman" w:cs="Times New Roman" w:eastAsia="Times New Roman" w:hAnsi="Times New Roman"/>
                <w:sz w:val="18"/>
                <w:szCs w:val="18"/>
                <w:color w:val="auto"/>
                <w:w w:val="99"/>
              </w:rPr>
              <w:t>50</w:t>
            </w:r>
          </w:p>
        </w:tc>
        <w:tc>
          <w:tcPr>
            <w:tcW w:w="0" w:type="dxa"/>
            <w:vAlign w:val="bottom"/>
          </w:tcPr>
          <w:p>
            <w:pPr>
              <w:spacing w:after="0"/>
              <w:rPr>
                <w:sz w:val="1"/>
                <w:szCs w:val="1"/>
                <w:color w:val="auto"/>
              </w:rPr>
            </w:pPr>
          </w:p>
        </w:tc>
      </w:tr>
      <w:tr>
        <w:trPr>
          <w:trHeight w:val="230"/>
        </w:trPr>
        <w:tc>
          <w:tcPr>
            <w:tcW w:w="1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63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Jiangxi Jiangling Lear Interior Systems Co., Ltd.</w:t>
            </w:r>
          </w:p>
        </w:tc>
        <w:tc>
          <w:tcPr>
            <w:tcW w:w="2960" w:type="dxa"/>
            <w:vAlign w:val="bottom"/>
          </w:tcPr>
          <w:p>
            <w:pPr>
              <w:jc w:val="center"/>
              <w:ind w:left="853"/>
              <w:spacing w:after="0"/>
              <w:rPr>
                <w:sz w:val="20"/>
                <w:szCs w:val="20"/>
                <w:color w:val="auto"/>
              </w:rPr>
            </w:pPr>
            <w:r>
              <w:rPr>
                <w:rFonts w:ascii="Times New Roman" w:cs="Times New Roman" w:eastAsia="Times New Roman" w:hAnsi="Times New Roman"/>
                <w:sz w:val="18"/>
                <w:szCs w:val="18"/>
                <w:color w:val="auto"/>
                <w:w w:val="99"/>
              </w:rPr>
              <w:t>50</w:t>
            </w:r>
          </w:p>
        </w:tc>
        <w:tc>
          <w:tcPr>
            <w:tcW w:w="0" w:type="dxa"/>
            <w:vAlign w:val="bottom"/>
          </w:tcPr>
          <w:p>
            <w:pPr>
              <w:spacing w:after="0"/>
              <w:rPr>
                <w:sz w:val="1"/>
                <w:szCs w:val="1"/>
                <w:color w:val="auto"/>
              </w:rPr>
            </w:pPr>
          </w:p>
        </w:tc>
      </w:tr>
      <w:tr>
        <w:trPr>
          <w:trHeight w:val="230"/>
        </w:trPr>
        <w:tc>
          <w:tcPr>
            <w:tcW w:w="1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63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Lear Dongfeng Automotive Seating Co., Ltd.</w:t>
            </w:r>
          </w:p>
        </w:tc>
        <w:tc>
          <w:tcPr>
            <w:tcW w:w="2960" w:type="dxa"/>
            <w:vAlign w:val="bottom"/>
            <w:shd w:val="clear" w:color="auto" w:fill="CCEEFF"/>
          </w:tcPr>
          <w:p>
            <w:pPr>
              <w:jc w:val="center"/>
              <w:ind w:left="853"/>
              <w:spacing w:after="0"/>
              <w:rPr>
                <w:sz w:val="20"/>
                <w:szCs w:val="20"/>
                <w:color w:val="auto"/>
              </w:rPr>
            </w:pPr>
            <w:r>
              <w:rPr>
                <w:rFonts w:ascii="Times New Roman" w:cs="Times New Roman" w:eastAsia="Times New Roman" w:hAnsi="Times New Roman"/>
                <w:sz w:val="18"/>
                <w:szCs w:val="18"/>
                <w:color w:val="auto"/>
                <w:w w:val="99"/>
              </w:rPr>
              <w:t>50</w:t>
            </w:r>
          </w:p>
        </w:tc>
        <w:tc>
          <w:tcPr>
            <w:tcW w:w="0" w:type="dxa"/>
            <w:vAlign w:val="bottom"/>
          </w:tcPr>
          <w:p>
            <w:pPr>
              <w:spacing w:after="0"/>
              <w:rPr>
                <w:sz w:val="1"/>
                <w:szCs w:val="1"/>
                <w:color w:val="auto"/>
              </w:rPr>
            </w:pPr>
          </w:p>
        </w:tc>
      </w:tr>
      <w:tr>
        <w:trPr>
          <w:trHeight w:val="229"/>
        </w:trPr>
        <w:tc>
          <w:tcPr>
            <w:tcW w:w="1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63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Changchun Lear FAWSN Automotive Seat Systems Co., Ltd.</w:t>
            </w:r>
          </w:p>
        </w:tc>
        <w:tc>
          <w:tcPr>
            <w:tcW w:w="2960" w:type="dxa"/>
            <w:vAlign w:val="bottom"/>
          </w:tcPr>
          <w:p>
            <w:pPr>
              <w:jc w:val="center"/>
              <w:ind w:left="853"/>
              <w:spacing w:after="0"/>
              <w:rPr>
                <w:sz w:val="20"/>
                <w:szCs w:val="20"/>
                <w:color w:val="auto"/>
              </w:rPr>
            </w:pPr>
            <w:r>
              <w:rPr>
                <w:rFonts w:ascii="Times New Roman" w:cs="Times New Roman" w:eastAsia="Times New Roman" w:hAnsi="Times New Roman"/>
                <w:sz w:val="18"/>
                <w:szCs w:val="18"/>
                <w:color w:val="auto"/>
                <w:w w:val="99"/>
              </w:rPr>
              <w:t>49</w:t>
            </w:r>
          </w:p>
        </w:tc>
        <w:tc>
          <w:tcPr>
            <w:tcW w:w="0" w:type="dxa"/>
            <w:vAlign w:val="bottom"/>
          </w:tcPr>
          <w:p>
            <w:pPr>
              <w:spacing w:after="0"/>
              <w:rPr>
                <w:sz w:val="1"/>
                <w:szCs w:val="1"/>
                <w:color w:val="auto"/>
              </w:rPr>
            </w:pPr>
          </w:p>
        </w:tc>
      </w:tr>
      <w:tr>
        <w:trPr>
          <w:trHeight w:val="230"/>
        </w:trPr>
        <w:tc>
          <w:tcPr>
            <w:tcW w:w="1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63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Shenyang Jinbei Lear Automotive Seating Co. Ltd.</w:t>
            </w:r>
          </w:p>
        </w:tc>
        <w:tc>
          <w:tcPr>
            <w:tcW w:w="2960" w:type="dxa"/>
            <w:vAlign w:val="bottom"/>
            <w:shd w:val="clear" w:color="auto" w:fill="CCEEFF"/>
          </w:tcPr>
          <w:p>
            <w:pPr>
              <w:jc w:val="center"/>
              <w:ind w:left="853"/>
              <w:spacing w:after="0"/>
              <w:rPr>
                <w:sz w:val="20"/>
                <w:szCs w:val="20"/>
                <w:color w:val="auto"/>
              </w:rPr>
            </w:pPr>
            <w:r>
              <w:rPr>
                <w:rFonts w:ascii="Times New Roman" w:cs="Times New Roman" w:eastAsia="Times New Roman" w:hAnsi="Times New Roman"/>
                <w:sz w:val="18"/>
                <w:szCs w:val="18"/>
                <w:color w:val="auto"/>
                <w:w w:val="99"/>
              </w:rPr>
              <w:t>49</w:t>
            </w:r>
          </w:p>
        </w:tc>
        <w:tc>
          <w:tcPr>
            <w:tcW w:w="0" w:type="dxa"/>
            <w:vAlign w:val="bottom"/>
          </w:tcPr>
          <w:p>
            <w:pPr>
              <w:spacing w:after="0"/>
              <w:rPr>
                <w:sz w:val="1"/>
                <w:szCs w:val="1"/>
                <w:color w:val="auto"/>
              </w:rPr>
            </w:pPr>
          </w:p>
        </w:tc>
      </w:tr>
      <w:tr>
        <w:trPr>
          <w:trHeight w:val="230"/>
        </w:trPr>
        <w:tc>
          <w:tcPr>
            <w:tcW w:w="1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Honduras</w:t>
            </w:r>
          </w:p>
        </w:tc>
        <w:tc>
          <w:tcPr>
            <w:tcW w:w="63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Honduras Electrical Distribution Systems S. de R.L. de C.V.</w:t>
            </w:r>
          </w:p>
        </w:tc>
        <w:tc>
          <w:tcPr>
            <w:tcW w:w="2960" w:type="dxa"/>
            <w:vAlign w:val="bottom"/>
          </w:tcPr>
          <w:p>
            <w:pPr>
              <w:jc w:val="center"/>
              <w:ind w:left="853"/>
              <w:spacing w:after="0"/>
              <w:rPr>
                <w:sz w:val="20"/>
                <w:szCs w:val="20"/>
                <w:color w:val="auto"/>
              </w:rPr>
            </w:pPr>
            <w:r>
              <w:rPr>
                <w:rFonts w:ascii="Times New Roman" w:cs="Times New Roman" w:eastAsia="Times New Roman" w:hAnsi="Times New Roman"/>
                <w:sz w:val="18"/>
                <w:szCs w:val="18"/>
                <w:color w:val="auto"/>
                <w:w w:val="99"/>
              </w:rPr>
              <w:t>49</w:t>
            </w:r>
          </w:p>
        </w:tc>
        <w:tc>
          <w:tcPr>
            <w:tcW w:w="0" w:type="dxa"/>
            <w:vAlign w:val="bottom"/>
          </w:tcPr>
          <w:p>
            <w:pPr>
              <w:spacing w:after="0"/>
              <w:rPr>
                <w:sz w:val="1"/>
                <w:szCs w:val="1"/>
                <w:color w:val="auto"/>
              </w:rPr>
            </w:pPr>
          </w:p>
        </w:tc>
      </w:tr>
      <w:tr>
        <w:trPr>
          <w:trHeight w:val="230"/>
        </w:trPr>
        <w:tc>
          <w:tcPr>
            <w:tcW w:w="1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 / Mexico</w:t>
            </w:r>
          </w:p>
        </w:tc>
        <w:tc>
          <w:tcPr>
            <w:tcW w:w="63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Kyungshin-Lear Sales and Engineering LLC</w:t>
            </w:r>
          </w:p>
        </w:tc>
        <w:tc>
          <w:tcPr>
            <w:tcW w:w="2960" w:type="dxa"/>
            <w:vAlign w:val="bottom"/>
            <w:shd w:val="clear" w:color="auto" w:fill="CCEEFF"/>
          </w:tcPr>
          <w:p>
            <w:pPr>
              <w:jc w:val="center"/>
              <w:ind w:left="853"/>
              <w:spacing w:after="0"/>
              <w:rPr>
                <w:sz w:val="20"/>
                <w:szCs w:val="20"/>
                <w:color w:val="auto"/>
              </w:rPr>
            </w:pPr>
            <w:r>
              <w:rPr>
                <w:rFonts w:ascii="Times New Roman" w:cs="Times New Roman" w:eastAsia="Times New Roman" w:hAnsi="Times New Roman"/>
                <w:sz w:val="18"/>
                <w:szCs w:val="18"/>
                <w:color w:val="auto"/>
                <w:w w:val="99"/>
              </w:rPr>
              <w:t>49</w:t>
            </w:r>
          </w:p>
        </w:tc>
        <w:tc>
          <w:tcPr>
            <w:tcW w:w="0" w:type="dxa"/>
            <w:vAlign w:val="bottom"/>
          </w:tcPr>
          <w:p>
            <w:pPr>
              <w:spacing w:after="0"/>
              <w:rPr>
                <w:sz w:val="1"/>
                <w:szCs w:val="1"/>
                <w:color w:val="auto"/>
              </w:rPr>
            </w:pPr>
          </w:p>
        </w:tc>
      </w:tr>
      <w:tr>
        <w:trPr>
          <w:trHeight w:val="236"/>
        </w:trPr>
        <w:tc>
          <w:tcPr>
            <w:tcW w:w="1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India</w:t>
            </w:r>
          </w:p>
        </w:tc>
        <w:tc>
          <w:tcPr>
            <w:tcW w:w="632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Hyundai Transys Lear Automotive India Private Limited</w:t>
            </w:r>
          </w:p>
        </w:tc>
        <w:tc>
          <w:tcPr>
            <w:tcW w:w="2960" w:type="dxa"/>
            <w:vAlign w:val="bottom"/>
            <w:tcBorders>
              <w:bottom w:val="single" w:sz="8" w:color="auto"/>
            </w:tcBorders>
          </w:tcPr>
          <w:p>
            <w:pPr>
              <w:jc w:val="center"/>
              <w:ind w:left="853"/>
              <w:spacing w:after="0"/>
              <w:rPr>
                <w:sz w:val="20"/>
                <w:szCs w:val="20"/>
                <w:color w:val="auto"/>
              </w:rPr>
            </w:pPr>
            <w:r>
              <w:rPr>
                <w:rFonts w:ascii="Times New Roman" w:cs="Times New Roman" w:eastAsia="Times New Roman" w:hAnsi="Times New Roman"/>
                <w:sz w:val="18"/>
                <w:szCs w:val="18"/>
                <w:color w:val="auto"/>
                <w:w w:val="99"/>
              </w:rPr>
              <w:t>35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1A – RISK FACTORS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business, financial condition, operating results and cash flows may be impacted by a number of factors. In addition to the factors affecting our business identified elsewhere in this Report, the material risk factors affecting our operations include the following: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25" w:lineRule="exact"/>
        <w:rPr>
          <w:sz w:val="20"/>
          <w:szCs w:val="20"/>
          <w:color w:val="auto"/>
        </w:rPr>
      </w:pPr>
    </w:p>
    <w:p>
      <w:pPr>
        <w:jc w:val="both"/>
        <w:ind w:left="340" w:hanging="332"/>
        <w:spacing w:after="0" w:line="268" w:lineRule="auto"/>
        <w:tabs>
          <w:tab w:leader="none" w:pos="3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Our industry is cyclical and a decline or significant fluctuation in the production levels of our major customers, particularly with respect to models for which we are a significant supplier, or the financial distress of or operational disruptions to one or more of our major customers could adversely affect our financial performance.</w:t>
      </w:r>
    </w:p>
    <w:p>
      <w:pPr>
        <w:spacing w:after="0" w:line="66" w:lineRule="exact"/>
        <w:rPr>
          <w:rFonts w:ascii="Times New Roman" w:cs="Times New Roman" w:eastAsia="Times New Roman" w:hAnsi="Times New Roman"/>
          <w:sz w:val="18"/>
          <w:szCs w:val="18"/>
          <w:color w:val="auto"/>
        </w:rPr>
      </w:pPr>
    </w:p>
    <w:p>
      <w:pPr>
        <w:jc w:val="both"/>
        <w:ind w:left="3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sales are driven by the number of vehicles produced by our automotive manufacturer customers and our content per vehicle. The automotive industry is cyclical and sensitive to general economic conditions, including interest rates, inflation, consumer demand and spending levels, and geopolitical issues. Automotive sales and production can also be affected by the age of the vehicle fleet and related scrappage rates, labor relations issues, unforeseen operational disruptions, labor shortages, fuel prices, regulatory requirements, government initiatives and incentives, trade agreements, tariffs and other non-tariff trade barriers, the availability and cost of raw materials and critical components, logistics issues, cybersecurity incidents, and the availability and cost of credit, as well as vehicle affordability and consumer preferences regarding vehicle powertrains (including preferences regarding electric and hybrid vehicles), size, configuration and features, among other factors.</w:t>
      </w:r>
    </w:p>
    <w:p>
      <w:pPr>
        <w:spacing w:after="0" w:line="80" w:lineRule="exact"/>
        <w:rPr>
          <w:rFonts w:ascii="Times New Roman" w:cs="Times New Roman" w:eastAsia="Times New Roman" w:hAnsi="Times New Roman"/>
          <w:sz w:val="18"/>
          <w:szCs w:val="18"/>
          <w:color w:val="auto"/>
        </w:rPr>
      </w:pPr>
    </w:p>
    <w:p>
      <w:pPr>
        <w:jc w:val="both"/>
        <w:ind w:left="34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sales and production may be further affected by new entrants to the industry, as well as various automakers entering or expanding in certain regions, and the restructuring actions, including facility closures, of our customers. Chinese domestic automakers, in particular, continue to expand their market share in China (through electric vehicles) and outside of China with both innovative designs and attractive pricing. As a result, several traditional automakers have experienced declines in revenue and market share. As these traditional automakers are among our largest customers, our business and financial results may be adversely affected by decreases in their businesses or market share.</w:t>
      </w:r>
    </w:p>
    <w:p>
      <w:pPr>
        <w:spacing w:after="0" w:line="75" w:lineRule="exact"/>
        <w:rPr>
          <w:rFonts w:ascii="Times New Roman" w:cs="Times New Roman" w:eastAsia="Times New Roman" w:hAnsi="Times New Roman"/>
          <w:sz w:val="18"/>
          <w:szCs w:val="18"/>
          <w:color w:val="auto"/>
        </w:rPr>
      </w:pPr>
    </w:p>
    <w:p>
      <w:pPr>
        <w:jc w:val="both"/>
        <w:ind w:left="34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economic downturn or other adverse industry conditions that result in a decline or significant fluctuation in the production levels of our major customers, particularly with respect to models for which we are a significant supplier, or the financial distress of or operational disruptions to one or more of our major customers could reduce our sales, increase our costs or otherwise adversely affect our financial condition, operating results and cash flows. Further, our ability to reduce the risks inherent in certain concentrations of business, and thereby maintain our financial performance in the future, will depend, in part, on our ability to continue to diversify our sales on a customer, product, platform and geographic basis to reflect the market overall. We may not be successful in such diversification.</w:t>
      </w:r>
    </w:p>
    <w:p>
      <w:pPr>
        <w:spacing w:after="0" w:line="183" w:lineRule="exact"/>
        <w:rPr>
          <w:rFonts w:ascii="Times New Roman" w:cs="Times New Roman" w:eastAsia="Times New Roman" w:hAnsi="Times New Roman"/>
          <w:sz w:val="18"/>
          <w:szCs w:val="18"/>
          <w:color w:val="auto"/>
        </w:rPr>
      </w:pPr>
    </w:p>
    <w:p>
      <w:pPr>
        <w:ind w:left="340" w:hanging="332"/>
        <w:spacing w:after="0" w:line="286" w:lineRule="auto"/>
        <w:tabs>
          <w:tab w:leader="none" w:pos="335" w:val="left"/>
        </w:tabs>
        <w:numPr>
          <w:ilvl w:val="0"/>
          <w:numId w:val="1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Increases in the costs and restrictions on the availability of raw materials, energy, commodities, product components and labor could adversely affect our financial performance.</w:t>
      </w:r>
    </w:p>
    <w:p>
      <w:pPr>
        <w:spacing w:after="0" w:line="50" w:lineRule="exact"/>
        <w:rPr>
          <w:rFonts w:ascii="Times New Roman" w:cs="Times New Roman" w:eastAsia="Times New Roman" w:hAnsi="Times New Roman"/>
          <w:sz w:val="18"/>
          <w:szCs w:val="18"/>
          <w:b w:val="1"/>
          <w:bCs w:val="1"/>
          <w:i w:val="1"/>
          <w:iCs w:val="1"/>
          <w:color w:val="auto"/>
        </w:rPr>
      </w:pPr>
    </w:p>
    <w:p>
      <w:pPr>
        <w:jc w:val="both"/>
        <w:ind w:left="340"/>
        <w:spacing w:after="0" w:line="254"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Raw material, energy, commodity, product component and labor costs can be volatile. Although we have developed and implemented strategies to mitigate the impact of any such cost increases, these strategies, together with commercial negotiations with our customers and suppliers and improved manufacturing productivity through automation and other advanced technologies, may not offset all of the adverse impact. Certain of these strategies also may limit our opportunities in a declining price environment. In addition, the availability of raw materials, energy, commodities, product components and labor fluctuates from time to time due to factors outside of our control, including governmental policies and regulations, natural disasters and other supply chain disruptions, which may impact our ability to meet the production demands of our customers. Increases in the costs of raw materials, energy, commodities, product components and labor, or restrictions on the availability thereof, could adversely affect our financial condition, operating results and cash flows.</w:t>
      </w:r>
    </w:p>
    <w:p>
      <w:pPr>
        <w:spacing w:after="0" w:line="187" w:lineRule="exact"/>
        <w:rPr>
          <w:rFonts w:ascii="Times New Roman" w:cs="Times New Roman" w:eastAsia="Times New Roman" w:hAnsi="Times New Roman"/>
          <w:sz w:val="18"/>
          <w:szCs w:val="18"/>
          <w:b w:val="1"/>
          <w:bCs w:val="1"/>
          <w:i w:val="1"/>
          <w:iCs w:val="1"/>
          <w:color w:val="auto"/>
        </w:rPr>
      </w:pPr>
    </w:p>
    <w:p>
      <w:pPr>
        <w:ind w:left="320" w:hanging="312"/>
        <w:spacing w:after="0"/>
        <w:tabs>
          <w:tab w:leader="none" w:pos="320" w:val="left"/>
        </w:tabs>
        <w:numPr>
          <w:ilvl w:val="0"/>
          <w:numId w:val="1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Our failure to execute our strategic objectives could adversely affect our financial performance.</w:t>
      </w:r>
    </w:p>
    <w:p>
      <w:pPr>
        <w:spacing w:after="0" w:line="121" w:lineRule="exact"/>
        <w:rPr>
          <w:rFonts w:ascii="Times New Roman" w:cs="Times New Roman" w:eastAsia="Times New Roman" w:hAnsi="Times New Roman"/>
          <w:sz w:val="18"/>
          <w:szCs w:val="18"/>
          <w:b w:val="1"/>
          <w:bCs w:val="1"/>
          <w:i w:val="1"/>
          <w:iCs w:val="1"/>
          <w:color w:val="auto"/>
        </w:rPr>
      </w:pPr>
    </w:p>
    <w:p>
      <w:pPr>
        <w:jc w:val="both"/>
        <w:ind w:left="340"/>
        <w:spacing w:after="0" w:line="254"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Our financial performance depends, in part, on our ability to successfully execute our strategic objectives. Our strategy is based on four pillars designed to drive growth and profitability: (1) extend our market leadership position in Seating with priceable features, including modularity and thermal comfort systems; (2) expand margins in E-Systems through a focused portfolio that leverages our strong operating capabilities and customer relationships; (3) build on our reputation for operational excellence through organic and inorganic investments, including partnerships, in automation and digital technologies; and (4) prioritize our employee and sustainability initiatives that drive business growth, cost reductions and improved workforce retention. Various factors, including the industry environment and the other matters described herein and in Part II — Item 7, "Management's Discussion and Analysis of Financial Condition and Results of Operations," including "— Forward-Looking Statements," could adversely affect our ability to execute our strategic objectives. These</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risk factors include our failure to identify suitable opportunities for organic investment and/or acquisitions, our inability to successfully develop such opportunities or complete such acquisitions or our inability to successfully utilize or integrate the investments in our operations. Our failure to execute our strategic objectives could adversely affect our financial condition, operating results and cash flows. Moreover, there can be no assurances that, even if implemented, our strategic objectives will be successful.</w:t>
      </w:r>
    </w:p>
    <w:p>
      <w:pPr>
        <w:spacing w:after="0" w:line="176" w:lineRule="exact"/>
        <w:rPr>
          <w:sz w:val="20"/>
          <w:szCs w:val="20"/>
          <w:color w:val="auto"/>
        </w:rPr>
      </w:pPr>
    </w:p>
    <w:p>
      <w:pPr>
        <w:ind w:left="340" w:hanging="332"/>
        <w:spacing w:after="0" w:line="286" w:lineRule="auto"/>
        <w:tabs>
          <w:tab w:leader="none" w:pos="335" w:val="left"/>
        </w:tabs>
        <w:numPr>
          <w:ilvl w:val="0"/>
          <w:numId w:val="1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The lack of commercial success of or an increase in directed component sourcing for a vehicle model for which we are a significant supplier could adversely affect our financial performance.</w:t>
      </w:r>
    </w:p>
    <w:p>
      <w:pPr>
        <w:spacing w:after="0" w:line="50" w:lineRule="exact"/>
        <w:rPr>
          <w:rFonts w:ascii="Times New Roman" w:cs="Times New Roman" w:eastAsia="Times New Roman" w:hAnsi="Times New Roman"/>
          <w:sz w:val="18"/>
          <w:szCs w:val="18"/>
          <w:b w:val="1"/>
          <w:bCs w:val="1"/>
          <w:i w:val="1"/>
          <w:iCs w:val="1"/>
          <w:color w:val="auto"/>
        </w:rPr>
      </w:pPr>
    </w:p>
    <w:p>
      <w:pPr>
        <w:jc w:val="both"/>
        <w:ind w:left="340"/>
        <w:spacing w:after="0" w:line="256"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We receive purchase orders from our customers that generally provide for the supply of a customer's requirements for a particular vehicle model and assembly plant for the life of a particular vehicle program, rather than for the purchase of a specific quantity of products. It is possible that a particular vehicle model is not successful with consumers or that our customers elect to manufacture our products internally, purchase our products from other suppliers or increase the extent to which they require us to utilize specific suppliers or materials in the manufacture of our products. The loss of business due to these factors occurring could reduce our sales or margins and thereby adversely affect our financial condition, operating results and cash flows.</w:t>
      </w:r>
    </w:p>
    <w:p>
      <w:pPr>
        <w:spacing w:after="0" w:line="183" w:lineRule="exact"/>
        <w:rPr>
          <w:rFonts w:ascii="Times New Roman" w:cs="Times New Roman" w:eastAsia="Times New Roman" w:hAnsi="Times New Roman"/>
          <w:sz w:val="18"/>
          <w:szCs w:val="18"/>
          <w:b w:val="1"/>
          <w:bCs w:val="1"/>
          <w:i w:val="1"/>
          <w:iCs w:val="1"/>
          <w:color w:val="auto"/>
        </w:rPr>
      </w:pPr>
    </w:p>
    <w:p>
      <w:pPr>
        <w:ind w:left="320" w:hanging="312"/>
        <w:spacing w:after="0"/>
        <w:tabs>
          <w:tab w:leader="none" w:pos="320" w:val="left"/>
        </w:tabs>
        <w:numPr>
          <w:ilvl w:val="0"/>
          <w:numId w:val="1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Our inability to achieve product cost reductions to offset customer-imposed price reductions could adversely affect our financial performance.</w:t>
      </w:r>
    </w:p>
    <w:p>
      <w:pPr>
        <w:spacing w:after="0" w:line="121" w:lineRule="exact"/>
        <w:rPr>
          <w:rFonts w:ascii="Times New Roman" w:cs="Times New Roman" w:eastAsia="Times New Roman" w:hAnsi="Times New Roman"/>
          <w:sz w:val="18"/>
          <w:szCs w:val="18"/>
          <w:b w:val="1"/>
          <w:bCs w:val="1"/>
          <w:i w:val="1"/>
          <w:iCs w:val="1"/>
          <w:color w:val="auto"/>
        </w:rPr>
      </w:pPr>
    </w:p>
    <w:p>
      <w:pPr>
        <w:jc w:val="both"/>
        <w:ind w:left="340"/>
        <w:spacing w:after="0" w:line="253"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Downward pricing pressure by automotive manufacturers is a characteristic of the automotive industry. Our customer contracts generally provide for annual price reductions over the production life of the vehicle, while requiring us to assume significant responsibility for the design, development and engineering of our products. Prices may also be adjusted on an ongoing basis to reflect changes in product content/costs and other commercial factors. Our financial performance is largely dependent on our ability to achieve product cost reductions through product design enhancements, supply chain management, manufacturing efficiencies and restructuring actions. We also seek to enhance our financial performance by investing in product development, design capabilities and new product initiatives that respond to and anticipate the needs of our customers and consumers. We continually evaluate operational and strategic alternatives and enhancements, including in the areas of digitization, automation and the use of artificial intelligence ("AI"), to improve our business structure and align our business with the changing needs of our customers and major industry trends affecting our business. Our inability to achieve product cost reductions that offset customer-imposed price reductions could adversely affect our financial condition, operating results and cash flows.</w:t>
      </w:r>
    </w:p>
    <w:p>
      <w:pPr>
        <w:spacing w:after="0" w:line="190" w:lineRule="exact"/>
        <w:rPr>
          <w:rFonts w:ascii="Times New Roman" w:cs="Times New Roman" w:eastAsia="Times New Roman" w:hAnsi="Times New Roman"/>
          <w:sz w:val="18"/>
          <w:szCs w:val="18"/>
          <w:b w:val="1"/>
          <w:bCs w:val="1"/>
          <w:i w:val="1"/>
          <w:iCs w:val="1"/>
          <w:color w:val="auto"/>
        </w:rPr>
      </w:pPr>
    </w:p>
    <w:p>
      <w:pPr>
        <w:ind w:left="340" w:hanging="332"/>
        <w:spacing w:after="0" w:line="286" w:lineRule="auto"/>
        <w:tabs>
          <w:tab w:leader="none" w:pos="335" w:val="left"/>
        </w:tabs>
        <w:numPr>
          <w:ilvl w:val="0"/>
          <w:numId w:val="1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International trade policies, such as tariffs, sanctions, export controls and other trade restrictions, could adversely affect our financial performance.</w:t>
      </w:r>
    </w:p>
    <w:p>
      <w:pPr>
        <w:spacing w:after="0" w:line="50" w:lineRule="exact"/>
        <w:rPr>
          <w:rFonts w:ascii="Times New Roman" w:cs="Times New Roman" w:eastAsia="Times New Roman" w:hAnsi="Times New Roman"/>
          <w:sz w:val="18"/>
          <w:szCs w:val="18"/>
          <w:b w:val="1"/>
          <w:bCs w:val="1"/>
          <w:i w:val="1"/>
          <w:iCs w:val="1"/>
          <w:color w:val="auto"/>
        </w:rPr>
      </w:pPr>
    </w:p>
    <w:p>
      <w:pPr>
        <w:jc w:val="both"/>
        <w:ind w:left="340"/>
        <w:spacing w:after="0" w:line="261"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Due to the interconnectedness of the global economy, policy changes in one area of the world can have an immediate and material adverse impact on markets around the world. Changes in international trade policies, including: (i) changes to existing trade agreements; (ii) greater restrictions on free trade generally; and (iii) significant increases in customs duties and tariffs imposed by any country, including those already imposed by the United States and retaliatory and other actions by other countries, can adversely affect our financial condition and operating results.</w:t>
      </w:r>
    </w:p>
    <w:p>
      <w:pPr>
        <w:spacing w:after="0" w:line="71" w:lineRule="exact"/>
        <w:rPr>
          <w:rFonts w:ascii="Times New Roman" w:cs="Times New Roman" w:eastAsia="Times New Roman" w:hAnsi="Times New Roman"/>
          <w:sz w:val="18"/>
          <w:szCs w:val="18"/>
          <w:b w:val="1"/>
          <w:bCs w:val="1"/>
          <w:i w:val="1"/>
          <w:iCs w:val="1"/>
          <w:color w:val="auto"/>
        </w:rPr>
      </w:pPr>
    </w:p>
    <w:p>
      <w:pPr>
        <w:jc w:val="both"/>
        <w:ind w:left="340"/>
        <w:spacing w:after="0" w:line="254"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Since his inauguration in January 2025, U.S. President Donald J. Trump has announced various tariffs that impact industries around the world, including the automotive industry. As of the date of this Report, many of the tariffs announced, implemented or threatened by the current U.S. administration apply to (a) the countries in which we do business or from which we purchase, either directly or indirectly, materials or components, including China, Mexico and Canada, and (b) the materials or components that we purchase, either directly or indirectly, or produce, including steel, aluminum and automobile parts, among others, and therefore could adversely impact our business by increasing our operating costs, requiring us to incur significant costs to transition to alternative suppliers if our mitigation efforts are unsuccessful, or negatively impacting our customers' production. In addition to tariffs, the U.S. and foreign governments have implemented sanctions, export controls and other trade restrictions that impact industries around the world, including the automotive industry.</w:t>
      </w:r>
    </w:p>
    <w:p>
      <w:pPr>
        <w:spacing w:after="0" w:line="83" w:lineRule="exact"/>
        <w:rPr>
          <w:rFonts w:ascii="Times New Roman" w:cs="Times New Roman" w:eastAsia="Times New Roman" w:hAnsi="Times New Roman"/>
          <w:sz w:val="18"/>
          <w:szCs w:val="18"/>
          <w:b w:val="1"/>
          <w:bCs w:val="1"/>
          <w:i w:val="1"/>
          <w:iCs w:val="1"/>
          <w:color w:val="auto"/>
        </w:rPr>
      </w:pPr>
    </w:p>
    <w:p>
      <w:pPr>
        <w:jc w:val="both"/>
        <w:ind w:left="340"/>
        <w:spacing w:after="0" w:line="255"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policies relating to these tariffs continue to evolve, including with respect to the type of tariff or export control, the tariff rates, the countries, components and materials to which such tariffs apply, and the existence and applicability of any exemptions. The actual impacts of tariffs and other trade restrictions on our business, financial condition and results of operations continue to be subject to a number of factors that are not yet known or are subject to change, including the effect such tariffs and restrictions may have on consumer demand and global automotive production volumes, the duration of such tariffs and restrictions, future changes in the amounts and scope of tariffs, the potential withdrawal of such tariffs and restrictions in whole or in part, the scope and effective date of any exemptions to such tariffs or restrictions, any modification to existing exemptions to such tariffs or restrictions, countermeasures that target countries may take in</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340"/>
        <w:spacing w:after="0" w:line="254" w:lineRule="auto"/>
        <w:rPr>
          <w:sz w:val="20"/>
          <w:szCs w:val="20"/>
          <w:color w:val="auto"/>
        </w:rPr>
      </w:pPr>
      <w:r>
        <w:rPr>
          <w:rFonts w:ascii="Times New Roman" w:cs="Times New Roman" w:eastAsia="Times New Roman" w:hAnsi="Times New Roman"/>
          <w:sz w:val="18"/>
          <w:szCs w:val="18"/>
          <w:color w:val="auto"/>
        </w:rPr>
        <w:t>response to such tariffs and restrictions, the impact such tariffs and restrictions may have on our customers and our supply chain, and whether and to what extent such tariffs are impacted by judicial review. We have entered into contractual agreements with our customers to recover substantially all tariff costs incurred to date and have implemented certain actions, and continue to consider others, to counter the potential impact of such tariffs on our business, financial condition and results of operations, including, without limitation, participating in efforts to inform the U.S. and certain foreign administrations and legislatures of the impact of current trade and tariff policies on the automotive industry and evaluating our production footprint and alternatives in our supply chain. To date, our mitigation efforts have been successful, but we cannot provide any assurance that future government actions will not adversely impact our customers' production or undermine our mitigation efforts, which could in turn adversely impact our business, financial condition and results of operations.</w:t>
      </w:r>
    </w:p>
    <w:p>
      <w:pPr>
        <w:spacing w:after="0" w:line="84"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In addition to potential increases in customs duties and tariffs in the United States and other countries, the United States-Mexico-Canada Agreement ("USMCA") is subject to trilateral review and renewal in 2026. There can be no assurances that the USMCA will be renewed or, if renewed, any newly negotiated terms in the USMCA will not adversely affect our business. Also, China presents unique risks to U.S. automotive manufacturers due to the strain in U.S.-China relations and the level of integration with key components in our global supply chain. It remains unclear what additional actions the current U.S. administration may take with respect to trade issues involving China and other countries.</w:t>
      </w:r>
    </w:p>
    <w:p>
      <w:pPr>
        <w:spacing w:after="0" w:line="75"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Further, the U.S. and other governments could impose additional sanctions, export controls or other trade restrictions that could restrict us from doing business directly or indirectly in or with certain countries or parties, which could include affiliates (e.g., China has imposed tariffs and taken other retaliatory actions). The current trade environment could impact the status of other trade agreements between the United States and countries other than Canada and Mexico, including, without limitation, the Dominican Republic-Central America-United States Free Trade Agreement. Any of the above factors could impact our supply chain, as well as our operations, and adversely affect our financial condition and operating results.</w:t>
      </w:r>
    </w:p>
    <w:p>
      <w:pPr>
        <w:spacing w:after="0" w:line="179" w:lineRule="exact"/>
        <w:rPr>
          <w:sz w:val="20"/>
          <w:szCs w:val="20"/>
          <w:color w:val="auto"/>
        </w:rPr>
      </w:pPr>
    </w:p>
    <w:p>
      <w:pPr>
        <w:ind w:left="320" w:hanging="312"/>
        <w:spacing w:after="0"/>
        <w:tabs>
          <w:tab w:leader="none" w:pos="320" w:val="left"/>
        </w:tabs>
        <w:numPr>
          <w:ilvl w:val="0"/>
          <w:numId w:val="1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Adverse developments affecting or the financial distress of one or more of our suppliers could adversely affect our financial performance.</w:t>
      </w:r>
    </w:p>
    <w:p>
      <w:pPr>
        <w:spacing w:after="0" w:line="121" w:lineRule="exact"/>
        <w:rPr>
          <w:rFonts w:ascii="Times New Roman" w:cs="Times New Roman" w:eastAsia="Times New Roman" w:hAnsi="Times New Roman"/>
          <w:sz w:val="18"/>
          <w:szCs w:val="18"/>
          <w:b w:val="1"/>
          <w:bCs w:val="1"/>
          <w:i w:val="1"/>
          <w:iCs w:val="1"/>
          <w:color w:val="auto"/>
        </w:rPr>
      </w:pPr>
    </w:p>
    <w:p>
      <w:pPr>
        <w:jc w:val="both"/>
        <w:ind w:left="340"/>
        <w:spacing w:after="0" w:line="254"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We obtain components and other products and services from numerous automotive suppliers and other vendors throughout the world. We are responsible for managing our supply chain, including suppliers that may be the sole sources of products that we require, that our customers direct us to use or that have unique capabilities that would make it difficult and/or expensive to re-source. In certain instances, entire industries may experience short-term capacity constraints. Additionally, our production capacity and costs, and those of our customers and suppliers, may be adversely affected by force majeure events, such as natural disasters, as well as tariffs, sanctions or other significant events. Any such significant event could adversely affect our financial performance. Furthermore, unfavorable economic or industry conditions in one or more of the regions in which we operate could result in financial distress within our supply base, which could cause a supply disruption and thereby adversely affect our financial condition, operating results and cash flows.</w:t>
      </w:r>
    </w:p>
    <w:p>
      <w:pPr>
        <w:spacing w:after="0" w:line="187" w:lineRule="exact"/>
        <w:rPr>
          <w:rFonts w:ascii="Times New Roman" w:cs="Times New Roman" w:eastAsia="Times New Roman" w:hAnsi="Times New Roman"/>
          <w:sz w:val="18"/>
          <w:szCs w:val="18"/>
          <w:b w:val="1"/>
          <w:bCs w:val="1"/>
          <w:i w:val="1"/>
          <w:iCs w:val="1"/>
          <w:color w:val="auto"/>
        </w:rPr>
      </w:pPr>
    </w:p>
    <w:p>
      <w:pPr>
        <w:ind w:left="340" w:hanging="332"/>
        <w:spacing w:after="0" w:line="286" w:lineRule="auto"/>
        <w:tabs>
          <w:tab w:leader="none" w:pos="335" w:val="left"/>
        </w:tabs>
        <w:numPr>
          <w:ilvl w:val="0"/>
          <w:numId w:val="1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A significant labor dispute involving us or one or more of our customers or suppliers or that could otherwise affect our operations could adversely affect our financial performance.</w:t>
      </w:r>
    </w:p>
    <w:p>
      <w:pPr>
        <w:spacing w:after="0" w:line="50" w:lineRule="exact"/>
        <w:rPr>
          <w:rFonts w:ascii="Times New Roman" w:cs="Times New Roman" w:eastAsia="Times New Roman" w:hAnsi="Times New Roman"/>
          <w:sz w:val="18"/>
          <w:szCs w:val="18"/>
          <w:b w:val="1"/>
          <w:bCs w:val="1"/>
          <w:i w:val="1"/>
          <w:iCs w:val="1"/>
          <w:color w:val="auto"/>
        </w:rPr>
      </w:pPr>
    </w:p>
    <w:p>
      <w:pPr>
        <w:jc w:val="both"/>
        <w:ind w:left="340"/>
        <w:spacing w:after="0" w:line="253"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A substantial number of our employees and the employees of our largest customers and suppliers are members of industrial trade unions and are employed under the terms of various labor agreements. We have labor agreements covering approximately 75,000 employees globally. In the United States and Canada, each of our unionized facilities has a separate collective bargaining agreement with the union that represents the workers at such facility, with each such agreement having an expiration date that is independent of the other agreements. Labor agreements covering approximately 67% of our global unionized work force are scheduled to expire in 2026. There can be no assurances that these upcoming negotiations or any other future negotiations with the unions will be resolved favorably or that we will not experience a work stoppage or disruption that could adversely affect our financial condition, operating results and cash flows. A labor dispute involving us, any of our customers or suppliers or any other suppliers to our customers or that otherwise affects our operations, or the inability by us, any of our customers or suppliers or any other suppliers to our customers to negotiate, upon the expiration of a labor agreement, an extension of such agreement or a new agreement on satisfactory terms could adversely affect our financial condition, operating results and cash flows. In addition, if any of our significant customers experience a material work stoppage, the customer may halt or limit the purchase of our products. This could require us to shut down or significantly reduce production at facilities relating to such products, which could adversely affect our financial condition and operating results.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320" w:hanging="312"/>
        <w:spacing w:after="0"/>
        <w:tabs>
          <w:tab w:leader="none" w:pos="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Our ability to attract, develop, engage and retain qualified employees could affect our ability to execute our strategy.</w:t>
      </w:r>
    </w:p>
    <w:p>
      <w:pPr>
        <w:spacing w:after="0" w:line="121" w:lineRule="exact"/>
        <w:rPr>
          <w:rFonts w:ascii="Times New Roman" w:cs="Times New Roman" w:eastAsia="Times New Roman" w:hAnsi="Times New Roman"/>
          <w:sz w:val="18"/>
          <w:szCs w:val="18"/>
          <w:color w:val="auto"/>
        </w:rPr>
      </w:pPr>
    </w:p>
    <w:p>
      <w:pPr>
        <w:jc w:val="both"/>
        <w:ind w:left="34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depends, in part, on our ability to identify and attract qualified candidates with the requisite education, background and experience, as well as our ability to develop, engage and retain qualified employees. Failure to attract, develop, engage and retain qualified employees, whether as a result of an insufficient number of qualified applicants, difficulty in recruiting new employees or inadequate resources to train, integrate and retain qualified employees, could impair our ability to execute our business strategy and could adversely affect our business. In addition, while we strive to reduce the impact of the departure of employees, our operations and our ability to execute our business strategy and meet our business objectives may be affected by the loss of employees, particularly when departures involve larger numbers of employees. Higher rates of employee separations may adversely affect us through decreased employee morale, the loss of knowledge of departing employees and the devotion of resources to recruiting and onboarding new employees.</w:t>
      </w:r>
    </w:p>
    <w:p>
      <w:pPr>
        <w:spacing w:after="0" w:line="18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Our substantial international operations make us vulnerable to risks associated with volatile economic and political environments.</w:t>
      </w:r>
    </w:p>
    <w:p>
      <w:pPr>
        <w:spacing w:after="0" w:line="121" w:lineRule="exact"/>
        <w:rPr>
          <w:rFonts w:ascii="Times New Roman" w:cs="Times New Roman" w:eastAsia="Times New Roman" w:hAnsi="Times New Roman"/>
          <w:sz w:val="18"/>
          <w:szCs w:val="18"/>
          <w:b w:val="1"/>
          <w:bCs w:val="1"/>
          <w:i w:val="1"/>
          <w:iCs w:val="1"/>
          <w:color w:val="auto"/>
        </w:rPr>
      </w:pPr>
    </w:p>
    <w:p>
      <w:pPr>
        <w:jc w:val="both"/>
        <w:ind w:left="340"/>
        <w:spacing w:after="0" w:line="266"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We have substantial international operations, with manufacturing and distribution facilities in many foreign countries, including Mexico and countries in Africa, Asia, Central and South America, and Europe. Some of the markets in which we do business may have volatile economic and/or political environments. This may expose us to heightened risks as a result of economic, geopolitical or other events, including:</w:t>
      </w:r>
    </w:p>
    <w:p>
      <w:pPr>
        <w:spacing w:after="0" w:line="19" w:lineRule="exact"/>
        <w:rPr>
          <w:rFonts w:ascii="Times New Roman" w:cs="Times New Roman" w:eastAsia="Times New Roman" w:hAnsi="Times New Roman"/>
          <w:sz w:val="18"/>
          <w:szCs w:val="18"/>
          <w:b w:val="1"/>
          <w:bCs w:val="1"/>
          <w:i w:val="1"/>
          <w:iCs w:val="1"/>
          <w:color w:val="auto"/>
        </w:rPr>
      </w:pPr>
    </w:p>
    <w:p>
      <w:pPr>
        <w:ind w:left="580"/>
        <w:spacing w:after="0"/>
        <w:rPr>
          <w:rFonts w:ascii="Times New Roman" w:cs="Times New Roman" w:eastAsia="Times New Roman" w:hAnsi="Times New Roman"/>
          <w:sz w:val="18"/>
          <w:szCs w:val="18"/>
          <w:b w:val="1"/>
          <w:bCs w:val="1"/>
          <w:i w:val="1"/>
          <w:iCs w:val="1"/>
          <w:color w:val="auto"/>
        </w:rPr>
      </w:pPr>
      <w:r>
        <w:rPr>
          <w:rFonts w:ascii="Arial" w:cs="Arial" w:eastAsia="Arial" w:hAnsi="Arial"/>
          <w:sz w:val="22"/>
          <w:szCs w:val="22"/>
          <w:color w:val="auto"/>
        </w:rPr>
        <w:t xml:space="preserve">–  </w:t>
      </w:r>
      <w:r>
        <w:rPr>
          <w:rFonts w:ascii="Times New Roman" w:cs="Times New Roman" w:eastAsia="Times New Roman" w:hAnsi="Times New Roman"/>
          <w:sz w:val="17"/>
          <w:szCs w:val="17"/>
          <w:color w:val="auto"/>
        </w:rPr>
        <w:t>exposure to local economic conditions;</w:t>
      </w:r>
    </w:p>
    <w:p>
      <w:pPr>
        <w:spacing w:after="0" w:line="57" w:lineRule="exact"/>
        <w:rPr>
          <w:rFonts w:ascii="Times New Roman" w:cs="Times New Roman" w:eastAsia="Times New Roman" w:hAnsi="Times New Roman"/>
          <w:sz w:val="18"/>
          <w:szCs w:val="18"/>
          <w:b w:val="1"/>
          <w:bCs w:val="1"/>
          <w:i w:val="1"/>
          <w:iCs w:val="1"/>
          <w:color w:val="auto"/>
        </w:rPr>
      </w:pPr>
    </w:p>
    <w:p>
      <w:pPr>
        <w:ind w:left="900" w:right="680" w:hanging="324"/>
        <w:spacing w:after="0" w:line="230" w:lineRule="auto"/>
        <w:rPr>
          <w:rFonts w:ascii="Times New Roman" w:cs="Times New Roman" w:eastAsia="Times New Roman" w:hAnsi="Times New Roman"/>
          <w:sz w:val="18"/>
          <w:szCs w:val="18"/>
          <w:b w:val="1"/>
          <w:bCs w:val="1"/>
          <w:i w:val="1"/>
          <w:iCs w:val="1"/>
          <w:color w:val="auto"/>
        </w:rPr>
      </w:pPr>
      <w:r>
        <w:rPr>
          <w:rFonts w:ascii="Arial" w:cs="Arial" w:eastAsia="Arial" w:hAnsi="Arial"/>
          <w:sz w:val="22"/>
          <w:szCs w:val="22"/>
          <w:color w:val="auto"/>
        </w:rPr>
        <w:t xml:space="preserve">– </w:t>
      </w:r>
      <w:r>
        <w:rPr>
          <w:rFonts w:ascii="Times New Roman" w:cs="Times New Roman" w:eastAsia="Times New Roman" w:hAnsi="Times New Roman"/>
          <w:sz w:val="17"/>
          <w:szCs w:val="17"/>
          <w:color w:val="auto"/>
        </w:rPr>
        <w:t>political, economic and civil instability and uncertainty (including acts of terrorism, civil unrest, drug cartel-related and other forms of</w:t>
      </w:r>
      <w:r>
        <w:rPr>
          <w:rFonts w:ascii="Arial" w:cs="Arial" w:eastAsia="Arial" w:hAnsi="Arial"/>
          <w:sz w:val="22"/>
          <w:szCs w:val="22"/>
          <w:color w:val="auto"/>
        </w:rPr>
        <w:t xml:space="preserve"> </w:t>
      </w:r>
      <w:r>
        <w:rPr>
          <w:rFonts w:ascii="Times New Roman" w:cs="Times New Roman" w:eastAsia="Times New Roman" w:hAnsi="Times New Roman"/>
          <w:sz w:val="17"/>
          <w:szCs w:val="17"/>
          <w:color w:val="auto"/>
        </w:rPr>
        <w:t>violence);</w:t>
      </w:r>
    </w:p>
    <w:p>
      <w:pPr>
        <w:spacing w:after="0" w:line="41" w:lineRule="exact"/>
        <w:rPr>
          <w:rFonts w:ascii="Times New Roman" w:cs="Times New Roman" w:eastAsia="Times New Roman" w:hAnsi="Times New Roman"/>
          <w:sz w:val="18"/>
          <w:szCs w:val="18"/>
          <w:b w:val="1"/>
          <w:bCs w:val="1"/>
          <w:i w:val="1"/>
          <w:iCs w:val="1"/>
          <w:color w:val="auto"/>
        </w:rPr>
      </w:pPr>
    </w:p>
    <w:p>
      <w:pPr>
        <w:ind w:left="900" w:right="580" w:hanging="324"/>
        <w:spacing w:after="0" w:line="236" w:lineRule="auto"/>
        <w:rPr>
          <w:rFonts w:ascii="Times New Roman" w:cs="Times New Roman" w:eastAsia="Times New Roman" w:hAnsi="Times New Roman"/>
          <w:sz w:val="18"/>
          <w:szCs w:val="18"/>
          <w:b w:val="1"/>
          <w:bCs w:val="1"/>
          <w:i w:val="1"/>
          <w:iCs w:val="1"/>
          <w:color w:val="auto"/>
        </w:rPr>
      </w:pPr>
      <w:r>
        <w:rPr>
          <w:rFonts w:ascii="Arial" w:cs="Arial" w:eastAsia="Arial" w:hAnsi="Arial"/>
          <w:sz w:val="22"/>
          <w:szCs w:val="22"/>
          <w:color w:val="auto"/>
        </w:rPr>
        <w:t xml:space="preserve">– </w:t>
      </w:r>
      <w:r>
        <w:rPr>
          <w:rFonts w:ascii="Times New Roman" w:cs="Times New Roman" w:eastAsia="Times New Roman" w:hAnsi="Times New Roman"/>
          <w:sz w:val="17"/>
          <w:szCs w:val="17"/>
          <w:color w:val="auto"/>
        </w:rPr>
        <w:t>international disputes, including war, military conflict, security or law enforcement operations, and geopolitical unrest, including due to</w:t>
      </w:r>
      <w:r>
        <w:rPr>
          <w:rFonts w:ascii="Arial" w:cs="Arial" w:eastAsia="Arial" w:hAnsi="Arial"/>
          <w:sz w:val="22"/>
          <w:szCs w:val="22"/>
          <w:color w:val="auto"/>
        </w:rPr>
        <w:t xml:space="preserve"> </w:t>
      </w:r>
      <w:r>
        <w:rPr>
          <w:rFonts w:ascii="Times New Roman" w:cs="Times New Roman" w:eastAsia="Times New Roman" w:hAnsi="Times New Roman"/>
          <w:sz w:val="17"/>
          <w:szCs w:val="17"/>
          <w:color w:val="auto"/>
        </w:rPr>
        <w:t>threatened uses of force;</w:t>
      </w:r>
    </w:p>
    <w:p>
      <w:pPr>
        <w:spacing w:after="0" w:line="42" w:lineRule="exact"/>
        <w:rPr>
          <w:rFonts w:ascii="Times New Roman" w:cs="Times New Roman" w:eastAsia="Times New Roman" w:hAnsi="Times New Roman"/>
          <w:sz w:val="18"/>
          <w:szCs w:val="18"/>
          <w:b w:val="1"/>
          <w:bCs w:val="1"/>
          <w:i w:val="1"/>
          <w:iCs w:val="1"/>
          <w:color w:val="auto"/>
        </w:rPr>
      </w:pPr>
    </w:p>
    <w:p>
      <w:pPr>
        <w:ind w:left="580"/>
        <w:spacing w:after="0"/>
        <w:rPr>
          <w:rFonts w:ascii="Times New Roman" w:cs="Times New Roman" w:eastAsia="Times New Roman" w:hAnsi="Times New Roman"/>
          <w:sz w:val="18"/>
          <w:szCs w:val="18"/>
          <w:b w:val="1"/>
          <w:bCs w:val="1"/>
          <w:i w:val="1"/>
          <w:iCs w:val="1"/>
          <w:color w:val="auto"/>
        </w:rPr>
      </w:pPr>
      <w:r>
        <w:rPr>
          <w:rFonts w:ascii="Arial" w:cs="Arial" w:eastAsia="Arial" w:hAnsi="Arial"/>
          <w:sz w:val="22"/>
          <w:szCs w:val="22"/>
          <w:color w:val="auto"/>
        </w:rPr>
        <w:t xml:space="preserve">–  </w:t>
      </w:r>
      <w:r>
        <w:rPr>
          <w:rFonts w:ascii="Times New Roman" w:cs="Times New Roman" w:eastAsia="Times New Roman" w:hAnsi="Times New Roman"/>
          <w:sz w:val="17"/>
          <w:szCs w:val="17"/>
          <w:color w:val="auto"/>
        </w:rPr>
        <w:t>labor scarcity, labor unrest and governmental regulations impacting labor supply;</w:t>
      </w:r>
    </w:p>
    <w:p>
      <w:pPr>
        <w:spacing w:after="0" w:line="57" w:lineRule="exact"/>
        <w:rPr>
          <w:rFonts w:ascii="Times New Roman" w:cs="Times New Roman" w:eastAsia="Times New Roman" w:hAnsi="Times New Roman"/>
          <w:sz w:val="18"/>
          <w:szCs w:val="18"/>
          <w:b w:val="1"/>
          <w:bCs w:val="1"/>
          <w:i w:val="1"/>
          <w:iCs w:val="1"/>
          <w:color w:val="auto"/>
        </w:rPr>
      </w:pPr>
    </w:p>
    <w:p>
      <w:pPr>
        <w:ind w:left="580"/>
        <w:spacing w:after="0"/>
        <w:rPr>
          <w:rFonts w:ascii="Times New Roman" w:cs="Times New Roman" w:eastAsia="Times New Roman" w:hAnsi="Times New Roman"/>
          <w:sz w:val="18"/>
          <w:szCs w:val="18"/>
          <w:b w:val="1"/>
          <w:bCs w:val="1"/>
          <w:i w:val="1"/>
          <w:iCs w:val="1"/>
          <w:color w:val="auto"/>
        </w:rPr>
      </w:pPr>
      <w:r>
        <w:rPr>
          <w:rFonts w:ascii="Arial" w:cs="Arial" w:eastAsia="Arial" w:hAnsi="Arial"/>
          <w:sz w:val="22"/>
          <w:szCs w:val="22"/>
          <w:color w:val="auto"/>
        </w:rPr>
        <w:t xml:space="preserve">–  </w:t>
      </w:r>
      <w:r>
        <w:rPr>
          <w:rFonts w:ascii="Times New Roman" w:cs="Times New Roman" w:eastAsia="Times New Roman" w:hAnsi="Times New Roman"/>
          <w:sz w:val="17"/>
          <w:szCs w:val="17"/>
          <w:color w:val="auto"/>
        </w:rPr>
        <w:t>expropriation, governmental takeover and nationalization;</w:t>
      </w:r>
    </w:p>
    <w:p>
      <w:pPr>
        <w:spacing w:after="0" w:line="52" w:lineRule="exact"/>
        <w:rPr>
          <w:rFonts w:ascii="Times New Roman" w:cs="Times New Roman" w:eastAsia="Times New Roman" w:hAnsi="Times New Roman"/>
          <w:sz w:val="18"/>
          <w:szCs w:val="18"/>
          <w:b w:val="1"/>
          <w:bCs w:val="1"/>
          <w:i w:val="1"/>
          <w:iCs w:val="1"/>
          <w:color w:val="auto"/>
        </w:rPr>
      </w:pPr>
    </w:p>
    <w:p>
      <w:pPr>
        <w:ind w:left="900" w:right="420" w:hanging="324"/>
        <w:spacing w:after="0" w:line="282"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 currency exchange rate fluctuations, discrepancies in commodity pricing between different exchanges, currency controls and the ability to economically hedge currencies;</w:t>
      </w:r>
    </w:p>
    <w:p>
      <w:pPr>
        <w:spacing w:after="0" w:line="4" w:lineRule="exact"/>
        <w:rPr>
          <w:rFonts w:ascii="Times New Roman" w:cs="Times New Roman" w:eastAsia="Times New Roman" w:hAnsi="Times New Roman"/>
          <w:sz w:val="18"/>
          <w:szCs w:val="18"/>
          <w:b w:val="1"/>
          <w:bCs w:val="1"/>
          <w:i w:val="1"/>
          <w:iCs w:val="1"/>
          <w:color w:val="auto"/>
        </w:rPr>
      </w:pPr>
    </w:p>
    <w:p>
      <w:pPr>
        <w:ind w:left="580"/>
        <w:spacing w:after="0"/>
        <w:rPr>
          <w:rFonts w:ascii="Times New Roman" w:cs="Times New Roman" w:eastAsia="Times New Roman" w:hAnsi="Times New Roman"/>
          <w:sz w:val="18"/>
          <w:szCs w:val="18"/>
          <w:b w:val="1"/>
          <w:bCs w:val="1"/>
          <w:i w:val="1"/>
          <w:iCs w:val="1"/>
          <w:color w:val="auto"/>
        </w:rPr>
      </w:pPr>
      <w:r>
        <w:rPr>
          <w:rFonts w:ascii="Arial" w:cs="Arial" w:eastAsia="Arial" w:hAnsi="Arial"/>
          <w:sz w:val="22"/>
          <w:szCs w:val="22"/>
          <w:color w:val="auto"/>
        </w:rPr>
        <w:t xml:space="preserve">–  </w:t>
      </w:r>
      <w:r>
        <w:rPr>
          <w:rFonts w:ascii="Times New Roman" w:cs="Times New Roman" w:eastAsia="Times New Roman" w:hAnsi="Times New Roman"/>
          <w:sz w:val="17"/>
          <w:szCs w:val="17"/>
          <w:color w:val="auto"/>
        </w:rPr>
        <w:t>withholding and other taxes on remittances and other payments by subsidiaries;</w:t>
      </w:r>
    </w:p>
    <w:p>
      <w:pPr>
        <w:spacing w:after="0" w:line="57" w:lineRule="exact"/>
        <w:rPr>
          <w:rFonts w:ascii="Times New Roman" w:cs="Times New Roman" w:eastAsia="Times New Roman" w:hAnsi="Times New Roman"/>
          <w:sz w:val="18"/>
          <w:szCs w:val="18"/>
          <w:b w:val="1"/>
          <w:bCs w:val="1"/>
          <w:i w:val="1"/>
          <w:iCs w:val="1"/>
          <w:color w:val="auto"/>
        </w:rPr>
      </w:pPr>
    </w:p>
    <w:p>
      <w:pPr>
        <w:ind w:left="580"/>
        <w:spacing w:after="0"/>
        <w:rPr>
          <w:rFonts w:ascii="Times New Roman" w:cs="Times New Roman" w:eastAsia="Times New Roman" w:hAnsi="Times New Roman"/>
          <w:sz w:val="18"/>
          <w:szCs w:val="18"/>
          <w:b w:val="1"/>
          <w:bCs w:val="1"/>
          <w:i w:val="1"/>
          <w:iCs w:val="1"/>
          <w:color w:val="auto"/>
        </w:rPr>
      </w:pPr>
      <w:r>
        <w:rPr>
          <w:rFonts w:ascii="Arial" w:cs="Arial" w:eastAsia="Arial" w:hAnsi="Arial"/>
          <w:sz w:val="22"/>
          <w:szCs w:val="22"/>
          <w:color w:val="auto"/>
        </w:rPr>
        <w:t xml:space="preserve">–  </w:t>
      </w:r>
      <w:r>
        <w:rPr>
          <w:rFonts w:ascii="Times New Roman" w:cs="Times New Roman" w:eastAsia="Times New Roman" w:hAnsi="Times New Roman"/>
          <w:sz w:val="17"/>
          <w:szCs w:val="17"/>
          <w:color w:val="auto"/>
        </w:rPr>
        <w:t>investment restrictions or requirements;</w:t>
      </w:r>
    </w:p>
    <w:p>
      <w:pPr>
        <w:spacing w:after="0" w:line="57" w:lineRule="exact"/>
        <w:rPr>
          <w:rFonts w:ascii="Times New Roman" w:cs="Times New Roman" w:eastAsia="Times New Roman" w:hAnsi="Times New Roman"/>
          <w:sz w:val="18"/>
          <w:szCs w:val="18"/>
          <w:b w:val="1"/>
          <w:bCs w:val="1"/>
          <w:i w:val="1"/>
          <w:iCs w:val="1"/>
          <w:color w:val="auto"/>
        </w:rPr>
      </w:pPr>
    </w:p>
    <w:p>
      <w:pPr>
        <w:ind w:left="580"/>
        <w:spacing w:after="0"/>
        <w:rPr>
          <w:rFonts w:ascii="Times New Roman" w:cs="Times New Roman" w:eastAsia="Times New Roman" w:hAnsi="Times New Roman"/>
          <w:sz w:val="18"/>
          <w:szCs w:val="18"/>
          <w:b w:val="1"/>
          <w:bCs w:val="1"/>
          <w:i w:val="1"/>
          <w:iCs w:val="1"/>
          <w:color w:val="auto"/>
        </w:rPr>
      </w:pPr>
      <w:r>
        <w:rPr>
          <w:rFonts w:ascii="Arial" w:cs="Arial" w:eastAsia="Arial" w:hAnsi="Arial"/>
          <w:sz w:val="22"/>
          <w:szCs w:val="22"/>
          <w:color w:val="auto"/>
        </w:rPr>
        <w:t xml:space="preserve">–  </w:t>
      </w:r>
      <w:r>
        <w:rPr>
          <w:rFonts w:ascii="Times New Roman" w:cs="Times New Roman" w:eastAsia="Times New Roman" w:hAnsi="Times New Roman"/>
          <w:sz w:val="17"/>
          <w:szCs w:val="17"/>
          <w:color w:val="auto"/>
        </w:rPr>
        <w:t>repatriation restrictions or requirements;</w:t>
      </w:r>
    </w:p>
    <w:p>
      <w:pPr>
        <w:spacing w:after="0" w:line="71" w:lineRule="exact"/>
        <w:rPr>
          <w:rFonts w:ascii="Times New Roman" w:cs="Times New Roman" w:eastAsia="Times New Roman" w:hAnsi="Times New Roman"/>
          <w:sz w:val="18"/>
          <w:szCs w:val="18"/>
          <w:b w:val="1"/>
          <w:bCs w:val="1"/>
          <w:i w:val="1"/>
          <w:iCs w:val="1"/>
          <w:color w:val="auto"/>
        </w:rPr>
      </w:pPr>
    </w:p>
    <w:p>
      <w:pPr>
        <w:ind w:left="580"/>
        <w:spacing w:after="0"/>
        <w:rPr>
          <w:rFonts w:ascii="Times New Roman" w:cs="Times New Roman" w:eastAsia="Times New Roman" w:hAnsi="Times New Roman"/>
          <w:sz w:val="18"/>
          <w:szCs w:val="18"/>
          <w:b w:val="1"/>
          <w:bCs w:val="1"/>
          <w:i w:val="1"/>
          <w:iCs w:val="1"/>
          <w:color w:val="auto"/>
        </w:rPr>
      </w:pPr>
      <w:r>
        <w:rPr>
          <w:rFonts w:ascii="Arial" w:cs="Arial" w:eastAsia="Arial" w:hAnsi="Arial"/>
          <w:sz w:val="22"/>
          <w:szCs w:val="22"/>
          <w:color w:val="auto"/>
        </w:rPr>
        <w:t xml:space="preserve">–  </w:t>
      </w:r>
      <w:r>
        <w:rPr>
          <w:rFonts w:ascii="Times New Roman" w:cs="Times New Roman" w:eastAsia="Times New Roman" w:hAnsi="Times New Roman"/>
          <w:sz w:val="17"/>
          <w:szCs w:val="17"/>
          <w:color w:val="auto"/>
        </w:rPr>
        <w:t>trade wars, tariffs, sanctions, export controls or other trade restrictions;</w:t>
      </w:r>
    </w:p>
    <w:p>
      <w:pPr>
        <w:spacing w:after="0" w:line="57" w:lineRule="exact"/>
        <w:rPr>
          <w:rFonts w:ascii="Times New Roman" w:cs="Times New Roman" w:eastAsia="Times New Roman" w:hAnsi="Times New Roman"/>
          <w:sz w:val="18"/>
          <w:szCs w:val="18"/>
          <w:b w:val="1"/>
          <w:bCs w:val="1"/>
          <w:i w:val="1"/>
          <w:iCs w:val="1"/>
          <w:color w:val="auto"/>
        </w:rPr>
      </w:pPr>
    </w:p>
    <w:p>
      <w:pPr>
        <w:ind w:left="900" w:right="60" w:hanging="324"/>
        <w:spacing w:after="0" w:line="263" w:lineRule="auto"/>
        <w:rPr>
          <w:rFonts w:ascii="Times New Roman" w:cs="Times New Roman" w:eastAsia="Times New Roman" w:hAnsi="Times New Roman"/>
          <w:sz w:val="18"/>
          <w:szCs w:val="18"/>
          <w:b w:val="1"/>
          <w:bCs w:val="1"/>
          <w:i w:val="1"/>
          <w:iCs w:val="1"/>
          <w:color w:val="auto"/>
        </w:rPr>
      </w:pPr>
      <w:r>
        <w:rPr>
          <w:rFonts w:ascii="Arial" w:cs="Arial" w:eastAsia="Arial" w:hAnsi="Arial"/>
          <w:sz w:val="22"/>
          <w:szCs w:val="22"/>
          <w:color w:val="auto"/>
        </w:rPr>
        <w:t xml:space="preserve">– </w:t>
      </w:r>
      <w:r>
        <w:rPr>
          <w:rFonts w:ascii="Times New Roman" w:cs="Times New Roman" w:eastAsia="Times New Roman" w:hAnsi="Times New Roman"/>
          <w:sz w:val="17"/>
          <w:szCs w:val="17"/>
          <w:color w:val="auto"/>
        </w:rPr>
        <w:t>concerns about human rights, working conditions and other labor rights and conditions and the environmental impact in foreign countries</w:t>
      </w:r>
      <w:r>
        <w:rPr>
          <w:rFonts w:ascii="Arial" w:cs="Arial" w:eastAsia="Arial" w:hAnsi="Arial"/>
          <w:sz w:val="22"/>
          <w:szCs w:val="22"/>
          <w:color w:val="auto"/>
        </w:rPr>
        <w:t xml:space="preserve"> </w:t>
      </w:r>
      <w:r>
        <w:rPr>
          <w:rFonts w:ascii="Times New Roman" w:cs="Times New Roman" w:eastAsia="Times New Roman" w:hAnsi="Times New Roman"/>
          <w:sz w:val="17"/>
          <w:szCs w:val="17"/>
          <w:color w:val="auto"/>
        </w:rPr>
        <w:t>where our products are produced and raw materials and/or components are sourced, as well as changing labor, environmental and other laws in these countries;</w:t>
      </w:r>
    </w:p>
    <w:p>
      <w:pPr>
        <w:spacing w:after="0" w:line="251" w:lineRule="exact"/>
        <w:rPr>
          <w:rFonts w:ascii="Times New Roman" w:cs="Times New Roman" w:eastAsia="Times New Roman" w:hAnsi="Times New Roman"/>
          <w:sz w:val="18"/>
          <w:szCs w:val="18"/>
          <w:b w:val="1"/>
          <w:bCs w:val="1"/>
          <w:i w:val="1"/>
          <w:iCs w:val="1"/>
          <w:color w:val="auto"/>
        </w:rPr>
      </w:pPr>
    </w:p>
    <w:p>
      <w:pPr>
        <w:ind w:left="580"/>
        <w:spacing w:after="0"/>
        <w:rPr>
          <w:rFonts w:ascii="Times New Roman" w:cs="Times New Roman" w:eastAsia="Times New Roman" w:hAnsi="Times New Roman"/>
          <w:sz w:val="18"/>
          <w:szCs w:val="18"/>
          <w:b w:val="1"/>
          <w:bCs w:val="1"/>
          <w:i w:val="1"/>
          <w:iCs w:val="1"/>
          <w:color w:val="auto"/>
        </w:rPr>
      </w:pPr>
      <w:r>
        <w:rPr>
          <w:rFonts w:ascii="Arial" w:cs="Arial" w:eastAsia="Arial" w:hAnsi="Arial"/>
          <w:sz w:val="22"/>
          <w:szCs w:val="22"/>
          <w:color w:val="auto"/>
        </w:rPr>
        <w:t xml:space="preserve">–  </w:t>
      </w:r>
      <w:r>
        <w:rPr>
          <w:rFonts w:ascii="Times New Roman" w:cs="Times New Roman" w:eastAsia="Times New Roman" w:hAnsi="Times New Roman"/>
          <w:sz w:val="17"/>
          <w:szCs w:val="17"/>
          <w:color w:val="auto"/>
        </w:rPr>
        <w:t>pandemic illness and limited access to vaccines;</w:t>
      </w:r>
    </w:p>
    <w:p>
      <w:pPr>
        <w:spacing w:after="0" w:line="57" w:lineRule="exact"/>
        <w:rPr>
          <w:rFonts w:ascii="Times New Roman" w:cs="Times New Roman" w:eastAsia="Times New Roman" w:hAnsi="Times New Roman"/>
          <w:sz w:val="18"/>
          <w:szCs w:val="18"/>
          <w:b w:val="1"/>
          <w:bCs w:val="1"/>
          <w:i w:val="1"/>
          <w:iCs w:val="1"/>
          <w:color w:val="auto"/>
        </w:rPr>
      </w:pPr>
    </w:p>
    <w:p>
      <w:pPr>
        <w:ind w:left="580"/>
        <w:spacing w:after="0"/>
        <w:rPr>
          <w:rFonts w:ascii="Times New Roman" w:cs="Times New Roman" w:eastAsia="Times New Roman" w:hAnsi="Times New Roman"/>
          <w:sz w:val="18"/>
          <w:szCs w:val="18"/>
          <w:b w:val="1"/>
          <w:bCs w:val="1"/>
          <w:i w:val="1"/>
          <w:iCs w:val="1"/>
          <w:color w:val="auto"/>
        </w:rPr>
      </w:pPr>
      <w:r>
        <w:rPr>
          <w:rFonts w:ascii="Arial" w:cs="Arial" w:eastAsia="Arial" w:hAnsi="Arial"/>
          <w:sz w:val="22"/>
          <w:szCs w:val="22"/>
          <w:color w:val="auto"/>
        </w:rPr>
        <w:t xml:space="preserve">–  </w:t>
      </w:r>
      <w:r>
        <w:rPr>
          <w:rFonts w:ascii="Times New Roman" w:cs="Times New Roman" w:eastAsia="Times New Roman" w:hAnsi="Times New Roman"/>
          <w:sz w:val="17"/>
          <w:szCs w:val="17"/>
          <w:color w:val="auto"/>
        </w:rPr>
        <w:t>increases in working capital requirements related to long supply chains; and</w:t>
      </w:r>
    </w:p>
    <w:p>
      <w:pPr>
        <w:spacing w:after="0" w:line="57" w:lineRule="exact"/>
        <w:rPr>
          <w:rFonts w:ascii="Times New Roman" w:cs="Times New Roman" w:eastAsia="Times New Roman" w:hAnsi="Times New Roman"/>
          <w:sz w:val="18"/>
          <w:szCs w:val="18"/>
          <w:b w:val="1"/>
          <w:bCs w:val="1"/>
          <w:i w:val="1"/>
          <w:iCs w:val="1"/>
          <w:color w:val="auto"/>
        </w:rPr>
      </w:pPr>
    </w:p>
    <w:p>
      <w:pPr>
        <w:ind w:left="900" w:right="260" w:hanging="324"/>
        <w:spacing w:after="0" w:line="285" w:lineRule="auto"/>
        <w:rPr>
          <w:rFonts w:ascii="Times New Roman" w:cs="Times New Roman" w:eastAsia="Times New Roman" w:hAnsi="Times New Roman"/>
          <w:sz w:val="18"/>
          <w:szCs w:val="18"/>
          <w:b w:val="1"/>
          <w:bCs w:val="1"/>
          <w:i w:val="1"/>
          <w:iCs w:val="1"/>
          <w:color w:val="auto"/>
        </w:rPr>
      </w:pPr>
      <w:r>
        <w:rPr>
          <w:rFonts w:ascii="Arial" w:cs="Arial" w:eastAsia="Arial" w:hAnsi="Arial"/>
          <w:sz w:val="22"/>
          <w:szCs w:val="22"/>
          <w:color w:val="auto"/>
        </w:rPr>
        <w:t xml:space="preserve">– </w:t>
      </w:r>
      <w:r>
        <w:rPr>
          <w:rFonts w:ascii="Times New Roman" w:cs="Times New Roman" w:eastAsia="Times New Roman" w:hAnsi="Times New Roman"/>
          <w:sz w:val="17"/>
          <w:szCs w:val="17"/>
          <w:color w:val="auto"/>
        </w:rPr>
        <w:t>global sovereign fiscal matters and creditworthiness, including potential defaults and the related impacts on economic activity, including the</w:t>
      </w:r>
      <w:r>
        <w:rPr>
          <w:rFonts w:ascii="Arial" w:cs="Arial" w:eastAsia="Arial" w:hAnsi="Arial"/>
          <w:sz w:val="22"/>
          <w:szCs w:val="22"/>
          <w:color w:val="auto"/>
        </w:rPr>
        <w:t xml:space="preserve"> </w:t>
      </w:r>
      <w:r>
        <w:rPr>
          <w:rFonts w:ascii="Times New Roman" w:cs="Times New Roman" w:eastAsia="Times New Roman" w:hAnsi="Times New Roman"/>
          <w:sz w:val="17"/>
          <w:szCs w:val="17"/>
          <w:color w:val="auto"/>
        </w:rPr>
        <w:t>possible effects on credit markets, currency values, monetary unions, international treaties and fiscal policies.</w:t>
      </w:r>
    </w:p>
    <w:p>
      <w:pPr>
        <w:spacing w:after="0" w:line="43"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Expanding our sales and operations in lower-cost regions is an important element of our strategy. As a result, our exposure to the risks described above is substantial. The likelihood of such occurrences and their potential effect on us vary from country to country and are unpredictable. However, any such occurrences could adversely affect our financial condition, operating results and cash flows.</w:t>
      </w:r>
    </w:p>
    <w:p>
      <w:pPr>
        <w:spacing w:after="0" w:line="172" w:lineRule="exact"/>
        <w:rPr>
          <w:sz w:val="20"/>
          <w:szCs w:val="20"/>
          <w:color w:val="auto"/>
        </w:rPr>
      </w:pPr>
    </w:p>
    <w:p>
      <w:pPr>
        <w:ind w:left="320" w:hanging="312"/>
        <w:spacing w:after="0"/>
        <w:tabs>
          <w:tab w:leader="none" w:pos="320" w:val="left"/>
        </w:tabs>
        <w:numPr>
          <w:ilvl w:val="0"/>
          <w:numId w:val="1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Certain of our operations are conducted through joint ventures which have unique risks.</w:t>
      </w:r>
    </w:p>
    <w:p>
      <w:pPr>
        <w:spacing w:after="0" w:line="121" w:lineRule="exact"/>
        <w:rPr>
          <w:rFonts w:ascii="Times New Roman" w:cs="Times New Roman" w:eastAsia="Times New Roman" w:hAnsi="Times New Roman"/>
          <w:sz w:val="18"/>
          <w:szCs w:val="18"/>
          <w:b w:val="1"/>
          <w:bCs w:val="1"/>
          <w:i w:val="1"/>
          <w:iCs w:val="1"/>
          <w:color w:val="auto"/>
        </w:rPr>
      </w:pPr>
    </w:p>
    <w:p>
      <w:pPr>
        <w:jc w:val="both"/>
        <w:ind w:left="340"/>
        <w:spacing w:after="0" w:line="261"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Certain of our operations, particularly in Asia, are conducted through joint ventures. With respect to our joint ventures, we may share ownership and management responsibilities with one or more partners that may not share our goals and objectives. Operating a joint venture requires us to operate the business pursuant to the terms of the agreement that we entered into with our partners, which may require additional organizational formalities, as well as the sharing of information and decision making. Additional risks associated with joint ventures include one or more partners failing to</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satisfy contractual obligations, the ability to enforce such obligations, conflicts arising between us and any of our partners, a change in the ownership of any of our partners and less of an ability to control compliance with applicable rules and regulations, including the Foreign Corrupt Practices Act and similar or related rules and regulations. Additionally, our ability to sell our interest in a joint venture may be subject to contractual and other limitations. Accordingly, any such occurrences could adversely affect our financial condition, operating results and cash flows.</w:t>
      </w:r>
    </w:p>
    <w:p>
      <w:pPr>
        <w:spacing w:after="0" w:line="176" w:lineRule="exact"/>
        <w:rPr>
          <w:sz w:val="20"/>
          <w:szCs w:val="20"/>
          <w:color w:val="auto"/>
        </w:rPr>
      </w:pPr>
    </w:p>
    <w:p>
      <w:pPr>
        <w:ind w:left="320" w:hanging="312"/>
        <w:spacing w:after="0"/>
        <w:tabs>
          <w:tab w:leader="none" w:pos="320" w:val="left"/>
        </w:tabs>
        <w:numPr>
          <w:ilvl w:val="0"/>
          <w:numId w:val="1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Our inability to effectively manage the timing, quality and costs of new program launches could adversely affect our financial performance.</w:t>
      </w:r>
    </w:p>
    <w:p>
      <w:pPr>
        <w:spacing w:after="0" w:line="121" w:lineRule="exact"/>
        <w:rPr>
          <w:rFonts w:ascii="Times New Roman" w:cs="Times New Roman" w:eastAsia="Times New Roman" w:hAnsi="Times New Roman"/>
          <w:sz w:val="18"/>
          <w:szCs w:val="18"/>
          <w:b w:val="1"/>
          <w:bCs w:val="1"/>
          <w:i w:val="1"/>
          <w:iCs w:val="1"/>
          <w:color w:val="auto"/>
        </w:rPr>
      </w:pPr>
    </w:p>
    <w:p>
      <w:pPr>
        <w:jc w:val="both"/>
        <w:ind w:left="340"/>
        <w:spacing w:after="0" w:line="254"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In connection with the award of new business, we obligate ourselves to deliver new products and services that are subject to our customers' timing, performance and quality standards. Additionally, as a Tier 1 supplier, we must effectively coordinate the activities of numerous suppliers in order for the program launches of our products to be successful. Given the complexity of new program launches, we may experience difficulties managing product quality, timeliness and associated costs. In addition, new program launches require a significant ramp up of costs; however, our sales related to these new programs generally are dependent upon the timing and success of our customers' introduction of new vehicles. Customer decisions on program launch timing may be impacted by various factors, including industry conditions, government regulations and consumer preferences, and therefore, the timing of such launches may also be subject to change. Our inability to effectively anticipate and manage the timing, quality and costs of these new program launches could adversely affect our financial condition, operating results and cash flows.</w:t>
      </w:r>
    </w:p>
    <w:p>
      <w:pPr>
        <w:spacing w:after="0" w:line="187" w:lineRule="exact"/>
        <w:rPr>
          <w:rFonts w:ascii="Times New Roman" w:cs="Times New Roman" w:eastAsia="Times New Roman" w:hAnsi="Times New Roman"/>
          <w:sz w:val="18"/>
          <w:szCs w:val="18"/>
          <w:b w:val="1"/>
          <w:bCs w:val="1"/>
          <w:i w:val="1"/>
          <w:iCs w:val="1"/>
          <w:color w:val="auto"/>
        </w:rPr>
      </w:pPr>
    </w:p>
    <w:p>
      <w:pPr>
        <w:ind w:left="340" w:hanging="332"/>
        <w:spacing w:after="0" w:line="286" w:lineRule="auto"/>
        <w:tabs>
          <w:tab w:leader="none" w:pos="335" w:val="left"/>
        </w:tabs>
        <w:numPr>
          <w:ilvl w:val="0"/>
          <w:numId w:val="1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We operate in a highly competitive industry and efforts by our competitors, as well as new entrants to the industry, to gain market share could adversely affect our financial performance.</w:t>
      </w:r>
    </w:p>
    <w:p>
      <w:pPr>
        <w:spacing w:after="0" w:line="50" w:lineRule="exact"/>
        <w:rPr>
          <w:rFonts w:ascii="Times New Roman" w:cs="Times New Roman" w:eastAsia="Times New Roman" w:hAnsi="Times New Roman"/>
          <w:sz w:val="18"/>
          <w:szCs w:val="18"/>
          <w:b w:val="1"/>
          <w:bCs w:val="1"/>
          <w:i w:val="1"/>
          <w:iCs w:val="1"/>
          <w:color w:val="auto"/>
        </w:rPr>
      </w:pPr>
    </w:p>
    <w:p>
      <w:pPr>
        <w:jc w:val="both"/>
        <w:ind w:left="340"/>
        <w:spacing w:after="0" w:line="253"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We operate in a highly competitive industry. We and most of our competitors are seeking to expand market share with new and existing customers, including in high growth regions. Our customers award business based on, among other things, price, quality, service and technology. Our competitors' efforts to grow market share could exert downward pressure on our product pricing and margins. In addition, the automotive industry has attracted, and will continue to attract, new entrants as a result of the evolving nature of the automotive vehicle market, including the increasing adoption of electric and hybrid vehicles. Certain of these automakers and suppliers are also expanding their operations into regions in which they previously did not have a presence. Traditional automakers are experiencing increased competitive pressures as Chinese domestic automakers continue to expand their market share both in and beyond China. Chinese domestic suppliers that may have lower financial return expectations are also challenging traditional automotive suppliers for market share. Further, the global automotive industry is experiencing a period of significant technological change, including in the areas of electrification and digitization. If we are unable to differentiate our products, maintain a low-cost footprint or compete effectively to win business with newer/emerging automakers, we may lose market share or be forced to reduce prices, thereby lowering our margins. Any such occurrences could adversely affect our financial condition, operating results and cash flows.</w:t>
      </w:r>
    </w:p>
    <w:p>
      <w:pPr>
        <w:spacing w:after="0" w:line="201" w:lineRule="exact"/>
        <w:rPr>
          <w:rFonts w:ascii="Times New Roman" w:cs="Times New Roman" w:eastAsia="Times New Roman" w:hAnsi="Times New Roman"/>
          <w:sz w:val="18"/>
          <w:szCs w:val="18"/>
          <w:b w:val="1"/>
          <w:bCs w:val="1"/>
          <w:i w:val="1"/>
          <w:iCs w:val="1"/>
          <w:color w:val="auto"/>
        </w:rPr>
      </w:pPr>
    </w:p>
    <w:p>
      <w:pPr>
        <w:ind w:left="320" w:hanging="312"/>
        <w:spacing w:after="0"/>
        <w:tabs>
          <w:tab w:leader="none" w:pos="320" w:val="left"/>
        </w:tabs>
        <w:numPr>
          <w:ilvl w:val="0"/>
          <w:numId w:val="19"/>
        </w:numPr>
        <w:rPr>
          <w:rFonts w:ascii="Arial" w:cs="Arial" w:eastAsia="Arial" w:hAnsi="Arial"/>
          <w:sz w:val="20"/>
          <w:szCs w:val="20"/>
          <w:color w:val="auto"/>
        </w:rPr>
      </w:pPr>
      <w:r>
        <w:rPr>
          <w:rFonts w:ascii="Times New Roman" w:cs="Times New Roman" w:eastAsia="Times New Roman" w:hAnsi="Times New Roman"/>
          <w:sz w:val="18"/>
          <w:szCs w:val="18"/>
          <w:b w:val="1"/>
          <w:bCs w:val="1"/>
          <w:i w:val="1"/>
          <w:iCs w:val="1"/>
          <w:color w:val="auto"/>
        </w:rPr>
        <w:t>If we do not respond appropriately, the evolution of the global transportation industry toward electrification could adversely affect our business.</w:t>
      </w:r>
    </w:p>
    <w:p>
      <w:pPr>
        <w:spacing w:after="0" w:line="111" w:lineRule="exact"/>
        <w:rPr>
          <w:rFonts w:ascii="Arial" w:cs="Arial" w:eastAsia="Arial" w:hAnsi="Arial"/>
          <w:sz w:val="20"/>
          <w:szCs w:val="20"/>
          <w:color w:val="auto"/>
        </w:rPr>
      </w:pPr>
    </w:p>
    <w:p>
      <w:pPr>
        <w:jc w:val="both"/>
        <w:ind w:left="340"/>
        <w:spacing w:after="0" w:line="255" w:lineRule="auto"/>
        <w:rPr>
          <w:rFonts w:ascii="Arial" w:cs="Arial" w:eastAsia="Arial" w:hAnsi="Arial"/>
          <w:sz w:val="20"/>
          <w:szCs w:val="20"/>
          <w:color w:val="auto"/>
        </w:rPr>
      </w:pPr>
      <w:r>
        <w:rPr>
          <w:rFonts w:ascii="Times New Roman" w:cs="Times New Roman" w:eastAsia="Times New Roman" w:hAnsi="Times New Roman"/>
          <w:sz w:val="18"/>
          <w:szCs w:val="18"/>
          <w:color w:val="auto"/>
        </w:rPr>
        <w:t>Over the past decade, the global transportation industry has increasingly focused on the development of electric and hybrid vehicles. As a result, we and our customers have made, and in some cases continue to make, significant investments in electric and hybrid vehicle programs and related infrastructure and technology. The adoption of such vehicles, particularly electric vehicles, has been slower than anticipated, particularly in the United States, as a result of, among other things, changes in government carbon emissions regulations and tax incentives, as well as prevailing consumer preferences. This has resulted in, among other things, various volume decreases related to, and cancellations of, vehicle programs for which we are a supplier, as well as general uncertainty about the overall rate of transition to electric and hybrid vehicles in certain regions. Our inability, or that of our customers, to respond to these evolving circumstances could adversely affect our financial condition, operating results and cash flows.</w:t>
      </w:r>
    </w:p>
    <w:p>
      <w:pPr>
        <w:spacing w:after="0" w:line="184" w:lineRule="exact"/>
        <w:rPr>
          <w:rFonts w:ascii="Arial" w:cs="Arial" w:eastAsia="Arial" w:hAnsi="Arial"/>
          <w:sz w:val="20"/>
          <w:szCs w:val="20"/>
          <w:color w:val="auto"/>
        </w:rPr>
      </w:pPr>
    </w:p>
    <w:p>
      <w:pPr>
        <w:ind w:left="340" w:hanging="332"/>
        <w:spacing w:after="0" w:line="286" w:lineRule="auto"/>
        <w:tabs>
          <w:tab w:leader="none" w:pos="335" w:val="left"/>
        </w:tabs>
        <w:numPr>
          <w:ilvl w:val="0"/>
          <w:numId w:val="1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Our increasing use of AI and other emerging technologies may expose us to operational, legal and regulatory risks that could adversely affect our business and reputation.</w:t>
      </w:r>
    </w:p>
    <w:p>
      <w:pPr>
        <w:spacing w:after="0" w:line="50" w:lineRule="exact"/>
        <w:rPr>
          <w:rFonts w:ascii="Times New Roman" w:cs="Times New Roman" w:eastAsia="Times New Roman" w:hAnsi="Times New Roman"/>
          <w:sz w:val="18"/>
          <w:szCs w:val="18"/>
          <w:b w:val="1"/>
          <w:bCs w:val="1"/>
          <w:i w:val="1"/>
          <w:iCs w:val="1"/>
          <w:color w:val="auto"/>
        </w:rPr>
      </w:pPr>
    </w:p>
    <w:p>
      <w:pPr>
        <w:jc w:val="both"/>
        <w:ind w:left="340"/>
        <w:spacing w:after="0" w:line="258"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Our use of AI and machine learning presents risks that could adversely affect our business, financial condition and results of operations. We currently incorporate AI-powered tools into certain internal business operations, such as in our production processes and in certain of our administrative functions. AI algorithms may be flawed, and datasets may be insufficient, inaccurate, biased or otherwise problematic. The rapid evolution and increased adoption of AI technologies may increase the risk of technical disruptions to our operations and the processes and functions for which the technology is deployed. The use of AI tools also raises risks related to privacy and inadvertent disclosure of sensitive information. AI</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systems may access, process or expose personal, confidential or proprietary data in ways that we do not intend or anticipate. Constraints in hardware (such as GPU availability), power capacity or other supply chain elements may further limit our ability to scale AI responsibly. We also face competitive risk if other companies develop or adopt AI capabilities more effectively, at lower cost or more rapidly than we do. Because our AI capabilities currently depend in part on third-party providers of models, cloud services and infrastructure, changes in their performance, pricing, licensing terms or availability could materially increase our costs. Collectively, these risks could adversely affect our financial condition, operating results, cash flows and reputation.</w:t>
      </w:r>
    </w:p>
    <w:p>
      <w:pPr>
        <w:spacing w:after="0" w:line="183" w:lineRule="exact"/>
        <w:rPr>
          <w:sz w:val="20"/>
          <w:szCs w:val="20"/>
          <w:color w:val="auto"/>
        </w:rPr>
      </w:pPr>
    </w:p>
    <w:p>
      <w:pPr>
        <w:jc w:val="both"/>
        <w:ind w:left="340" w:hanging="332"/>
        <w:spacing w:after="0" w:line="268" w:lineRule="auto"/>
        <w:tabs>
          <w:tab w:leader="none" w:pos="335" w:val="left"/>
        </w:tabs>
        <w:numPr>
          <w:ilvl w:val="0"/>
          <w:numId w:val="2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A disruption in our information technology systems, or those of our customers, suppliers, sub-suppliers or other contract parties, including a disruption related to cybersecurity, and other cybersecurity risks, such as a security incident resulting in unauthorized access to or theft of personal or other sensitive information, could adversely affect our financial performance.</w:t>
      </w:r>
    </w:p>
    <w:p>
      <w:pPr>
        <w:spacing w:after="0" w:line="66" w:lineRule="exact"/>
        <w:rPr>
          <w:rFonts w:ascii="Times New Roman" w:cs="Times New Roman" w:eastAsia="Times New Roman" w:hAnsi="Times New Roman"/>
          <w:sz w:val="18"/>
          <w:szCs w:val="18"/>
          <w:b w:val="1"/>
          <w:bCs w:val="1"/>
          <w:i w:val="1"/>
          <w:iCs w:val="1"/>
          <w:color w:val="auto"/>
        </w:rPr>
      </w:pPr>
    </w:p>
    <w:p>
      <w:pPr>
        <w:jc w:val="both"/>
        <w:ind w:left="340"/>
        <w:spacing w:after="0" w:line="252"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We rely on the accuracy, capacity, availability and security of our information technology networks. Despite the security and business continuity measures that we have implemented, including those measures related to cybersecurity, our operational systems (including business, financial, accounting, human resources, product development and manufacturing processes), as well as those of our customers, suppliers and other service providers, and certain of our connected vehicle systems and components that may collect and store sensitive end-user data (which could include personal information) could be breached, disabled or damaged by, without limitation, internal or external threat actors, computer viruses, malware, phishing attacks, denial-of-service attacks, supply chain attacks, human error, ransomware attacks, software bugs, server malfunctions, software or hardware failures, natural or man-made incidents or disasters, or unauthorized physical or electronic access. These types of incidents have become more prevalent and pervasive across industries, including our industry, and are expected to continue, if not increase, in the future. In particular, ransomware or other attacks that are intended to disrupt our and our customers' business operations are becoming increasingly prevalent, particularly for manufacturing companies, and can lead to significant interruptions in operations and the ability to provide products or services, loss of sensitive data and income, reputational harm and diversion of funds. Extortion payments may alleviate the negative impact of a disruptive event, but we may be unwilling or unable to make such payments due to, for example, applicable laws or regulations prohibiting such payments. Additionally, in 2025, a cybersecurity incident affecting one of our major customers disrupted its production systems, which in turn reduced demand for our components and impacted our operating results. Similar attacks on our customers, suppliers or other third parties in our supply chain could likewise adversely affect our financial performance.</w:t>
      </w:r>
    </w:p>
    <w:p>
      <w:pPr>
        <w:spacing w:after="0" w:line="87" w:lineRule="exact"/>
        <w:rPr>
          <w:rFonts w:ascii="Times New Roman" w:cs="Times New Roman" w:eastAsia="Times New Roman" w:hAnsi="Times New Roman"/>
          <w:sz w:val="18"/>
          <w:szCs w:val="18"/>
          <w:b w:val="1"/>
          <w:bCs w:val="1"/>
          <w:i w:val="1"/>
          <w:iCs w:val="1"/>
          <w:color w:val="auto"/>
        </w:rPr>
      </w:pPr>
    </w:p>
    <w:p>
      <w:pPr>
        <w:jc w:val="both"/>
        <w:ind w:left="340"/>
        <w:spacing w:after="0" w:line="256"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We are incorporated into the supply chain of a large number of companies globally. As a result, if our products or services are compromised, unavailable or unable to be manufactured or delivered, a significant number or, in some instances, all of our customers' operations and their data could be simultaneously affected. Our contracts with customers and others may not contain limitations of liability, and even where they do, there can be no assurances that limitations of liability in our contracts are sufficient to protect us from liabilities, damages or claims related to our security obligations. The potential liability and associated consequences we could suffer as a result of such a large-scale event impacting multiple customers could be catastrophic and result in irreparable harm.</w:t>
      </w:r>
    </w:p>
    <w:p>
      <w:pPr>
        <w:spacing w:after="0" w:line="79" w:lineRule="exact"/>
        <w:rPr>
          <w:rFonts w:ascii="Times New Roman" w:cs="Times New Roman" w:eastAsia="Times New Roman" w:hAnsi="Times New Roman"/>
          <w:sz w:val="18"/>
          <w:szCs w:val="18"/>
          <w:b w:val="1"/>
          <w:bCs w:val="1"/>
          <w:i w:val="1"/>
          <w:iCs w:val="1"/>
          <w:color w:val="auto"/>
        </w:rPr>
      </w:pPr>
    </w:p>
    <w:p>
      <w:pPr>
        <w:jc w:val="both"/>
        <w:ind w:left="340"/>
        <w:spacing w:after="0" w:line="253"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secure operation of our information technology networks, and the processing and maintenance of information by these networks, is critical to our operations and strategy. A security incident could result in business disruption, including interruptions of manufacturing and distribution of vehicle systems and components that we supply to our customers or our plant operations, theft of our intellectual property, trade secrets or customer information, or unauthorized access to or theft of personal information, such as that of our employees or end consumers of vehicles that contain certain of our connected vehicle systems or components. Although cybersecurity and the continued development and enhancement of our controls, processes and practices designed to protect our operational systems and products from attack, damage or unauthorized access are a high priority for us, our actions and investments may not be deployed quickly enough or successfully protect our systems against all vulnerabilities, including technologies developed to bypass our security measures. In addition, outside parties may attempt to fraudulently induce employees, vendors or customers to disclose access credentials or other sensitive information in order to gain access to our secure systems and networks, or to divert funds or wire transfers. There are no assurances that our actions and investments to improve the maturity of our systems, processes and risk management framework or remediate vulnerabilities will be sufficient or deployed quickly enough to prevent or limit the impact of any cyber intrusion or security incident. We maintain cyber liability insurance to provide additional support during significant events, as well as a level of financial protection in the event of certain cybersecurity-related losses, but there is no guarantee that our coverage will be sufficient or applicable in all cases.</w:t>
      </w:r>
    </w:p>
    <w:p>
      <w:pPr>
        <w:spacing w:after="0" w:line="79" w:lineRule="exact"/>
        <w:rPr>
          <w:rFonts w:ascii="Times New Roman" w:cs="Times New Roman" w:eastAsia="Times New Roman" w:hAnsi="Times New Roman"/>
          <w:sz w:val="18"/>
          <w:szCs w:val="18"/>
          <w:b w:val="1"/>
          <w:bCs w:val="1"/>
          <w:i w:val="1"/>
          <w:iCs w:val="1"/>
          <w:color w:val="auto"/>
        </w:rPr>
      </w:pPr>
    </w:p>
    <w:p>
      <w:pPr>
        <w:jc w:val="both"/>
        <w:ind w:left="340"/>
        <w:spacing w:after="0" w:line="261"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Moreover, because the techniques used to gain access to or adversely impact systems often are not recognized until launched against a target, we may be unable to anticipate the methods necessary to defend against these types of attacks, and we cannot predict the extent, frequency or impact these attacks may have on us. It may also be difficult and/or costly to detect, investigate, mitigate, contain and remediate a security incident. Our efforts to do so may not be successful. Actions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340"/>
        <w:spacing w:after="0" w:line="253" w:lineRule="auto"/>
        <w:rPr>
          <w:sz w:val="20"/>
          <w:szCs w:val="20"/>
          <w:color w:val="auto"/>
        </w:rPr>
      </w:pPr>
      <w:r>
        <w:rPr>
          <w:rFonts w:ascii="Times New Roman" w:cs="Times New Roman" w:eastAsia="Times New Roman" w:hAnsi="Times New Roman"/>
          <w:sz w:val="18"/>
          <w:szCs w:val="18"/>
          <w:color w:val="auto"/>
        </w:rPr>
        <w:t>taken by us or the third parties with whom we work to detect, investigate, mitigate, contain and remediate a security incident could result in outages, data losses and disruptions of our business. In addition, the information technology systems and software that we and our vendors use are vulnerable to outages, breakdowns, software vulnerabilities, coding errors and other damage from service interruptions, system malfunctions, natural disasters, terrorism, war, and telecommunication and electrical failures. To the extent that our business is interrupted, including the vehicle systems and components that we supply to our customers or our plant operations, or data is lost, destroyed or inappropriately accessed, used or disclosed, such disruptions could adversely affect our competitive position, operating capacity, ability to provide our goods and services, relationships with our customers, financial condition, operating results and cash flows and/or subject us to regulatory actions, including those contemplated by data privacy laws and regulations such as European Union General Data Privacy Regulation, China Cyber Security Laws including the China Personal Information Protection Law, India's Information Technology Act and supplementary rules, and the California Consumer Privacy Act, or litigation. In addition, we may be required to incur significant costs to protect against the damage caused by these disruptions or security breaches in the future.</w:t>
      </w:r>
    </w:p>
    <w:p>
      <w:pPr>
        <w:spacing w:after="0" w:line="86" w:lineRule="exact"/>
        <w:rPr>
          <w:sz w:val="20"/>
          <w:szCs w:val="20"/>
          <w:color w:val="auto"/>
        </w:rPr>
      </w:pPr>
    </w:p>
    <w:p>
      <w:pPr>
        <w:jc w:val="both"/>
        <w:ind w:left="340"/>
        <w:spacing w:after="0" w:line="254" w:lineRule="auto"/>
        <w:rPr>
          <w:sz w:val="20"/>
          <w:szCs w:val="20"/>
          <w:color w:val="auto"/>
        </w:rPr>
      </w:pPr>
      <w:r>
        <w:rPr>
          <w:rFonts w:ascii="Times New Roman" w:cs="Times New Roman" w:eastAsia="Times New Roman" w:hAnsi="Times New Roman"/>
          <w:sz w:val="18"/>
          <w:szCs w:val="18"/>
          <w:color w:val="auto"/>
        </w:rPr>
        <w:t>We are also dependent on security measures that some of our customers, suppliers and other third party service providers take to protect their own systems and infrastructures. Any security incident of any of these third parties' systems could result in unauthorized access to our or our customers' or suppliers' sensitive data or our own information technology systems, cause us to be non-compliant with applicable laws or regulations, subject us to legal claims or proceedings, disrupt our operations, damage our reputation or cause a loss of confidence in our products or services, any of which could adversely affect our financial performance. Our ability to monitor these third parties' information security practices is limited, and these third parties may not have adequate information security measures in place. If the third parties with whom we work experience a security incident or other interruption, we could experience adverse consequences. While we may be entitled to damages if the third parties with whom we work fail to satisfy their privacy or security-related obligations to us, any award may be insufficient to cover our damages, or we may be unable to recover such award.</w:t>
      </w:r>
    </w:p>
    <w:p>
      <w:pPr>
        <w:spacing w:after="0" w:line="188" w:lineRule="exact"/>
        <w:rPr>
          <w:sz w:val="20"/>
          <w:szCs w:val="20"/>
          <w:color w:val="auto"/>
        </w:rPr>
      </w:pPr>
    </w:p>
    <w:p>
      <w:pPr>
        <w:ind w:left="340" w:right="20" w:hanging="332"/>
        <w:spacing w:after="0" w:line="286" w:lineRule="auto"/>
        <w:tabs>
          <w:tab w:leader="none" w:pos="335" w:val="left"/>
        </w:tabs>
        <w:numPr>
          <w:ilvl w:val="0"/>
          <w:numId w:val="2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Pandemics, epidemics, disease outbreaks and other public health crises have disrupted our business and operations, and future public health crises could adversely affect our business, financial condition and operating results.</w:t>
      </w:r>
    </w:p>
    <w:p>
      <w:pPr>
        <w:spacing w:after="0" w:line="50" w:lineRule="exact"/>
        <w:rPr>
          <w:rFonts w:ascii="Times New Roman" w:cs="Times New Roman" w:eastAsia="Times New Roman" w:hAnsi="Times New Roman"/>
          <w:sz w:val="18"/>
          <w:szCs w:val="18"/>
          <w:b w:val="1"/>
          <w:bCs w:val="1"/>
          <w:i w:val="1"/>
          <w:iCs w:val="1"/>
          <w:color w:val="auto"/>
        </w:rPr>
      </w:pPr>
    </w:p>
    <w:p>
      <w:pPr>
        <w:jc w:val="both"/>
        <w:ind w:left="340"/>
        <w:spacing w:after="0" w:line="256"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Pandemics, epidemics or disease outbreaks in the United States or globally have disrupted, and may disrupt in the future, our business, which could materially affect our financial condition including liquidity, operating results and future expectations. Any such events may adversely impact our global supply chain and global manufacturing operations and cause us to again suspend our operations. In particular, we could experience among other things: (1) continued or additional global supply disruptions, including component and material shortages; (2) labor disruptions; (3) an inability to manufacture; (4) a decline in consumer demand; and (5) an impaired ability to access credit and capital markets. Any future public health crises could adversely affect our business, financial condition, operating results and cash flows going forward.</w:t>
      </w:r>
    </w:p>
    <w:p>
      <w:pPr>
        <w:spacing w:after="0" w:line="183" w:lineRule="exact"/>
        <w:rPr>
          <w:rFonts w:ascii="Times New Roman" w:cs="Times New Roman" w:eastAsia="Times New Roman" w:hAnsi="Times New Roman"/>
          <w:sz w:val="18"/>
          <w:szCs w:val="18"/>
          <w:b w:val="1"/>
          <w:bCs w:val="1"/>
          <w:i w:val="1"/>
          <w:iCs w:val="1"/>
          <w:color w:val="auto"/>
        </w:rPr>
      </w:pPr>
    </w:p>
    <w:p>
      <w:pPr>
        <w:ind w:left="320" w:hanging="312"/>
        <w:spacing w:after="0"/>
        <w:tabs>
          <w:tab w:leader="none" w:pos="320" w:val="left"/>
        </w:tabs>
        <w:numPr>
          <w:ilvl w:val="0"/>
          <w:numId w:val="2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Perspectives on global climate change and other sustainability matters by various stakeholders could adversely affect our business.</w:t>
      </w:r>
    </w:p>
    <w:p>
      <w:pPr>
        <w:spacing w:after="0" w:line="121" w:lineRule="exact"/>
        <w:rPr>
          <w:rFonts w:ascii="Times New Roman" w:cs="Times New Roman" w:eastAsia="Times New Roman" w:hAnsi="Times New Roman"/>
          <w:sz w:val="18"/>
          <w:szCs w:val="18"/>
          <w:b w:val="1"/>
          <w:bCs w:val="1"/>
          <w:i w:val="1"/>
          <w:iCs w:val="1"/>
          <w:color w:val="auto"/>
        </w:rPr>
      </w:pPr>
    </w:p>
    <w:p>
      <w:pPr>
        <w:jc w:val="both"/>
        <w:ind w:left="340"/>
        <w:spacing w:after="0" w:line="256"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Customer, investor, employee and other stakeholder expectations of us and our supply base in matters involving sustainability continue to evolve. The enhanced stakeholder focus on sustainability requires continuous monitoring of various and evolving standards and their associated requirements, and may result in potentially differing perspectives on these topics among stakeholders. Our failure, or that of our supply base, to adequately meet stakeholder expectations or address stakeholder concerns, including concerns about environmental impacts and similar matters, may result in, among other things, negative sentiment toward us or our products, the loss of business, diluted market valuation, an inability to attract customers or an inability to attract and retain top talent.</w:t>
      </w:r>
    </w:p>
    <w:p>
      <w:pPr>
        <w:spacing w:after="0" w:line="183" w:lineRule="exact"/>
        <w:rPr>
          <w:rFonts w:ascii="Times New Roman" w:cs="Times New Roman" w:eastAsia="Times New Roman" w:hAnsi="Times New Roman"/>
          <w:sz w:val="18"/>
          <w:szCs w:val="18"/>
          <w:b w:val="1"/>
          <w:bCs w:val="1"/>
          <w:i w:val="1"/>
          <w:iCs w:val="1"/>
          <w:color w:val="auto"/>
        </w:rPr>
      </w:pPr>
    </w:p>
    <w:p>
      <w:pPr>
        <w:ind w:left="320" w:hanging="312"/>
        <w:spacing w:after="0"/>
        <w:tabs>
          <w:tab w:leader="none" w:pos="3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Global climate change could adversely affect our business.</w:t>
      </w:r>
    </w:p>
    <w:p>
      <w:pPr>
        <w:spacing w:after="0" w:line="121" w:lineRule="exact"/>
        <w:rPr>
          <w:rFonts w:ascii="Times New Roman" w:cs="Times New Roman" w:eastAsia="Times New Roman" w:hAnsi="Times New Roman"/>
          <w:sz w:val="18"/>
          <w:szCs w:val="18"/>
          <w:color w:val="auto"/>
        </w:rPr>
      </w:pPr>
    </w:p>
    <w:p>
      <w:pPr>
        <w:jc w:val="both"/>
        <w:ind w:left="34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climate change, such as extreme weather conditions, could impact our business. Such effects could disrupt our operations by, among other things, impacting the availability and cost of materials needed for manufacturing and could increase insurance and other operating costs. These factors may impact our decisions to construct new facilities or maintain existing facilities in areas most prone to physical climate risks, as well as our decisions regarding business strategy, capital allocation and innovation. We could also experience indirect financial risks passed through the supply chain and disruptions that could result in increased prices for our products and the resources needed to produce them.</w:t>
      </w:r>
    </w:p>
    <w:p>
      <w:pPr>
        <w:spacing w:after="0" w:line="17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Impairment charges relating to our goodwill and long-lived assets could adversely affect our financial performance.</w:t>
      </w:r>
    </w:p>
    <w:p>
      <w:pPr>
        <w:spacing w:after="0" w:line="121" w:lineRule="exact"/>
        <w:rPr>
          <w:rFonts w:ascii="Times New Roman" w:cs="Times New Roman" w:eastAsia="Times New Roman" w:hAnsi="Times New Roman"/>
          <w:sz w:val="18"/>
          <w:szCs w:val="18"/>
          <w:b w:val="1"/>
          <w:bCs w:val="1"/>
          <w:i w:val="1"/>
          <w:iCs w:val="1"/>
          <w:color w:val="auto"/>
        </w:rPr>
      </w:pPr>
    </w:p>
    <w:p>
      <w:pPr>
        <w:ind w:left="340"/>
        <w:spacing w:after="0" w:line="282"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We regularly monitor our goodwill and long-lived assets for impairment indicators. In conducting our goodwill impairment testing, we may first perform a qualitative assessment of whether it is more likely than not that a reporting unit's fair value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340"/>
        <w:spacing w:after="0" w:line="254" w:lineRule="auto"/>
        <w:rPr>
          <w:sz w:val="20"/>
          <w:szCs w:val="20"/>
          <w:color w:val="auto"/>
        </w:rPr>
      </w:pPr>
      <w:r>
        <w:rPr>
          <w:rFonts w:ascii="Times New Roman" w:cs="Times New Roman" w:eastAsia="Times New Roman" w:hAnsi="Times New Roman"/>
          <w:sz w:val="18"/>
          <w:szCs w:val="18"/>
          <w:color w:val="auto"/>
        </w:rPr>
        <w:t>is less than its carrying amount. If not, no further goodwill impairment testing is required. If it is more likely than not that a reporting unit's fair value is less than its carrying amount, or if we elect not to perform a qualitative assessment of a reporting unit, we then compare the fair value of the reporting unit to the related net book value. If the net book value of a reporting unit exceeds its fair value, an impairment loss is measured and recognized. In conducting our impairment analysis of long-lived assets, we compare the undiscounted cash flows expected to be generated from the long-lived assets to the related net book values. If the net book value exceeds the undiscounted cash flows, an impairment loss is measured and recognized. An impairment loss is measured as the difference between the net book value and the fair value of the long-lived assets. Changes in economic or operating conditions impacting our estimates and assumptions could result in the impairment of our goodwill or long-lived assets. In the event that we determine that our goodwill or long-lived assets are impaired, we may be required to record a significant charge to earnings that could adversely affect our financial condition and operating results.</w:t>
      </w:r>
    </w:p>
    <w:p>
      <w:pPr>
        <w:spacing w:after="0" w:line="184" w:lineRule="exact"/>
        <w:rPr>
          <w:sz w:val="20"/>
          <w:szCs w:val="20"/>
          <w:color w:val="auto"/>
        </w:rPr>
      </w:pPr>
    </w:p>
    <w:p>
      <w:pPr>
        <w:ind w:left="340" w:hanging="332"/>
        <w:spacing w:after="0" w:line="286" w:lineRule="auto"/>
        <w:tabs>
          <w:tab w:leader="none" w:pos="335" w:val="left"/>
        </w:tabs>
        <w:numPr>
          <w:ilvl w:val="0"/>
          <w:numId w:val="2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Significant changes in discount rates, the actual return on pension assets and other factors related to our global defined benefit plans could adversely affect our financial performance.</w:t>
      </w:r>
    </w:p>
    <w:p>
      <w:pPr>
        <w:spacing w:after="0" w:line="50" w:lineRule="exact"/>
        <w:rPr>
          <w:rFonts w:ascii="Times New Roman" w:cs="Times New Roman" w:eastAsia="Times New Roman" w:hAnsi="Times New Roman"/>
          <w:sz w:val="18"/>
          <w:szCs w:val="18"/>
          <w:b w:val="1"/>
          <w:bCs w:val="1"/>
          <w:i w:val="1"/>
          <w:iCs w:val="1"/>
          <w:color w:val="auto"/>
        </w:rPr>
      </w:pPr>
    </w:p>
    <w:p>
      <w:pPr>
        <w:jc w:val="both"/>
        <w:ind w:left="340"/>
        <w:spacing w:after="0" w:line="254"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Our earnings may be positively or negatively impacted by the amount of income or expense recorded related to our global defined benefit plans. Accounting principles generally accepted in the United States require that income or expense related to the defined benefit plans be calculated at the annual measurement date using actuarial calculations, which reflect certain assumptions. The most significant of these assumptions relate to interest rates, the capital markets and other economic conditions. These assumptions, as well as the actual value of pension assets at the measurement date, will impact the calculation of pension and other postretirement benefit expense for the year. Although pension expense and pension contributions are not directly related, the key economic indicators that affect pension expense also affect the amount of cash that we will contribute to our pension plans. Because interest rates and the values of these pension assets have fluctuated and will continue to fluctuate in response to changing market conditions, pension and other postretirement benefit expense in subsequent periods, the funded status of our pension plans and the future minimum required pension contributions, if any, could adversely affect our financial condition, operating results and cash flows.</w:t>
      </w:r>
    </w:p>
    <w:p>
      <w:pPr>
        <w:spacing w:after="0" w:line="184" w:lineRule="exact"/>
        <w:rPr>
          <w:rFonts w:ascii="Times New Roman" w:cs="Times New Roman" w:eastAsia="Times New Roman" w:hAnsi="Times New Roman"/>
          <w:sz w:val="18"/>
          <w:szCs w:val="18"/>
          <w:b w:val="1"/>
          <w:bCs w:val="1"/>
          <w:i w:val="1"/>
          <w:iCs w:val="1"/>
          <w:color w:val="auto"/>
        </w:rPr>
      </w:pPr>
    </w:p>
    <w:p>
      <w:pPr>
        <w:ind w:left="340" w:right="20" w:hanging="332"/>
        <w:spacing w:after="0" w:line="286" w:lineRule="auto"/>
        <w:tabs>
          <w:tab w:leader="none" w:pos="335" w:val="left"/>
        </w:tabs>
        <w:numPr>
          <w:ilvl w:val="0"/>
          <w:numId w:val="2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Unanticipated changes in our effective tax rate, the adoption of new tax legislation or exposure to additional income tax liabilities could adversely affect our profitability.</w:t>
      </w:r>
    </w:p>
    <w:p>
      <w:pPr>
        <w:spacing w:after="0" w:line="50" w:lineRule="exact"/>
        <w:rPr>
          <w:rFonts w:ascii="Times New Roman" w:cs="Times New Roman" w:eastAsia="Times New Roman" w:hAnsi="Times New Roman"/>
          <w:sz w:val="18"/>
          <w:szCs w:val="18"/>
          <w:b w:val="1"/>
          <w:bCs w:val="1"/>
          <w:i w:val="1"/>
          <w:iCs w:val="1"/>
          <w:color w:val="auto"/>
        </w:rPr>
      </w:pPr>
    </w:p>
    <w:p>
      <w:pPr>
        <w:jc w:val="both"/>
        <w:ind w:left="340"/>
        <w:spacing w:after="0" w:line="244"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We are subject to income taxes in the United States and numerous international jurisdictions. Our effective tax rate and cash tax liability in the future could be adversely affected by the enactment of new tax legislation, changes in the level and mix of earnings in countries with differing statutory tax rates, changes in the valuation of deferred tax assets and liabilities, and changes in tax holiday status. The carrying value of deferred tax assets, which are predominantly in the United States, is dependent on our ability to generate future taxable income in the United States. We are also subject to ongoing tax audits globally. These audits can involve complex issues, which may require an extended period of time to resolve and can be highly judgmental. Tax authorities may disagree with certain of our tax reporting positions and, as a result, assess additional taxes against us. We regularly assess the likely outcomes of these audits to determine the appropriateness of our gross unrecognized tax benefits. The amounts ultimately paid upon resolution of current and future tax audits could be materially different from the amounts previously included in our income tax provision and, therefore, could have a material impact on our income tax provision.</w:t>
      </w:r>
    </w:p>
    <w:p>
      <w:pPr>
        <w:spacing w:after="0" w:line="77" w:lineRule="exact"/>
        <w:rPr>
          <w:rFonts w:ascii="Times New Roman" w:cs="Times New Roman" w:eastAsia="Times New Roman" w:hAnsi="Times New Roman"/>
          <w:sz w:val="18"/>
          <w:szCs w:val="18"/>
          <w:b w:val="1"/>
          <w:bCs w:val="1"/>
          <w:i w:val="1"/>
          <w:iCs w:val="1"/>
          <w:color w:val="auto"/>
        </w:rPr>
      </w:pPr>
    </w:p>
    <w:p>
      <w:pPr>
        <w:jc w:val="both"/>
        <w:ind w:left="340"/>
        <w:spacing w:after="0" w:line="243"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Organization for Economic Cooperation and Development ("OECD") issued guidelines on the Global Anti-Base Erosion Model Rules, known as "Pillar Two," to implement a 15% global corporate minimum tax to address gaps in current tax laws and ensure that large multinational enterprises pay a minimum level of tax in the countries in which they operate. Countries may implement the OECD Pillar Two model rules as issued, in a modified form or not at all. A number of countries have passed legislation enacting certain parts of the OECD's Pillar Two framework effective in 2024. On January 5, 2026, the OECD released new guidelines introducing the side-by-side system as part of the Pillar Two Global Minimum Tax framework. This system is intended to coordinate the application of Pillar Two rules in jurisdictions that already operate minimum tax regimes. Under the OECD's guidelines, the United States is treated as a qualifying jurisdiction, allowing U.S.-parented multinational enterprises ("MNEs") to opt out of the global Pillar Two income inclusion rule and undertaxed profits rule beginning January 1, 2026. The adoption of the side-by-side system reduces uncertainty regarding the impact of the Pillar Two Global Minimum Tax on U.S.-parented MNEs. While many countries have not yet enacted Pillar Two legislation, it is not expected to have a material impact on the Company's consolidated financial statements.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Indebtedness</w:t>
      </w:r>
    </w:p>
    <w:p>
      <w:pPr>
        <w:spacing w:after="0" w:line="225" w:lineRule="exact"/>
        <w:rPr>
          <w:sz w:val="20"/>
          <w:szCs w:val="20"/>
          <w:color w:val="auto"/>
        </w:rPr>
      </w:pPr>
    </w:p>
    <w:p>
      <w:pPr>
        <w:ind w:left="340" w:hanging="332"/>
        <w:spacing w:after="0" w:line="286" w:lineRule="auto"/>
        <w:tabs>
          <w:tab w:leader="none" w:pos="335" w:val="left"/>
        </w:tabs>
        <w:numPr>
          <w:ilvl w:val="0"/>
          <w:numId w:val="2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Our existing indebtedness and the inability to access capital markets could restrict our business activities or our ability to execute our strategic objectives or adversely affect our financial performance.</w:t>
      </w:r>
    </w:p>
    <w:p>
      <w:pPr>
        <w:spacing w:after="0" w:line="50" w:lineRule="exact"/>
        <w:rPr>
          <w:rFonts w:ascii="Times New Roman" w:cs="Times New Roman" w:eastAsia="Times New Roman" w:hAnsi="Times New Roman"/>
          <w:sz w:val="18"/>
          <w:szCs w:val="18"/>
          <w:b w:val="1"/>
          <w:bCs w:val="1"/>
          <w:i w:val="1"/>
          <w:iCs w:val="1"/>
          <w:color w:val="auto"/>
        </w:rPr>
      </w:pPr>
    </w:p>
    <w:p>
      <w:pPr>
        <w:jc w:val="both"/>
        <w:ind w:left="340"/>
        <w:spacing w:after="0" w:line="254"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As of December 31, 2025, we had approximately $2.7 billion of outstanding indebtedness, as well as $2.0 billion available for borrowing under our revolving credit facility. As of December 31, 2025, there were no amounts outstanding under our revolving credit facility. The debt instruments governing our indebtedness contain covenants that may restrict our business activities or our ability to execute our strategic objectives, and our failure to comply with these covenants could result in a default under our indebtedness. We also lease certain buildings and equipment under non-cancelable lease agreements with terms exceeding one year, which are accounted for as operating leases. Additionally, any downgrade in the ratings that rating agencies assign to us and our debt may ultimately impact our access to capital markets. Our inability to generate sufficient cash flow to satisfy our debt and lease obligations, to refinance our debt obligations or to access capital markets on commercially reasonable terms could adversely affect our financial condition, operating results and cash flows.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and Regulatory Risks</w:t>
      </w:r>
    </w:p>
    <w:p>
      <w:pPr>
        <w:spacing w:after="0" w:line="225" w:lineRule="exact"/>
        <w:rPr>
          <w:sz w:val="20"/>
          <w:szCs w:val="20"/>
          <w:color w:val="auto"/>
        </w:rPr>
      </w:pPr>
    </w:p>
    <w:p>
      <w:pPr>
        <w:ind w:left="340" w:hanging="332"/>
        <w:spacing w:after="0" w:line="286" w:lineRule="auto"/>
        <w:tabs>
          <w:tab w:leader="none" w:pos="335" w:val="left"/>
        </w:tabs>
        <w:numPr>
          <w:ilvl w:val="0"/>
          <w:numId w:val="2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A significant product liability lawsuit, warranty claim or product recall involving us or one of our major customers could adversely affect our financial performance.</w:t>
      </w:r>
    </w:p>
    <w:p>
      <w:pPr>
        <w:spacing w:after="0" w:line="50" w:lineRule="exact"/>
        <w:rPr>
          <w:rFonts w:ascii="Times New Roman" w:cs="Times New Roman" w:eastAsia="Times New Roman" w:hAnsi="Times New Roman"/>
          <w:sz w:val="18"/>
          <w:szCs w:val="18"/>
          <w:b w:val="1"/>
          <w:bCs w:val="1"/>
          <w:i w:val="1"/>
          <w:iCs w:val="1"/>
          <w:color w:val="auto"/>
        </w:rPr>
      </w:pPr>
    </w:p>
    <w:p>
      <w:pPr>
        <w:jc w:val="both"/>
        <w:ind w:left="340"/>
        <w:spacing w:after="0" w:line="256"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In the event that our products fail to, or are alleged to fail to, perform as expected, regardless of fault, and such failure or alleged failure results in, or is alleged to result in, bodily injury and/or property damage or other losses, we may be subject to product liability lawsuits and other claims. Our customers may also pursue claims against us for contribution of all or a portion of the amounts sought in connection with product liability, warranty and recall claims related to our products. We carry insurance for certain product liability claims, but such coverage may be limited. We do not maintain insurance for warranty or recall matters. In addition, we may not be successful in recovering amounts from third parties, including sub-suppliers, in connection with these claims. These types of claims could adversely affect our financial condition, operating results and cash flows.</w:t>
      </w:r>
    </w:p>
    <w:p>
      <w:pPr>
        <w:spacing w:after="0" w:line="183" w:lineRule="exact"/>
        <w:rPr>
          <w:rFonts w:ascii="Times New Roman" w:cs="Times New Roman" w:eastAsia="Times New Roman" w:hAnsi="Times New Roman"/>
          <w:sz w:val="18"/>
          <w:szCs w:val="18"/>
          <w:b w:val="1"/>
          <w:bCs w:val="1"/>
          <w:i w:val="1"/>
          <w:iCs w:val="1"/>
          <w:color w:val="auto"/>
        </w:rPr>
      </w:pPr>
    </w:p>
    <w:p>
      <w:pPr>
        <w:ind w:left="320" w:hanging="312"/>
        <w:spacing w:after="0"/>
        <w:tabs>
          <w:tab w:leader="none" w:pos="320" w:val="left"/>
        </w:tabs>
        <w:numPr>
          <w:ilvl w:val="0"/>
          <w:numId w:val="2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We are involved from time to time in various legal and regulatory proceedings and claims, which could adversely affect our financial performance.</w:t>
      </w:r>
    </w:p>
    <w:p>
      <w:pPr>
        <w:spacing w:after="0" w:line="121" w:lineRule="exact"/>
        <w:rPr>
          <w:rFonts w:ascii="Times New Roman" w:cs="Times New Roman" w:eastAsia="Times New Roman" w:hAnsi="Times New Roman"/>
          <w:sz w:val="18"/>
          <w:szCs w:val="18"/>
          <w:b w:val="1"/>
          <w:bCs w:val="1"/>
          <w:i w:val="1"/>
          <w:iCs w:val="1"/>
          <w:color w:val="auto"/>
        </w:rPr>
      </w:pPr>
    </w:p>
    <w:p>
      <w:pPr>
        <w:jc w:val="both"/>
        <w:ind w:left="340"/>
        <w:spacing w:after="0" w:line="261"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We are involved in various legal and regulatory proceedings and claims that, from time to time, are significant. These claims typically arise in the normal course of business, including, without limitation, commercial or contractual disputes, including disputes with our customers, suppliers or competitors, intellectual property matters, personal injury claims, environmental matters, tax matters, employment matters and antitrust matters. No assurances can be given that such proceedings and claims will not adversely affect our financial condition, operating results and cash flows.</w:t>
      </w:r>
    </w:p>
    <w:p>
      <w:pPr>
        <w:spacing w:after="0" w:line="175" w:lineRule="exact"/>
        <w:rPr>
          <w:rFonts w:ascii="Times New Roman" w:cs="Times New Roman" w:eastAsia="Times New Roman" w:hAnsi="Times New Roman"/>
          <w:sz w:val="18"/>
          <w:szCs w:val="18"/>
          <w:b w:val="1"/>
          <w:bCs w:val="1"/>
          <w:i w:val="1"/>
          <w:iCs w:val="1"/>
          <w:color w:val="auto"/>
        </w:rPr>
      </w:pPr>
    </w:p>
    <w:p>
      <w:pPr>
        <w:ind w:left="340" w:right="20" w:hanging="332"/>
        <w:spacing w:after="0" w:line="286" w:lineRule="auto"/>
        <w:tabs>
          <w:tab w:leader="none" w:pos="3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The continuing focus on human rights and environmental laws and regulations globally, as well as related customer requirements, could cause us to incur significant costs.</w:t>
      </w:r>
    </w:p>
    <w:p>
      <w:pPr>
        <w:spacing w:after="0" w:line="50" w:lineRule="exact"/>
        <w:rPr>
          <w:rFonts w:ascii="Times New Roman" w:cs="Times New Roman" w:eastAsia="Times New Roman" w:hAnsi="Times New Roman"/>
          <w:sz w:val="18"/>
          <w:szCs w:val="18"/>
          <w:color w:val="auto"/>
        </w:rPr>
      </w:pPr>
    </w:p>
    <w:p>
      <w:pPr>
        <w:jc w:val="both"/>
        <w:ind w:left="34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Concerns over human rights, environmental pollution and climate change have produced significant legislative and regulatory efforts globally. In addition, our customers have imposed various requirements on their suppliers, including us, in response to these concerns. These regulatory and customer requirements may continue to increase in number and breadth of scope going forward. Complying with these requirements may require us to, among other things, make investments in new innovations, change product and production processes and/or modify product supply chains, certain of which actions could be significant. Significant challenges may exist to comply with new legislative efforts and increasing customer requirements around supply chain transparency due to the inherent complexity of global automotive supply chains. If we fail to comply with these requirements, we could be subject to lost business opportunities and/or future liabilities, which could adversely affect our reputation, business, financial condition, operating results and cash flows.</w:t>
      </w:r>
    </w:p>
    <w:p>
      <w:pPr>
        <w:spacing w:after="0" w:line="18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New laws or regulations or changes in existing laws or regulations could adversely affect our financial performance.</w:t>
      </w:r>
    </w:p>
    <w:p>
      <w:pPr>
        <w:spacing w:after="0" w:line="121" w:lineRule="exact"/>
        <w:rPr>
          <w:rFonts w:ascii="Times New Roman" w:cs="Times New Roman" w:eastAsia="Times New Roman" w:hAnsi="Times New Roman"/>
          <w:sz w:val="18"/>
          <w:szCs w:val="18"/>
          <w:b w:val="1"/>
          <w:bCs w:val="1"/>
          <w:i w:val="1"/>
          <w:iCs w:val="1"/>
          <w:color w:val="auto"/>
        </w:rPr>
      </w:pPr>
    </w:p>
    <w:p>
      <w:pPr>
        <w:jc w:val="both"/>
        <w:ind w:left="340"/>
        <w:spacing w:after="0" w:line="255"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We and the automotive industry are subject to a variety of federal, state, local and foreign laws and regulations, including those related to health, safety and sustainability matters. Governmental regulations also affect taxes and levies, capital markets, healthcare costs, energy usage, data privacy, international trade, including tariffs and sanctions, human rights, and employment and labor issues, all of which may have a direct or indirect effect on our business and the businesses of our customers and suppliers. We cannot predict the substance or impact of pending or future legislation or regulations, or the application thereof. The introduction of new laws or regulations or changes in existing laws or regulations, or the interpretation thereof, could increase the costs of doing business for us or our customers or suppliers or restrict our actions and adversely affect our financial condition, operating results and cash flows.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left="340" w:hanging="332"/>
        <w:spacing w:after="0" w:line="268" w:lineRule="auto"/>
        <w:tabs>
          <w:tab w:leader="none" w:pos="335" w:val="left"/>
        </w:tabs>
        <w:numPr>
          <w:ilvl w:val="0"/>
          <w:numId w:val="2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We may incur fines or penalties, damage to our reputation or other adverse consequences if our employees, suppliers, sub-suppliers or other contract parties, agents or business partners violate anti-bribery, competition, export and import, trade sanctions, data privacy, environmental, human rights or other laws.</w:t>
      </w:r>
    </w:p>
    <w:p>
      <w:pPr>
        <w:spacing w:after="0" w:line="66" w:lineRule="exact"/>
        <w:rPr>
          <w:rFonts w:ascii="Times New Roman" w:cs="Times New Roman" w:eastAsia="Times New Roman" w:hAnsi="Times New Roman"/>
          <w:sz w:val="18"/>
          <w:szCs w:val="18"/>
          <w:b w:val="1"/>
          <w:bCs w:val="1"/>
          <w:i w:val="1"/>
          <w:iCs w:val="1"/>
          <w:color w:val="auto"/>
        </w:rPr>
      </w:pPr>
    </w:p>
    <w:p>
      <w:pPr>
        <w:jc w:val="both"/>
        <w:ind w:left="340"/>
        <w:spacing w:after="0" w:line="253"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We are subject to regulation under a wide variety of U.S. federal and state and non-U.S. laws, regulations and policies, including laws related to anti-corruption, human rights, anti-bribery, export and import compliance, trade sanctions, data privacy, anti-trust and money laundering, due to our domestic and global operations. In particular, the U.S. Foreign Corrupt Practices Act, the U.K. Bribery Act and similar anti-bribery laws in other jurisdictions generally prohibit companies and their intermediaries from making improper payments to government officials for the purpose of obtaining or retaining business, and we operate in many parts of the world that have experienced government corruption to some degree. We cannot provide assurance our internal controls will always protect us from the improper conduct of our employees, suppliers, sub-suppliers or other contract parties, agents and business partners. Violations of these laws, which are complex, may conflict with laws of other jurisdictions and often are difficult to interpret and apply, could subject us to civil or criminal investigations in the United States and other jurisdictions, could lead to substantial civil or criminal, monetary and non-monetary penalties and related shareholder lawsuits, could lead to increased costs of compliance and could damage our reputation, business, financial condition, operating results and cash flows.</w:t>
      </w:r>
    </w:p>
    <w:p>
      <w:pPr>
        <w:spacing w:after="0" w:line="190" w:lineRule="exact"/>
        <w:rPr>
          <w:rFonts w:ascii="Times New Roman" w:cs="Times New Roman" w:eastAsia="Times New Roman" w:hAnsi="Times New Roman"/>
          <w:sz w:val="18"/>
          <w:szCs w:val="18"/>
          <w:b w:val="1"/>
          <w:bCs w:val="1"/>
          <w:i w:val="1"/>
          <w:iCs w:val="1"/>
          <w:color w:val="auto"/>
        </w:rPr>
      </w:pPr>
    </w:p>
    <w:p>
      <w:pPr>
        <w:ind w:left="320" w:hanging="312"/>
        <w:spacing w:after="0"/>
        <w:tabs>
          <w:tab w:leader="none" w:pos="320" w:val="left"/>
        </w:tabs>
        <w:numPr>
          <w:ilvl w:val="0"/>
          <w:numId w:val="2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We are required to comply with environmental laws and regulations that could cause us to incur significant costs.</w:t>
      </w:r>
    </w:p>
    <w:p>
      <w:pPr>
        <w:spacing w:after="0" w:line="121" w:lineRule="exact"/>
        <w:rPr>
          <w:rFonts w:ascii="Times New Roman" w:cs="Times New Roman" w:eastAsia="Times New Roman" w:hAnsi="Times New Roman"/>
          <w:sz w:val="18"/>
          <w:szCs w:val="18"/>
          <w:b w:val="1"/>
          <w:bCs w:val="1"/>
          <w:i w:val="1"/>
          <w:iCs w:val="1"/>
          <w:color w:val="auto"/>
        </w:rPr>
      </w:pPr>
    </w:p>
    <w:p>
      <w:pPr>
        <w:jc w:val="both"/>
        <w:ind w:left="340"/>
        <w:spacing w:after="0" w:line="256"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Our manufacturing facilities are subject to numerous laws and regulations designed to protect the environment, and additional requirements with respect to environmental matters may continue to be imposed on us and our customers in the future. Material future expenditures may be necessary if compliance standards change or material unknown conditions that require remediation are discovered. Environmental laws could also restrict our ability to expand our facilities or could require us to acquire costly equipment or to incur other significant expenses in connection with our business. If we fail to comply with present and future environmental laws and regulations, we could be subject to future liabilities, which could adversely affect our financial condition, operating results and cash flows.</w:t>
      </w:r>
    </w:p>
    <w:p>
      <w:pPr>
        <w:spacing w:after="0" w:line="183" w:lineRule="exact"/>
        <w:rPr>
          <w:rFonts w:ascii="Times New Roman" w:cs="Times New Roman" w:eastAsia="Times New Roman" w:hAnsi="Times New Roman"/>
          <w:sz w:val="18"/>
          <w:szCs w:val="18"/>
          <w:b w:val="1"/>
          <w:bCs w:val="1"/>
          <w:i w:val="1"/>
          <w:iCs w:val="1"/>
          <w:color w:val="auto"/>
        </w:rPr>
      </w:pPr>
    </w:p>
    <w:p>
      <w:pPr>
        <w:ind w:left="320" w:hanging="312"/>
        <w:spacing w:after="0"/>
        <w:tabs>
          <w:tab w:leader="none" w:pos="320" w:val="left"/>
        </w:tabs>
        <w:numPr>
          <w:ilvl w:val="0"/>
          <w:numId w:val="2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Developments or assertions by or against us relating to intellectual property rights could adversely affect our financial performance.</w:t>
      </w:r>
    </w:p>
    <w:p>
      <w:pPr>
        <w:spacing w:after="0" w:line="121" w:lineRule="exact"/>
        <w:rPr>
          <w:rFonts w:ascii="Times New Roman" w:cs="Times New Roman" w:eastAsia="Times New Roman" w:hAnsi="Times New Roman"/>
          <w:sz w:val="18"/>
          <w:szCs w:val="18"/>
          <w:b w:val="1"/>
          <w:bCs w:val="1"/>
          <w:i w:val="1"/>
          <w:iCs w:val="1"/>
          <w:color w:val="auto"/>
        </w:rPr>
      </w:pPr>
    </w:p>
    <w:p>
      <w:pPr>
        <w:jc w:val="both"/>
        <w:ind w:left="340"/>
        <w:spacing w:after="0" w:line="256"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We own significant intellectual property, including a large number of patents, trademarks, copyrights and trade secrets, and we are involved in numerous licensing arrangements. Our intellectual property plays an important role in maintaining our competitive position in a number of the markets that we serve. Failure to successfully protect our intellectual property could adversely impact our business. Furthermore, we may not be able to readily identify unauthorized use or take appropriate and timely steps to enforce our intellectual property rights. Also, while we believe we have the necessary rights to use all of the intellectual property we use, if we are found to infringe on the rights of others, we could be adversely impacted. Developments or assertions by or against us relating to intellectual property rights could adversely affect our financial condition, operating results and cash flows.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1B – UNRESOLVED STAFF COMMENTS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1C – CYBERSECURITY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implemented and maintain multiple layers of physical, administrative and technical security processes designed to protect our manufacturing facilities from disruptions that may result from cybersecurity incidents, as well as safeguard the confidentiality of our critical systems, and data residing on those systems, including employee data, customer data and intellectual property. Our risk assessment and management of material risks from cybersecurity threats is integrated into our overall enterprise risk management process, as well as our information systems processes. Our strategy includes regular formal risk assessments, dynamic risk and threat analysis, utilization of security tools, regular cybersecurity-related tabletop and phishing exercises designed to simulate cybersecurity incidents, and frequent security awareness and technical security trainings. We conduct periodic internal and third-party assessments to evaluate our cybersecurity posture and test and assess our incident response program, incident roles and responsibilities, material impact evaluation, and decision-making processes in the event of a cybersecurity incident. We use our risk and security assessments to enhance our information security capabilities. We also have an internal employee network of hundreds of security awareness ambassadors from diverse functions throughout our global locations who inform our personnel concerning threat awareness and cybersecurity risk mitigation. </w:t>
      </w:r>
    </w:p>
    <w:p>
      <w:pPr>
        <w:spacing w:after="0" w:line="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Depending on the environment, we implement and maintain various technical, physical and organizational measures, processes, standards and policies designed to manage and mitigate material risks from cybersecurity threats to our information systems and data, including an incident response policy and scenario-based playbooks, an incident detection program, a vulnerability management program, disaster recovery and business continuity plans, risk assessment processes, security standards, network security controls, access controls, systems monitoring, employee awareness training and cyber insurance.</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internal information security team oversees and works collaboratively with various information security service providers. Our cybersecurity program and practices are supported through the use of third-party service providers to assist in the identification, assessment and management of risks specific to cybersecurity threats, including vendors providing threat intelligence, risk mitigation, dark web monitoring, external scanning and scoring, threat and reputation monitoring, forensics, cyber insurance, advisory services and legal counsel. We use a managed security service provider to augment our internal information security team and to provide additional monitoring capabilities.</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also have a vendor management program addressing cybersecurity risk associated with third-party application providers, hosting services and information technology support services we may retain. This program includes security questionnaires, review of vendor security programs, review of security assessments and assurance reports, vulnerability scans, and direct inquiries and collaboration with our vendors' security personnel. Our vendor management process involves different levels of assessment depending on the services provided by the vendor, the sensitivity of the related information systems and data, and the identity of the provider. It is designed to help identify cybersecurity risks associated with a provider and impose contractual obligations related to cybersecurity on the provider.</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an incident response plan that includes scenario-based playbooks for addressing cybersecurity incidents and associated crisis communication procedures designed to facilitate coordination across the Company and with our partners, customers, the public and others.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2025, there have been no risks from cybersecurity threats that have materially affected or are reasonably likely to materially affect our business strategy, financial condition or results of operations. For a description of risks related to our information technology systems, including cybersecurity threats, see Item 1A, "Risk Factors."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Board of Directors (the "Board") addresses our cybersecurity risk management as part of its general oversight function. The Audit Committee of the Board (the "Audit Committee") is responsible for overseeing our cybersecurity risk management processes, including our assessment and mitigation of material risks from cybersecurity threats. The Audit Committee receives regular reports, summaries or presentations related to cybersecurity threats, risk, mitigation and related processes from the Chief Information Officer ("CIO") and Chief Information Security Officer ("CISO"). In addition, on at least an annual basis, the Board receives reports, summaries or presentations related to cybersecurity threats, risk, mitigation and related processes.</w:t>
      </w:r>
    </w:p>
    <w:p>
      <w:pPr>
        <w:spacing w:after="0" w:line="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cybersecurity risk assessment and management processes are implemented and maintained by our CIO and CISO, who are supported by other members of management, as necessary. Our CIO and CISO are responsible for approving budgets, cybersecurity incident preparedness, approving cybersecurity processes, reviewing security assessments and other security-related reports, and providing the Chief Financial Officer ("CFO") with regular updates on cybersecurity-related matters. Our CIO has served in this role for five years and has more than thirty years of relevant experience, including previous roles as the CIO for two companies and the divisional information technology leader for two companies. Our CISO, who reports to the CIO, has served in this role for four years and has more than thirty years of relevant experience, including a focus on information security and cybersecurity for the last seventeen years. He previously served as the CISO for another automotive</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supplier. In addition, our CISO is engaged with the cybersecurity community through current and past involvement with organizations such as Automotive Information Sharing and Analysis Center, Michigan InfraGard, Domestic Security Alliance Council and the European Association of Automotive Suppliers cybersecurity workgroup. In addition, we have an information security team comprised of dozens of experienced employees who address cybersecurity matters. The CIO and CISO are also responsible for hiring appropriate personnel, assisting with the integration of cybersecurity risk considerations into our overall risk management strategy, communicating key priorities to relevant personnel, and mitigating and remediating cybersecurity incidents.</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cybersecurity incident response program is designed to escalate certain cybersecurity incidents to various levels of management depending on the circumstances, including our CIO, CISO, General Counsel, Division Presidents, CFO and/or Chief Executive Officer (collectively, "Senior Management") and, in the instance of product cybersecurity incidents, our E-Systems Safety Committee. Senior Management works with our incident response team to help mitigate and remediate certain escalated cybersecurity incidents. In addition, our incident response program includes reporting certain cybersecurity incidents to the Audit Committee and, in certain circumstances, to the Board.</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2 – PROPERTIES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2025, our properties include just-in-time manufacturing facilities, component manufacturing facilities, sequencing and distribution sites, and dedicated administrative/technical support facilities in 36 countries. A summary of these properties by operating segment and by region is shown below:</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160" w:type="dxa"/>
            <w:vAlign w:val="bottom"/>
            <w:tcBorders>
              <w:top w:val="single" w:sz="8" w:color="auto"/>
              <w:bottom w:val="single" w:sz="8" w:color="auto"/>
            </w:tcBorders>
          </w:tcPr>
          <w:p>
            <w:pPr>
              <w:spacing w:after="0"/>
              <w:rPr>
                <w:sz w:val="19"/>
                <w:szCs w:val="19"/>
                <w:color w:val="auto"/>
              </w:rPr>
            </w:pPr>
          </w:p>
        </w:tc>
        <w:tc>
          <w:tcPr>
            <w:tcW w:w="2700" w:type="dxa"/>
            <w:vAlign w:val="bottom"/>
            <w:tcBorders>
              <w:top w:val="single" w:sz="8" w:color="auto"/>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1820" w:type="dxa"/>
            <w:vAlign w:val="bottom"/>
            <w:tcBorders>
              <w:top w:val="single" w:sz="8" w:color="auto"/>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Europe and Africa</w:t>
            </w:r>
          </w:p>
        </w:tc>
        <w:tc>
          <w:tcPr>
            <w:tcW w:w="1480" w:type="dxa"/>
            <w:vAlign w:val="bottom"/>
            <w:tcBorders>
              <w:top w:val="single" w:sz="8" w:color="auto"/>
              <w:bottom w:val="single" w:sz="8" w:color="auto"/>
            </w:tcBorders>
          </w:tcPr>
          <w:p>
            <w:pPr>
              <w:jc w:val="right"/>
              <w:ind w:right="755"/>
              <w:spacing w:after="0"/>
              <w:rPr>
                <w:sz w:val="20"/>
                <w:szCs w:val="20"/>
                <w:color w:val="auto"/>
              </w:rPr>
            </w:pPr>
            <w:r>
              <w:rPr>
                <w:rFonts w:ascii="Times New Roman" w:cs="Times New Roman" w:eastAsia="Times New Roman" w:hAnsi="Times New Roman"/>
                <w:sz w:val="14"/>
                <w:szCs w:val="14"/>
                <w:b w:val="1"/>
                <w:bCs w:val="1"/>
                <w:color w:val="auto"/>
              </w:rPr>
              <w:t>Asia</w:t>
            </w:r>
          </w:p>
        </w:tc>
        <w:tc>
          <w:tcPr>
            <w:tcW w:w="1800" w:type="dxa"/>
            <w:vAlign w:val="bottom"/>
            <w:tcBorders>
              <w:top w:val="single" w:sz="8" w:color="auto"/>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South America</w:t>
            </w:r>
          </w:p>
        </w:tc>
        <w:tc>
          <w:tcPr>
            <w:tcW w:w="1280" w:type="dxa"/>
            <w:vAlign w:val="bottom"/>
            <w:tcBorders>
              <w:top w:val="single" w:sz="8" w:color="auto"/>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9"/>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Seating</w:t>
            </w:r>
          </w:p>
        </w:tc>
        <w:tc>
          <w:tcPr>
            <w:tcW w:w="270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58</w:t>
            </w:r>
          </w:p>
        </w:tc>
        <w:tc>
          <w:tcPr>
            <w:tcW w:w="182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8"/>
                <w:szCs w:val="18"/>
                <w:color w:val="auto"/>
              </w:rPr>
              <w:t>74</w:t>
            </w:r>
          </w:p>
        </w:tc>
        <w:tc>
          <w:tcPr>
            <w:tcW w:w="148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43</w:t>
            </w:r>
          </w:p>
        </w:tc>
        <w:tc>
          <w:tcPr>
            <w:tcW w:w="180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8"/>
                <w:szCs w:val="18"/>
                <w:color w:val="auto"/>
              </w:rPr>
              <w:t>9</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r>
      <w:tr>
        <w:trPr>
          <w:trHeight w:val="229"/>
        </w:trPr>
        <w:tc>
          <w:tcPr>
            <w:tcW w:w="2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E-Systems</w:t>
            </w:r>
          </w:p>
        </w:tc>
        <w:tc>
          <w:tcPr>
            <w:tcW w:w="270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16</w:t>
            </w:r>
          </w:p>
        </w:tc>
        <w:tc>
          <w:tcPr>
            <w:tcW w:w="182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8"/>
                <w:szCs w:val="18"/>
                <w:color w:val="auto"/>
              </w:rPr>
              <w:t>26</w:t>
            </w:r>
          </w:p>
        </w:tc>
        <w:tc>
          <w:tcPr>
            <w:tcW w:w="148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8"/>
                <w:szCs w:val="18"/>
                <w:color w:val="auto"/>
              </w:rPr>
              <w:t>16</w:t>
            </w:r>
          </w:p>
        </w:tc>
        <w:tc>
          <w:tcPr>
            <w:tcW w:w="180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8"/>
                <w:szCs w:val="18"/>
                <w:color w:val="auto"/>
              </w:rPr>
              <w:t>4</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30"/>
        </w:trPr>
        <w:tc>
          <w:tcPr>
            <w:tcW w:w="2160" w:type="dxa"/>
            <w:vAlign w:val="bottom"/>
            <w:tcBorders>
              <w:bottom w:val="single" w:sz="8" w:color="auto"/>
            </w:tcBorders>
            <w:shd w:val="clear" w:color="auto" w:fill="CCEEFF"/>
          </w:tcPr>
          <w:p>
            <w:pPr>
              <w:spacing w:after="0"/>
              <w:rPr>
                <w:sz w:val="20"/>
                <w:szCs w:val="20"/>
                <w:color w:val="auto"/>
              </w:rPr>
            </w:pPr>
          </w:p>
        </w:tc>
        <w:tc>
          <w:tcPr>
            <w:tcW w:w="270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74</w:t>
            </w:r>
          </w:p>
        </w:tc>
        <w:tc>
          <w:tcPr>
            <w:tcW w:w="1820" w:type="dxa"/>
            <w:vAlign w:val="bottom"/>
            <w:tcBorders>
              <w:bottom w:val="single" w:sz="8" w:color="auto"/>
            </w:tcBorders>
            <w:shd w:val="clear" w:color="auto" w:fill="CCEEFF"/>
          </w:tcPr>
          <w:p>
            <w:pPr>
              <w:jc w:val="right"/>
              <w:ind w:right="275"/>
              <w:spacing w:after="0"/>
              <w:rPr>
                <w:sz w:val="20"/>
                <w:szCs w:val="20"/>
                <w:color w:val="auto"/>
              </w:rPr>
            </w:pPr>
            <w:r>
              <w:rPr>
                <w:rFonts w:ascii="Times New Roman" w:cs="Times New Roman" w:eastAsia="Times New Roman" w:hAnsi="Times New Roman"/>
                <w:sz w:val="18"/>
                <w:szCs w:val="18"/>
                <w:color w:val="auto"/>
              </w:rPr>
              <w:t>100</w:t>
            </w:r>
          </w:p>
        </w:tc>
        <w:tc>
          <w:tcPr>
            <w:tcW w:w="148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59</w:t>
            </w:r>
          </w:p>
        </w:tc>
        <w:tc>
          <w:tcPr>
            <w:tcW w:w="1800" w:type="dxa"/>
            <w:vAlign w:val="bottom"/>
            <w:tcBorders>
              <w:bottom w:val="single" w:sz="8" w:color="auto"/>
            </w:tcBorders>
            <w:shd w:val="clear" w:color="auto" w:fill="CCEEFF"/>
          </w:tcPr>
          <w:p>
            <w:pPr>
              <w:jc w:val="right"/>
              <w:ind w:right="275"/>
              <w:spacing w:after="0"/>
              <w:rPr>
                <w:sz w:val="20"/>
                <w:szCs w:val="20"/>
                <w:color w:val="auto"/>
              </w:rPr>
            </w:pPr>
            <w:r>
              <w:rPr>
                <w:rFonts w:ascii="Times New Roman" w:cs="Times New Roman" w:eastAsia="Times New Roman" w:hAnsi="Times New Roman"/>
                <w:sz w:val="18"/>
                <w:szCs w:val="18"/>
                <w:color w:val="auto"/>
              </w:rPr>
              <w:t>13</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r>
    </w:tbl>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we have 12 general administrative/technical support facilities. Our properties include seven advanced technology centers (one at our corporate headquarters in Southfield, Michigan, one additional in North America, two in Europe and three in Asia). Of our 258 total properties, 93 are owned and 165 are leased.</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3 – LEGAL PROCEEDINGS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and Environmental Matters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involved from time to time in various legal proceedings and claims, including, without limitation, commercial or contractual disputes, product liability claims, and environmental and other matters. For a description of risks related to various legal proceedings and claims, see Item 1A, "Risk Factors." For a description of our outstanding material legal proceedings, see Note 12, "Legal and Other Contingencies," to the consolidated financial statements included in this Report.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4 –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SUPPLEMENTARY ITEM – INFORMATION ABOUT OUR EXECUTIVE OFFICERS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names, ages and positions of our executive officers. Executive officers are appointed annually by our Board of Directors (the "Board") and serve at the pleasure of our Board.</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60" w:type="dxa"/>
            <w:vAlign w:val="bottom"/>
            <w:tcBorders>
              <w:top w:val="single" w:sz="8" w:color="auto"/>
              <w:bottom w:val="single" w:sz="8" w:color="auto"/>
            </w:tcBorders>
          </w:tcPr>
          <w:p>
            <w:pPr>
              <w:ind w:left="1000"/>
              <w:spacing w:after="0"/>
              <w:rPr>
                <w:sz w:val="20"/>
                <w:szCs w:val="20"/>
                <w:color w:val="auto"/>
              </w:rPr>
            </w:pPr>
            <w:r>
              <w:rPr>
                <w:rFonts w:ascii="Times New Roman" w:cs="Times New Roman" w:eastAsia="Times New Roman" w:hAnsi="Times New Roman"/>
                <w:sz w:val="14"/>
                <w:szCs w:val="14"/>
                <w:b w:val="1"/>
                <w:bCs w:val="1"/>
                <w:color w:val="auto"/>
              </w:rPr>
              <w:t>Name</w:t>
            </w:r>
          </w:p>
        </w:tc>
        <w:tc>
          <w:tcPr>
            <w:tcW w:w="900" w:type="dxa"/>
            <w:vAlign w:val="bottom"/>
            <w:tcBorders>
              <w:top w:val="single" w:sz="8" w:color="auto"/>
              <w:bottom w:val="single" w:sz="8" w:color="auto"/>
            </w:tcBorders>
          </w:tcPr>
          <w:p>
            <w:pPr>
              <w:jc w:val="center"/>
              <w:ind w:left="332"/>
              <w:spacing w:after="0"/>
              <w:rPr>
                <w:sz w:val="20"/>
                <w:szCs w:val="20"/>
                <w:color w:val="auto"/>
              </w:rPr>
            </w:pPr>
            <w:r>
              <w:rPr>
                <w:rFonts w:ascii="Times New Roman" w:cs="Times New Roman" w:eastAsia="Times New Roman" w:hAnsi="Times New Roman"/>
                <w:sz w:val="14"/>
                <w:szCs w:val="14"/>
                <w:b w:val="1"/>
                <w:bCs w:val="1"/>
                <w:color w:val="auto"/>
              </w:rPr>
              <w:t>Age</w:t>
            </w:r>
          </w:p>
        </w:tc>
        <w:tc>
          <w:tcPr>
            <w:tcW w:w="8260" w:type="dxa"/>
            <w:vAlign w:val="bottom"/>
            <w:tcBorders>
              <w:top w:val="single" w:sz="8" w:color="auto"/>
              <w:bottom w:val="single" w:sz="8" w:color="auto"/>
            </w:tcBorders>
          </w:tcPr>
          <w:p>
            <w:pPr>
              <w:ind w:left="394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29"/>
        </w:trPr>
        <w:tc>
          <w:tcPr>
            <w:tcW w:w="2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Jason M. Cardew</w:t>
            </w:r>
          </w:p>
        </w:tc>
        <w:tc>
          <w:tcPr>
            <w:tcW w:w="900" w:type="dxa"/>
            <w:vAlign w:val="bottom"/>
            <w:shd w:val="clear" w:color="auto" w:fill="CCEEFF"/>
          </w:tcPr>
          <w:p>
            <w:pPr>
              <w:jc w:val="center"/>
              <w:ind w:left="312"/>
              <w:spacing w:after="0"/>
              <w:rPr>
                <w:sz w:val="20"/>
                <w:szCs w:val="20"/>
                <w:color w:val="auto"/>
              </w:rPr>
            </w:pPr>
            <w:r>
              <w:rPr>
                <w:rFonts w:ascii="Times New Roman" w:cs="Times New Roman" w:eastAsia="Times New Roman" w:hAnsi="Times New Roman"/>
                <w:sz w:val="18"/>
                <w:szCs w:val="18"/>
                <w:color w:val="auto"/>
                <w:w w:val="99"/>
              </w:rPr>
              <w:t>55</w:t>
            </w:r>
          </w:p>
        </w:tc>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r>
      <w:tr>
        <w:trPr>
          <w:trHeight w:val="230"/>
        </w:trPr>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Alicia J. Davis</w:t>
            </w:r>
          </w:p>
        </w:tc>
        <w:tc>
          <w:tcPr>
            <w:tcW w:w="900" w:type="dxa"/>
            <w:vAlign w:val="bottom"/>
          </w:tcPr>
          <w:p>
            <w:pPr>
              <w:jc w:val="center"/>
              <w:ind w:left="312"/>
              <w:spacing w:after="0"/>
              <w:rPr>
                <w:sz w:val="20"/>
                <w:szCs w:val="20"/>
                <w:color w:val="auto"/>
              </w:rPr>
            </w:pPr>
            <w:r>
              <w:rPr>
                <w:rFonts w:ascii="Times New Roman" w:cs="Times New Roman" w:eastAsia="Times New Roman" w:hAnsi="Times New Roman"/>
                <w:sz w:val="18"/>
                <w:szCs w:val="18"/>
                <w:color w:val="auto"/>
                <w:w w:val="99"/>
              </w:rPr>
              <w:t>55</w:t>
            </w:r>
          </w:p>
        </w:tc>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Senior Vice President and Chief Strategy Officer</w:t>
            </w:r>
          </w:p>
        </w:tc>
      </w:tr>
      <w:tr>
        <w:trPr>
          <w:trHeight w:val="229"/>
        </w:trPr>
        <w:tc>
          <w:tcPr>
            <w:tcW w:w="2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Amy A. Doyle</w:t>
            </w:r>
          </w:p>
        </w:tc>
        <w:tc>
          <w:tcPr>
            <w:tcW w:w="900" w:type="dxa"/>
            <w:vAlign w:val="bottom"/>
            <w:shd w:val="clear" w:color="auto" w:fill="CCEEFF"/>
          </w:tcPr>
          <w:p>
            <w:pPr>
              <w:jc w:val="center"/>
              <w:ind w:left="312"/>
              <w:spacing w:after="0"/>
              <w:rPr>
                <w:sz w:val="20"/>
                <w:szCs w:val="20"/>
                <w:color w:val="auto"/>
              </w:rPr>
            </w:pPr>
            <w:r>
              <w:rPr>
                <w:rFonts w:ascii="Times New Roman" w:cs="Times New Roman" w:eastAsia="Times New Roman" w:hAnsi="Times New Roman"/>
                <w:sz w:val="18"/>
                <w:szCs w:val="18"/>
                <w:color w:val="auto"/>
                <w:w w:val="99"/>
              </w:rPr>
              <w:t>58</w:t>
            </w:r>
          </w:p>
        </w:tc>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Vice President and Chief Accounting Officer</w:t>
            </w:r>
          </w:p>
        </w:tc>
      </w:tr>
      <w:tr>
        <w:trPr>
          <w:trHeight w:val="230"/>
        </w:trPr>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Harry A. Kemp</w:t>
            </w:r>
          </w:p>
        </w:tc>
        <w:tc>
          <w:tcPr>
            <w:tcW w:w="900" w:type="dxa"/>
            <w:vAlign w:val="bottom"/>
          </w:tcPr>
          <w:p>
            <w:pPr>
              <w:jc w:val="center"/>
              <w:ind w:left="312"/>
              <w:spacing w:after="0"/>
              <w:rPr>
                <w:sz w:val="20"/>
                <w:szCs w:val="20"/>
                <w:color w:val="auto"/>
              </w:rPr>
            </w:pPr>
            <w:r>
              <w:rPr>
                <w:rFonts w:ascii="Times New Roman" w:cs="Times New Roman" w:eastAsia="Times New Roman" w:hAnsi="Times New Roman"/>
                <w:sz w:val="18"/>
                <w:szCs w:val="18"/>
                <w:color w:val="auto"/>
                <w:w w:val="99"/>
              </w:rPr>
              <w:t>50</w:t>
            </w:r>
          </w:p>
        </w:tc>
        <w:tc>
          <w:tcPr>
            <w:tcW w:w="82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Senior Vice President and Chief Administrative Officer</w:t>
            </w:r>
          </w:p>
        </w:tc>
      </w:tr>
      <w:tr>
        <w:trPr>
          <w:trHeight w:val="229"/>
        </w:trPr>
        <w:tc>
          <w:tcPr>
            <w:tcW w:w="2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Frank C. Orsini</w:t>
            </w:r>
          </w:p>
        </w:tc>
        <w:tc>
          <w:tcPr>
            <w:tcW w:w="900" w:type="dxa"/>
            <w:vAlign w:val="bottom"/>
            <w:shd w:val="clear" w:color="auto" w:fill="CCEEFF"/>
          </w:tcPr>
          <w:p>
            <w:pPr>
              <w:jc w:val="center"/>
              <w:ind w:left="312"/>
              <w:spacing w:after="0"/>
              <w:rPr>
                <w:sz w:val="20"/>
                <w:szCs w:val="20"/>
                <w:color w:val="auto"/>
              </w:rPr>
            </w:pPr>
            <w:r>
              <w:rPr>
                <w:rFonts w:ascii="Times New Roman" w:cs="Times New Roman" w:eastAsia="Times New Roman" w:hAnsi="Times New Roman"/>
                <w:sz w:val="18"/>
                <w:szCs w:val="18"/>
                <w:color w:val="auto"/>
                <w:w w:val="99"/>
              </w:rPr>
              <w:t>53</w:t>
            </w:r>
          </w:p>
        </w:tc>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Executive Vice President and President, Seating</w:t>
            </w:r>
          </w:p>
        </w:tc>
      </w:tr>
      <w:tr>
        <w:trPr>
          <w:trHeight w:val="229"/>
        </w:trPr>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Nicholas J. Roelli</w:t>
            </w:r>
          </w:p>
        </w:tc>
        <w:tc>
          <w:tcPr>
            <w:tcW w:w="900" w:type="dxa"/>
            <w:vAlign w:val="bottom"/>
          </w:tcPr>
          <w:p>
            <w:pPr>
              <w:jc w:val="center"/>
              <w:ind w:left="312"/>
              <w:spacing w:after="0"/>
              <w:rPr>
                <w:sz w:val="20"/>
                <w:szCs w:val="20"/>
                <w:color w:val="auto"/>
              </w:rPr>
            </w:pPr>
            <w:r>
              <w:rPr>
                <w:rFonts w:ascii="Times New Roman" w:cs="Times New Roman" w:eastAsia="Times New Roman" w:hAnsi="Times New Roman"/>
                <w:sz w:val="18"/>
                <w:szCs w:val="18"/>
                <w:color w:val="auto"/>
                <w:w w:val="99"/>
              </w:rPr>
              <w:t>54</w:t>
            </w:r>
          </w:p>
        </w:tc>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Senior Vice President and President, E-Systems</w:t>
            </w:r>
          </w:p>
        </w:tc>
      </w:tr>
      <w:tr>
        <w:trPr>
          <w:trHeight w:val="230"/>
        </w:trPr>
        <w:tc>
          <w:tcPr>
            <w:tcW w:w="2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Raymond E. Scott</w:t>
            </w:r>
          </w:p>
        </w:tc>
        <w:tc>
          <w:tcPr>
            <w:tcW w:w="900" w:type="dxa"/>
            <w:vAlign w:val="bottom"/>
            <w:shd w:val="clear" w:color="auto" w:fill="CCEEFF"/>
          </w:tcPr>
          <w:p>
            <w:pPr>
              <w:jc w:val="center"/>
              <w:ind w:left="312"/>
              <w:spacing w:after="0"/>
              <w:rPr>
                <w:sz w:val="20"/>
                <w:szCs w:val="20"/>
                <w:color w:val="auto"/>
              </w:rPr>
            </w:pPr>
            <w:r>
              <w:rPr>
                <w:rFonts w:ascii="Times New Roman" w:cs="Times New Roman" w:eastAsia="Times New Roman" w:hAnsi="Times New Roman"/>
                <w:sz w:val="18"/>
                <w:szCs w:val="18"/>
                <w:color w:val="auto"/>
                <w:w w:val="99"/>
              </w:rPr>
              <w:t>60</w:t>
            </w:r>
          </w:p>
        </w:tc>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7"/>
        </w:trPr>
        <w:tc>
          <w:tcPr>
            <w:tcW w:w="2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Marianne Vidershain</w:t>
            </w:r>
          </w:p>
        </w:tc>
        <w:tc>
          <w:tcPr>
            <w:tcW w:w="900" w:type="dxa"/>
            <w:vAlign w:val="bottom"/>
            <w:tcBorders>
              <w:bottom w:val="single" w:sz="8" w:color="auto"/>
            </w:tcBorders>
          </w:tcPr>
          <w:p>
            <w:pPr>
              <w:jc w:val="center"/>
              <w:ind w:left="312"/>
              <w:spacing w:after="0"/>
              <w:rPr>
                <w:sz w:val="20"/>
                <w:szCs w:val="20"/>
                <w:color w:val="auto"/>
              </w:rPr>
            </w:pPr>
            <w:r>
              <w:rPr>
                <w:rFonts w:ascii="Times New Roman" w:cs="Times New Roman" w:eastAsia="Times New Roman" w:hAnsi="Times New Roman"/>
                <w:sz w:val="18"/>
                <w:szCs w:val="18"/>
                <w:color w:val="auto"/>
                <w:w w:val="99"/>
              </w:rPr>
              <w:t>46</w:t>
            </w:r>
          </w:p>
        </w:tc>
        <w:tc>
          <w:tcPr>
            <w:tcW w:w="82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Vice President, Treasurer and Head of Investor Relations</w:t>
            </w:r>
          </w:p>
        </w:tc>
      </w:tr>
    </w:tbl>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 forth below is a description of the business experience of each of our executive officers.</w:t>
      </w:r>
    </w:p>
    <w:p>
      <w:pPr>
        <w:sectPr>
          <w:pgSz w:w="11900" w:h="16838" w:orient="portrait"/>
          <w:cols w:equalWidth="0" w:num="1">
            <w:col w:w="11240"/>
          </w:cols>
          <w:pgMar w:left="320" w:top="117" w:right="339" w:bottom="1440" w:gutter="0" w:footer="0" w:header="0"/>
        </w:sectPr>
      </w:pPr>
    </w:p>
    <w:p>
      <w:pPr>
        <w:spacing w:after="0" w:line="1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Jason M. Cardew</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jc w:val="both"/>
        <w:ind w:right="40"/>
        <w:spacing w:after="0" w:line="239" w:lineRule="auto"/>
        <w:rPr>
          <w:sz w:val="20"/>
          <w:szCs w:val="20"/>
          <w:color w:val="auto"/>
        </w:rPr>
      </w:pPr>
      <w:r>
        <w:rPr>
          <w:rFonts w:ascii="Times New Roman" w:cs="Times New Roman" w:eastAsia="Times New Roman" w:hAnsi="Times New Roman"/>
          <w:sz w:val="17"/>
          <w:szCs w:val="17"/>
          <w:color w:val="auto"/>
        </w:rPr>
        <w:t>Mr. Cardew is the Company's Senior Vice President and Chief Financial Officer, a position he has held since November 2019. Mr. Cardew most recently served as the Company's Vice President, Finance - Seating and E-Systems since September 2018. Prior to that, he served as the Company's Vice President, Finance - Seating since April 2012. Previously, he served as the</w:t>
      </w:r>
    </w:p>
    <w:p>
      <w:pPr>
        <w:spacing w:after="0" w:line="1" w:lineRule="exact"/>
        <w:rPr>
          <w:sz w:val="20"/>
          <w:szCs w:val="20"/>
          <w:color w:val="auto"/>
        </w:rPr>
      </w:pPr>
    </w:p>
    <w:p>
      <w:pPr>
        <w:sectPr>
          <w:pgSz w:w="11900" w:h="16838" w:orient="portrait"/>
          <w:cols w:equalWidth="0" w:num="2">
            <w:col w:w="1400" w:space="720"/>
            <w:col w:w="9120"/>
          </w:cols>
          <w:pgMar w:left="320" w:top="117" w:right="339" w:bottom="1440" w:gutter="0" w:footer="0" w:header="0"/>
          <w:type w:val="continuous"/>
        </w:sectPr>
      </w:pPr>
    </w:p>
    <w:p>
      <w:pPr>
        <w:jc w:val="both"/>
        <w:ind w:left="2120" w:right="60"/>
        <w:spacing w:after="0" w:line="208" w:lineRule="auto"/>
        <w:rPr>
          <w:sz w:val="20"/>
          <w:szCs w:val="20"/>
          <w:color w:val="auto"/>
        </w:rPr>
      </w:pPr>
      <w:r>
        <w:rPr>
          <w:rFonts w:ascii="Times New Roman" w:cs="Times New Roman" w:eastAsia="Times New Roman" w:hAnsi="Times New Roman"/>
          <w:sz w:val="18"/>
          <w:szCs w:val="18"/>
          <w:color w:val="auto"/>
        </w:rPr>
        <w:t>Company's Vice President and Interim Chief Financial Officer since September 2011, Vice President, Finance - Financial Planning and Analysis since April 2010, Vice President, Finance - Seating since 2008, Vice President - Finance since 2003 and in various financial positions since joining the Company in 1992.</w:t>
      </w:r>
    </w:p>
    <w:p>
      <w:pPr>
        <w:sectPr>
          <w:pgSz w:w="11900" w:h="16838" w:orient="portrait"/>
          <w:cols w:equalWidth="0" w:num="1">
            <w:col w:w="11240"/>
          </w:cols>
          <w:pgMar w:left="320" w:top="117" w:right="339" w:bottom="1440" w:gutter="0" w:footer="0" w:header="0"/>
          <w:type w:val="continuous"/>
        </w:sectPr>
      </w:pPr>
    </w:p>
    <w:p>
      <w:pPr>
        <w:spacing w:after="0" w:line="1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Alicia J. Davis</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both"/>
        <w:ind w:right="40"/>
        <w:spacing w:after="0" w:line="226" w:lineRule="auto"/>
        <w:rPr>
          <w:sz w:val="20"/>
          <w:szCs w:val="20"/>
          <w:color w:val="auto"/>
        </w:rPr>
      </w:pPr>
      <w:r>
        <w:rPr>
          <w:rFonts w:ascii="Times New Roman" w:cs="Times New Roman" w:eastAsia="Times New Roman" w:hAnsi="Times New Roman"/>
          <w:sz w:val="18"/>
          <w:szCs w:val="18"/>
          <w:color w:val="auto"/>
        </w:rPr>
        <w:t>Ms. Davis is the Company's Senior Vice President and Chief Strategy Officer, a position she has held since May 2021. Ms. Davis most recently served as the Company's Senior Vice President, Corporate Development and Investor Relations since September 2019. Prior to that, she served as the Company's Vice President, Investor Relations since joining the Company in</w:t>
      </w:r>
    </w:p>
    <w:p>
      <w:pPr>
        <w:spacing w:after="0" w:line="1" w:lineRule="exact"/>
        <w:rPr>
          <w:sz w:val="20"/>
          <w:szCs w:val="20"/>
          <w:color w:val="auto"/>
        </w:rPr>
      </w:pPr>
    </w:p>
    <w:p>
      <w:pPr>
        <w:sectPr>
          <w:pgSz w:w="11900" w:h="16838" w:orient="portrait"/>
          <w:cols w:equalWidth="0" w:num="2">
            <w:col w:w="1400" w:space="720"/>
            <w:col w:w="9120"/>
          </w:cols>
          <w:pgMar w:left="320" w:top="117" w:right="339" w:bottom="1440" w:gutter="0" w:footer="0" w:header="0"/>
          <w:type w:val="continuous"/>
        </w:sectPr>
      </w:pPr>
    </w:p>
    <w:p>
      <w:pPr>
        <w:jc w:val="both"/>
        <w:ind w:left="2120" w:right="40"/>
        <w:spacing w:after="0" w:line="198" w:lineRule="auto"/>
        <w:rPr>
          <w:sz w:val="20"/>
          <w:szCs w:val="20"/>
          <w:color w:val="auto"/>
        </w:rPr>
      </w:pPr>
      <w:r>
        <w:rPr>
          <w:rFonts w:ascii="Times New Roman" w:cs="Times New Roman" w:eastAsia="Times New Roman" w:hAnsi="Times New Roman"/>
          <w:sz w:val="18"/>
          <w:szCs w:val="18"/>
          <w:color w:val="auto"/>
        </w:rPr>
        <w:t>August 2018. Prior to joining the Company, Ms. Davis was on the faculty at the University of Michigan Law School since June 2004, where she most recently served as a Professor and the Associate Dean for Strategic Initiatives. Ms. Davis continues to teach at the University of Michigan Law School as a Professor from Practice. Previous to that, she was a lawyer</w:t>
      </w:r>
    </w:p>
    <w:p>
      <w:pPr>
        <w:spacing w:after="0" w:line="2" w:lineRule="exact"/>
        <w:rPr>
          <w:sz w:val="20"/>
          <w:szCs w:val="20"/>
          <w:color w:val="auto"/>
        </w:rPr>
      </w:pPr>
    </w:p>
    <w:p>
      <w:pPr>
        <w:ind w:left="2120" w:right="40"/>
        <w:spacing w:after="0" w:line="226" w:lineRule="auto"/>
        <w:rPr>
          <w:sz w:val="20"/>
          <w:szCs w:val="20"/>
          <w:color w:val="auto"/>
        </w:rPr>
      </w:pPr>
      <w:r>
        <w:rPr>
          <w:rFonts w:ascii="Times New Roman" w:cs="Times New Roman" w:eastAsia="Times New Roman" w:hAnsi="Times New Roman"/>
          <w:sz w:val="18"/>
          <w:szCs w:val="18"/>
          <w:color w:val="auto"/>
        </w:rPr>
        <w:t>at Kirkland &amp; Ellis since June 2002, a Vice President at Raymond James &amp; Associates since August 1999 and an Investment Banking Analyst at Goldman Sachs from August 1993 to June 1995.</w:t>
      </w:r>
    </w:p>
    <w:p>
      <w:pPr>
        <w:sectPr>
          <w:pgSz w:w="11900" w:h="16838" w:orient="portrait"/>
          <w:cols w:equalWidth="0" w:num="1">
            <w:col w:w="11240"/>
          </w:cols>
          <w:pgMar w:left="320" w:top="117" w:right="339" w:bottom="1440" w:gutter="0" w:footer="0" w:header="0"/>
          <w:type w:val="continuous"/>
        </w:sectPr>
      </w:pPr>
    </w:p>
    <w:p>
      <w:pPr>
        <w:spacing w:after="0" w:line="1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Amy A. Doyle</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jc w:val="both"/>
        <w:ind w:right="40"/>
        <w:spacing w:after="0" w:line="226" w:lineRule="auto"/>
        <w:rPr>
          <w:sz w:val="20"/>
          <w:szCs w:val="20"/>
          <w:color w:val="auto"/>
        </w:rPr>
      </w:pPr>
      <w:r>
        <w:rPr>
          <w:rFonts w:ascii="Times New Roman" w:cs="Times New Roman" w:eastAsia="Times New Roman" w:hAnsi="Times New Roman"/>
          <w:sz w:val="18"/>
          <w:szCs w:val="18"/>
          <w:color w:val="auto"/>
        </w:rPr>
        <w:t>Ms. Doyle is the Company's Vice President and Chief Accounting Officer, a position she has held since May 2017. Ms. Doyle most recently served as the Company's Assistant Corporate Controller since September 2006. Previously, she served in positions of increasing responsibility at the Company, including Director, Financial Reporting since 2003 and Manager,</w:t>
      </w:r>
    </w:p>
    <w:p>
      <w:pPr>
        <w:spacing w:after="0" w:line="1" w:lineRule="exact"/>
        <w:rPr>
          <w:sz w:val="20"/>
          <w:szCs w:val="20"/>
          <w:color w:val="auto"/>
        </w:rPr>
      </w:pPr>
    </w:p>
    <w:p>
      <w:pPr>
        <w:sectPr>
          <w:pgSz w:w="11900" w:h="16838" w:orient="portrait"/>
          <w:cols w:equalWidth="0" w:num="2">
            <w:col w:w="1400" w:space="720"/>
            <w:col w:w="9120"/>
          </w:cols>
          <w:pgMar w:left="320" w:top="117" w:right="339" w:bottom="1440" w:gutter="0" w:footer="0" w:header="0"/>
          <w:type w:val="continuous"/>
        </w:sectPr>
      </w:pPr>
    </w:p>
    <w:p>
      <w:pPr>
        <w:ind w:left="2120" w:right="40"/>
        <w:spacing w:after="0" w:line="211" w:lineRule="auto"/>
        <w:rPr>
          <w:sz w:val="20"/>
          <w:szCs w:val="20"/>
          <w:color w:val="auto"/>
        </w:rPr>
      </w:pPr>
      <w:r>
        <w:rPr>
          <w:rFonts w:ascii="Times New Roman" w:cs="Times New Roman" w:eastAsia="Times New Roman" w:hAnsi="Times New Roman"/>
          <w:sz w:val="18"/>
          <w:szCs w:val="18"/>
          <w:color w:val="auto"/>
        </w:rPr>
        <w:t>Financial Reporting since joining the Company in 1999. Prior to joining the Company, Ms. Doyle served as an audit manager for Arthur Andersen LLP.</w:t>
      </w:r>
    </w:p>
    <w:p>
      <w:pPr>
        <w:sectPr>
          <w:pgSz w:w="11900" w:h="16838" w:orient="portrait"/>
          <w:cols w:equalWidth="0" w:num="1">
            <w:col w:w="11240"/>
          </w:cols>
          <w:pgMar w:left="320" w:top="117" w:right="339" w:bottom="1440" w:gutter="0" w:footer="0" w:header="0"/>
          <w:type w:val="continuous"/>
        </w:sectPr>
      </w:pPr>
    </w:p>
    <w:p>
      <w:pPr>
        <w:spacing w:after="0" w:line="1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Harry A. Kemp</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jc w:val="both"/>
        <w:ind w:right="40"/>
        <w:spacing w:after="0" w:line="239" w:lineRule="auto"/>
        <w:rPr>
          <w:sz w:val="20"/>
          <w:szCs w:val="20"/>
          <w:color w:val="auto"/>
        </w:rPr>
      </w:pPr>
      <w:r>
        <w:rPr>
          <w:rFonts w:ascii="Times New Roman" w:cs="Times New Roman" w:eastAsia="Times New Roman" w:hAnsi="Times New Roman"/>
          <w:sz w:val="17"/>
          <w:szCs w:val="17"/>
          <w:color w:val="auto"/>
        </w:rPr>
        <w:t>Mr. Kemp is the Company's Senior Vice President and Chief Administrative Officer, a position he has held since March 2025. Mr. Kemp most recently served as the Company's Senior Vice President, Chief Administrative Officer and General Counsel since January 2023. Prior to that, Mr. Kemp served as the Company's Senior Vice President, General Counsel and Corporate</w:t>
      </w:r>
    </w:p>
    <w:p>
      <w:pPr>
        <w:spacing w:after="0" w:line="1" w:lineRule="exact"/>
        <w:rPr>
          <w:sz w:val="20"/>
          <w:szCs w:val="20"/>
          <w:color w:val="auto"/>
        </w:rPr>
      </w:pPr>
    </w:p>
    <w:p>
      <w:pPr>
        <w:sectPr>
          <w:pgSz w:w="11900" w:h="16838" w:orient="portrait"/>
          <w:cols w:equalWidth="0" w:num="2">
            <w:col w:w="1400" w:space="720"/>
            <w:col w:w="9120"/>
          </w:cols>
          <w:pgMar w:left="320" w:top="117" w:right="339" w:bottom="1440" w:gutter="0" w:footer="0" w:header="0"/>
          <w:type w:val="continuous"/>
        </w:sectPr>
      </w:pPr>
    </w:p>
    <w:p>
      <w:pPr>
        <w:jc w:val="both"/>
        <w:ind w:left="2120" w:right="40"/>
        <w:spacing w:after="0" w:line="198" w:lineRule="auto"/>
        <w:rPr>
          <w:sz w:val="20"/>
          <w:szCs w:val="20"/>
          <w:color w:val="auto"/>
        </w:rPr>
      </w:pPr>
      <w:r>
        <w:rPr>
          <w:rFonts w:ascii="Times New Roman" w:cs="Times New Roman" w:eastAsia="Times New Roman" w:hAnsi="Times New Roman"/>
          <w:sz w:val="18"/>
          <w:szCs w:val="18"/>
          <w:color w:val="auto"/>
        </w:rPr>
        <w:t>Secretary since August 2019. Previously, he served as the Company's Vice President and Corporate Counsel since January 2019, Vice President and Divisional Counsel - Seating since September 2016 and Vice President and Divisional Counsel - E-Systems since joining the Company in December 2009. Prior to joining the Company, Mr. Kemp was a partner at Bodman</w:t>
      </w:r>
    </w:p>
    <w:p>
      <w:pPr>
        <w:spacing w:after="0" w:line="2" w:lineRule="exact"/>
        <w:rPr>
          <w:sz w:val="20"/>
          <w:szCs w:val="20"/>
          <w:color w:val="auto"/>
        </w:rPr>
      </w:pPr>
    </w:p>
    <w:p>
      <w:pPr>
        <w:ind w:left="2120" w:right="60"/>
        <w:spacing w:after="0" w:line="226" w:lineRule="auto"/>
        <w:rPr>
          <w:sz w:val="20"/>
          <w:szCs w:val="20"/>
          <w:color w:val="auto"/>
        </w:rPr>
      </w:pPr>
      <w:r>
        <w:rPr>
          <w:rFonts w:ascii="Times New Roman" w:cs="Times New Roman" w:eastAsia="Times New Roman" w:hAnsi="Times New Roman"/>
          <w:sz w:val="18"/>
          <w:szCs w:val="18"/>
          <w:color w:val="auto"/>
        </w:rPr>
        <w:t>PLC since 2003 and served as an engagement manager at McKinsey and Company, a global management consulting firm, since 2000.</w:t>
      </w:r>
    </w:p>
    <w:p>
      <w:pPr>
        <w:sectPr>
          <w:pgSz w:w="11900" w:h="16838" w:orient="portrait"/>
          <w:cols w:equalWidth="0" w:num="1">
            <w:col w:w="11240"/>
          </w:cols>
          <w:pgMar w:left="320" w:top="117" w:right="339" w:bottom="1440" w:gutter="0" w:footer="0" w:header="0"/>
          <w:type w:val="continuous"/>
        </w:sectPr>
      </w:pPr>
    </w:p>
    <w:p>
      <w:pPr>
        <w:spacing w:after="0" w:line="1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Frank C. Orsini</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jc w:val="both"/>
        <w:ind w:right="40"/>
        <w:spacing w:after="0" w:line="226" w:lineRule="auto"/>
        <w:rPr>
          <w:sz w:val="20"/>
          <w:szCs w:val="20"/>
          <w:color w:val="auto"/>
        </w:rPr>
      </w:pPr>
      <w:r>
        <w:rPr>
          <w:rFonts w:ascii="Times New Roman" w:cs="Times New Roman" w:eastAsia="Times New Roman" w:hAnsi="Times New Roman"/>
          <w:sz w:val="18"/>
          <w:szCs w:val="18"/>
          <w:color w:val="auto"/>
        </w:rPr>
        <w:t>Mr. Orsini is the Company's Executive Vice President and President, Seating, a position he has held since March 2018. Mr. Orsini most recently served as the Company's Senior Vice President and President, E-Systems since September 2012. Prior to that, he served as the Company's Vice President and Interim President, E-Systems since October 2011. Previously, he served</w:t>
      </w:r>
    </w:p>
    <w:p>
      <w:pPr>
        <w:spacing w:after="0" w:line="1" w:lineRule="exact"/>
        <w:rPr>
          <w:sz w:val="20"/>
          <w:szCs w:val="20"/>
          <w:color w:val="auto"/>
        </w:rPr>
      </w:pPr>
    </w:p>
    <w:p>
      <w:pPr>
        <w:sectPr>
          <w:pgSz w:w="11900" w:h="16838" w:orient="portrait"/>
          <w:cols w:equalWidth="0" w:num="2">
            <w:col w:w="1400" w:space="720"/>
            <w:col w:w="9120"/>
          </w:cols>
          <w:pgMar w:left="320" w:top="117" w:right="339" w:bottom="1440" w:gutter="0" w:footer="0" w:header="0"/>
          <w:type w:val="continuous"/>
        </w:sectPr>
      </w:pPr>
    </w:p>
    <w:p>
      <w:pPr>
        <w:jc w:val="both"/>
        <w:ind w:left="2120" w:right="60"/>
        <w:spacing w:after="0" w:line="208" w:lineRule="auto"/>
        <w:rPr>
          <w:sz w:val="20"/>
          <w:szCs w:val="20"/>
          <w:color w:val="auto"/>
        </w:rPr>
      </w:pPr>
      <w:r>
        <w:rPr>
          <w:rFonts w:ascii="Times New Roman" w:cs="Times New Roman" w:eastAsia="Times New Roman" w:hAnsi="Times New Roman"/>
          <w:sz w:val="18"/>
          <w:szCs w:val="18"/>
          <w:color w:val="auto"/>
        </w:rPr>
        <w:t>as the Company's Vice President, Operations, E-Systems since 2009, Vice President, Sales, Program Management &amp; Manufacturing, E-Systems since 2008, Vice President, North America Seating Operations since 2005 and in various other management positions since joining the Company in 1994.</w:t>
      </w:r>
    </w:p>
    <w:p>
      <w:pPr>
        <w:sectPr>
          <w:pgSz w:w="11900" w:h="16838" w:orient="portrait"/>
          <w:cols w:equalWidth="0" w:num="1">
            <w:col w:w="11240"/>
          </w:cols>
          <w:pgMar w:left="320" w:top="11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33" w:name="page34"/>
    <w:bookmarkEnd w:id="33"/>
    <w:tbl>
      <w:tblPr>
        <w:tblLayout w:type="fixed"/>
        <w:tblInd w:w="0" w:type="dxa"/>
        <w:tblCellMar>
          <w:top w:w="0" w:type="dxa"/>
          <w:left w:w="0" w:type="dxa"/>
          <w:bottom w:w="0" w:type="dxa"/>
          <w:right w:w="0" w:type="dxa"/>
        </w:tblCellMar>
      </w:tblPr>
      <w:tr>
        <w:trPr>
          <w:trHeight w:val="207"/>
        </w:trPr>
        <w:tc>
          <w:tcPr>
            <w:tcW w:w="1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FF"/>
              </w:rPr>
              <w:t>Table of Contents</w:t>
            </w:r>
          </w:p>
        </w:tc>
        <w:tc>
          <w:tcPr>
            <w:tcW w:w="9400" w:type="dxa"/>
            <w:vAlign w:val="bottom"/>
          </w:tcPr>
          <w:p>
            <w:pPr>
              <w:spacing w:after="0"/>
              <w:rPr>
                <w:sz w:val="17"/>
                <w:szCs w:val="17"/>
                <w:color w:val="auto"/>
              </w:rPr>
            </w:pPr>
          </w:p>
        </w:tc>
      </w:tr>
      <w:tr>
        <w:trPr>
          <w:trHeight w:val="884"/>
        </w:trPr>
        <w:tc>
          <w:tcPr>
            <w:tcW w:w="1360" w:type="dxa"/>
            <w:vAlign w:val="bottom"/>
            <w:tcBorders>
              <w:top w:val="single" w:sz="8" w:color="0000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Nicholas J. Roelli</w:t>
            </w:r>
          </w:p>
        </w:tc>
        <w:tc>
          <w:tcPr>
            <w:tcW w:w="480" w:type="dxa"/>
            <w:vAlign w:val="bottom"/>
          </w:tcPr>
          <w:p>
            <w:pPr>
              <w:spacing w:after="0"/>
              <w:rPr>
                <w:sz w:val="24"/>
                <w:szCs w:val="24"/>
                <w:color w:val="auto"/>
              </w:rPr>
            </w:pPr>
          </w:p>
        </w:tc>
        <w:tc>
          <w:tcPr>
            <w:tcW w:w="9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Mr. Roelli is the Company's Senior Vice President and President, E-Systems, a position he has held since May 2024. Mr.</w:t>
            </w:r>
          </w:p>
        </w:tc>
      </w:tr>
      <w:tr>
        <w:trPr>
          <w:trHeight w:val="184"/>
        </w:trPr>
        <w:tc>
          <w:tcPr>
            <w:tcW w:w="13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400" w:type="dxa"/>
            <w:vAlign w:val="bottom"/>
          </w:tcPr>
          <w:p>
            <w:pPr>
              <w:ind w:left="280"/>
              <w:spacing w:after="0" w:line="184" w:lineRule="exact"/>
              <w:rPr>
                <w:sz w:val="20"/>
                <w:szCs w:val="20"/>
                <w:color w:val="auto"/>
              </w:rPr>
            </w:pPr>
            <w:r>
              <w:rPr>
                <w:rFonts w:ascii="Times New Roman" w:cs="Times New Roman" w:eastAsia="Times New Roman" w:hAnsi="Times New Roman"/>
                <w:sz w:val="18"/>
                <w:szCs w:val="18"/>
                <w:color w:val="auto"/>
              </w:rPr>
              <w:t>Roelli most recently served as the Company's Vice President, North America Seating since May 2022. Prior to that, he served</w:t>
            </w:r>
          </w:p>
        </w:tc>
      </w:tr>
      <w:tr>
        <w:trPr>
          <w:trHeight w:val="180"/>
        </w:trPr>
        <w:tc>
          <w:tcPr>
            <w:tcW w:w="1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0" w:type="dxa"/>
            <w:vAlign w:val="bottom"/>
          </w:tcPr>
          <w:p>
            <w:pPr>
              <w:ind w:left="280"/>
              <w:spacing w:after="0" w:line="181" w:lineRule="exact"/>
              <w:rPr>
                <w:sz w:val="20"/>
                <w:szCs w:val="20"/>
                <w:color w:val="auto"/>
              </w:rPr>
            </w:pPr>
            <w:r>
              <w:rPr>
                <w:rFonts w:ascii="Times New Roman" w:cs="Times New Roman" w:eastAsia="Times New Roman" w:hAnsi="Times New Roman"/>
                <w:sz w:val="18"/>
                <w:szCs w:val="18"/>
                <w:color w:val="auto"/>
              </w:rPr>
              <w:t>as the Company's Vice President, North America Structures since May 2019. Previously, he served as the Company's Vice</w:t>
            </w:r>
          </w:p>
        </w:tc>
      </w:tr>
      <w:tr>
        <w:trPr>
          <w:trHeight w:val="176"/>
        </w:trPr>
        <w:tc>
          <w:tcPr>
            <w:tcW w:w="1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0" w:type="dxa"/>
            <w:vAlign w:val="bottom"/>
          </w:tcPr>
          <w:p>
            <w:pPr>
              <w:ind w:left="280"/>
              <w:spacing w:after="0" w:line="176" w:lineRule="exact"/>
              <w:rPr>
                <w:sz w:val="20"/>
                <w:szCs w:val="20"/>
                <w:color w:val="auto"/>
              </w:rPr>
            </w:pPr>
            <w:r>
              <w:rPr>
                <w:rFonts w:ascii="Times New Roman" w:cs="Times New Roman" w:eastAsia="Times New Roman" w:hAnsi="Times New Roman"/>
                <w:sz w:val="18"/>
                <w:szCs w:val="18"/>
                <w:color w:val="auto"/>
              </w:rPr>
              <w:t>President, Global Seating Structures since August 2016 and in various other positions of increasing responsibility since</w:t>
            </w:r>
          </w:p>
        </w:tc>
      </w:tr>
      <w:tr>
        <w:trPr>
          <w:trHeight w:val="234"/>
        </w:trPr>
        <w:tc>
          <w:tcPr>
            <w:tcW w:w="1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joining the Company in 1994.</w:t>
            </w:r>
          </w:p>
        </w:tc>
      </w:tr>
      <w:tr>
        <w:trPr>
          <w:trHeight w:val="346"/>
        </w:trPr>
        <w:tc>
          <w:tcPr>
            <w:tcW w:w="184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Raymond E. Scott</w:t>
            </w:r>
          </w:p>
        </w:tc>
        <w:tc>
          <w:tcPr>
            <w:tcW w:w="9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Mr. Scott is the Company's President and Chief Executive Officer, a position he has held since March 2018. Mr. Scott most</w:t>
            </w:r>
          </w:p>
        </w:tc>
      </w:tr>
      <w:tr>
        <w:trPr>
          <w:trHeight w:val="184"/>
        </w:trPr>
        <w:tc>
          <w:tcPr>
            <w:tcW w:w="13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400" w:type="dxa"/>
            <w:vAlign w:val="bottom"/>
          </w:tcPr>
          <w:p>
            <w:pPr>
              <w:ind w:left="280"/>
              <w:spacing w:after="0" w:line="184" w:lineRule="exact"/>
              <w:rPr>
                <w:sz w:val="20"/>
                <w:szCs w:val="20"/>
                <w:color w:val="auto"/>
              </w:rPr>
            </w:pPr>
            <w:r>
              <w:rPr>
                <w:rFonts w:ascii="Times New Roman" w:cs="Times New Roman" w:eastAsia="Times New Roman" w:hAnsi="Times New Roman"/>
                <w:sz w:val="18"/>
                <w:szCs w:val="18"/>
                <w:color w:val="auto"/>
              </w:rPr>
              <w:t>recently served as the Company's Executive Vice President and President, Seating since November 2011. Prior to that, he</w:t>
            </w:r>
          </w:p>
        </w:tc>
      </w:tr>
      <w:tr>
        <w:trPr>
          <w:trHeight w:val="180"/>
        </w:trPr>
        <w:tc>
          <w:tcPr>
            <w:tcW w:w="1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0" w:type="dxa"/>
            <w:vAlign w:val="bottom"/>
          </w:tcPr>
          <w:p>
            <w:pPr>
              <w:ind w:left="280"/>
              <w:spacing w:after="0" w:line="181" w:lineRule="exact"/>
              <w:rPr>
                <w:sz w:val="20"/>
                <w:szCs w:val="20"/>
                <w:color w:val="auto"/>
              </w:rPr>
            </w:pPr>
            <w:r>
              <w:rPr>
                <w:rFonts w:ascii="Times New Roman" w:cs="Times New Roman" w:eastAsia="Times New Roman" w:hAnsi="Times New Roman"/>
                <w:sz w:val="18"/>
                <w:szCs w:val="18"/>
                <w:color w:val="auto"/>
              </w:rPr>
              <w:t>served as the Company's Senior Vice President and President, E-Systems since February 2008. Previously, he served as the</w:t>
            </w:r>
          </w:p>
        </w:tc>
      </w:tr>
      <w:tr>
        <w:trPr>
          <w:trHeight w:val="175"/>
        </w:trPr>
        <w:tc>
          <w:tcPr>
            <w:tcW w:w="1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0" w:type="dxa"/>
            <w:vAlign w:val="bottom"/>
          </w:tcPr>
          <w:p>
            <w:pPr>
              <w:ind w:left="280"/>
              <w:spacing w:after="0" w:line="176" w:lineRule="exact"/>
              <w:rPr>
                <w:sz w:val="20"/>
                <w:szCs w:val="20"/>
                <w:color w:val="auto"/>
              </w:rPr>
            </w:pPr>
            <w:r>
              <w:rPr>
                <w:rFonts w:ascii="Times New Roman" w:cs="Times New Roman" w:eastAsia="Times New Roman" w:hAnsi="Times New Roman"/>
                <w:sz w:val="18"/>
                <w:szCs w:val="18"/>
                <w:color w:val="auto"/>
              </w:rPr>
              <w:t>Company's Senior Vice President and President, North American Seat Systems Group since August 2006, Senior Vice</w:t>
            </w:r>
          </w:p>
        </w:tc>
      </w:tr>
      <w:tr>
        <w:trPr>
          <w:trHeight w:val="184"/>
        </w:trPr>
        <w:tc>
          <w:tcPr>
            <w:tcW w:w="13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400" w:type="dxa"/>
            <w:vAlign w:val="bottom"/>
          </w:tcPr>
          <w:p>
            <w:pPr>
              <w:ind w:left="280"/>
              <w:spacing w:after="0" w:line="184" w:lineRule="exact"/>
              <w:rPr>
                <w:sz w:val="20"/>
                <w:szCs w:val="20"/>
                <w:color w:val="auto"/>
              </w:rPr>
            </w:pPr>
            <w:r>
              <w:rPr>
                <w:rFonts w:ascii="Times New Roman" w:cs="Times New Roman" w:eastAsia="Times New Roman" w:hAnsi="Times New Roman"/>
                <w:sz w:val="18"/>
                <w:szCs w:val="18"/>
                <w:color w:val="auto"/>
              </w:rPr>
              <w:t>President and President, North American Customer Group since June 2005, President, European Customer Focused Division</w:t>
            </w:r>
          </w:p>
        </w:tc>
      </w:tr>
      <w:tr>
        <w:trPr>
          <w:trHeight w:val="234"/>
        </w:trPr>
        <w:tc>
          <w:tcPr>
            <w:tcW w:w="1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since June 2004 and President, General Motors Division since November 2000.</w:t>
            </w:r>
          </w:p>
        </w:tc>
      </w:tr>
      <w:tr>
        <w:trPr>
          <w:trHeight w:val="338"/>
        </w:trPr>
        <w:tc>
          <w:tcPr>
            <w:tcW w:w="184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Marianne Vidershain</w:t>
            </w:r>
          </w:p>
        </w:tc>
        <w:tc>
          <w:tcPr>
            <w:tcW w:w="9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Ms. Vidershain is the Company's Vice President, Treasurer and Head of Investor Relations, a position she has held since May</w:t>
            </w:r>
          </w:p>
        </w:tc>
      </w:tr>
      <w:tr>
        <w:trPr>
          <w:trHeight w:val="184"/>
        </w:trPr>
        <w:tc>
          <w:tcPr>
            <w:tcW w:w="13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400" w:type="dxa"/>
            <w:vAlign w:val="bottom"/>
          </w:tcPr>
          <w:p>
            <w:pPr>
              <w:ind w:left="280"/>
              <w:spacing w:after="0" w:line="184" w:lineRule="exact"/>
              <w:rPr>
                <w:sz w:val="20"/>
                <w:szCs w:val="20"/>
                <w:color w:val="auto"/>
              </w:rPr>
            </w:pPr>
            <w:r>
              <w:rPr>
                <w:rFonts w:ascii="Times New Roman" w:cs="Times New Roman" w:eastAsia="Times New Roman" w:hAnsi="Times New Roman"/>
                <w:sz w:val="18"/>
                <w:szCs w:val="18"/>
                <w:color w:val="auto"/>
              </w:rPr>
              <w:t>2024. Ms. Vidershain most recently served as the Company's Vice President and Treasurer since February 2021. Prior to that,</w:t>
            </w:r>
          </w:p>
        </w:tc>
      </w:tr>
      <w:tr>
        <w:trPr>
          <w:trHeight w:val="180"/>
        </w:trPr>
        <w:tc>
          <w:tcPr>
            <w:tcW w:w="1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0" w:type="dxa"/>
            <w:vAlign w:val="bottom"/>
          </w:tcPr>
          <w:p>
            <w:pPr>
              <w:ind w:left="280"/>
              <w:spacing w:after="0" w:line="181" w:lineRule="exact"/>
              <w:rPr>
                <w:sz w:val="20"/>
                <w:szCs w:val="20"/>
                <w:color w:val="auto"/>
              </w:rPr>
            </w:pPr>
            <w:r>
              <w:rPr>
                <w:rFonts w:ascii="Times New Roman" w:cs="Times New Roman" w:eastAsia="Times New Roman" w:hAnsi="Times New Roman"/>
                <w:sz w:val="18"/>
                <w:szCs w:val="18"/>
                <w:color w:val="auto"/>
              </w:rPr>
              <w:t>she served as the Company's Assistant Treasurer since January 2018. Previously, she served as the Company's Director,</w:t>
            </w:r>
          </w:p>
        </w:tc>
      </w:tr>
      <w:tr>
        <w:trPr>
          <w:trHeight w:val="176"/>
        </w:trPr>
        <w:tc>
          <w:tcPr>
            <w:tcW w:w="1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0" w:type="dxa"/>
            <w:vAlign w:val="bottom"/>
          </w:tcPr>
          <w:p>
            <w:pPr>
              <w:ind w:left="280"/>
              <w:spacing w:after="0" w:line="176" w:lineRule="exact"/>
              <w:rPr>
                <w:sz w:val="20"/>
                <w:szCs w:val="20"/>
                <w:color w:val="auto"/>
              </w:rPr>
            </w:pPr>
            <w:r>
              <w:rPr>
                <w:rFonts w:ascii="Times New Roman" w:cs="Times New Roman" w:eastAsia="Times New Roman" w:hAnsi="Times New Roman"/>
                <w:sz w:val="18"/>
                <w:szCs w:val="18"/>
                <w:color w:val="auto"/>
              </w:rPr>
              <w:t>Global Financial Planning &amp; Analysis since January 2015, Director, Finance – Global Purchasing since February 2014,</w:t>
            </w:r>
          </w:p>
        </w:tc>
      </w:tr>
      <w:tr>
        <w:trPr>
          <w:trHeight w:val="184"/>
        </w:trPr>
        <w:tc>
          <w:tcPr>
            <w:tcW w:w="13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400" w:type="dxa"/>
            <w:vAlign w:val="bottom"/>
          </w:tcPr>
          <w:p>
            <w:pPr>
              <w:ind w:left="280"/>
              <w:spacing w:after="0" w:line="184" w:lineRule="exact"/>
              <w:rPr>
                <w:sz w:val="20"/>
                <w:szCs w:val="20"/>
                <w:color w:val="auto"/>
              </w:rPr>
            </w:pPr>
            <w:r>
              <w:rPr>
                <w:rFonts w:ascii="Times New Roman" w:cs="Times New Roman" w:eastAsia="Times New Roman" w:hAnsi="Times New Roman"/>
                <w:sz w:val="18"/>
                <w:szCs w:val="18"/>
                <w:color w:val="auto"/>
              </w:rPr>
              <w:t>Director, Capital Markets and Subsidiary Finance since April 2010, Treasury Manager since January 2007 and in various</w:t>
            </w:r>
          </w:p>
        </w:tc>
      </w:tr>
      <w:tr>
        <w:trPr>
          <w:trHeight w:val="234"/>
        </w:trPr>
        <w:tc>
          <w:tcPr>
            <w:tcW w:w="1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 treasury positions since joining the Company in 2004.</w:t>
            </w:r>
          </w:p>
        </w:tc>
      </w:tr>
      <w:tr>
        <w:trPr>
          <w:trHeight w:val="864"/>
        </w:trPr>
        <w:tc>
          <w:tcPr>
            <w:tcW w:w="1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0" w:type="dxa"/>
            <w:vAlign w:val="bottom"/>
          </w:tcPr>
          <w:p>
            <w:pPr>
              <w:ind w:left="3700"/>
              <w:spacing w:after="0"/>
              <w:rPr>
                <w:sz w:val="20"/>
                <w:szCs w:val="20"/>
                <w:color w:val="auto"/>
              </w:rPr>
            </w:pPr>
            <w:r>
              <w:rPr>
                <w:rFonts w:ascii="Times New Roman" w:cs="Times New Roman" w:eastAsia="Times New Roman" w:hAnsi="Times New Roman"/>
                <w:sz w:val="18"/>
                <w:szCs w:val="18"/>
                <w:color w:val="auto"/>
              </w:rPr>
              <w:t>34</w:t>
            </w:r>
          </w:p>
        </w:tc>
      </w:tr>
      <w:tr>
        <w:trPr>
          <w:trHeight w:val="115"/>
        </w:trPr>
        <w:tc>
          <w:tcPr>
            <w:tcW w:w="136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94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ITEM 5 – MARKET FOR THE COMPANY'S COMMON EQUITY,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RELATED STOCKHOLDER MATTERS AND ISSUER PURCHASES OF EQUITY SECURITIES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listed on the New York Stock Exchange under the symbol "LEA."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currently expect to pay quarterly cash dividends in the future, although such payments are at the discretion of our Board of Directors (the "Board") and will depend upon our financial condition, results of operations, capital requirements, alternative uses of capital and other factors that our Board may consider at its discretion. See Item 7, "Management's Discussion and Analysis of Financial Condition and Results of Operations — Forward-Looking Statements," and Note 10, "Capital Stock, Accumulated Other Comprehensive Loss and Equity," to the consolidated financial statements included in this Report.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Common Stock</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Transfer Agent and Registrar for our common stock is Computershare Trust Company, N.A., located in Canton, Massachusetts. On February 10, 2026, there were 85 registered holders of record of our common stock.</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certain information regarding our equity compensation plans, see Part III — Item 12, "Security Ownership of Certain Beneficial Owners and Management and Related Stockholder Matters — Equity Compensation Plan Information."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 Share Repurchase Program</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Since the first quarter of 2011, our Board has authorized $6.7 billion in share repurchases under our common stock share repurchase program. As of December 31, 2025, we have repurchased, in aggregate, $5.9 billion of our outstanding common stock, at an average price of $95.01 per share, excluding commissions and related fees, and have a remaining repurchase authorization of $775 million, which expires on December 31, 2026.</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implement share repurchases through a variety of methods, including, but not limited to, open market purchases, accelerated stock repurchase programs and structured repurchase transactions. The extent to which we may repurchase our outstanding common stock and the timing of such repurchases will depend upon our financial condition, results of operations, capital requirements, prevailing market conditions, alternative uses of capital and other factors. See Item 7, "Management's Discussion and Analysis of Financial Condition and Results of Operations — Forward-Looking Statements," and Note 10, "Capital Stock, Accumulated Other Comprehensive Loss and Equity," to the consolidated financial statements included in this Report.</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shares of our common stock repurchased during the fiscal quarter ended December 31, 2025, is shown below:</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454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84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Total Number of Shares</w:t>
            </w:r>
          </w:p>
        </w:tc>
        <w:tc>
          <w:tcPr>
            <w:tcW w:w="280" w:type="dxa"/>
            <w:vAlign w:val="bottom"/>
            <w:tcBorders>
              <w:top w:val="single" w:sz="8" w:color="auto"/>
            </w:tcBorders>
          </w:tcPr>
          <w:p>
            <w:pPr>
              <w:spacing w:after="0"/>
              <w:rPr>
                <w:sz w:val="14"/>
                <w:szCs w:val="14"/>
                <w:color w:val="auto"/>
              </w:rPr>
            </w:pPr>
          </w:p>
        </w:tc>
        <w:tc>
          <w:tcPr>
            <w:tcW w:w="1600" w:type="dxa"/>
            <w:vAlign w:val="bottom"/>
            <w:tcBorders>
              <w:top w:val="single" w:sz="8" w:color="auto"/>
            </w:tcBorders>
          </w:tcPr>
          <w:p>
            <w:pPr>
              <w:jc w:val="center"/>
              <w:ind w:right="100"/>
              <w:spacing w:after="0"/>
              <w:rPr>
                <w:sz w:val="20"/>
                <w:szCs w:val="20"/>
                <w:color w:val="auto"/>
              </w:rPr>
            </w:pPr>
            <w:r>
              <w:rPr>
                <w:rFonts w:ascii="Times New Roman" w:cs="Times New Roman" w:eastAsia="Times New Roman" w:hAnsi="Times New Roman"/>
                <w:sz w:val="14"/>
                <w:szCs w:val="14"/>
                <w:color w:val="auto"/>
              </w:rPr>
              <w:t>Approximate Dollar</w:t>
            </w:r>
          </w:p>
        </w:tc>
        <w:tc>
          <w:tcPr>
            <w:tcW w:w="0" w:type="dxa"/>
            <w:vAlign w:val="bottom"/>
          </w:tcPr>
          <w:p>
            <w:pPr>
              <w:spacing w:after="0"/>
              <w:rPr>
                <w:sz w:val="1"/>
                <w:szCs w:val="1"/>
                <w:color w:val="auto"/>
              </w:rPr>
            </w:pPr>
          </w:p>
        </w:tc>
      </w:tr>
      <w:tr>
        <w:trPr>
          <w:trHeight w:val="144"/>
        </w:trPr>
        <w:tc>
          <w:tcPr>
            <w:tcW w:w="4540" w:type="dxa"/>
            <w:vAlign w:val="bottom"/>
          </w:tcPr>
          <w:p>
            <w:pPr>
              <w:spacing w:after="0"/>
              <w:rPr>
                <w:sz w:val="12"/>
                <w:szCs w:val="12"/>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Total Number</w:t>
            </w:r>
          </w:p>
        </w:tc>
        <w:tc>
          <w:tcPr>
            <w:tcW w:w="280" w:type="dxa"/>
            <w:vAlign w:val="bottom"/>
          </w:tcPr>
          <w:p>
            <w:pPr>
              <w:spacing w:after="0"/>
              <w:rPr>
                <w:sz w:val="12"/>
                <w:szCs w:val="12"/>
                <w:color w:val="auto"/>
              </w:rPr>
            </w:pPr>
          </w:p>
        </w:tc>
        <w:tc>
          <w:tcPr>
            <w:tcW w:w="1000" w:type="dxa"/>
            <w:vAlign w:val="bottom"/>
            <w:vMerge w:val="restart"/>
          </w:tcPr>
          <w:p>
            <w:pPr>
              <w:jc w:val="center"/>
              <w:ind w:right="198"/>
              <w:spacing w:after="0"/>
              <w:rPr>
                <w:sz w:val="20"/>
                <w:szCs w:val="20"/>
                <w:color w:val="auto"/>
              </w:rPr>
            </w:pPr>
            <w:r>
              <w:rPr>
                <w:rFonts w:ascii="Times New Roman" w:cs="Times New Roman" w:eastAsia="Times New Roman" w:hAnsi="Times New Roman"/>
                <w:sz w:val="14"/>
                <w:szCs w:val="14"/>
                <w:color w:val="auto"/>
              </w:rPr>
              <w:t>Average</w:t>
            </w:r>
          </w:p>
        </w:tc>
        <w:tc>
          <w:tcPr>
            <w:tcW w:w="18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600" w:type="dxa"/>
            <w:vAlign w:val="bottom"/>
          </w:tcPr>
          <w:p>
            <w:pPr>
              <w:jc w:val="center"/>
              <w:ind w:right="100"/>
              <w:spacing w:after="0" w:line="145" w:lineRule="exact"/>
              <w:rPr>
                <w:sz w:val="20"/>
                <w:szCs w:val="20"/>
                <w:color w:val="auto"/>
              </w:rPr>
            </w:pPr>
            <w:r>
              <w:rPr>
                <w:rFonts w:ascii="Times New Roman" w:cs="Times New Roman" w:eastAsia="Times New Roman" w:hAnsi="Times New Roman"/>
                <w:sz w:val="14"/>
                <w:szCs w:val="14"/>
                <w:color w:val="auto"/>
              </w:rPr>
              <w:t>Value of Shares that</w:t>
            </w:r>
          </w:p>
        </w:tc>
        <w:tc>
          <w:tcPr>
            <w:tcW w:w="0" w:type="dxa"/>
            <w:vAlign w:val="bottom"/>
          </w:tcPr>
          <w:p>
            <w:pPr>
              <w:spacing w:after="0"/>
              <w:rPr>
                <w:sz w:val="1"/>
                <w:szCs w:val="1"/>
                <w:color w:val="auto"/>
              </w:rPr>
            </w:pPr>
          </w:p>
        </w:tc>
      </w:tr>
      <w:tr>
        <w:trPr>
          <w:trHeight w:val="135"/>
        </w:trPr>
        <w:tc>
          <w:tcPr>
            <w:tcW w:w="454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184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auto"/>
              </w:rPr>
              <w:t>Purchased as Part of</w:t>
            </w:r>
          </w:p>
        </w:tc>
        <w:tc>
          <w:tcPr>
            <w:tcW w:w="280" w:type="dxa"/>
            <w:vAlign w:val="bottom"/>
          </w:tcPr>
          <w:p>
            <w:pPr>
              <w:spacing w:after="0"/>
              <w:rPr>
                <w:sz w:val="11"/>
                <w:szCs w:val="11"/>
                <w:color w:val="auto"/>
              </w:rPr>
            </w:pPr>
          </w:p>
        </w:tc>
        <w:tc>
          <w:tcPr>
            <w:tcW w:w="1600" w:type="dxa"/>
            <w:vAlign w:val="bottom"/>
          </w:tcPr>
          <w:p>
            <w:pPr>
              <w:jc w:val="center"/>
              <w:ind w:right="100"/>
              <w:spacing w:after="0" w:line="135" w:lineRule="exact"/>
              <w:rPr>
                <w:sz w:val="20"/>
                <w:szCs w:val="20"/>
                <w:color w:val="auto"/>
              </w:rPr>
            </w:pPr>
            <w:r>
              <w:rPr>
                <w:rFonts w:ascii="Times New Roman" w:cs="Times New Roman" w:eastAsia="Times New Roman" w:hAnsi="Times New Roman"/>
                <w:sz w:val="14"/>
                <w:szCs w:val="14"/>
                <w:color w:val="auto"/>
              </w:rPr>
              <w:t>May Yet be Purchased</w:t>
            </w:r>
          </w:p>
        </w:tc>
        <w:tc>
          <w:tcPr>
            <w:tcW w:w="0" w:type="dxa"/>
            <w:vAlign w:val="bottom"/>
          </w:tcPr>
          <w:p>
            <w:pPr>
              <w:spacing w:after="0"/>
              <w:rPr>
                <w:sz w:val="1"/>
                <w:szCs w:val="1"/>
                <w:color w:val="auto"/>
              </w:rPr>
            </w:pPr>
          </w:p>
        </w:tc>
      </w:tr>
      <w:tr>
        <w:trPr>
          <w:trHeight w:val="148"/>
        </w:trPr>
        <w:tc>
          <w:tcPr>
            <w:tcW w:w="45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Period</w:t>
            </w: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of Shares</w:t>
            </w:r>
          </w:p>
        </w:tc>
        <w:tc>
          <w:tcPr>
            <w:tcW w:w="280" w:type="dxa"/>
            <w:vAlign w:val="bottom"/>
          </w:tcPr>
          <w:p>
            <w:pPr>
              <w:spacing w:after="0"/>
              <w:rPr>
                <w:sz w:val="12"/>
                <w:szCs w:val="12"/>
                <w:color w:val="auto"/>
              </w:rPr>
            </w:pPr>
          </w:p>
        </w:tc>
        <w:tc>
          <w:tcPr>
            <w:tcW w:w="1000" w:type="dxa"/>
            <w:vAlign w:val="bottom"/>
          </w:tcPr>
          <w:p>
            <w:pPr>
              <w:jc w:val="center"/>
              <w:ind w:right="198"/>
              <w:spacing w:after="0" w:line="149" w:lineRule="exact"/>
              <w:rPr>
                <w:sz w:val="20"/>
                <w:szCs w:val="20"/>
                <w:color w:val="auto"/>
              </w:rPr>
            </w:pPr>
            <w:r>
              <w:rPr>
                <w:rFonts w:ascii="Times New Roman" w:cs="Times New Roman" w:eastAsia="Times New Roman" w:hAnsi="Times New Roman"/>
                <w:sz w:val="14"/>
                <w:szCs w:val="14"/>
                <w:color w:val="auto"/>
              </w:rPr>
              <w:t>Price Paid</w:t>
            </w:r>
          </w:p>
        </w:tc>
        <w:tc>
          <w:tcPr>
            <w:tcW w:w="1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Publicly Announced</w:t>
            </w:r>
          </w:p>
        </w:tc>
        <w:tc>
          <w:tcPr>
            <w:tcW w:w="280" w:type="dxa"/>
            <w:vAlign w:val="bottom"/>
          </w:tcPr>
          <w:p>
            <w:pPr>
              <w:spacing w:after="0"/>
              <w:rPr>
                <w:sz w:val="12"/>
                <w:szCs w:val="12"/>
                <w:color w:val="auto"/>
              </w:rPr>
            </w:pPr>
          </w:p>
        </w:tc>
        <w:tc>
          <w:tcPr>
            <w:tcW w:w="1600" w:type="dxa"/>
            <w:vAlign w:val="bottom"/>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Under the Program</w:t>
            </w:r>
          </w:p>
        </w:tc>
        <w:tc>
          <w:tcPr>
            <w:tcW w:w="0" w:type="dxa"/>
            <w:vAlign w:val="bottom"/>
          </w:tcPr>
          <w:p>
            <w:pPr>
              <w:spacing w:after="0"/>
              <w:rPr>
                <w:sz w:val="1"/>
                <w:szCs w:val="1"/>
                <w:color w:val="auto"/>
              </w:rPr>
            </w:pPr>
          </w:p>
        </w:tc>
      </w:tr>
      <w:tr>
        <w:trPr>
          <w:trHeight w:val="198"/>
        </w:trPr>
        <w:tc>
          <w:tcPr>
            <w:tcW w:w="4540" w:type="dxa"/>
            <w:vAlign w:val="bottom"/>
            <w:tcBorders>
              <w:bottom w:val="single" w:sz="8" w:color="auto"/>
            </w:tcBorders>
            <w:vMerge w:val="continue"/>
          </w:tcPr>
          <w:p>
            <w:pPr>
              <w:spacing w:after="0"/>
              <w:rPr>
                <w:sz w:val="17"/>
                <w:szCs w:val="17"/>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Purchased</w:t>
            </w: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198"/>
              <w:spacing w:after="0"/>
              <w:rPr>
                <w:sz w:val="20"/>
                <w:szCs w:val="20"/>
                <w:color w:val="auto"/>
              </w:rPr>
            </w:pPr>
            <w:r>
              <w:rPr>
                <w:rFonts w:ascii="Times New Roman" w:cs="Times New Roman" w:eastAsia="Times New Roman" w:hAnsi="Times New Roman"/>
                <w:sz w:val="14"/>
                <w:szCs w:val="14"/>
                <w:color w:val="auto"/>
              </w:rPr>
              <w:t>per Share</w:t>
            </w:r>
          </w:p>
        </w:tc>
        <w:tc>
          <w:tcPr>
            <w:tcW w:w="1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Plans or Programs</w:t>
            </w:r>
          </w:p>
        </w:tc>
        <w:tc>
          <w:tcPr>
            <w:tcW w:w="2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center"/>
              <w:ind w:right="100"/>
              <w:spacing w:after="0"/>
              <w:rPr>
                <w:sz w:val="20"/>
                <w:szCs w:val="20"/>
                <w:color w:val="auto"/>
              </w:rPr>
            </w:pPr>
            <w:r>
              <w:rPr>
                <w:rFonts w:ascii="Times New Roman" w:cs="Times New Roman" w:eastAsia="Times New Roman" w:hAnsi="Times New Roman"/>
                <w:sz w:val="14"/>
                <w:szCs w:val="14"/>
                <w:color w:val="auto"/>
              </w:rPr>
              <w:t>(in millions)</w:t>
            </w:r>
          </w:p>
        </w:tc>
        <w:tc>
          <w:tcPr>
            <w:tcW w:w="0" w:type="dxa"/>
            <w:vAlign w:val="bottom"/>
          </w:tcPr>
          <w:p>
            <w:pPr>
              <w:spacing w:after="0"/>
              <w:rPr>
                <w:sz w:val="1"/>
                <w:szCs w:val="1"/>
                <w:color w:val="auto"/>
              </w:rPr>
            </w:pPr>
          </w:p>
        </w:tc>
      </w:tr>
      <w:tr>
        <w:trPr>
          <w:trHeight w:val="228"/>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28, 2025 through October 25, 2025</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384,354</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100.23</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384,354</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911.3</w:t>
            </w:r>
          </w:p>
        </w:tc>
        <w:tc>
          <w:tcPr>
            <w:tcW w:w="0" w:type="dxa"/>
            <w:vAlign w:val="bottom"/>
          </w:tcPr>
          <w:p>
            <w:pPr>
              <w:spacing w:after="0"/>
              <w:rPr>
                <w:sz w:val="1"/>
                <w:szCs w:val="1"/>
                <w:color w:val="auto"/>
              </w:rPr>
            </w:pPr>
          </w:p>
        </w:tc>
      </w:tr>
      <w:tr>
        <w:trPr>
          <w:trHeight w:val="230"/>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October 26, 2025 through November 22, 2025</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510,714</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98"/>
              <w:spacing w:after="0"/>
              <w:rPr>
                <w:sz w:val="20"/>
                <w:szCs w:val="20"/>
                <w:color w:val="auto"/>
              </w:rPr>
            </w:pPr>
            <w:r>
              <w:rPr>
                <w:rFonts w:ascii="Times New Roman" w:cs="Times New Roman" w:eastAsia="Times New Roman" w:hAnsi="Times New Roman"/>
                <w:sz w:val="18"/>
                <w:szCs w:val="18"/>
                <w:color w:val="auto"/>
              </w:rPr>
              <w:t>105.79</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510,714</w:t>
            </w:r>
          </w:p>
        </w:tc>
        <w:tc>
          <w:tcPr>
            <w:tcW w:w="2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857.2</w:t>
            </w: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November 23, 2025 through December 31, 2025</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737,388</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111.87</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737,388</w:t>
            </w: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774.7</w:t>
            </w:r>
          </w:p>
        </w:tc>
        <w:tc>
          <w:tcPr>
            <w:tcW w:w="0" w:type="dxa"/>
            <w:vAlign w:val="bottom"/>
          </w:tcPr>
          <w:p>
            <w:pPr>
              <w:spacing w:after="0"/>
              <w:rPr>
                <w:sz w:val="1"/>
                <w:szCs w:val="1"/>
                <w:color w:val="auto"/>
              </w:rPr>
            </w:pPr>
          </w:p>
        </w:tc>
      </w:tr>
      <w:tr>
        <w:trPr>
          <w:trHeight w:val="230"/>
        </w:trPr>
        <w:tc>
          <w:tcPr>
            <w:tcW w:w="4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1,632,456</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8"/>
                <w:szCs w:val="18"/>
                <w:color w:val="auto"/>
              </w:rPr>
              <w:t>107.23</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1,632,456</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774.7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following graph compares the cumulative total shareholder return from December 31, 2020 through December 31, 2025, for our common stock, the S&amp;P 500 Index and a peer group </w:t>
      </w:r>
      <w:r>
        <w:rPr>
          <w:rFonts w:ascii="Times New Roman" w:cs="Times New Roman" w:eastAsia="Times New Roman" w:hAnsi="Times New Roman"/>
          <w:sz w:val="10"/>
          <w:szCs w:val="10"/>
          <w:color w:val="auto"/>
        </w:rPr>
        <w:t>(1)</w:t>
      </w:r>
      <w:r>
        <w:rPr>
          <w:rFonts w:ascii="Times New Roman" w:cs="Times New Roman" w:eastAsia="Times New Roman" w:hAnsi="Times New Roman"/>
          <w:sz w:val="18"/>
          <w:szCs w:val="18"/>
          <w:color w:val="auto"/>
        </w:rPr>
        <w:t xml:space="preserve"> of companies that we have selected for purposes of this comparison. We have assumed that dividends have been reinvested, and the returns of each company in the S&amp;P 500 Index and the peer group have been weighted to reflect relative stock market capitalization. The graph below assumes that $100 was invested on December 31, 2020, in each of our common stock, the stocks comprising the S&amp;P 500 Index and the stocks comprising the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5863590" cy="26574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863590" cy="2657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280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ind w:right="96"/>
              <w:spacing w:after="0"/>
              <w:rPr>
                <w:sz w:val="20"/>
                <w:szCs w:val="20"/>
                <w:color w:val="auto"/>
              </w:rPr>
            </w:pPr>
            <w:r>
              <w:rPr>
                <w:rFonts w:ascii="Times New Roman" w:cs="Times New Roman" w:eastAsia="Times New Roman" w:hAnsi="Times New Roman"/>
                <w:sz w:val="14"/>
                <w:szCs w:val="14"/>
                <w:color w:val="auto"/>
              </w:rPr>
              <w:t>December 31,</w:t>
            </w:r>
          </w:p>
        </w:tc>
        <w:tc>
          <w:tcPr>
            <w:tcW w:w="2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ind w:right="96"/>
              <w:spacing w:after="0"/>
              <w:rPr>
                <w:sz w:val="20"/>
                <w:szCs w:val="20"/>
                <w:color w:val="auto"/>
              </w:rPr>
            </w:pPr>
            <w:r>
              <w:rPr>
                <w:rFonts w:ascii="Times New Roman" w:cs="Times New Roman" w:eastAsia="Times New Roman" w:hAnsi="Times New Roman"/>
                <w:sz w:val="14"/>
                <w:szCs w:val="14"/>
                <w:color w:val="auto"/>
              </w:rPr>
              <w:t>December 31,</w:t>
            </w:r>
          </w:p>
        </w:tc>
        <w:tc>
          <w:tcPr>
            <w:tcW w:w="2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ind w:right="96"/>
              <w:spacing w:after="0"/>
              <w:rPr>
                <w:sz w:val="20"/>
                <w:szCs w:val="20"/>
                <w:color w:val="auto"/>
              </w:rPr>
            </w:pPr>
            <w:r>
              <w:rPr>
                <w:rFonts w:ascii="Times New Roman" w:cs="Times New Roman" w:eastAsia="Times New Roman" w:hAnsi="Times New Roman"/>
                <w:sz w:val="14"/>
                <w:szCs w:val="14"/>
                <w:color w:val="auto"/>
              </w:rPr>
              <w:t>December 31,</w:t>
            </w:r>
          </w:p>
        </w:tc>
        <w:tc>
          <w:tcPr>
            <w:tcW w:w="2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ind w:right="96"/>
              <w:spacing w:after="0"/>
              <w:rPr>
                <w:sz w:val="20"/>
                <w:szCs w:val="20"/>
                <w:color w:val="auto"/>
              </w:rPr>
            </w:pPr>
            <w:r>
              <w:rPr>
                <w:rFonts w:ascii="Times New Roman" w:cs="Times New Roman" w:eastAsia="Times New Roman" w:hAnsi="Times New Roman"/>
                <w:sz w:val="14"/>
                <w:szCs w:val="14"/>
                <w:color w:val="auto"/>
              </w:rPr>
              <w:t>December 31,</w:t>
            </w:r>
          </w:p>
        </w:tc>
        <w:tc>
          <w:tcPr>
            <w:tcW w:w="2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ind w:right="96"/>
              <w:spacing w:after="0"/>
              <w:rPr>
                <w:sz w:val="20"/>
                <w:szCs w:val="20"/>
                <w:color w:val="auto"/>
              </w:rPr>
            </w:pPr>
            <w:r>
              <w:rPr>
                <w:rFonts w:ascii="Times New Roman" w:cs="Times New Roman" w:eastAsia="Times New Roman" w:hAnsi="Times New Roman"/>
                <w:sz w:val="14"/>
                <w:szCs w:val="14"/>
                <w:color w:val="auto"/>
              </w:rPr>
              <w:t>December 31,</w:t>
            </w:r>
          </w:p>
        </w:tc>
        <w:tc>
          <w:tcPr>
            <w:tcW w:w="2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ind w:right="96"/>
              <w:spacing w:after="0"/>
              <w:rPr>
                <w:sz w:val="20"/>
                <w:szCs w:val="20"/>
                <w:color w:val="auto"/>
              </w:rPr>
            </w:pPr>
            <w:r>
              <w:rPr>
                <w:rFonts w:ascii="Times New Roman" w:cs="Times New Roman" w:eastAsia="Times New Roman" w:hAnsi="Times New Roman"/>
                <w:sz w:val="14"/>
                <w:szCs w:val="14"/>
                <w:color w:val="auto"/>
              </w:rPr>
              <w:t>December 31,</w:t>
            </w:r>
          </w:p>
        </w:tc>
      </w:tr>
      <w:tr>
        <w:trPr>
          <w:trHeight w:val="196"/>
        </w:trPr>
        <w:tc>
          <w:tcPr>
            <w:tcW w:w="28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color w:val="auto"/>
              </w:rPr>
              <w:t>2020</w:t>
            </w: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color w:val="auto"/>
              </w:rPr>
              <w:t>2021</w:t>
            </w: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color w:val="auto"/>
              </w:rPr>
              <w:t>2022</w:t>
            </w: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color w:val="auto"/>
              </w:rPr>
              <w:t>2023</w:t>
            </w: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color w:val="auto"/>
              </w:rPr>
              <w:t>2024</w:t>
            </w: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color w:val="auto"/>
              </w:rPr>
              <w:t>2025</w:t>
            </w:r>
          </w:p>
        </w:tc>
      </w:tr>
      <w:tr>
        <w:trPr>
          <w:trHeight w:val="230"/>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Lear Corporation</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100.00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116.20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80.53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93.73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64.52</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80.56</w:t>
            </w:r>
          </w:p>
        </w:tc>
      </w:tr>
      <w:tr>
        <w:trPr>
          <w:trHeight w:val="230"/>
        </w:trPr>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S&amp;P 500</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100.00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128.68</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105.36</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133.03</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166.28</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195.98</w:t>
            </w:r>
          </w:p>
        </w:tc>
      </w:tr>
      <w:tr>
        <w:trPr>
          <w:trHeight w:val="229"/>
        </w:trPr>
        <w:tc>
          <w:tcPr>
            <w:tcW w:w="28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Current peer group </w:t>
            </w:r>
            <w:r>
              <w:rPr>
                <w:rFonts w:ascii="Times New Roman" w:cs="Times New Roman" w:eastAsia="Times New Roman" w:hAnsi="Times New Roman"/>
                <w:sz w:val="23"/>
                <w:szCs w:val="23"/>
                <w:color w:val="auto"/>
                <w:vertAlign w:val="superscript"/>
              </w:rPr>
              <w:t>(1)</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100.00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115.12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77.98</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83.24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62.35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79.15</w:t>
            </w:r>
          </w:p>
        </w:tc>
      </w:tr>
      <w:tr>
        <w:trPr>
          <w:trHeight w:val="230"/>
        </w:trPr>
        <w:tc>
          <w:tcPr>
            <w:tcW w:w="2800" w:type="dxa"/>
            <w:vAlign w:val="bottom"/>
            <w:tcBorders>
              <w:bottom w:val="single" w:sz="8" w:color="auto"/>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Previous peer group </w:t>
            </w:r>
            <w:r>
              <w:rPr>
                <w:rFonts w:ascii="Times New Roman" w:cs="Times New Roman" w:eastAsia="Times New Roman" w:hAnsi="Times New Roman"/>
                <w:sz w:val="23"/>
                <w:szCs w:val="23"/>
                <w:color w:val="auto"/>
                <w:vertAlign w:val="superscript"/>
              </w:rPr>
              <w:t>(1)</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100.00</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108.97</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72.95</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80.99</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61.38</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79.98</w:t>
            </w:r>
          </w:p>
        </w:tc>
      </w:tr>
    </w:tbl>
    <w:p>
      <w:pPr>
        <w:spacing w:after="0" w:line="103" w:lineRule="exact"/>
        <w:rPr>
          <w:sz w:val="20"/>
          <w:szCs w:val="20"/>
          <w:color w:val="auto"/>
        </w:rPr>
      </w:pPr>
    </w:p>
    <w:p>
      <w:pPr>
        <w:jc w:val="both"/>
        <w:ind w:left="260" w:hanging="252"/>
        <w:spacing w:after="0" w:line="245" w:lineRule="auto"/>
        <w:tabs>
          <w:tab w:leader="none" w:pos="358" w:val="left"/>
        </w:tabs>
        <w:numPr>
          <w:ilvl w:val="0"/>
          <w:numId w:val="2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We do not believe that there is a single published industry or line of business index that is appropriate for comparing shareholder returns. As a result, we have selected a peer group comprised of representative independent automotive suppliers whose common stock is publicly traded. Our current peer group, referenced in the graph above, consists of Adient plc, Aptiv PLC, Aumovio SE, Autoliv, Inc., BorgWarner Inc., Dana Incorporated, Dauch Corporation (formerly known as American Axle &amp; Manufacturing Holdings Inc.), Forvia SE, Gentex Corporation, Gentherm Incorporated, Magna International, Inc., PHINIA Inc., Valeo and Visteon Corporation, which we believe provides a more meaningful comparison of our stock performance than our previous peer group. Our previous peer group, referenced in the graph above, consisted of Adient plc, Aptiv PLC, Autoliv, Inc., BorgWarner Inc., Continental AG, Dana Incorporated, Dauch Corporation (formerly known as American Axle &amp; Manufacturing Holdings Inc.), Forvia SE, Gentex Corporation, Gentherm Incorporated, Magna International, Inc., Valeo and Visteon Corporation.</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6 – RESERVED</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right="580" w:firstLine="573"/>
        <w:spacing w:after="0" w:line="440" w:lineRule="auto"/>
        <w:rPr>
          <w:sz w:val="20"/>
          <w:szCs w:val="20"/>
          <w:color w:val="auto"/>
        </w:rPr>
      </w:pPr>
      <w:r>
        <w:rPr>
          <w:rFonts w:ascii="Times New Roman" w:cs="Times New Roman" w:eastAsia="Times New Roman" w:hAnsi="Times New Roman"/>
          <w:sz w:val="18"/>
          <w:szCs w:val="18"/>
          <w:b w:val="1"/>
          <w:bCs w:val="1"/>
          <w:color w:val="auto"/>
        </w:rPr>
        <w:t>ITEM 7 – MANAGEMENT'S DISCUSSION AND ANALYSIS OF FINANCIAL CONDITION AND RESULTS OF OPERATIONS Executive Overview</w:t>
      </w:r>
    </w:p>
    <w:p>
      <w:pPr>
        <w:spacing w:after="0" w:line="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Lear Corporation is a global automotive technology leader in Seating and E-Systems, enabling superior in-vehicle experiences for consumers around the world. We supply complete seat systems, key seat components, complete electrical distribution and connection systems, high-voltage power distribution products, including battery disconnect units ("BDUs"), and low-voltage power distribution products and electronic controllers to all of the world's major automotive manufacturers.</w:t>
      </w:r>
    </w:p>
    <w:p>
      <w:pPr>
        <w:spacing w:after="0" w:line="7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 xml:space="preserve">Lear is built on a foundation and strong culture of innovation, operational excellence, and engineering and program management capabilities. We use our product and process design and technological expertise, as well as our global reach and competitive manufacturing footprint, to achieve our financial goals and objectives. These include continuing to deliver profitable growth while balancing risks and returns, investing in product and process innovations to drive business growth and profitability, maintaining a strong balance sheet with investment grade credit metrics, and generating strong cash flow and returning excess cash to shareholders. Further, we have aligned our strategy with key trends affecting our business. At Lear, we are </w:t>
      </w:r>
      <w:r>
        <w:rPr>
          <w:rFonts w:ascii="Times New Roman" w:cs="Times New Roman" w:eastAsia="Times New Roman" w:hAnsi="Times New Roman"/>
          <w:sz w:val="18"/>
          <w:szCs w:val="18"/>
          <w:i w:val="1"/>
          <w:iCs w:val="1"/>
          <w:color w:val="auto"/>
        </w:rPr>
        <w:t>Making every drive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better</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providing technology for safer, smarter and more comfortable journeys, while adhering to our values —</w:t>
      </w:r>
      <w:r>
        <w:rPr>
          <w:rFonts w:ascii="Times New Roman" w:cs="Times New Roman" w:eastAsia="Times New Roman" w:hAnsi="Times New Roman"/>
          <w:sz w:val="18"/>
          <w:szCs w:val="18"/>
          <w:i w:val="1"/>
          <w:iCs w:val="1"/>
          <w:color w:val="auto"/>
        </w:rPr>
        <w:t xml:space="preserve"> Be Inclusive. Be Inventive. Get Results the Right Way.</w:t>
      </w:r>
    </w:p>
    <w:p>
      <w:pPr>
        <w:spacing w:after="0" w:line="89"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Our business is organized under two reporting segments: Seating and E-Systems. Each of these segments has a varied product and technology portfolio across a number of component categories. Further, we continuously evaluate this portfolio, aligning it with industry trends while balancing risk-adjusted returns, which allows us to offer value-added solutions to our customers.</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Seating business consists of the design, development, engineering and manufacture of complete seat systems and key seat components. Our capabilities in operations and supply chain management enable synchronized assembly and just-in-time delivery of complex complete seat systems at high volumes to our customers. As the most vertically integrated global seat supplier, our key seat component product offerings include seat trim covers; surface materials such as leather and fabric; seat mechanisms; seat cushioning; headrests; and thermal comfort systems such as seat heating, ventilation, active cooling, pneumatic lumbar and massage products. All of these products are compatible with traditional internal combustion engine ("ICE") architectures and electrified powertrains, including the full range of hybrid, plug-in hybrid and battery electric architectures. Our thermal comfort systems are facilitated by our seat system, component and integration capabilities, together with our competencies in electronics, sensors, software and algorithms.</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E-Systems business consists of the design, development, engineering and manufacture of complete electrical distribution and connection systems; high-voltage power distribution products, including BDUs; and low-voltage power distribution products and electronic controllers. These capabilities enable us to provide our customers with customizable solutions with optimized designs at competitive costs for both low-voltage and high-voltage vehicle architectures.</w:t>
      </w:r>
    </w:p>
    <w:p>
      <w:pPr>
        <w:spacing w:after="0" w:line="18" w:lineRule="exact"/>
        <w:rPr>
          <w:sz w:val="20"/>
          <w:szCs w:val="20"/>
          <w:color w:val="auto"/>
        </w:rPr>
      </w:pPr>
    </w:p>
    <w:p>
      <w:pPr>
        <w:jc w:val="both"/>
        <w:ind w:left="660" w:hanging="328"/>
        <w:spacing w:after="0" w:line="258"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Electrical distribution and connection systems utilize low-voltage and high-voltage wire and high-speed data cables to connect networks' electrical signals and manage electrical power within the vehicle for all types of powertrains – from traditional ICE architectures to the full range of electrified powertrains that require management of higher voltage and power. Key components of our electrical distribution and connection systems portfolio include wire harnesses, terminals and connectors, high-voltage battery connection systems and engineered components. High-voltage battery connection systems include intercell connect boards, bus bars and main battery interface connection systems.</w:t>
      </w:r>
    </w:p>
    <w:p>
      <w:pPr>
        <w:spacing w:after="0" w:line="2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High-voltage power distribution products control the flow and distribution of high-voltage power throughout electric and hybrid vehicles and include BDUs, which control all electrical energy flowing into and out of high-voltage batteries in electrified vehicles.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Low-voltage power distribution products and electronic controllers facilitate signal, data and/or power management within the vehicle and include the associated software required to facilitate these functions. Key components of this portfolio include zonal controllers, body domain control modules, and smart and passive power distribution modules. Our software offerings include embedded control, cybersecurity software and software to control hardware devices. Our customers traditionally have sourced our electronic hardware together with the software that we integrate and embed in it.</w:t>
      </w:r>
    </w:p>
    <w:p>
      <w:pPr>
        <w:spacing w:after="0" w:line="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serve all of the world's major automotive manufacturers through both our Seating and E-Systems businesses, and we have automotive content on more than 500 vehicle nameplates worldwide. It is common for us to have both seating and electrical and/or electronic content on the same vehicle platform.</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businesses benefit globally from leveraging common operating standards and disciplines, including world-class product development and manufacturing processes, as well as common customer support and regional infrastructures, all of which contribute to our reputation for operational excellence. Our core capabilities are shared across component categories and include high-precision manufacturing and assembly with short lead times, complex, global supply chain management, global</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engineering and program management, the agility to establish and/or transfer production between facilities, and a unique, customer-focused culture. In select instances, we are able to manufacture both Seating and E-Systems components in the same facility. Our businesses also utilize proprietary, industry-specific processes and standards, leverage common low-cost engineering centers and share centralized operating support functions. These functions include logistics, as well as all major administrative functions, such as corporate finance, executive administration, health and safety, human resources, information technology and legal.</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continue to build on our reputation for operational excellence through organic and inorganic investments in automation and other advanced manufacturing technologies and the digital transformation of both our operations and administrative functions. These investments and transformation involve the integration of new technologies, such as artificial intelligence ("AI"), machine learning and advanced automation, into production facilities and business operations. These technologies enable smart and automated machines and smart factories to communicate, analyze and optimize products and processes, resulting in higher efficiency, quality and responsiveness to customers.</w:t>
      </w:r>
    </w:p>
    <w:p>
      <w:pPr>
        <w:spacing w:after="0" w:line="72"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IDEA by Lear</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 Innovative. Digital. Engineered. Automated. - reflects our commitment to continue to strengthen our competitive position in both of our business segments and to enhance the efficiency of our administrative functions. IDEA by Lear</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supports our strategy to drive growth and improve profitability through the development of innovative products and the utilization of advanced technologies and process automation that increase efficiency and extend our leadership position in operational excellence. We are leveraging our internal capabilities through strategic partnerships (e.g., Palantir Technologies, Inc. ("Palantir")) and acquisitions to rapidly develop and deploy automation and AI solutions. Our strategic acquisitions of ASI Automation, InTouch Automation, StoneShield Engineering, Thagora Technology SRL and WIP Industrial Automation are further enhancing our automation system integration expertise. Our new facility in Rochester Hills, Michigan is an industry first site, capable of fully automated manufacturing of ComfortFlex by Lear</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and ComfortMax Seat by Lear</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seating systems. These strategic initiatives further advance our leadership in automotive technology and enable greater efficiency, superior quality and faster execution.</w:t>
      </w:r>
    </w:p>
    <w:p>
      <w:pPr>
        <w:spacing w:after="0" w:line="9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Through our products, processes, technology and strategic initiatives, we are well-positioned to capitalize on business growth opportunities. We are focused on profitably growing our businesses and have implemented a strategy designed to deliver industry-leading, long-term financial returns. This strategy is based on the following four pillars designed to drive growth and profitability in both of our business segments:</w:t>
      </w:r>
    </w:p>
    <w:p>
      <w:pPr>
        <w:spacing w:after="0" w:line="36"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22"/>
          <w:szCs w:val="22"/>
          <w:color w:val="auto"/>
        </w:rPr>
      </w:pPr>
      <w:r>
        <w:rPr>
          <w:rFonts w:ascii="Times New Roman" w:cs="Times New Roman" w:eastAsia="Times New Roman" w:hAnsi="Times New Roman"/>
          <w:sz w:val="18"/>
          <w:szCs w:val="18"/>
          <w:color w:val="auto"/>
        </w:rPr>
        <w:t>Extend our market leadership position in Seating with priceable features, including modularity and thermal comfort systems;</w:t>
      </w:r>
    </w:p>
    <w:p>
      <w:pPr>
        <w:spacing w:after="0" w:line="57" w:lineRule="exact"/>
        <w:rPr>
          <w:rFonts w:ascii="Arial" w:cs="Arial" w:eastAsia="Arial" w:hAnsi="Arial"/>
          <w:sz w:val="22"/>
          <w:szCs w:val="22"/>
          <w:color w:val="auto"/>
        </w:rPr>
      </w:pPr>
    </w:p>
    <w:p>
      <w:pPr>
        <w:ind w:left="660" w:hanging="328"/>
        <w:spacing w:after="0"/>
        <w:tabs>
          <w:tab w:leader="none" w:pos="660" w:val="left"/>
        </w:tabs>
        <w:numPr>
          <w:ilvl w:val="0"/>
          <w:numId w:val="28"/>
        </w:numPr>
        <w:rPr>
          <w:rFonts w:ascii="Arial" w:cs="Arial" w:eastAsia="Arial" w:hAnsi="Arial"/>
          <w:sz w:val="22"/>
          <w:szCs w:val="22"/>
          <w:color w:val="auto"/>
        </w:rPr>
      </w:pPr>
      <w:r>
        <w:rPr>
          <w:rFonts w:ascii="Times New Roman" w:cs="Times New Roman" w:eastAsia="Times New Roman" w:hAnsi="Times New Roman"/>
          <w:sz w:val="18"/>
          <w:szCs w:val="18"/>
          <w:color w:val="auto"/>
        </w:rPr>
        <w:t>Expand margins in E-Systems through a focused portfolio that leverages our strong operating capabilities and customer relationships;</w:t>
      </w:r>
    </w:p>
    <w:p>
      <w:pPr>
        <w:spacing w:after="0" w:line="76" w:lineRule="exact"/>
        <w:rPr>
          <w:rFonts w:ascii="Arial" w:cs="Arial" w:eastAsia="Arial" w:hAnsi="Arial"/>
          <w:sz w:val="22"/>
          <w:szCs w:val="22"/>
          <w:color w:val="auto"/>
        </w:rPr>
      </w:pPr>
    </w:p>
    <w:p>
      <w:pPr>
        <w:ind w:left="660" w:hanging="328"/>
        <w:spacing w:after="0" w:line="244" w:lineRule="auto"/>
        <w:tabs>
          <w:tab w:leader="none" w:pos="655" w:val="left"/>
        </w:tabs>
        <w:numPr>
          <w:ilvl w:val="0"/>
          <w:numId w:val="28"/>
        </w:numPr>
        <w:rPr>
          <w:rFonts w:ascii="Arial" w:cs="Arial" w:eastAsia="Arial" w:hAnsi="Arial"/>
          <w:sz w:val="22"/>
          <w:szCs w:val="22"/>
          <w:color w:val="auto"/>
        </w:rPr>
      </w:pPr>
      <w:r>
        <w:rPr>
          <w:rFonts w:ascii="Times New Roman" w:cs="Times New Roman" w:eastAsia="Times New Roman" w:hAnsi="Times New Roman"/>
          <w:sz w:val="18"/>
          <w:szCs w:val="18"/>
          <w:color w:val="auto"/>
        </w:rPr>
        <w:t>Build on our reputation for operational excellence through organic and inorganic investments, including partnerships, in automation and digital technologies; and</w:t>
      </w:r>
    </w:p>
    <w:p>
      <w:pPr>
        <w:spacing w:after="0" w:line="53" w:lineRule="exact"/>
        <w:rPr>
          <w:rFonts w:ascii="Arial" w:cs="Arial" w:eastAsia="Arial" w:hAnsi="Arial"/>
          <w:sz w:val="22"/>
          <w:szCs w:val="22"/>
          <w:color w:val="auto"/>
        </w:rPr>
      </w:pPr>
    </w:p>
    <w:p>
      <w:pPr>
        <w:ind w:left="660" w:hanging="328"/>
        <w:spacing w:after="0"/>
        <w:tabs>
          <w:tab w:leader="none" w:pos="660" w:val="left"/>
        </w:tabs>
        <w:numPr>
          <w:ilvl w:val="0"/>
          <w:numId w:val="28"/>
        </w:numPr>
        <w:rPr>
          <w:rFonts w:ascii="Arial" w:cs="Arial" w:eastAsia="Arial" w:hAnsi="Arial"/>
          <w:sz w:val="22"/>
          <w:szCs w:val="22"/>
          <w:color w:val="auto"/>
        </w:rPr>
      </w:pPr>
      <w:r>
        <w:rPr>
          <w:rFonts w:ascii="Times New Roman" w:cs="Times New Roman" w:eastAsia="Times New Roman" w:hAnsi="Times New Roman"/>
          <w:sz w:val="18"/>
          <w:szCs w:val="18"/>
          <w:color w:val="auto"/>
        </w:rPr>
        <w:t>Prioritize our employee and sustainability initiatives that drive business growth, cost reductions and improved workforce retention.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further information related to our strategy, see Part 1 — Item 1, "Business — Industry" and "— Strategy," included in this Report.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Industry Overview</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supply all vehicle segments of the automotive light vehicle original equipment market in every major automotive producing region in the world. Our sales are driven by the number of vehicles produced by the automotive manufacturers and our content per vehicle.</w:t>
      </w:r>
    </w:p>
    <w:p>
      <w:pPr>
        <w:spacing w:after="0" w:line="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Since 2020, the global economy, as well as the automotive industry, have been influenced directly and indirectly by macroeconomic events resulting in unfavorable conditions, including increases in tariffs, a customer cybersecurity incident, shortages of semiconductor chips and other components, elevated inflation levels on commodities and labor, higher interest rates, and labor and energy shortages in certain markets. Certain of these factors, among others, continue to impact consumer demand. Our strategy to mitigate these impacts encompasses our comprehensive cost management process, including cost technology optimization, actions to further align our manufacturing capacity to the current industry production environment and investments in automation and other advanced manufacturing technologies, as well as commercial recovery mechanisms. This will allow us to enhance operational efficiencies, improve the utilization of existing facilities and equipment to reduce future expenditures, and streamline administrative functions.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Due to the interconnectedness of the global economy, policy changes in one area of the world can have an immediate and material impact on markets around the world. Since his inauguration in January 2025, U.S. President Donald J. Trump has announced various tariffs that impact industries around the world, including the automotive industry. As of the date of this Report, many of the tariffs announced, implemented or threatened by the current U.S. administration apply to (a) the countries in which we do business or from which we purchase, either directly or indirectly, materials or components, including China, Mexico and Canada, and (b) the materials or components that we purchase, either directly or indirectly, or produce, including steel, aluminum and automobile parts, among others, and therefore could adversely impact our business by increasing our operating costs, requiring us to incur significant costs to transition to alternative suppliers if our mitigation efforts are unsuccessful, or negatively impacting our customers' production. In addition to tariffs, the U.S. and foreign governments have implemented sanctions, export controls and other trade restrictions that impact industries around the world, including the automotive industry.</w:t>
      </w:r>
    </w:p>
    <w:p>
      <w:pPr>
        <w:spacing w:after="0" w:line="80"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color w:val="auto"/>
        </w:rPr>
        <w:t>Although U.S. tariffs did not have a material impact on our operating performance in 2025, the policies relating to these tariffs continue to evolve, including with respect to the type of tariff or export control, the tariff rates, the countries, components and materials to which such tariffs apply, and the</w:t>
      </w:r>
    </w:p>
    <w:p>
      <w:pPr>
        <w:spacing w:after="0" w:line="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existence and applicability of any exemptions. The actual impacts of tariffs and other trade restrictions on our business, financial condition and results of operations continue to be subject to a number of factors that are not yet known or are subject to change, including the effect such tariffs and restrictions may have on consumer demand and global automotive production volumes, the duration of such tariffs and restrictions, future changes in the amounts and scope of tariffs, the potential withdrawal of such tariffs and restrictions in whole or in part, the scope and effective date of any exemptions to such tariffs or restrictions, any modification to existing exemptions to such tariffs or restrictions, countermeasures that target countries may take in response to such tariffs and restrictions, the impact such tariffs and restrictions may have on our customers and our supply chain, and whether and to what extent such tariffs are impacted by judicial review. We have entered into contractual agreements with our customers to recover substantially all tariff costs incurred to date and have implemented certain actions, and continue to consider others, to counter the potential impact of such tariffs on our business, financial condition and results of operations, including, without limitation, participating in efforts to inform the U.S. and certain foreign administrations and legislatures of the impact of current trade and tariff policies on the automotive industry and evaluating our production footprint and alternatives in our supply chain. To date, our mitigation efforts have been successful, but we cannot provide any assurance that future government actions will not adversely impact our customers' production or undermine our mitigation efforts, which could in turn adversely impact our business, financial condition and results of operations.</w:t>
      </w:r>
    </w:p>
    <w:p>
      <w:pPr>
        <w:spacing w:after="0" w:line="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to potential increases in customs duties and tariffs in the United States and other countries, the United States-Mexico-Canada Agreement ("USMCA") is subject to trilateral review and renewal in 2026. There can be no assurances that the USMCA will be renewed or, if renewed, any newly negotiated terms in the USMCA will not adversely affect our business. Also, China presents unique risks to U.S. automotive manufacturers due to the strain in U.S.-China relations and the level of integration with key components in our global supply chain. It remains unclear what additional actions the current U.S. administration may take with respect to trade issues involving China and other countries.</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Further, the U.S. and other governments could impose additional sanctions, export controls or other trade restrictions that could restrict us from doing business directly or indirectly in or with certain countries or parties, which could include affiliates (e.g., China has imposed tariffs and taken other retaliatory actions). The current trade environment could impact the status of other trade agreements between the United States and countries other than Canada and Mexico, including, without limitation, the Dominican Republic-Central America-United States Free Trade Agreement. Any of the above factors could impact our supply chain, as well as our operations, and adversely affect our financial condition and operating results.</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Although industry production returned to pre-pandemic levels in 2023, industry production in 2025 remained approximately 2% below 2017 peak levels, and 2025 industry production levels in North America and Europe, our two largest markets, remained approximately 10% and 24%, respectively, below prior peak levels. Industry production in the second half of 2025 was impacted by production disruptions at Jaguar Land Rover due to a cybersecurity incident (the "JLR production disruption"). Industry production in 2025 increased 4% as compared to 2024 (based on January 2026 S&amp;P Global Mobility projections). On a Lear sales-weighted basis(1), industry production in 2025 increased 1% as compared to 2024.</w:t>
      </w:r>
    </w:p>
    <w:p>
      <w:pPr>
        <w:spacing w:after="0" w:line="17" w:lineRule="exact"/>
        <w:rPr>
          <w:sz w:val="20"/>
          <w:szCs w:val="20"/>
          <w:color w:val="auto"/>
        </w:rPr>
      </w:pPr>
    </w:p>
    <w:p>
      <w:pPr>
        <w:ind w:left="260" w:hanging="252"/>
        <w:spacing w:after="0" w:line="230" w:lineRule="auto"/>
        <w:tabs>
          <w:tab w:leader="none" w:pos="358" w:val="left"/>
        </w:tabs>
        <w:numPr>
          <w:ilvl w:val="0"/>
          <w:numId w:val="2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production change on a Lear sales-weighted basis is calculated using Lear's prior year regional sales mix. Management believes this provides a more meaningful comparison of our global revenue growth relative to global vehicle production.</w:t>
      </w:r>
    </w:p>
    <w:p>
      <w:pPr>
        <w:spacing w:after="0" w:line="2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a description of risks related to macroeconomic events and tariffs, sanctions, export controls and other trade restrictions, see Part I — Item 1A, "Risk Factors," included in this Report.</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Global automotive industry production volumes in certain key regions for 2025, as compared to 2024, are shown below (in thousands of units):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60" w:type="dxa"/>
            <w:vAlign w:val="bottom"/>
            <w:tcBorders>
              <w:top w:val="single" w:sz="8" w:color="auto"/>
              <w:bottom w:val="single" w:sz="8" w:color="auto"/>
            </w:tcBorders>
          </w:tcPr>
          <w:p>
            <w:pPr>
              <w:spacing w:after="0"/>
              <w:rPr>
                <w:sz w:val="19"/>
                <w:szCs w:val="19"/>
                <w:color w:val="auto"/>
              </w:rPr>
            </w:pPr>
          </w:p>
        </w:tc>
        <w:tc>
          <w:tcPr>
            <w:tcW w:w="3520" w:type="dxa"/>
            <w:vAlign w:val="bottom"/>
            <w:tcBorders>
              <w:top w:val="single" w:sz="8" w:color="auto"/>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color w:val="auto"/>
              </w:rPr>
              <w:t xml:space="preserve">2025 </w:t>
            </w:r>
            <w:r>
              <w:rPr>
                <w:rFonts w:ascii="Times New Roman" w:cs="Times New Roman" w:eastAsia="Times New Roman" w:hAnsi="Times New Roman"/>
                <w:sz w:val="18"/>
                <w:szCs w:val="18"/>
                <w:color w:val="auto"/>
                <w:vertAlign w:val="superscript"/>
              </w:rPr>
              <w:t>(1)</w:t>
            </w:r>
          </w:p>
        </w:tc>
        <w:tc>
          <w:tcPr>
            <w:tcW w:w="1360" w:type="dxa"/>
            <w:vAlign w:val="bottom"/>
            <w:tcBorders>
              <w:top w:val="single" w:sz="8" w:color="auto"/>
              <w:bottom w:val="single" w:sz="8" w:color="auto"/>
            </w:tcBorders>
          </w:tcPr>
          <w:p>
            <w:pPr>
              <w:jc w:val="right"/>
              <w:ind w:right="436"/>
              <w:spacing w:after="0" w:line="230" w:lineRule="exact"/>
              <w:rPr>
                <w:sz w:val="20"/>
                <w:szCs w:val="20"/>
                <w:color w:val="auto"/>
              </w:rPr>
            </w:pPr>
            <w:r>
              <w:rPr>
                <w:rFonts w:ascii="Times New Roman" w:cs="Times New Roman" w:eastAsia="Times New Roman" w:hAnsi="Times New Roman"/>
                <w:sz w:val="26"/>
                <w:szCs w:val="26"/>
                <w:color w:val="auto"/>
                <w:vertAlign w:val="subscript"/>
              </w:rPr>
              <w:t>2024</w:t>
            </w:r>
            <w:r>
              <w:rPr>
                <w:rFonts w:ascii="Times New Roman" w:cs="Times New Roman" w:eastAsia="Times New Roman" w:hAnsi="Times New Roman"/>
                <w:sz w:val="9"/>
                <w:szCs w:val="9"/>
                <w:color w:val="auto"/>
              </w:rPr>
              <w:t xml:space="preserve"> (1) (2)</w:t>
            </w:r>
          </w:p>
        </w:tc>
        <w:tc>
          <w:tcPr>
            <w:tcW w:w="1100" w:type="dxa"/>
            <w:vAlign w:val="bottom"/>
            <w:tcBorders>
              <w:top w:val="single" w:sz="8" w:color="auto"/>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color w:val="auto"/>
              </w:rPr>
              <w:t>% Change</w:t>
            </w:r>
          </w:p>
        </w:tc>
      </w:tr>
      <w:tr>
        <w:trPr>
          <w:trHeight w:val="223"/>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North America</w:t>
            </w:r>
          </w:p>
        </w:tc>
        <w:tc>
          <w:tcPr>
            <w:tcW w:w="352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rPr>
              <w:t>15,289.7</w:t>
            </w:r>
          </w:p>
        </w:tc>
        <w:tc>
          <w:tcPr>
            <w:tcW w:w="136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15,449.6</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 and Africa</w:t>
            </w:r>
          </w:p>
        </w:tc>
        <w:tc>
          <w:tcPr>
            <w:tcW w:w="352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17,357.5</w:t>
            </w:r>
          </w:p>
        </w:tc>
        <w:tc>
          <w:tcPr>
            <w:tcW w:w="1360" w:type="dxa"/>
            <w:vAlign w:val="bottom"/>
          </w:tcPr>
          <w:p>
            <w:pPr>
              <w:jc w:val="right"/>
              <w:ind w:right="156"/>
              <w:spacing w:after="0"/>
              <w:rPr>
                <w:sz w:val="20"/>
                <w:szCs w:val="20"/>
                <w:color w:val="auto"/>
              </w:rPr>
            </w:pPr>
            <w:r>
              <w:rPr>
                <w:rFonts w:ascii="Times New Roman" w:cs="Times New Roman" w:eastAsia="Times New Roman" w:hAnsi="Times New Roman"/>
                <w:sz w:val="18"/>
                <w:szCs w:val="18"/>
                <w:color w:val="auto"/>
              </w:rPr>
              <w:t>17,608.6</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w:t>
            </w:r>
          </w:p>
        </w:tc>
        <w:tc>
          <w:tcPr>
            <w:tcW w:w="352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rPr>
              <w:t>54,065.2</w:t>
            </w:r>
          </w:p>
        </w:tc>
        <w:tc>
          <w:tcPr>
            <w:tcW w:w="136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50,583.5</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30"/>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South America</w:t>
            </w:r>
          </w:p>
        </w:tc>
        <w:tc>
          <w:tcPr>
            <w:tcW w:w="352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2,953.3</w:t>
            </w:r>
          </w:p>
        </w:tc>
        <w:tc>
          <w:tcPr>
            <w:tcW w:w="1360" w:type="dxa"/>
            <w:vAlign w:val="bottom"/>
          </w:tcPr>
          <w:p>
            <w:pPr>
              <w:jc w:val="right"/>
              <w:ind w:right="156"/>
              <w:spacing w:after="0"/>
              <w:rPr>
                <w:sz w:val="20"/>
                <w:szCs w:val="20"/>
                <w:color w:val="auto"/>
              </w:rPr>
            </w:pPr>
            <w:r>
              <w:rPr>
                <w:rFonts w:ascii="Times New Roman" w:cs="Times New Roman" w:eastAsia="Times New Roman" w:hAnsi="Times New Roman"/>
                <w:sz w:val="18"/>
                <w:szCs w:val="18"/>
                <w:color w:val="auto"/>
              </w:rPr>
              <w:t>2,890.0</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5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520" w:type="dxa"/>
            <w:vAlign w:val="bottom"/>
            <w:tcBorders>
              <w:bottom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rPr>
              <w:t>1,936.5</w:t>
            </w:r>
          </w:p>
        </w:tc>
        <w:tc>
          <w:tcPr>
            <w:tcW w:w="136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1,791.4</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30"/>
        </w:trPr>
        <w:tc>
          <w:tcPr>
            <w:tcW w:w="5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Global automotive industry production</w:t>
            </w:r>
          </w:p>
        </w:tc>
        <w:tc>
          <w:tcPr>
            <w:tcW w:w="352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8"/>
                <w:szCs w:val="18"/>
                <w:color w:val="auto"/>
              </w:rPr>
              <w:t>91,602.2</w:t>
            </w:r>
          </w:p>
        </w:tc>
        <w:tc>
          <w:tcPr>
            <w:tcW w:w="136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8"/>
                <w:szCs w:val="18"/>
                <w:color w:val="auto"/>
              </w:rPr>
              <w:t>88,323.1</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r>
    </w:tbl>
    <w:p>
      <w:pPr>
        <w:spacing w:after="0" w:line="85" w:lineRule="exact"/>
        <w:rPr>
          <w:sz w:val="20"/>
          <w:szCs w:val="20"/>
          <w:color w:val="auto"/>
        </w:rPr>
      </w:pPr>
    </w:p>
    <w:p>
      <w:pPr>
        <w:ind w:left="300" w:hanging="292"/>
        <w:spacing w:after="0"/>
        <w:tabs>
          <w:tab w:leader="none" w:pos="300" w:val="left"/>
        </w:tabs>
        <w:numPr>
          <w:ilvl w:val="0"/>
          <w:numId w:val="3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Production data based on S&amp;P Global Mobility.</w:t>
      </w:r>
    </w:p>
    <w:p>
      <w:pPr>
        <w:ind w:left="300" w:hanging="292"/>
        <w:spacing w:after="0"/>
        <w:tabs>
          <w:tab w:leader="none" w:pos="300" w:val="left"/>
        </w:tabs>
        <w:numPr>
          <w:ilvl w:val="0"/>
          <w:numId w:val="30"/>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Production data for 2024 has been updated from our 2024 Annual Report on Form 10-K to reflect actual production levels.</w:t>
      </w:r>
    </w:p>
    <w:p>
      <w:pPr>
        <w:spacing w:after="0" w:line="21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Automotive sales and production can also be affected by the age of the vehicle fleet and related scrappage rates, labor relations issues, labor shortages, fuel prices, regulatory requirements, government initiatives and incentives, trade agreements, tariffs and other non-tariff trade barriers (including recent U.S. tariffs imposed or threatened to be imposed on Mexico, Canada and China, as well as other countries and any retaliatory actions taken by such countries), the availability and cost of raw materials and critical components, logistics issues, cybersecurity incidents, and the availability and cost of credit, as well as vehicle affordability and consumer preferences regarding vehicle powertrains (including preferences regarding electric and hybrid vehicles), size, configuration and features, among other factors. The impact of potential tariffs on our business and financial condition, if any, is subject to a number of factors that are not yet known or are subject to change, including the effective date and duration of such tariffs, the scope and nature of any tariffs, the amount of any tariffs, any countermeasures that the target countries may take in response to such tariffs. In light of these uncertainties, we can provide no assurances that any mitigating actions that may become available to us, such as our ability to pass along some or all of the costs of any tariffs to some or all of our customers, will continue to be successful. Our sales and production may be further affected by new entrants to the industry, as well as various automakers and suppliers entering or expanding in certain regions, and the restructuring actions, including facility closures, of our customers and suppliers. Our operating results are also significantly impacted by the overall commercial success of the vehicle platforms for which we supply particular products, as well as the profitability of the products that we supply for these platforms, which is determined, in part, by the level of vertical integration. The loss of business with respect to any vehicle model for which we are a significant supplier, or a decrease in the production levels of any such models, could adversely affect our operating results. In addition, larger cars and light trucks, as well as vehicle platforms that offer more features and functionality, such as luxury, sport utility and crossover vehicles, typically have more content and, therefore, tend to have a more significant impact on our operating results.</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percentage of consolidated net sales by region for 2025 and 2024 is shown below:</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260" w:type="dxa"/>
            <w:vAlign w:val="bottom"/>
            <w:tcBorders>
              <w:top w:val="single" w:sz="8" w:color="auto"/>
              <w:bottom w:val="single" w:sz="8" w:color="auto"/>
            </w:tcBorders>
          </w:tcPr>
          <w:p>
            <w:pPr>
              <w:spacing w:after="0"/>
              <w:rPr>
                <w:sz w:val="19"/>
                <w:szCs w:val="19"/>
                <w:color w:val="auto"/>
              </w:rPr>
            </w:pPr>
          </w:p>
        </w:tc>
        <w:tc>
          <w:tcPr>
            <w:tcW w:w="4920" w:type="dxa"/>
            <w:vAlign w:val="bottom"/>
            <w:tcBorders>
              <w:top w:val="single" w:sz="8" w:color="auto"/>
              <w:bottom w:val="single" w:sz="8" w:color="auto"/>
            </w:tcBorders>
          </w:tcPr>
          <w:p>
            <w:pPr>
              <w:jc w:val="right"/>
              <w:ind w:right="653"/>
              <w:spacing w:after="0"/>
              <w:rPr>
                <w:sz w:val="20"/>
                <w:szCs w:val="20"/>
                <w:color w:val="auto"/>
              </w:rPr>
            </w:pPr>
            <w:r>
              <w:rPr>
                <w:rFonts w:ascii="Times New Roman" w:cs="Times New Roman" w:eastAsia="Times New Roman" w:hAnsi="Times New Roman"/>
                <w:sz w:val="14"/>
                <w:szCs w:val="14"/>
                <w:color w:val="auto"/>
              </w:rPr>
              <w:t>2025</w:t>
            </w:r>
          </w:p>
        </w:tc>
        <w:tc>
          <w:tcPr>
            <w:tcW w:w="1040" w:type="dxa"/>
            <w:vAlign w:val="bottom"/>
            <w:tcBorders>
              <w:top w:val="single" w:sz="8" w:color="auto"/>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color w:val="auto"/>
              </w:rPr>
              <w:t>2024</w:t>
            </w:r>
          </w:p>
        </w:tc>
      </w:tr>
      <w:tr>
        <w:trPr>
          <w:trHeight w:val="230"/>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North America</w:t>
            </w:r>
          </w:p>
        </w:tc>
        <w:tc>
          <w:tcPr>
            <w:tcW w:w="492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rPr>
              <w:t>42 %</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42 %</w:t>
            </w:r>
          </w:p>
        </w:tc>
      </w:tr>
      <w:tr>
        <w:trPr>
          <w:trHeight w:val="229"/>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 and Africa</w:t>
            </w:r>
          </w:p>
        </w:tc>
        <w:tc>
          <w:tcPr>
            <w:tcW w:w="492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35 %</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36 %</w:t>
            </w:r>
          </w:p>
        </w:tc>
      </w:tr>
      <w:tr>
        <w:trPr>
          <w:trHeight w:val="230"/>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w:t>
            </w:r>
          </w:p>
        </w:tc>
        <w:tc>
          <w:tcPr>
            <w:tcW w:w="492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rPr>
              <w:t>20 %</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r>
      <w:tr>
        <w:trPr>
          <w:trHeight w:val="230"/>
        </w:trPr>
        <w:tc>
          <w:tcPr>
            <w:tcW w:w="5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South America</w:t>
            </w:r>
          </w:p>
        </w:tc>
        <w:tc>
          <w:tcPr>
            <w:tcW w:w="492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8"/>
                <w:szCs w:val="18"/>
                <w:color w:val="auto"/>
              </w:rPr>
              <w:t>3 %</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30"/>
        </w:trPr>
        <w:tc>
          <w:tcPr>
            <w:tcW w:w="5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920" w:type="dxa"/>
            <w:vAlign w:val="bottom"/>
            <w:tcBorders>
              <w:bottom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rPr>
              <w:t>100 %</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bl>
    <w:p>
      <w:pPr>
        <w:spacing w:after="0" w:line="18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ability to reduce the risks inherent in certain concentrations of our business, and thereby maintain our financial performance in the future, will depend, in part, on our ability to continue to diversify our sales on a customer, product, platform and geographic basis to better reflect the market overall.</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automotive industry, and our business, continue to be shaped by the broad trend of electrification. The adoption of electrified vehicles has been slower than anticipated, particularly in the United States. Demand for, and regulatory developments related to, improved energy efficiency and sustainability (e.g., government mandates related to fuel economy and carbon emissions) have also had a significant impact on this trend.</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material cost as a percentage of net sales was 64.1% in 2025, as compared to 64.2% in 2024 and 65.2% in 2023. Raw material, energy, commodity and product component costs can be volatile, reflecting, among other things, changes in supply and demand, logistics issues, global trade and tariff policies (including recent U.S. tariffs imposed or threatened to be imposed on Mexico, Canada and China, as well as other countries and any retaliatory actions taken by such countries), and geopolitical issues. Our primary commodity cost exposures relate to steel, copper and leather. Our exposure to changes in steel prices is primarily indirect, through purchased components, and a significant portion of our copper, leather and direct steel purchases are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subject to price index agreements with our customers and suppliers. We have developed and implemented additional strategies to mitigate the impact of any such cost increases, including the selective in-sourcing of components, the continued consolidation of our supply base, longer-term purchase commitments, commercial recovery mechanisms and the selective expansion of low-cost country sourcing and engineering, as well as value engineering and product benchmarking. Certain of these strategies may limit our opportunities in a declining price environment. In the current environment of elevated raw material, energy, commodity and product component costs, these strategies, together with commercial negotiations with our customers and suppliers and improved manufacturing productivity through automation and other advanced technologies, have more than offset the adverse impact. In addition, the availability of raw materials, energy, commodities and product components fluctuates from time to time due to factors outside of our control. If these costs increase further or availability is restricted, it could have an adverse impact on our operating results in the foreseeable future. See Part I — Item 1A, "Risk Factors</w:t>
      </w:r>
    </w:p>
    <w:p>
      <w:pPr>
        <w:jc w:val="both"/>
        <w:spacing w:after="0" w:line="255" w:lineRule="auto"/>
        <w:rPr>
          <w:sz w:val="20"/>
          <w:szCs w:val="20"/>
          <w:color w:val="auto"/>
        </w:rPr>
      </w:pPr>
      <w:r>
        <w:rPr>
          <w:rFonts w:ascii="Times New Roman" w:cs="Times New Roman" w:eastAsia="Times New Roman" w:hAnsi="Times New Roman"/>
          <w:sz w:val="18"/>
          <w:szCs w:val="18"/>
          <w:color w:val="auto"/>
        </w:rPr>
        <w:t>— Increases in the costs and restrictions on the availability of raw materials, energy, commodities, product components and labor could adversely affect our financial performance" and "Risk Factors — International trade policies, such as tariffs, sanctions, export controls and other trade restrictions, could adversely affect our financial performance," included in this Report, as well as "— Forward-Looking Statements" below.</w:t>
      </w:r>
    </w:p>
    <w:p>
      <w:pPr>
        <w:spacing w:after="0" w:line="7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customers typically require us to reduce our prices over the life of a vehicle model and, at the same time, assume significant responsibility for the design, development and engineering of our products. Our financial performance is largely dependent on our ability to offset these price reductions with product cost reductions through product design enhancements, supply chain management, manufacturing efficiencies and restructuring actions. We also seek to enhance our financial performance by investing in product development, design capabilities and new product initiatives that respond to and anticipate the needs of our customers and consumers. We continually evaluate operational and strategic alternatives to improve our business structure and align our business with the changing needs of our customers and major industry trends affecting our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Measures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evaluating our financial condition and operating performance, we focus primarily on earnings, operating margins, cash flows and return on invested capital. Our strategy includes expanding our business with new and existing customers globally through new products and our reputation for operational excellence and cost competitiveness. We have also increased our vertical integration capabilities globally, as well as expanded our component manufacturing capacity in Asia, Central America, Eastern Europe, Mexico and Northern Africa and our low-cost engineering capabilities in Asia, Eastern Europe and Northern Africa.</w:t>
      </w:r>
    </w:p>
    <w:p>
      <w:pPr>
        <w:spacing w:after="0" w:line="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success in generating cash flow will depend, in part, on our ability to manage working capital effectively. Working capital can be significantly impacted by the timing of cash flows from sales, purchases, and tariff costs and recoveries. Historically, we generally have been successful in aligning our supplier payment terms with our customer payment terms. However, our ability to continue to do so may be impacted by adverse automotive industry conditions, including inconsistent production schedules due to supply shortages and lower consumer demand, changes to our customers' payment terms and the financial condition of our suppliers. In addition, our cash flow is impacted by our ability to manage our inventory and capital spending effectively. We utilize return on invested capital as a measure of the efficiency with which our assets generate earnings. Improvements in our return on invested capital will depend on our ability to maintain an appropriate asset base for our business and to increase productivity and operating efficiency.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2025</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February 2025, we completed the acquisition of StoneShield Engineering ("StoneShield"), a privately held system integrator based in Castelo Branco, Portugal. StoneShield specializes in the design and development of automation technology for the wire harness industry with expertise in robotics, automated taping applications and high voltage harness assembly. Our acquisition of StoneShield has accelerated the automation of our production processes throughout our electrical distribution business, further improving our efficiency and operational excellence.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2024</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July 2024, we completed the acquisition of WIP Industrial Automation ("WIP"), a privately held company based in Valladolid, Spain. WIP develops, integrates and deploys cutting-edge technologies to create customized automation solutions for production applications used in our business. Our acquisition of WIP further strengthens our robotics and AI-based capabilities, which are important for production efficiency, quality and safety in a modern manufacturing environment.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Operational Restructuring</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2025, we incurred pretax restructuring costs of $253 million and related manufacturing inefficiency charges of approximately $4 million, as compared to pretax restructuring costs of $139 million and related manufacturing inefficiency charges of approximately $6 million in 2024. None of the individual restructuring actions initiated in 2025 were material. Further, there have been no changes in previously initiated restructuring actions that have resulted (or will result) in a material change to our restructuring costs.</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restructuring actions include plant closures and workforce reductions and are initiated to maintain our competitive footprint or are in response to customer initiatives or changes in global and regional automotive markets. Our restructuring actions are designed to maintain or improve our operating results and profitability throughout the automotive industry cycles. Restructuring actions are generally funded within twelve months of initiation and are funded by cash flows from operating activities and existing cash balances. We expect to incur approximately $36 million of additional restructuring costs related to activities initiated as of December 31, 2025, all of which are expected to be incurred in the next twelve months. We plan to implement additional restructuring actions in order to align our manufacturing capacity and other costs with prevailing regional automotive production levels. Such future restructuring actions are dependent on market conditions, customer actions and other factors.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further information, see Note 3, "Restructuring," to the consolidated financial statements included in this Report.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Transactions</w:t>
      </w:r>
    </w:p>
    <w:p>
      <w:pPr>
        <w:spacing w:after="0" w:line="1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June 2025, we amended our unsecured delayed-draw term loan facility (the "Term Loan") to extend the maturity date to September 30, 2027, and reduce the pricing across the grid. As of December 31, 2025, we had $50 million outstanding under the Term Loan.</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July 2025, we amended and restated our unsecured credit agreement (the "Credit Agreement") to extend the maturity date to July 24, 2030. The Credit Agreement consists of a $2.0 billion revolving credit facility (the "Revolving Credit Facility").</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further information related to our Credit Agreement and Term Loan, see "— Liquidity and Capital Resources — Capitalization — Credit Agreement" and "— Term Loan" below and Note 5, "Debt," to the consolidated financial statements included in this Report.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Stock Share Repurchase Program and Quarterly Cash Dividends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may implement share repurchases through a variety of methods, including, but not limited to, open market purchases, accelerated stock repurchase programs and structured repurchase transactions. The extent to which we may repurchase our outstanding common stock and the timing of such repurchases will depend upon our financial condition, results of operations, capital requirements, prevailing market conditions, alternative uses of capital and other factors (see "— Forward-Looking Statements" below).</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Since the first quarter of 2011, our Board of Directors (the "Board") has authorized $6.7 billion in share repurchases under our common stock share repurchase program (the "Repurchase Program"). As of December 31, 2025, we have repurchased, in aggregate, $5.9 billion of our outstanding common stock, at an average price of $95.01 per share, excluding commissions and related fees, and have a remaining repurchase authorization of $775 million, which expires on December 31, 2026. In 2025, we repurchased $325 million of our outstanding common stock.</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2025, 2024 and 2023, our Board declared a quarterly cash dividend of $0.77 per share of common stock in all quarters.</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further information related to our Repurchase Program and our quarterly cash dividends, see Item 5, "Market for the Company's Common Equity, Related Stockholder Matters and Issuer Purchases of Equity Securities," included in this Report, "— Liquidity and Capital Resources — Capitalization" below and Note 10, "Capital Stock, Accumulated Other Comprehensive Loss and Equity," to the consolidated financial statements included in this Report.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Matters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2025 and 2024, we recognized net tax benefits of $34 million and $25 million, respectively, related to restructuring charges, the release of tax reserves and audit settlements at foreign subsidiaries, the establishment of a valuation allowance on deferred tax assets of a foreign subsidiary and various other items.</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2023, we recognized net tax benefits of $35 million related to restructuring charges, the release of valuation allowances on deferred tax assets of foreign subsidiaries, the release of tax reserves at several foreign subsidiaries and various other items.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discussed above, our results for the years ended December 31, 2025, 2024 and 2023, reflect the following items (in millions):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4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For the year ended December 31,</w:t>
            </w:r>
          </w:p>
        </w:tc>
        <w:tc>
          <w:tcPr>
            <w:tcW w:w="3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color w:val="auto"/>
              </w:rPr>
              <w:t>2025</w:t>
            </w:r>
          </w:p>
        </w:tc>
        <w:tc>
          <w:tcPr>
            <w:tcW w:w="3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color w:val="auto"/>
              </w:rPr>
              <w:t>2024</w:t>
            </w:r>
          </w:p>
        </w:tc>
        <w:tc>
          <w:tcPr>
            <w:tcW w:w="38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color w:val="auto"/>
              </w:rPr>
              <w:t>2023</w:t>
            </w:r>
          </w:p>
        </w:tc>
      </w:tr>
      <w:tr>
        <w:trPr>
          <w:trHeight w:val="176"/>
        </w:trPr>
        <w:tc>
          <w:tcPr>
            <w:tcW w:w="74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Costs related to restructuring actions, including manufacturing inefficiencies of $4 million in 2025, $6</w:t>
            </w:r>
          </w:p>
        </w:tc>
        <w:tc>
          <w:tcPr>
            <w:tcW w:w="3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243"/>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million in 2024 and $1 million in 2023</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257</w:t>
            </w:r>
          </w:p>
        </w:tc>
        <w:tc>
          <w:tcPr>
            <w:tcW w:w="3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145</w:t>
            </w:r>
          </w:p>
        </w:tc>
        <w:tc>
          <w:tcPr>
            <w:tcW w:w="3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30"/>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 costs</w:t>
            </w:r>
          </w:p>
        </w:tc>
        <w:tc>
          <w:tcPr>
            <w:tcW w:w="320" w:type="dxa"/>
            <w:vAlign w:val="bottom"/>
          </w:tcPr>
          <w:p>
            <w:pPr>
              <w:spacing w:after="0"/>
              <w:rPr>
                <w:sz w:val="19"/>
                <w:szCs w:val="19"/>
                <w:color w:val="auto"/>
              </w:rPr>
            </w:pPr>
          </w:p>
        </w:tc>
        <w:tc>
          <w:tcPr>
            <w:tcW w:w="9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9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Acquisition-related inventory fair value adjustment</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7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Loss related to disposal of a non-core business</w:t>
            </w:r>
          </w:p>
        </w:tc>
        <w:tc>
          <w:tcPr>
            <w:tcW w:w="320" w:type="dxa"/>
            <w:vAlign w:val="bottom"/>
          </w:tcPr>
          <w:p>
            <w:pPr>
              <w:spacing w:after="0"/>
              <w:rPr>
                <w:sz w:val="19"/>
                <w:szCs w:val="19"/>
                <w:color w:val="auto"/>
              </w:rPr>
            </w:pPr>
          </w:p>
        </w:tc>
        <w:tc>
          <w:tcPr>
            <w:tcW w:w="9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3</w:t>
            </w:r>
          </w:p>
        </w:tc>
        <w:tc>
          <w:tcPr>
            <w:tcW w:w="360" w:type="dxa"/>
            <w:vAlign w:val="bottom"/>
          </w:tcPr>
          <w:p>
            <w:pPr>
              <w:spacing w:after="0"/>
              <w:rPr>
                <w:sz w:val="19"/>
                <w:szCs w:val="19"/>
                <w:color w:val="auto"/>
              </w:rPr>
            </w:pPr>
          </w:p>
        </w:tc>
        <w:tc>
          <w:tcPr>
            <w:tcW w:w="9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24</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Disposal costs</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w:t>
            </w: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Debt refinancing</w:t>
            </w:r>
          </w:p>
        </w:tc>
        <w:tc>
          <w:tcPr>
            <w:tcW w:w="320" w:type="dxa"/>
            <w:vAlign w:val="bottom"/>
          </w:tcPr>
          <w:p>
            <w:pPr>
              <w:spacing w:after="0"/>
              <w:rPr>
                <w:sz w:val="19"/>
                <w:szCs w:val="19"/>
                <w:color w:val="auto"/>
              </w:rPr>
            </w:pPr>
          </w:p>
        </w:tc>
        <w:tc>
          <w:tcPr>
            <w:tcW w:w="9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w:t>
            </w:r>
          </w:p>
        </w:tc>
        <w:tc>
          <w:tcPr>
            <w:tcW w:w="360" w:type="dxa"/>
            <w:vAlign w:val="bottom"/>
          </w:tcPr>
          <w:p>
            <w:pPr>
              <w:spacing w:after="0"/>
              <w:rPr>
                <w:sz w:val="19"/>
                <w:szCs w:val="19"/>
                <w:color w:val="auto"/>
              </w:rPr>
            </w:pPr>
          </w:p>
        </w:tc>
        <w:tc>
          <w:tcPr>
            <w:tcW w:w="9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Costs related to CrowdStrike Holdings, Inc.</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3</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Impairments (recoveries) related to Fisker Inc., net</w:t>
            </w:r>
          </w:p>
        </w:tc>
        <w:tc>
          <w:tcPr>
            <w:tcW w:w="320" w:type="dxa"/>
            <w:vAlign w:val="bottom"/>
          </w:tcPr>
          <w:p>
            <w:pPr>
              <w:spacing w:after="0"/>
              <w:rPr>
                <w:sz w:val="19"/>
                <w:szCs w:val="19"/>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w:t>
            </w:r>
          </w:p>
        </w:tc>
        <w:tc>
          <w:tcPr>
            <w:tcW w:w="360" w:type="dxa"/>
            <w:vAlign w:val="bottom"/>
          </w:tcPr>
          <w:p>
            <w:pPr>
              <w:spacing w:after="0"/>
              <w:rPr>
                <w:sz w:val="19"/>
                <w:szCs w:val="19"/>
                <w:color w:val="auto"/>
              </w:rPr>
            </w:pPr>
          </w:p>
        </w:tc>
        <w:tc>
          <w:tcPr>
            <w:tcW w:w="9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15</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Impairments (recoveries) related to Russian operations, net</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w:t>
            </w: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 impairment</w:t>
            </w:r>
          </w:p>
        </w:tc>
        <w:tc>
          <w:tcPr>
            <w:tcW w:w="320" w:type="dxa"/>
            <w:vAlign w:val="bottom"/>
          </w:tcPr>
          <w:p>
            <w:pPr>
              <w:spacing w:after="0"/>
              <w:rPr>
                <w:sz w:val="19"/>
                <w:szCs w:val="19"/>
                <w:color w:val="auto"/>
              </w:rPr>
            </w:pPr>
          </w:p>
        </w:tc>
        <w:tc>
          <w:tcPr>
            <w:tcW w:w="9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9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Insurance recoveries related to typhoon in the Philippines, net of costs</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9"/>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settlement loss on pension lump-sum payout</w:t>
            </w:r>
          </w:p>
        </w:tc>
        <w:tc>
          <w:tcPr>
            <w:tcW w:w="320" w:type="dxa"/>
            <w:vAlign w:val="bottom"/>
          </w:tcPr>
          <w:p>
            <w:pPr>
              <w:spacing w:after="0"/>
              <w:rPr>
                <w:sz w:val="19"/>
                <w:szCs w:val="19"/>
                <w:color w:val="auto"/>
              </w:rPr>
            </w:pPr>
          </w:p>
        </w:tc>
        <w:tc>
          <w:tcPr>
            <w:tcW w:w="9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9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7</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 (gains) losses due to foreign exchange rate volatility related to Russia</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w:t>
            </w: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Favorable indirect tax ruling in a foreign jurisdiction</w:t>
            </w:r>
          </w:p>
        </w:tc>
        <w:tc>
          <w:tcPr>
            <w:tcW w:w="320" w:type="dxa"/>
            <w:vAlign w:val="bottom"/>
          </w:tcPr>
          <w:p>
            <w:pPr>
              <w:spacing w:after="0"/>
              <w:rPr>
                <w:sz w:val="19"/>
                <w:szCs w:val="19"/>
                <w:color w:val="auto"/>
              </w:rPr>
            </w:pPr>
          </w:p>
        </w:tc>
        <w:tc>
          <w:tcPr>
            <w:tcW w:w="9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9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related to affiliates, net</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36"/>
        </w:trPr>
        <w:tc>
          <w:tcPr>
            <w:tcW w:w="7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Tax benefits, net</w:t>
            </w: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(34)</w:t>
            </w:r>
          </w:p>
        </w:tc>
        <w:tc>
          <w:tcPr>
            <w:tcW w:w="3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(25)</w:t>
            </w:r>
          </w:p>
        </w:tc>
        <w:tc>
          <w:tcPr>
            <w:tcW w:w="3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r>
    </w:tbl>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further information regarding these items, see Note 2, "Summary of Significant Accounting Policies," Note 3, "Restructuring," Note 5, "Debt," Note 7, "Income Taxes," Note 8, Pension and Other Postretirement Benefit Plans," Note 12, "Legal and Other Contingencies," and Note 14, "Financial Instruments," to the consolidated financial statements included in this Report. This section includes forward-looking statements that are subject to risks and uncertainties. For further information regarding these and other factors that have had, or may have in the future, a significant impact on our business, financial condition or results of operations, see Part I — Item 1A, "Risk Factors," included in this Report and "— Forward-Looking Statements" below.</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our operating results in millions of dollars and as a percentage of net sales is shown below:</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0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For the year ended December 31,</w:t>
            </w:r>
          </w:p>
        </w:tc>
        <w:tc>
          <w:tcPr>
            <w:tcW w:w="30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rPr>
              <w:t>2025</w:t>
            </w:r>
          </w:p>
        </w:tc>
        <w:tc>
          <w:tcPr>
            <w:tcW w:w="86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rPr>
              <w:t>2024</w:t>
            </w:r>
          </w:p>
        </w:tc>
        <w:tc>
          <w:tcPr>
            <w:tcW w:w="96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rPr>
              <w:t>2023</w:t>
            </w:r>
          </w:p>
        </w:tc>
        <w:tc>
          <w:tcPr>
            <w:tcW w:w="840" w:type="dxa"/>
            <w:vAlign w:val="bottom"/>
            <w:tcBorders>
              <w:top w:val="single" w:sz="8" w:color="auto"/>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r>
      <w:tr>
        <w:trPr>
          <w:trHeight w:val="230"/>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60" w:type="dxa"/>
            <w:vAlign w:val="bottom"/>
          </w:tcPr>
          <w:p>
            <w:pPr>
              <w:spacing w:after="0"/>
              <w:rPr>
                <w:sz w:val="19"/>
                <w:szCs w:val="19"/>
                <w:color w:val="auto"/>
              </w:rPr>
            </w:pPr>
          </w:p>
        </w:tc>
      </w:tr>
      <w:tr>
        <w:trPr>
          <w:trHeight w:val="229"/>
        </w:trPr>
        <w:tc>
          <w:tcPr>
            <w:tcW w:w="3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Seating</w:t>
            </w:r>
          </w:p>
        </w:tc>
        <w:tc>
          <w:tcPr>
            <w:tcW w:w="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51"/>
              <w:spacing w:after="0"/>
              <w:rPr>
                <w:sz w:val="20"/>
                <w:szCs w:val="20"/>
                <w:color w:val="auto"/>
              </w:rPr>
            </w:pPr>
            <w:r>
              <w:rPr>
                <w:rFonts w:ascii="Times New Roman" w:cs="Times New Roman" w:eastAsia="Times New Roman" w:hAnsi="Times New Roman"/>
                <w:sz w:val="18"/>
                <w:szCs w:val="18"/>
                <w:color w:val="auto"/>
              </w:rPr>
              <w:t>17,283.0</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74.3 %</w:t>
            </w:r>
          </w:p>
        </w:tc>
        <w:tc>
          <w:tcPr>
            <w:tcW w:w="5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51"/>
              <w:spacing w:after="0"/>
              <w:rPr>
                <w:sz w:val="20"/>
                <w:szCs w:val="20"/>
                <w:color w:val="auto"/>
              </w:rPr>
            </w:pPr>
            <w:r>
              <w:rPr>
                <w:rFonts w:ascii="Times New Roman" w:cs="Times New Roman" w:eastAsia="Times New Roman" w:hAnsi="Times New Roman"/>
                <w:sz w:val="18"/>
                <w:szCs w:val="18"/>
                <w:color w:val="auto"/>
              </w:rPr>
              <w:t>17,222.1</w:t>
            </w:r>
          </w:p>
        </w:tc>
        <w:tc>
          <w:tcPr>
            <w:tcW w:w="9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73.9 %</w:t>
            </w:r>
          </w:p>
        </w:tc>
        <w:tc>
          <w:tcPr>
            <w:tcW w:w="4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31"/>
              <w:spacing w:after="0"/>
              <w:rPr>
                <w:sz w:val="20"/>
                <w:szCs w:val="20"/>
                <w:color w:val="auto"/>
              </w:rPr>
            </w:pPr>
            <w:r>
              <w:rPr>
                <w:rFonts w:ascii="Times New Roman" w:cs="Times New Roman" w:eastAsia="Times New Roman" w:hAnsi="Times New Roman"/>
                <w:sz w:val="18"/>
                <w:szCs w:val="18"/>
                <w:color w:val="auto"/>
              </w:rPr>
              <w:t>17,548.8</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74.8 %</w:t>
            </w:r>
          </w:p>
        </w:tc>
        <w:tc>
          <w:tcPr>
            <w:tcW w:w="560" w:type="dxa"/>
            <w:vAlign w:val="bottom"/>
          </w:tcPr>
          <w:p>
            <w:pPr>
              <w:spacing w:after="0"/>
              <w:rPr>
                <w:sz w:val="19"/>
                <w:szCs w:val="19"/>
                <w:color w:val="auto"/>
              </w:rPr>
            </w:pPr>
          </w:p>
        </w:tc>
      </w:tr>
      <w:tr>
        <w:trPr>
          <w:trHeight w:val="230"/>
        </w:trPr>
        <w:tc>
          <w:tcPr>
            <w:tcW w:w="306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E-Systems</w:t>
            </w: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351"/>
              <w:spacing w:after="0"/>
              <w:rPr>
                <w:sz w:val="20"/>
                <w:szCs w:val="20"/>
                <w:color w:val="auto"/>
              </w:rPr>
            </w:pPr>
            <w:r>
              <w:rPr>
                <w:rFonts w:ascii="Times New Roman" w:cs="Times New Roman" w:eastAsia="Times New Roman" w:hAnsi="Times New Roman"/>
                <w:sz w:val="18"/>
                <w:szCs w:val="18"/>
                <w:color w:val="auto"/>
              </w:rPr>
              <w:t>5,976.1</w:t>
            </w:r>
          </w:p>
        </w:tc>
        <w:tc>
          <w:tcPr>
            <w:tcW w:w="8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25.7</w:t>
            </w:r>
          </w:p>
        </w:tc>
        <w:tc>
          <w:tcPr>
            <w:tcW w:w="5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351"/>
              <w:spacing w:after="0"/>
              <w:rPr>
                <w:sz w:val="20"/>
                <w:szCs w:val="20"/>
                <w:color w:val="auto"/>
              </w:rPr>
            </w:pPr>
            <w:r>
              <w:rPr>
                <w:rFonts w:ascii="Times New Roman" w:cs="Times New Roman" w:eastAsia="Times New Roman" w:hAnsi="Times New Roman"/>
                <w:sz w:val="18"/>
                <w:szCs w:val="18"/>
                <w:color w:val="auto"/>
              </w:rPr>
              <w:t>6,083.9</w:t>
            </w:r>
          </w:p>
        </w:tc>
        <w:tc>
          <w:tcPr>
            <w:tcW w:w="9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26.1</w:t>
            </w:r>
          </w:p>
        </w:tc>
        <w:tc>
          <w:tcPr>
            <w:tcW w:w="4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331"/>
              <w:spacing w:after="0"/>
              <w:rPr>
                <w:sz w:val="20"/>
                <w:szCs w:val="20"/>
                <w:color w:val="auto"/>
              </w:rPr>
            </w:pPr>
            <w:r>
              <w:rPr>
                <w:rFonts w:ascii="Times New Roman" w:cs="Times New Roman" w:eastAsia="Times New Roman" w:hAnsi="Times New Roman"/>
                <w:sz w:val="18"/>
                <w:szCs w:val="18"/>
                <w:color w:val="auto"/>
              </w:rPr>
              <w:t>5,918.1</w:t>
            </w:r>
          </w:p>
        </w:tc>
        <w:tc>
          <w:tcPr>
            <w:tcW w:w="8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25.2</w:t>
            </w:r>
          </w:p>
        </w:tc>
        <w:tc>
          <w:tcPr>
            <w:tcW w:w="560" w:type="dxa"/>
            <w:vAlign w:val="bottom"/>
          </w:tcPr>
          <w:p>
            <w:pPr>
              <w:spacing w:after="0"/>
              <w:rPr>
                <w:sz w:val="19"/>
                <w:szCs w:val="19"/>
                <w:color w:val="auto"/>
              </w:rPr>
            </w:pPr>
          </w:p>
        </w:tc>
      </w:tr>
      <w:tr>
        <w:trPr>
          <w:trHeight w:val="223"/>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00" w:type="dxa"/>
            <w:vAlign w:val="bottom"/>
          </w:tcPr>
          <w:p>
            <w:pPr>
              <w:spacing w:after="0"/>
              <w:rPr>
                <w:sz w:val="19"/>
                <w:szCs w:val="19"/>
                <w:color w:val="auto"/>
              </w:rPr>
            </w:pPr>
          </w:p>
        </w:tc>
        <w:tc>
          <w:tcPr>
            <w:tcW w:w="1240" w:type="dxa"/>
            <w:vAlign w:val="bottom"/>
          </w:tcPr>
          <w:p>
            <w:pPr>
              <w:jc w:val="right"/>
              <w:ind w:right="351"/>
              <w:spacing w:after="0"/>
              <w:rPr>
                <w:sz w:val="20"/>
                <w:szCs w:val="20"/>
                <w:color w:val="auto"/>
              </w:rPr>
            </w:pPr>
            <w:r>
              <w:rPr>
                <w:rFonts w:ascii="Times New Roman" w:cs="Times New Roman" w:eastAsia="Times New Roman" w:hAnsi="Times New Roman"/>
                <w:sz w:val="18"/>
                <w:szCs w:val="18"/>
                <w:color w:val="auto"/>
              </w:rPr>
              <w:t>23,259.1</w:t>
            </w:r>
          </w:p>
        </w:tc>
        <w:tc>
          <w:tcPr>
            <w:tcW w:w="8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100.0</w:t>
            </w:r>
          </w:p>
        </w:tc>
        <w:tc>
          <w:tcPr>
            <w:tcW w:w="540" w:type="dxa"/>
            <w:vAlign w:val="bottom"/>
          </w:tcPr>
          <w:p>
            <w:pPr>
              <w:spacing w:after="0"/>
              <w:rPr>
                <w:sz w:val="19"/>
                <w:szCs w:val="19"/>
                <w:color w:val="auto"/>
              </w:rPr>
            </w:pPr>
          </w:p>
        </w:tc>
        <w:tc>
          <w:tcPr>
            <w:tcW w:w="1240" w:type="dxa"/>
            <w:vAlign w:val="bottom"/>
          </w:tcPr>
          <w:p>
            <w:pPr>
              <w:jc w:val="right"/>
              <w:ind w:right="351"/>
              <w:spacing w:after="0"/>
              <w:rPr>
                <w:sz w:val="20"/>
                <w:szCs w:val="20"/>
                <w:color w:val="auto"/>
              </w:rPr>
            </w:pPr>
            <w:r>
              <w:rPr>
                <w:rFonts w:ascii="Times New Roman" w:cs="Times New Roman" w:eastAsia="Times New Roman" w:hAnsi="Times New Roman"/>
                <w:sz w:val="18"/>
                <w:szCs w:val="18"/>
                <w:color w:val="auto"/>
              </w:rPr>
              <w:t>23,306.0</w:t>
            </w:r>
          </w:p>
        </w:tc>
        <w:tc>
          <w:tcPr>
            <w:tcW w:w="9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100.0</w:t>
            </w:r>
          </w:p>
        </w:tc>
        <w:tc>
          <w:tcPr>
            <w:tcW w:w="420" w:type="dxa"/>
            <w:vAlign w:val="bottom"/>
          </w:tcPr>
          <w:p>
            <w:pPr>
              <w:spacing w:after="0"/>
              <w:rPr>
                <w:sz w:val="19"/>
                <w:szCs w:val="19"/>
                <w:color w:val="auto"/>
              </w:rPr>
            </w:pPr>
          </w:p>
        </w:tc>
        <w:tc>
          <w:tcPr>
            <w:tcW w:w="1220" w:type="dxa"/>
            <w:vAlign w:val="bottom"/>
          </w:tcPr>
          <w:p>
            <w:pPr>
              <w:jc w:val="right"/>
              <w:ind w:right="331"/>
              <w:spacing w:after="0"/>
              <w:rPr>
                <w:sz w:val="20"/>
                <w:szCs w:val="20"/>
                <w:color w:val="auto"/>
              </w:rPr>
            </w:pPr>
            <w:r>
              <w:rPr>
                <w:rFonts w:ascii="Times New Roman" w:cs="Times New Roman" w:eastAsia="Times New Roman" w:hAnsi="Times New Roman"/>
                <w:sz w:val="18"/>
                <w:szCs w:val="18"/>
                <w:color w:val="auto"/>
              </w:rPr>
              <w:t>23,466.9</w:t>
            </w:r>
          </w:p>
        </w:tc>
        <w:tc>
          <w:tcPr>
            <w:tcW w:w="8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100.0</w:t>
            </w:r>
          </w:p>
        </w:tc>
        <w:tc>
          <w:tcPr>
            <w:tcW w:w="560" w:type="dxa"/>
            <w:vAlign w:val="bottom"/>
          </w:tcPr>
          <w:p>
            <w:pPr>
              <w:spacing w:after="0"/>
              <w:rPr>
                <w:sz w:val="19"/>
                <w:szCs w:val="19"/>
                <w:color w:val="auto"/>
              </w:rPr>
            </w:pPr>
          </w:p>
        </w:tc>
      </w:tr>
      <w:tr>
        <w:trPr>
          <w:trHeight w:val="230"/>
        </w:trPr>
        <w:tc>
          <w:tcPr>
            <w:tcW w:w="30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351"/>
              <w:spacing w:after="0"/>
              <w:rPr>
                <w:sz w:val="20"/>
                <w:szCs w:val="20"/>
                <w:color w:val="auto"/>
              </w:rPr>
            </w:pPr>
            <w:r>
              <w:rPr>
                <w:rFonts w:ascii="Times New Roman" w:cs="Times New Roman" w:eastAsia="Times New Roman" w:hAnsi="Times New Roman"/>
                <w:sz w:val="18"/>
                <w:szCs w:val="18"/>
                <w:color w:val="auto"/>
              </w:rPr>
              <w:t>21,754.7</w:t>
            </w:r>
          </w:p>
        </w:tc>
        <w:tc>
          <w:tcPr>
            <w:tcW w:w="8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93.5</w:t>
            </w:r>
          </w:p>
        </w:tc>
        <w:tc>
          <w:tcPr>
            <w:tcW w:w="5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351"/>
              <w:spacing w:after="0"/>
              <w:rPr>
                <w:sz w:val="20"/>
                <w:szCs w:val="20"/>
                <w:color w:val="auto"/>
              </w:rPr>
            </w:pPr>
            <w:r>
              <w:rPr>
                <w:rFonts w:ascii="Times New Roman" w:cs="Times New Roman" w:eastAsia="Times New Roman" w:hAnsi="Times New Roman"/>
                <w:sz w:val="18"/>
                <w:szCs w:val="18"/>
                <w:color w:val="auto"/>
              </w:rPr>
              <w:t>21,666.7</w:t>
            </w:r>
          </w:p>
        </w:tc>
        <w:tc>
          <w:tcPr>
            <w:tcW w:w="9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93.0</w:t>
            </w:r>
          </w:p>
        </w:tc>
        <w:tc>
          <w:tcPr>
            <w:tcW w:w="4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331"/>
              <w:spacing w:after="0"/>
              <w:rPr>
                <w:sz w:val="20"/>
                <w:szCs w:val="20"/>
                <w:color w:val="auto"/>
              </w:rPr>
            </w:pPr>
            <w:r>
              <w:rPr>
                <w:rFonts w:ascii="Times New Roman" w:cs="Times New Roman" w:eastAsia="Times New Roman" w:hAnsi="Times New Roman"/>
                <w:sz w:val="18"/>
                <w:szCs w:val="18"/>
                <w:color w:val="auto"/>
              </w:rPr>
              <w:t>21,756.5</w:t>
            </w:r>
          </w:p>
        </w:tc>
        <w:tc>
          <w:tcPr>
            <w:tcW w:w="8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92.7</w:t>
            </w:r>
          </w:p>
        </w:tc>
        <w:tc>
          <w:tcPr>
            <w:tcW w:w="560" w:type="dxa"/>
            <w:vAlign w:val="bottom"/>
          </w:tcPr>
          <w:p>
            <w:pPr>
              <w:spacing w:after="0"/>
              <w:rPr>
                <w:sz w:val="19"/>
                <w:szCs w:val="19"/>
                <w:color w:val="auto"/>
              </w:rPr>
            </w:pPr>
          </w:p>
        </w:tc>
      </w:tr>
      <w:tr>
        <w:trPr>
          <w:trHeight w:val="223"/>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tcPr>
          <w:p>
            <w:pPr>
              <w:spacing w:after="0"/>
              <w:rPr>
                <w:sz w:val="19"/>
                <w:szCs w:val="19"/>
                <w:color w:val="auto"/>
              </w:rPr>
            </w:pPr>
          </w:p>
        </w:tc>
        <w:tc>
          <w:tcPr>
            <w:tcW w:w="1240" w:type="dxa"/>
            <w:vAlign w:val="bottom"/>
          </w:tcPr>
          <w:p>
            <w:pPr>
              <w:jc w:val="right"/>
              <w:ind w:right="351"/>
              <w:spacing w:after="0"/>
              <w:rPr>
                <w:sz w:val="20"/>
                <w:szCs w:val="20"/>
                <w:color w:val="auto"/>
              </w:rPr>
            </w:pPr>
            <w:r>
              <w:rPr>
                <w:rFonts w:ascii="Times New Roman" w:cs="Times New Roman" w:eastAsia="Times New Roman" w:hAnsi="Times New Roman"/>
                <w:sz w:val="18"/>
                <w:szCs w:val="18"/>
                <w:color w:val="auto"/>
              </w:rPr>
              <w:t>1,504.4</w:t>
            </w:r>
          </w:p>
        </w:tc>
        <w:tc>
          <w:tcPr>
            <w:tcW w:w="8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6.5</w:t>
            </w:r>
          </w:p>
        </w:tc>
        <w:tc>
          <w:tcPr>
            <w:tcW w:w="540" w:type="dxa"/>
            <w:vAlign w:val="bottom"/>
          </w:tcPr>
          <w:p>
            <w:pPr>
              <w:spacing w:after="0"/>
              <w:rPr>
                <w:sz w:val="19"/>
                <w:szCs w:val="19"/>
                <w:color w:val="auto"/>
              </w:rPr>
            </w:pPr>
          </w:p>
        </w:tc>
        <w:tc>
          <w:tcPr>
            <w:tcW w:w="1240" w:type="dxa"/>
            <w:vAlign w:val="bottom"/>
          </w:tcPr>
          <w:p>
            <w:pPr>
              <w:jc w:val="right"/>
              <w:ind w:right="351"/>
              <w:spacing w:after="0"/>
              <w:rPr>
                <w:sz w:val="20"/>
                <w:szCs w:val="20"/>
                <w:color w:val="auto"/>
              </w:rPr>
            </w:pPr>
            <w:r>
              <w:rPr>
                <w:rFonts w:ascii="Times New Roman" w:cs="Times New Roman" w:eastAsia="Times New Roman" w:hAnsi="Times New Roman"/>
                <w:sz w:val="18"/>
                <w:szCs w:val="18"/>
                <w:color w:val="auto"/>
              </w:rPr>
              <w:t>1,639.3</w:t>
            </w:r>
          </w:p>
        </w:tc>
        <w:tc>
          <w:tcPr>
            <w:tcW w:w="9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7.0</w:t>
            </w:r>
          </w:p>
        </w:tc>
        <w:tc>
          <w:tcPr>
            <w:tcW w:w="420" w:type="dxa"/>
            <w:vAlign w:val="bottom"/>
          </w:tcPr>
          <w:p>
            <w:pPr>
              <w:spacing w:after="0"/>
              <w:rPr>
                <w:sz w:val="19"/>
                <w:szCs w:val="19"/>
                <w:color w:val="auto"/>
              </w:rPr>
            </w:pPr>
          </w:p>
        </w:tc>
        <w:tc>
          <w:tcPr>
            <w:tcW w:w="1220" w:type="dxa"/>
            <w:vAlign w:val="bottom"/>
          </w:tcPr>
          <w:p>
            <w:pPr>
              <w:jc w:val="right"/>
              <w:ind w:right="331"/>
              <w:spacing w:after="0"/>
              <w:rPr>
                <w:sz w:val="20"/>
                <w:szCs w:val="20"/>
                <w:color w:val="auto"/>
              </w:rPr>
            </w:pPr>
            <w:r>
              <w:rPr>
                <w:rFonts w:ascii="Times New Roman" w:cs="Times New Roman" w:eastAsia="Times New Roman" w:hAnsi="Times New Roman"/>
                <w:sz w:val="18"/>
                <w:szCs w:val="18"/>
                <w:color w:val="auto"/>
              </w:rPr>
              <w:t>1,710.4</w:t>
            </w:r>
          </w:p>
        </w:tc>
        <w:tc>
          <w:tcPr>
            <w:tcW w:w="8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7.3</w:t>
            </w:r>
          </w:p>
        </w:tc>
        <w:tc>
          <w:tcPr>
            <w:tcW w:w="560" w:type="dxa"/>
            <w:vAlign w:val="bottom"/>
          </w:tcPr>
          <w:p>
            <w:pPr>
              <w:spacing w:after="0"/>
              <w:rPr>
                <w:sz w:val="19"/>
                <w:szCs w:val="19"/>
                <w:color w:val="auto"/>
              </w:rPr>
            </w:pPr>
          </w:p>
        </w:tc>
      </w:tr>
      <w:tr>
        <w:trPr>
          <w:trHeight w:val="175"/>
        </w:trPr>
        <w:tc>
          <w:tcPr>
            <w:tcW w:w="30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Selling, general and administrative</w:t>
            </w:r>
          </w:p>
        </w:tc>
        <w:tc>
          <w:tcPr>
            <w:tcW w:w="3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60" w:type="dxa"/>
            <w:vAlign w:val="bottom"/>
          </w:tcPr>
          <w:p>
            <w:pPr>
              <w:spacing w:after="0"/>
              <w:rPr>
                <w:sz w:val="15"/>
                <w:szCs w:val="15"/>
                <w:color w:val="auto"/>
              </w:rPr>
            </w:pPr>
          </w:p>
        </w:tc>
      </w:tr>
      <w:tr>
        <w:trPr>
          <w:trHeight w:val="243"/>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30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351"/>
              <w:spacing w:after="0"/>
              <w:rPr>
                <w:sz w:val="20"/>
                <w:szCs w:val="20"/>
                <w:color w:val="auto"/>
              </w:rPr>
            </w:pPr>
            <w:r>
              <w:rPr>
                <w:rFonts w:ascii="Times New Roman" w:cs="Times New Roman" w:eastAsia="Times New Roman" w:hAnsi="Times New Roman"/>
                <w:sz w:val="18"/>
                <w:szCs w:val="18"/>
                <w:color w:val="auto"/>
              </w:rPr>
              <w:t>707.6</w:t>
            </w:r>
          </w:p>
        </w:tc>
        <w:tc>
          <w:tcPr>
            <w:tcW w:w="8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3.0</w:t>
            </w:r>
          </w:p>
        </w:tc>
        <w:tc>
          <w:tcPr>
            <w:tcW w:w="54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351"/>
              <w:spacing w:after="0"/>
              <w:rPr>
                <w:sz w:val="20"/>
                <w:szCs w:val="20"/>
                <w:color w:val="auto"/>
              </w:rPr>
            </w:pPr>
            <w:r>
              <w:rPr>
                <w:rFonts w:ascii="Times New Roman" w:cs="Times New Roman" w:eastAsia="Times New Roman" w:hAnsi="Times New Roman"/>
                <w:sz w:val="18"/>
                <w:szCs w:val="18"/>
                <w:color w:val="auto"/>
              </w:rPr>
              <w:t>702.5</w:t>
            </w:r>
          </w:p>
        </w:tc>
        <w:tc>
          <w:tcPr>
            <w:tcW w:w="9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3.0</w:t>
            </w:r>
          </w:p>
        </w:tc>
        <w:tc>
          <w:tcPr>
            <w:tcW w:w="42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331"/>
              <w:spacing w:after="0"/>
              <w:rPr>
                <w:sz w:val="20"/>
                <w:szCs w:val="20"/>
                <w:color w:val="auto"/>
              </w:rPr>
            </w:pPr>
            <w:r>
              <w:rPr>
                <w:rFonts w:ascii="Times New Roman" w:cs="Times New Roman" w:eastAsia="Times New Roman" w:hAnsi="Times New Roman"/>
                <w:sz w:val="18"/>
                <w:szCs w:val="18"/>
                <w:color w:val="auto"/>
              </w:rPr>
              <w:t>714.7</w:t>
            </w:r>
          </w:p>
        </w:tc>
        <w:tc>
          <w:tcPr>
            <w:tcW w:w="8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3.0</w:t>
            </w:r>
          </w:p>
        </w:tc>
        <w:tc>
          <w:tcPr>
            <w:tcW w:w="560" w:type="dxa"/>
            <w:vAlign w:val="bottom"/>
          </w:tcPr>
          <w:p>
            <w:pPr>
              <w:spacing w:after="0"/>
              <w:rPr>
                <w:sz w:val="21"/>
                <w:szCs w:val="21"/>
                <w:color w:val="auto"/>
              </w:rPr>
            </w:pPr>
          </w:p>
        </w:tc>
      </w:tr>
      <w:tr>
        <w:trPr>
          <w:trHeight w:val="230"/>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00" w:type="dxa"/>
            <w:vAlign w:val="bottom"/>
          </w:tcPr>
          <w:p>
            <w:pPr>
              <w:spacing w:after="0"/>
              <w:rPr>
                <w:sz w:val="19"/>
                <w:szCs w:val="19"/>
                <w:color w:val="auto"/>
              </w:rPr>
            </w:pPr>
          </w:p>
        </w:tc>
        <w:tc>
          <w:tcPr>
            <w:tcW w:w="1240" w:type="dxa"/>
            <w:vAlign w:val="bottom"/>
          </w:tcPr>
          <w:p>
            <w:pPr>
              <w:jc w:val="right"/>
              <w:ind w:right="351"/>
              <w:spacing w:after="0"/>
              <w:rPr>
                <w:sz w:val="20"/>
                <w:szCs w:val="20"/>
                <w:color w:val="auto"/>
              </w:rPr>
            </w:pPr>
            <w:r>
              <w:rPr>
                <w:rFonts w:ascii="Times New Roman" w:cs="Times New Roman" w:eastAsia="Times New Roman" w:hAnsi="Times New Roman"/>
                <w:sz w:val="18"/>
                <w:szCs w:val="18"/>
                <w:color w:val="auto"/>
              </w:rPr>
              <w:t>19.5</w:t>
            </w:r>
          </w:p>
        </w:tc>
        <w:tc>
          <w:tcPr>
            <w:tcW w:w="8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0.1</w:t>
            </w:r>
          </w:p>
        </w:tc>
        <w:tc>
          <w:tcPr>
            <w:tcW w:w="540" w:type="dxa"/>
            <w:vAlign w:val="bottom"/>
          </w:tcPr>
          <w:p>
            <w:pPr>
              <w:spacing w:after="0"/>
              <w:rPr>
                <w:sz w:val="19"/>
                <w:szCs w:val="19"/>
                <w:color w:val="auto"/>
              </w:rPr>
            </w:pPr>
          </w:p>
        </w:tc>
        <w:tc>
          <w:tcPr>
            <w:tcW w:w="1240" w:type="dxa"/>
            <w:vAlign w:val="bottom"/>
          </w:tcPr>
          <w:p>
            <w:pPr>
              <w:jc w:val="right"/>
              <w:ind w:right="351"/>
              <w:spacing w:after="0"/>
              <w:rPr>
                <w:sz w:val="20"/>
                <w:szCs w:val="20"/>
                <w:color w:val="auto"/>
              </w:rPr>
            </w:pPr>
            <w:r>
              <w:rPr>
                <w:rFonts w:ascii="Times New Roman" w:cs="Times New Roman" w:eastAsia="Times New Roman" w:hAnsi="Times New Roman"/>
                <w:sz w:val="18"/>
                <w:szCs w:val="18"/>
                <w:color w:val="auto"/>
              </w:rPr>
              <w:t>49.1</w:t>
            </w:r>
          </w:p>
        </w:tc>
        <w:tc>
          <w:tcPr>
            <w:tcW w:w="9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0.2</w:t>
            </w:r>
          </w:p>
        </w:tc>
        <w:tc>
          <w:tcPr>
            <w:tcW w:w="420" w:type="dxa"/>
            <w:vAlign w:val="bottom"/>
          </w:tcPr>
          <w:p>
            <w:pPr>
              <w:spacing w:after="0"/>
              <w:rPr>
                <w:sz w:val="19"/>
                <w:szCs w:val="19"/>
                <w:color w:val="auto"/>
              </w:rPr>
            </w:pPr>
          </w:p>
        </w:tc>
        <w:tc>
          <w:tcPr>
            <w:tcW w:w="1220" w:type="dxa"/>
            <w:vAlign w:val="bottom"/>
          </w:tcPr>
          <w:p>
            <w:pPr>
              <w:jc w:val="right"/>
              <w:ind w:right="331"/>
              <w:spacing w:after="0"/>
              <w:rPr>
                <w:sz w:val="20"/>
                <w:szCs w:val="20"/>
                <w:color w:val="auto"/>
              </w:rPr>
            </w:pPr>
            <w:r>
              <w:rPr>
                <w:rFonts w:ascii="Times New Roman" w:cs="Times New Roman" w:eastAsia="Times New Roman" w:hAnsi="Times New Roman"/>
                <w:sz w:val="18"/>
                <w:szCs w:val="18"/>
                <w:color w:val="auto"/>
              </w:rPr>
              <w:t>62.5</w:t>
            </w:r>
          </w:p>
        </w:tc>
        <w:tc>
          <w:tcPr>
            <w:tcW w:w="8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0.3</w:t>
            </w:r>
          </w:p>
        </w:tc>
        <w:tc>
          <w:tcPr>
            <w:tcW w:w="560" w:type="dxa"/>
            <w:vAlign w:val="bottom"/>
          </w:tcPr>
          <w:p>
            <w:pPr>
              <w:spacing w:after="0"/>
              <w:rPr>
                <w:sz w:val="19"/>
                <w:szCs w:val="19"/>
                <w:color w:val="auto"/>
              </w:rPr>
            </w:pPr>
          </w:p>
        </w:tc>
      </w:tr>
      <w:tr>
        <w:trPr>
          <w:trHeight w:val="230"/>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51"/>
              <w:spacing w:after="0"/>
              <w:rPr>
                <w:sz w:val="20"/>
                <w:szCs w:val="20"/>
                <w:color w:val="auto"/>
              </w:rPr>
            </w:pPr>
            <w:r>
              <w:rPr>
                <w:rFonts w:ascii="Times New Roman" w:cs="Times New Roman" w:eastAsia="Times New Roman" w:hAnsi="Times New Roman"/>
                <w:sz w:val="18"/>
                <w:szCs w:val="18"/>
                <w:color w:val="auto"/>
              </w:rPr>
              <w:t>100.8</w:t>
            </w:r>
          </w:p>
        </w:tc>
        <w:tc>
          <w:tcPr>
            <w:tcW w:w="8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0.4</w:t>
            </w:r>
          </w:p>
        </w:tc>
        <w:tc>
          <w:tcPr>
            <w:tcW w:w="5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51"/>
              <w:spacing w:after="0"/>
              <w:rPr>
                <w:sz w:val="20"/>
                <w:szCs w:val="20"/>
                <w:color w:val="auto"/>
              </w:rPr>
            </w:pPr>
            <w:r>
              <w:rPr>
                <w:rFonts w:ascii="Times New Roman" w:cs="Times New Roman" w:eastAsia="Times New Roman" w:hAnsi="Times New Roman"/>
                <w:sz w:val="18"/>
                <w:szCs w:val="18"/>
                <w:color w:val="auto"/>
              </w:rPr>
              <w:t>106.2</w:t>
            </w:r>
          </w:p>
        </w:tc>
        <w:tc>
          <w:tcPr>
            <w:tcW w:w="9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0.5</w:t>
            </w:r>
          </w:p>
        </w:tc>
        <w:tc>
          <w:tcPr>
            <w:tcW w:w="4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31"/>
              <w:spacing w:after="0"/>
              <w:rPr>
                <w:sz w:val="20"/>
                <w:szCs w:val="20"/>
                <w:color w:val="auto"/>
              </w:rPr>
            </w:pPr>
            <w:r>
              <w:rPr>
                <w:rFonts w:ascii="Times New Roman" w:cs="Times New Roman" w:eastAsia="Times New Roman" w:hAnsi="Times New Roman"/>
                <w:sz w:val="18"/>
                <w:szCs w:val="18"/>
                <w:color w:val="auto"/>
              </w:rPr>
              <w:t>101.1</w:t>
            </w:r>
          </w:p>
        </w:tc>
        <w:tc>
          <w:tcPr>
            <w:tcW w:w="8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0.4</w:t>
            </w:r>
          </w:p>
        </w:tc>
        <w:tc>
          <w:tcPr>
            <w:tcW w:w="560" w:type="dxa"/>
            <w:vAlign w:val="bottom"/>
          </w:tcPr>
          <w:p>
            <w:pPr>
              <w:spacing w:after="0"/>
              <w:rPr>
                <w:sz w:val="19"/>
                <w:szCs w:val="19"/>
                <w:color w:val="auto"/>
              </w:rPr>
            </w:pPr>
          </w:p>
        </w:tc>
      </w:tr>
      <w:tr>
        <w:trPr>
          <w:trHeight w:val="230"/>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300" w:type="dxa"/>
            <w:vAlign w:val="bottom"/>
          </w:tcPr>
          <w:p>
            <w:pPr>
              <w:spacing w:after="0"/>
              <w:rPr>
                <w:sz w:val="19"/>
                <w:szCs w:val="19"/>
                <w:color w:val="auto"/>
              </w:rPr>
            </w:pPr>
          </w:p>
        </w:tc>
        <w:tc>
          <w:tcPr>
            <w:tcW w:w="1240" w:type="dxa"/>
            <w:vAlign w:val="bottom"/>
          </w:tcPr>
          <w:p>
            <w:pPr>
              <w:jc w:val="right"/>
              <w:ind w:right="351"/>
              <w:spacing w:after="0"/>
              <w:rPr>
                <w:sz w:val="20"/>
                <w:szCs w:val="20"/>
                <w:color w:val="auto"/>
              </w:rPr>
            </w:pPr>
            <w:r>
              <w:rPr>
                <w:rFonts w:ascii="Times New Roman" w:cs="Times New Roman" w:eastAsia="Times New Roman" w:hAnsi="Times New Roman"/>
                <w:sz w:val="18"/>
                <w:szCs w:val="18"/>
                <w:color w:val="auto"/>
              </w:rPr>
              <w:t>51.4</w:t>
            </w:r>
          </w:p>
        </w:tc>
        <w:tc>
          <w:tcPr>
            <w:tcW w:w="8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0.2</w:t>
            </w:r>
          </w:p>
        </w:tc>
        <w:tc>
          <w:tcPr>
            <w:tcW w:w="540" w:type="dxa"/>
            <w:vAlign w:val="bottom"/>
          </w:tcPr>
          <w:p>
            <w:pPr>
              <w:spacing w:after="0"/>
              <w:rPr>
                <w:sz w:val="19"/>
                <w:szCs w:val="19"/>
                <w:color w:val="auto"/>
              </w:rPr>
            </w:pPr>
          </w:p>
        </w:tc>
        <w:tc>
          <w:tcPr>
            <w:tcW w:w="1240" w:type="dxa"/>
            <w:vAlign w:val="bottom"/>
          </w:tcPr>
          <w:p>
            <w:pPr>
              <w:jc w:val="right"/>
              <w:ind w:right="351"/>
              <w:spacing w:after="0"/>
              <w:rPr>
                <w:sz w:val="20"/>
                <w:szCs w:val="20"/>
                <w:color w:val="auto"/>
              </w:rPr>
            </w:pPr>
            <w:r>
              <w:rPr>
                <w:rFonts w:ascii="Times New Roman" w:cs="Times New Roman" w:eastAsia="Times New Roman" w:hAnsi="Times New Roman"/>
                <w:sz w:val="18"/>
                <w:szCs w:val="18"/>
                <w:color w:val="auto"/>
              </w:rPr>
              <w:t>48.6</w:t>
            </w:r>
          </w:p>
        </w:tc>
        <w:tc>
          <w:tcPr>
            <w:tcW w:w="9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0.2</w:t>
            </w:r>
          </w:p>
        </w:tc>
        <w:tc>
          <w:tcPr>
            <w:tcW w:w="420" w:type="dxa"/>
            <w:vAlign w:val="bottom"/>
          </w:tcPr>
          <w:p>
            <w:pPr>
              <w:spacing w:after="0"/>
              <w:rPr>
                <w:sz w:val="19"/>
                <w:szCs w:val="19"/>
                <w:color w:val="auto"/>
              </w:rPr>
            </w:pPr>
          </w:p>
        </w:tc>
        <w:tc>
          <w:tcPr>
            <w:tcW w:w="1220" w:type="dxa"/>
            <w:vAlign w:val="bottom"/>
          </w:tcPr>
          <w:p>
            <w:pPr>
              <w:jc w:val="right"/>
              <w:ind w:right="331"/>
              <w:spacing w:after="0"/>
              <w:rPr>
                <w:sz w:val="20"/>
                <w:szCs w:val="20"/>
                <w:color w:val="auto"/>
              </w:rPr>
            </w:pPr>
            <w:r>
              <w:rPr>
                <w:rFonts w:ascii="Times New Roman" w:cs="Times New Roman" w:eastAsia="Times New Roman" w:hAnsi="Times New Roman"/>
                <w:sz w:val="18"/>
                <w:szCs w:val="18"/>
                <w:color w:val="auto"/>
              </w:rPr>
              <w:t>54.9</w:t>
            </w:r>
          </w:p>
        </w:tc>
        <w:tc>
          <w:tcPr>
            <w:tcW w:w="8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0.3</w:t>
            </w:r>
          </w:p>
        </w:tc>
        <w:tc>
          <w:tcPr>
            <w:tcW w:w="560" w:type="dxa"/>
            <w:vAlign w:val="bottom"/>
          </w:tcPr>
          <w:p>
            <w:pPr>
              <w:spacing w:after="0"/>
              <w:rPr>
                <w:sz w:val="19"/>
                <w:szCs w:val="19"/>
                <w:color w:val="auto"/>
              </w:rPr>
            </w:pPr>
          </w:p>
        </w:tc>
      </w:tr>
      <w:tr>
        <w:trPr>
          <w:trHeight w:val="230"/>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51"/>
              <w:spacing w:after="0"/>
              <w:rPr>
                <w:sz w:val="20"/>
                <w:szCs w:val="20"/>
                <w:color w:val="auto"/>
              </w:rPr>
            </w:pPr>
            <w:r>
              <w:rPr>
                <w:rFonts w:ascii="Times New Roman" w:cs="Times New Roman" w:eastAsia="Times New Roman" w:hAnsi="Times New Roman"/>
                <w:sz w:val="18"/>
                <w:szCs w:val="18"/>
                <w:color w:val="auto"/>
              </w:rPr>
              <w:t>150.0</w:t>
            </w:r>
          </w:p>
        </w:tc>
        <w:tc>
          <w:tcPr>
            <w:tcW w:w="8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0.7</w:t>
            </w:r>
          </w:p>
        </w:tc>
        <w:tc>
          <w:tcPr>
            <w:tcW w:w="5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51"/>
              <w:spacing w:after="0"/>
              <w:rPr>
                <w:sz w:val="20"/>
                <w:szCs w:val="20"/>
                <w:color w:val="auto"/>
              </w:rPr>
            </w:pPr>
            <w:r>
              <w:rPr>
                <w:rFonts w:ascii="Times New Roman" w:cs="Times New Roman" w:eastAsia="Times New Roman" w:hAnsi="Times New Roman"/>
                <w:sz w:val="18"/>
                <w:szCs w:val="18"/>
                <w:color w:val="auto"/>
              </w:rPr>
              <w:t>191.1</w:t>
            </w:r>
          </w:p>
        </w:tc>
        <w:tc>
          <w:tcPr>
            <w:tcW w:w="9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0.8</w:t>
            </w:r>
          </w:p>
        </w:tc>
        <w:tc>
          <w:tcPr>
            <w:tcW w:w="4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31"/>
              <w:spacing w:after="0"/>
              <w:rPr>
                <w:sz w:val="20"/>
                <w:szCs w:val="20"/>
                <w:color w:val="auto"/>
              </w:rPr>
            </w:pPr>
            <w:r>
              <w:rPr>
                <w:rFonts w:ascii="Times New Roman" w:cs="Times New Roman" w:eastAsia="Times New Roman" w:hAnsi="Times New Roman"/>
                <w:sz w:val="18"/>
                <w:szCs w:val="18"/>
                <w:color w:val="auto"/>
              </w:rPr>
              <w:t>180.8</w:t>
            </w:r>
          </w:p>
        </w:tc>
        <w:tc>
          <w:tcPr>
            <w:tcW w:w="8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0.8</w:t>
            </w:r>
          </w:p>
        </w:tc>
        <w:tc>
          <w:tcPr>
            <w:tcW w:w="560" w:type="dxa"/>
            <w:vAlign w:val="bottom"/>
          </w:tcPr>
          <w:p>
            <w:pPr>
              <w:spacing w:after="0"/>
              <w:rPr>
                <w:sz w:val="19"/>
                <w:szCs w:val="19"/>
                <w:color w:val="auto"/>
              </w:rPr>
            </w:pPr>
          </w:p>
        </w:tc>
      </w:tr>
      <w:tr>
        <w:trPr>
          <w:trHeight w:val="229"/>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in net income of affiliates</w:t>
            </w:r>
          </w:p>
        </w:tc>
        <w:tc>
          <w:tcPr>
            <w:tcW w:w="300" w:type="dxa"/>
            <w:vAlign w:val="bottom"/>
          </w:tcPr>
          <w:p>
            <w:pPr>
              <w:spacing w:after="0"/>
              <w:rPr>
                <w:sz w:val="19"/>
                <w:szCs w:val="19"/>
                <w:color w:val="auto"/>
              </w:rPr>
            </w:pPr>
          </w:p>
        </w:tc>
        <w:tc>
          <w:tcPr>
            <w:tcW w:w="124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rPr>
              <w:t>(52.0)</w:t>
            </w:r>
          </w:p>
        </w:tc>
        <w:tc>
          <w:tcPr>
            <w:tcW w:w="8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(0.2)</w:t>
            </w:r>
          </w:p>
        </w:tc>
        <w:tc>
          <w:tcPr>
            <w:tcW w:w="540" w:type="dxa"/>
            <w:vAlign w:val="bottom"/>
          </w:tcPr>
          <w:p>
            <w:pPr>
              <w:spacing w:after="0"/>
              <w:rPr>
                <w:sz w:val="19"/>
                <w:szCs w:val="19"/>
                <w:color w:val="auto"/>
              </w:rPr>
            </w:pPr>
          </w:p>
        </w:tc>
        <w:tc>
          <w:tcPr>
            <w:tcW w:w="1240" w:type="dxa"/>
            <w:vAlign w:val="bottom"/>
          </w:tcPr>
          <w:p>
            <w:pPr>
              <w:jc w:val="right"/>
              <w:ind w:right="291"/>
              <w:spacing w:after="0"/>
              <w:rPr>
                <w:sz w:val="20"/>
                <w:szCs w:val="20"/>
                <w:color w:val="auto"/>
              </w:rPr>
            </w:pPr>
            <w:r>
              <w:rPr>
                <w:rFonts w:ascii="Times New Roman" w:cs="Times New Roman" w:eastAsia="Times New Roman" w:hAnsi="Times New Roman"/>
                <w:sz w:val="18"/>
                <w:szCs w:val="18"/>
                <w:color w:val="auto"/>
              </w:rPr>
              <w:t>(50.0)</w:t>
            </w:r>
          </w:p>
        </w:tc>
        <w:tc>
          <w:tcPr>
            <w:tcW w:w="9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(0.2)</w:t>
            </w:r>
          </w:p>
        </w:tc>
        <w:tc>
          <w:tcPr>
            <w:tcW w:w="420" w:type="dxa"/>
            <w:vAlign w:val="bottom"/>
          </w:tcPr>
          <w:p>
            <w:pPr>
              <w:spacing w:after="0"/>
              <w:rPr>
                <w:sz w:val="19"/>
                <w:szCs w:val="19"/>
                <w:color w:val="auto"/>
              </w:rPr>
            </w:pPr>
          </w:p>
        </w:tc>
        <w:tc>
          <w:tcPr>
            <w:tcW w:w="1220" w:type="dxa"/>
            <w:vAlign w:val="bottom"/>
          </w:tcPr>
          <w:p>
            <w:pPr>
              <w:jc w:val="right"/>
              <w:ind w:right="291"/>
              <w:spacing w:after="0"/>
              <w:rPr>
                <w:sz w:val="20"/>
                <w:szCs w:val="20"/>
                <w:color w:val="auto"/>
              </w:rPr>
            </w:pPr>
            <w:r>
              <w:rPr>
                <w:rFonts w:ascii="Times New Roman" w:cs="Times New Roman" w:eastAsia="Times New Roman" w:hAnsi="Times New Roman"/>
                <w:sz w:val="18"/>
                <w:szCs w:val="18"/>
                <w:color w:val="auto"/>
              </w:rPr>
              <w:t>(49.3)</w:t>
            </w:r>
          </w:p>
        </w:tc>
        <w:tc>
          <w:tcPr>
            <w:tcW w:w="8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(0.2)</w:t>
            </w:r>
          </w:p>
        </w:tc>
        <w:tc>
          <w:tcPr>
            <w:tcW w:w="560" w:type="dxa"/>
            <w:vAlign w:val="bottom"/>
          </w:tcPr>
          <w:p>
            <w:pPr>
              <w:spacing w:after="0"/>
              <w:rPr>
                <w:sz w:val="19"/>
                <w:szCs w:val="19"/>
                <w:color w:val="auto"/>
              </w:rPr>
            </w:pPr>
          </w:p>
        </w:tc>
      </w:tr>
      <w:tr>
        <w:trPr>
          <w:trHeight w:val="175"/>
        </w:trPr>
        <w:tc>
          <w:tcPr>
            <w:tcW w:w="30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Net income attributable to noncontrolling</w:t>
            </w:r>
          </w:p>
        </w:tc>
        <w:tc>
          <w:tcPr>
            <w:tcW w:w="3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60" w:type="dxa"/>
            <w:vAlign w:val="bottom"/>
          </w:tcPr>
          <w:p>
            <w:pPr>
              <w:spacing w:after="0"/>
              <w:rPr>
                <w:sz w:val="15"/>
                <w:szCs w:val="15"/>
                <w:color w:val="auto"/>
              </w:rPr>
            </w:pPr>
          </w:p>
        </w:tc>
      </w:tr>
      <w:tr>
        <w:trPr>
          <w:trHeight w:val="243"/>
        </w:trPr>
        <w:tc>
          <w:tcPr>
            <w:tcW w:w="30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interests</w:t>
            </w:r>
          </w:p>
        </w:tc>
        <w:tc>
          <w:tcPr>
            <w:tcW w:w="30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351"/>
              <w:spacing w:after="0"/>
              <w:rPr>
                <w:sz w:val="20"/>
                <w:szCs w:val="20"/>
                <w:color w:val="auto"/>
              </w:rPr>
            </w:pPr>
            <w:r>
              <w:rPr>
                <w:rFonts w:ascii="Times New Roman" w:cs="Times New Roman" w:eastAsia="Times New Roman" w:hAnsi="Times New Roman"/>
                <w:sz w:val="18"/>
                <w:szCs w:val="18"/>
                <w:color w:val="auto"/>
              </w:rPr>
              <w:t>90.3</w:t>
            </w:r>
          </w:p>
        </w:tc>
        <w:tc>
          <w:tcPr>
            <w:tcW w:w="8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0.4</w:t>
            </w:r>
          </w:p>
        </w:tc>
        <w:tc>
          <w:tcPr>
            <w:tcW w:w="54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351"/>
              <w:spacing w:after="0"/>
              <w:rPr>
                <w:sz w:val="20"/>
                <w:szCs w:val="20"/>
                <w:color w:val="auto"/>
              </w:rPr>
            </w:pPr>
            <w:r>
              <w:rPr>
                <w:rFonts w:ascii="Times New Roman" w:cs="Times New Roman" w:eastAsia="Times New Roman" w:hAnsi="Times New Roman"/>
                <w:sz w:val="18"/>
                <w:szCs w:val="18"/>
                <w:color w:val="auto"/>
              </w:rPr>
              <w:t>85.2</w:t>
            </w:r>
          </w:p>
        </w:tc>
        <w:tc>
          <w:tcPr>
            <w:tcW w:w="9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0.3</w:t>
            </w:r>
          </w:p>
        </w:tc>
        <w:tc>
          <w:tcPr>
            <w:tcW w:w="42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331"/>
              <w:spacing w:after="0"/>
              <w:rPr>
                <w:sz w:val="20"/>
                <w:szCs w:val="20"/>
                <w:color w:val="auto"/>
              </w:rPr>
            </w:pPr>
            <w:r>
              <w:rPr>
                <w:rFonts w:ascii="Times New Roman" w:cs="Times New Roman" w:eastAsia="Times New Roman" w:hAnsi="Times New Roman"/>
                <w:sz w:val="18"/>
                <w:szCs w:val="18"/>
                <w:color w:val="auto"/>
              </w:rPr>
              <w:t>73.2</w:t>
            </w:r>
          </w:p>
        </w:tc>
        <w:tc>
          <w:tcPr>
            <w:tcW w:w="8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0.3</w:t>
            </w:r>
          </w:p>
        </w:tc>
        <w:tc>
          <w:tcPr>
            <w:tcW w:w="560" w:type="dxa"/>
            <w:vAlign w:val="bottom"/>
          </w:tcPr>
          <w:p>
            <w:pPr>
              <w:spacing w:after="0"/>
              <w:rPr>
                <w:sz w:val="21"/>
                <w:szCs w:val="21"/>
                <w:color w:val="auto"/>
              </w:rPr>
            </w:pPr>
          </w:p>
        </w:tc>
      </w:tr>
      <w:tr>
        <w:trPr>
          <w:trHeight w:val="230"/>
        </w:trPr>
        <w:tc>
          <w:tcPr>
            <w:tcW w:w="3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income attributable to Lear</w:t>
            </w:r>
          </w:p>
        </w:tc>
        <w:tc>
          <w:tcPr>
            <w:tcW w:w="3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color w:val="auto"/>
              </w:rPr>
              <w:t>436.8</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5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color w:val="auto"/>
              </w:rPr>
              <w:t>506.6</w:t>
            </w:r>
          </w:p>
        </w:tc>
        <w:tc>
          <w:tcPr>
            <w:tcW w:w="9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2.2 %</w:t>
            </w:r>
          </w:p>
        </w:tc>
        <w:tc>
          <w:tcPr>
            <w:tcW w:w="4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color w:val="auto"/>
              </w:rPr>
              <w:t>572.5</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560" w:type="dxa"/>
            <w:vAlign w:val="bottom"/>
          </w:tcPr>
          <w:p>
            <w:pPr>
              <w:spacing w:after="0"/>
              <w:rPr>
                <w:sz w:val="20"/>
                <w:szCs w:val="20"/>
                <w:color w:val="auto"/>
              </w:rPr>
            </w:pPr>
          </w:p>
        </w:tc>
      </w:tr>
      <w:tr>
        <w:trPr>
          <w:trHeight w:val="850"/>
        </w:trPr>
        <w:tc>
          <w:tcPr>
            <w:tcW w:w="3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43</w:t>
            </w:r>
          </w:p>
        </w:tc>
        <w:tc>
          <w:tcPr>
            <w:tcW w:w="1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30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Ended December 31, 2025, Compared With Year Ended December 31, 2024</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sales were $23.3 billion in both 2025 and 2024. Lower production volumes on Lear platforms in Europe/Africa, North America and Asia (including the JLR production disruption) and the winddown and divestiture of certain businesses reduced net sales by $923 million and $302 million, respectively. These decreases were partially offset by new business in Asia and the impact of foreign exchange rate fluctuations, which increased net sales by $417 million and $223 million, respectively. Commercial recoveries were partially offset by the impact of selling price reductions.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5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8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color w:val="auto"/>
              </w:rPr>
              <w:t>Cost of Sales</w:t>
            </w:r>
          </w:p>
        </w:tc>
      </w:tr>
      <w:tr>
        <w:trPr>
          <w:trHeight w:val="229"/>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8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21,666.7</w:t>
            </w:r>
          </w:p>
        </w:tc>
      </w:tr>
      <w:tr>
        <w:trPr>
          <w:trHeight w:val="230"/>
        </w:trPr>
        <w:tc>
          <w:tcPr>
            <w:tcW w:w="2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Material cost</w:t>
            </w:r>
          </w:p>
        </w:tc>
        <w:tc>
          <w:tcPr>
            <w:tcW w:w="18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w:t>
            </w:r>
          </w:p>
        </w:tc>
      </w:tr>
      <w:tr>
        <w:trPr>
          <w:trHeight w:val="229"/>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Labor cost</w:t>
            </w:r>
          </w:p>
        </w:tc>
        <w:tc>
          <w:tcPr>
            <w:tcW w:w="18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30"/>
        </w:trPr>
        <w:tc>
          <w:tcPr>
            <w:tcW w:w="2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18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29"/>
        </w:trPr>
        <w:tc>
          <w:tcPr>
            <w:tcW w:w="25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8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w:t>
            </w:r>
          </w:p>
        </w:tc>
      </w:tr>
      <w:tr>
        <w:trPr>
          <w:trHeight w:val="230"/>
        </w:trPr>
        <w:tc>
          <w:tcPr>
            <w:tcW w:w="2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8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21,754.7</w:t>
            </w:r>
          </w:p>
        </w:tc>
      </w:tr>
    </w:tbl>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 of sales in 2025 was $21.8 billion, as compared to $21.7 billion in 2024. New business and the impact of foreign exchange rate fluctuations increased cost of sales. These increases were largely offset by lower production volumes on Lear platforms (including the JLR production disruption) and the winddown and divestiture of certain businesses, which reduced cost of sales.</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Gross profit and gross margin were $1.5 billion and 6.5% of net sales in 2025, as compared to $1.6 billion and 7.0% of net sales in 2024. Lower production volumes on Lear platforms (including the JLR production disruption), net of new business, reduced gross profit by $191 million. The impact of favorable operating performance, including the benefit of restructuring actions, was largely offset by selling price reductions, higher restructuring costs, and the winddown and divestiture of certain businesses. These factors had a corresponding impact on gross margin. Although customer recoveries largely offset the impact of tariff costs on gross profit, gross margin was negatively impacted by the dilutive effect of tariff recoveries, which increased net sales without a corresponding increase in gross profit.</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including engineering and development expenses, were $708 million for the year ended December 31, 2025, as compared to $703 million for the year ended December 31, 2024. As a percentage of net sales, selling, general and administrative expenses were 3.0% in both 2025 and 2024.</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Amortization of intangible assets was $20 million in 2025, as compared to $49 million in 2024, as certain of our intangible assets became fully amortized in 2024.</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net was $101 million in 2025, as compared to $106 million in 2024.</w:t>
      </w:r>
    </w:p>
    <w:p>
      <w:pPr>
        <w:spacing w:after="0" w:line="1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Other expense, net, which includes non-income related taxes, foreign exchange gains and losses, gains and losses related to certain derivative instruments and hedging activities, gains and losses on certain disposals of assets, the non-service cost components of net periodic benefit cost and other miscellaneous income and expense, was $51 million in 2025, as compared to $49 million in 2024. In 2025, we recognized foreign exchange losses of $40 million, including $10 million related to the hyper-inflationary environment and significant currency devaluation in Argentina, a loss of $3 million related to the disposal of a non-core business and a loss of $3 million related to the impairment of an affiliate. In 2024, we recognized foreign exchange losses of $21 million, including $16 million related to the hyper-inflationary environment and significant currency devaluation in Argentina, a loss of $24 million related to the disposal of a non-core business and a settlement loss of $7 million related to a pension lump-sum payout. In 2024, we also recognized a gain of $17 million related to sales of fixed assets.</w:t>
      </w:r>
    </w:p>
    <w:p>
      <w:pPr>
        <w:spacing w:after="0" w:line="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2025, the provision for income taxes was $150 million, representing an effective tax rate of 24.0% on pretax income before equity in net income of affiliates of $625 million. In 2024, the provision for income taxes was $191 million, representing an effective tax rate of 26.1% on pretax income before equity in net income of affiliates of $733 million.</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2025 and 2024, the provision for income taxes was primarily impacted by the level and mix of earnings among tax jurisdictions. In 2025 and 2024, we recognized net tax benefits of $34 million and $25 million, respectively, related to restructuring charges, the release of tax reserves and audit settlements at foreign subsidiaries, the establishment of a valuation allowance on deferred tax assets of a foreign subsidiary and various other items.</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information related to our valuation allowances, see "— Other Matters — Significant Accounting Policies and Critical Accounting Estimates — Income Taxes" below.</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Equity in net income of affiliates was $52 million for the year ended December 31, 2025, as compared to $50 million for the year ended December 31, 2024.</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income attributable to Lear was $437 million, or $8.15 per diluted share, in 2025, as compared to $507 million, or $8.97 per diluted share, in 2024. Net income and diluted net income per share decreased for the reasons described above.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Reportable Operating Segments</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two reportable operating segments: Seating and E-Systems. For a description of our reportable operating segments, see "Executive Overview" above.</w:t>
      </w:r>
    </w:p>
    <w:p>
      <w:pPr>
        <w:spacing w:after="0" w:line="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financial information presented below is for our two reportable operating segments and our other category for the periods presented. The other category includes unallocated costs related to corporate headquarters, regional headquarters and the elimination of intercompany activities, none of which meets the requirements for being classified as an operating segment. Corporate and regional headquarters costs include various support functions, such as information technology, corporate finance, legal, executive administration and human resources. Financial measures regarding each segment's pretax income before equity in net income of affiliates, interest expense, net and other expense, net ("segment earnings") and segment earnings divided by net sales ("margin") are not measures of performance under accounting principles generally accepted in the United States ("GAAP"). Segment earnings and the related margin are used by management to evaluate the performance of our reportable operating segments. Segment earnings should not be considered in isolation or as a substitute for net income attributable to Lear, net cash provided by operating activities or other income statement or cash flow statement data prepared in accordance with GAAP or as measures of profitability or liquidity. In addition, segment earnings, as we determine it, may not be comparable to related or similarly titled measures reported by other companies.</w:t>
      </w:r>
    </w:p>
    <w:p>
      <w:pPr>
        <w:spacing w:after="0" w:line="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a reconciliation of consolidated segment earnings to consolidated income before provision for income taxes and equity in net income of affiliates, see Note 13, "Segment Reporting," to the consolidated financial statements included in this Report.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Seating —</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financial measures for our Seating segment is shown below (dollar amounts in millions):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900" w:type="dxa"/>
            <w:vAlign w:val="bottom"/>
            <w:tcBorders>
              <w:top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For the year ended December 31,</w:t>
            </w:r>
          </w:p>
        </w:tc>
        <w:tc>
          <w:tcPr>
            <w:tcW w:w="132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615"/>
              <w:spacing w:after="0"/>
              <w:rPr>
                <w:sz w:val="20"/>
                <w:szCs w:val="20"/>
                <w:color w:val="auto"/>
              </w:rPr>
            </w:pPr>
            <w:r>
              <w:rPr>
                <w:rFonts w:ascii="Times New Roman" w:cs="Times New Roman" w:eastAsia="Times New Roman" w:hAnsi="Times New Roman"/>
                <w:sz w:val="14"/>
                <w:szCs w:val="14"/>
                <w:color w:val="auto"/>
              </w:rPr>
              <w:t>2025</w:t>
            </w:r>
          </w:p>
        </w:tc>
        <w:tc>
          <w:tcPr>
            <w:tcW w:w="4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color w:val="auto"/>
              </w:rPr>
              <w:t>2024</w:t>
            </w:r>
          </w:p>
        </w:tc>
        <w:tc>
          <w:tcPr>
            <w:tcW w:w="0" w:type="dxa"/>
            <w:vAlign w:val="bottom"/>
          </w:tcPr>
          <w:p>
            <w:pPr>
              <w:spacing w:after="0"/>
              <w:rPr>
                <w:sz w:val="1"/>
                <w:szCs w:val="1"/>
                <w:color w:val="auto"/>
              </w:rPr>
            </w:pPr>
          </w:p>
        </w:tc>
      </w:tr>
      <w:tr>
        <w:trPr>
          <w:trHeight w:val="230"/>
        </w:trPr>
        <w:tc>
          <w:tcPr>
            <w:tcW w:w="2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3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17,283.0</w:t>
            </w:r>
          </w:p>
        </w:tc>
        <w:tc>
          <w:tcPr>
            <w:tcW w:w="4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17,222.1</w:t>
            </w:r>
          </w:p>
        </w:tc>
        <w:tc>
          <w:tcPr>
            <w:tcW w:w="0" w:type="dxa"/>
            <w:vAlign w:val="bottom"/>
          </w:tcPr>
          <w:p>
            <w:pPr>
              <w:spacing w:after="0"/>
              <w:rPr>
                <w:sz w:val="1"/>
                <w:szCs w:val="1"/>
                <w:color w:val="auto"/>
              </w:rPr>
            </w:pPr>
          </w:p>
        </w:tc>
      </w:tr>
      <w:tr>
        <w:trPr>
          <w:trHeight w:val="229"/>
        </w:trPr>
        <w:tc>
          <w:tcPr>
            <w:tcW w:w="290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Segment earnings </w:t>
            </w:r>
            <w:r>
              <w:rPr>
                <w:rFonts w:ascii="Times New Roman" w:cs="Times New Roman" w:eastAsia="Times New Roman" w:hAnsi="Times New Roman"/>
                <w:sz w:val="23"/>
                <w:szCs w:val="23"/>
                <w:color w:val="auto"/>
                <w:vertAlign w:val="superscript"/>
              </w:rPr>
              <w:t>(1)</w:t>
            </w:r>
          </w:p>
        </w:tc>
        <w:tc>
          <w:tcPr>
            <w:tcW w:w="1320" w:type="dxa"/>
            <w:vAlign w:val="bottom"/>
          </w:tcPr>
          <w:p>
            <w:pPr>
              <w:spacing w:after="0"/>
              <w:rPr>
                <w:sz w:val="19"/>
                <w:szCs w:val="19"/>
                <w:color w:val="auto"/>
              </w:rPr>
            </w:pPr>
          </w:p>
        </w:tc>
        <w:tc>
          <w:tcPr>
            <w:tcW w:w="1240" w:type="dxa"/>
            <w:vAlign w:val="bottom"/>
          </w:tcPr>
          <w:p>
            <w:pPr>
              <w:jc w:val="right"/>
              <w:ind w:right="195"/>
              <w:spacing w:after="0"/>
              <w:rPr>
                <w:sz w:val="20"/>
                <w:szCs w:val="20"/>
                <w:color w:val="auto"/>
              </w:rPr>
            </w:pPr>
            <w:r>
              <w:rPr>
                <w:rFonts w:ascii="Times New Roman" w:cs="Times New Roman" w:eastAsia="Times New Roman" w:hAnsi="Times New Roman"/>
                <w:sz w:val="18"/>
                <w:szCs w:val="18"/>
                <w:color w:val="auto"/>
              </w:rPr>
              <w:t>948.8</w:t>
            </w:r>
          </w:p>
        </w:tc>
        <w:tc>
          <w:tcPr>
            <w:tcW w:w="440" w:type="dxa"/>
            <w:vAlign w:val="bottom"/>
          </w:tcPr>
          <w:p>
            <w:pPr>
              <w:spacing w:after="0"/>
              <w:rPr>
                <w:sz w:val="19"/>
                <w:szCs w:val="19"/>
                <w:color w:val="auto"/>
              </w:rPr>
            </w:pPr>
          </w:p>
        </w:tc>
        <w:tc>
          <w:tcPr>
            <w:tcW w:w="120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988.5</w:t>
            </w:r>
          </w:p>
        </w:tc>
        <w:tc>
          <w:tcPr>
            <w:tcW w:w="0" w:type="dxa"/>
            <w:vAlign w:val="bottom"/>
          </w:tcPr>
          <w:p>
            <w:pPr>
              <w:spacing w:after="0"/>
              <w:rPr>
                <w:sz w:val="1"/>
                <w:szCs w:val="1"/>
                <w:color w:val="auto"/>
              </w:rPr>
            </w:pPr>
          </w:p>
        </w:tc>
      </w:tr>
      <w:tr>
        <w:trPr>
          <w:trHeight w:val="236"/>
        </w:trPr>
        <w:tc>
          <w:tcPr>
            <w:tcW w:w="290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Margin</w:t>
            </w:r>
          </w:p>
        </w:tc>
        <w:tc>
          <w:tcPr>
            <w:tcW w:w="132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44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0" w:type="dxa"/>
            <w:vAlign w:val="bottom"/>
          </w:tcPr>
          <w:p>
            <w:pPr>
              <w:spacing w:after="0"/>
              <w:rPr>
                <w:sz w:val="1"/>
                <w:szCs w:val="1"/>
                <w:color w:val="auto"/>
              </w:rPr>
            </w:pPr>
          </w:p>
        </w:tc>
      </w:tr>
      <w:tr>
        <w:trPr>
          <w:trHeight w:val="244"/>
        </w:trPr>
        <w:tc>
          <w:tcPr>
            <w:tcW w:w="200" w:type="dxa"/>
            <w:vAlign w:val="bottom"/>
          </w:tcPr>
          <w:p>
            <w:pPr>
              <w:spacing w:after="0"/>
              <w:rPr>
                <w:sz w:val="20"/>
                <w:szCs w:val="20"/>
                <w:color w:val="auto"/>
              </w:rPr>
            </w:pPr>
            <w:r>
              <w:rPr>
                <w:rFonts w:ascii="Times New Roman" w:cs="Times New Roman" w:eastAsia="Times New Roman" w:hAnsi="Times New Roman"/>
                <w:sz w:val="9"/>
                <w:szCs w:val="9"/>
                <w:color w:val="auto"/>
              </w:rPr>
              <w:t>(1)</w:t>
            </w:r>
          </w:p>
        </w:tc>
        <w:tc>
          <w:tcPr>
            <w:tcW w:w="270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See definition above.</w:t>
            </w:r>
          </w:p>
        </w:tc>
        <w:tc>
          <w:tcPr>
            <w:tcW w:w="13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0"/>
        </w:trPr>
        <w:tc>
          <w:tcPr>
            <w:tcW w:w="200" w:type="dxa"/>
            <w:vAlign w:val="bottom"/>
          </w:tcPr>
          <w:p>
            <w:pPr>
              <w:spacing w:after="0"/>
              <w:rPr>
                <w:sz w:val="6"/>
                <w:szCs w:val="6"/>
                <w:color w:val="auto"/>
              </w:rPr>
            </w:pPr>
          </w:p>
        </w:tc>
        <w:tc>
          <w:tcPr>
            <w:tcW w:w="2700" w:type="dxa"/>
            <w:vAlign w:val="bottom"/>
            <w:vMerge w:val="continue"/>
          </w:tcPr>
          <w:p>
            <w:pPr>
              <w:spacing w:after="0"/>
              <w:rPr>
                <w:sz w:val="6"/>
                <w:szCs w:val="6"/>
                <w:color w:val="auto"/>
              </w:rPr>
            </w:pPr>
          </w:p>
        </w:tc>
        <w:tc>
          <w:tcPr>
            <w:tcW w:w="1320" w:type="dxa"/>
            <w:vAlign w:val="bottom"/>
          </w:tcPr>
          <w:p>
            <w:pPr>
              <w:spacing w:after="0"/>
              <w:rPr>
                <w:sz w:val="6"/>
                <w:szCs w:val="6"/>
                <w:color w:val="auto"/>
              </w:rPr>
            </w:pPr>
          </w:p>
        </w:tc>
        <w:tc>
          <w:tcPr>
            <w:tcW w:w="1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Seating net sales were $17.3 billion for the year ended December 31, 2025, as compared to $17.2 billion for the year ended December 31, 2024, an increase of $61 million. New business and the impact of foreign exchange rate fluctuations increased net sales by $274 million and $157 million, respectively. These increases were offset by lower production volumes on Lear platforms (including the JLR production disruption) and the divestiture of certain businesses, which negatively impacted net sales by $553 million and $106 million, respectively. Commercial recoveries were partially offset by the impact of selling price reductions.</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Segment earnings, including restructuring costs, and the related margin on net sales were $949 million and 5.5% in 2025, as compared to $989 million and 5.7% in 2024. Lower production volumes on Lear platforms (including the JLR production disruption), net of new business, reduced segment earnings by $127 million. The impact of favorable operating performance, including the benefit of operational restructuring actions, was partially offset by selling price reductions and higher restructuring costs.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E-Systems —</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financial measures for our E-Systems segment is shown below (dollar amounts in millions):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900" w:type="dxa"/>
            <w:vAlign w:val="bottom"/>
            <w:tcBorders>
              <w:top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For the year ended December 31,</w:t>
            </w:r>
          </w:p>
        </w:tc>
        <w:tc>
          <w:tcPr>
            <w:tcW w:w="132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color w:val="auto"/>
              </w:rPr>
              <w:t>2025</w:t>
            </w:r>
          </w:p>
        </w:tc>
        <w:tc>
          <w:tcPr>
            <w:tcW w:w="4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color w:val="auto"/>
              </w:rPr>
              <w:t>2024</w:t>
            </w:r>
          </w:p>
        </w:tc>
        <w:tc>
          <w:tcPr>
            <w:tcW w:w="0" w:type="dxa"/>
            <w:vAlign w:val="bottom"/>
          </w:tcPr>
          <w:p>
            <w:pPr>
              <w:spacing w:after="0"/>
              <w:rPr>
                <w:sz w:val="1"/>
                <w:szCs w:val="1"/>
                <w:color w:val="auto"/>
              </w:rPr>
            </w:pPr>
          </w:p>
        </w:tc>
      </w:tr>
      <w:tr>
        <w:trPr>
          <w:trHeight w:val="229"/>
        </w:trPr>
        <w:tc>
          <w:tcPr>
            <w:tcW w:w="2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3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5,976.1</w:t>
            </w:r>
          </w:p>
        </w:tc>
        <w:tc>
          <w:tcPr>
            <w:tcW w:w="4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6,083.9</w:t>
            </w:r>
          </w:p>
        </w:tc>
        <w:tc>
          <w:tcPr>
            <w:tcW w:w="0" w:type="dxa"/>
            <w:vAlign w:val="bottom"/>
          </w:tcPr>
          <w:p>
            <w:pPr>
              <w:spacing w:after="0"/>
              <w:rPr>
                <w:sz w:val="1"/>
                <w:szCs w:val="1"/>
                <w:color w:val="auto"/>
              </w:rPr>
            </w:pPr>
          </w:p>
        </w:tc>
      </w:tr>
      <w:tr>
        <w:trPr>
          <w:trHeight w:val="230"/>
        </w:trPr>
        <w:tc>
          <w:tcPr>
            <w:tcW w:w="290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Segment earnings </w:t>
            </w:r>
            <w:r>
              <w:rPr>
                <w:rFonts w:ascii="Times New Roman" w:cs="Times New Roman" w:eastAsia="Times New Roman" w:hAnsi="Times New Roman"/>
                <w:sz w:val="23"/>
                <w:szCs w:val="23"/>
                <w:color w:val="auto"/>
                <w:vertAlign w:val="superscript"/>
              </w:rPr>
              <w:t>(1)</w:t>
            </w:r>
          </w:p>
        </w:tc>
        <w:tc>
          <w:tcPr>
            <w:tcW w:w="1320" w:type="dxa"/>
            <w:vAlign w:val="bottom"/>
          </w:tcPr>
          <w:p>
            <w:pPr>
              <w:spacing w:after="0"/>
              <w:rPr>
                <w:sz w:val="19"/>
                <w:szCs w:val="19"/>
                <w:color w:val="auto"/>
              </w:rPr>
            </w:pPr>
          </w:p>
        </w:tc>
        <w:tc>
          <w:tcPr>
            <w:tcW w:w="1240" w:type="dxa"/>
            <w:vAlign w:val="bottom"/>
          </w:tcPr>
          <w:p>
            <w:pPr>
              <w:jc w:val="right"/>
              <w:ind w:right="195"/>
              <w:spacing w:after="0"/>
              <w:rPr>
                <w:sz w:val="20"/>
                <w:szCs w:val="20"/>
                <w:color w:val="auto"/>
              </w:rPr>
            </w:pPr>
            <w:r>
              <w:rPr>
                <w:rFonts w:ascii="Times New Roman" w:cs="Times New Roman" w:eastAsia="Times New Roman" w:hAnsi="Times New Roman"/>
                <w:sz w:val="18"/>
                <w:szCs w:val="18"/>
                <w:color w:val="auto"/>
              </w:rPr>
              <w:t>186.2</w:t>
            </w:r>
          </w:p>
        </w:tc>
        <w:tc>
          <w:tcPr>
            <w:tcW w:w="440" w:type="dxa"/>
            <w:vAlign w:val="bottom"/>
          </w:tcPr>
          <w:p>
            <w:pPr>
              <w:spacing w:after="0"/>
              <w:rPr>
                <w:sz w:val="19"/>
                <w:szCs w:val="19"/>
                <w:color w:val="auto"/>
              </w:rPr>
            </w:pPr>
          </w:p>
        </w:tc>
        <w:tc>
          <w:tcPr>
            <w:tcW w:w="120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247.4</w:t>
            </w:r>
          </w:p>
        </w:tc>
        <w:tc>
          <w:tcPr>
            <w:tcW w:w="0" w:type="dxa"/>
            <w:vAlign w:val="bottom"/>
          </w:tcPr>
          <w:p>
            <w:pPr>
              <w:spacing w:after="0"/>
              <w:rPr>
                <w:sz w:val="1"/>
                <w:szCs w:val="1"/>
                <w:color w:val="auto"/>
              </w:rPr>
            </w:pPr>
          </w:p>
        </w:tc>
      </w:tr>
      <w:tr>
        <w:trPr>
          <w:trHeight w:val="237"/>
        </w:trPr>
        <w:tc>
          <w:tcPr>
            <w:tcW w:w="290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Margin</w:t>
            </w:r>
          </w:p>
        </w:tc>
        <w:tc>
          <w:tcPr>
            <w:tcW w:w="132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44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0" w:type="dxa"/>
            <w:vAlign w:val="bottom"/>
          </w:tcPr>
          <w:p>
            <w:pPr>
              <w:spacing w:after="0"/>
              <w:rPr>
                <w:sz w:val="1"/>
                <w:szCs w:val="1"/>
                <w:color w:val="auto"/>
              </w:rPr>
            </w:pPr>
          </w:p>
        </w:tc>
      </w:tr>
      <w:tr>
        <w:trPr>
          <w:trHeight w:val="244"/>
        </w:trPr>
        <w:tc>
          <w:tcPr>
            <w:tcW w:w="200" w:type="dxa"/>
            <w:vAlign w:val="bottom"/>
          </w:tcPr>
          <w:p>
            <w:pPr>
              <w:spacing w:after="0"/>
              <w:rPr>
                <w:sz w:val="20"/>
                <w:szCs w:val="20"/>
                <w:color w:val="auto"/>
              </w:rPr>
            </w:pPr>
            <w:r>
              <w:rPr>
                <w:rFonts w:ascii="Times New Roman" w:cs="Times New Roman" w:eastAsia="Times New Roman" w:hAnsi="Times New Roman"/>
                <w:sz w:val="9"/>
                <w:szCs w:val="9"/>
                <w:color w:val="auto"/>
              </w:rPr>
              <w:t>(1)</w:t>
            </w:r>
          </w:p>
        </w:tc>
        <w:tc>
          <w:tcPr>
            <w:tcW w:w="270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See definition above.</w:t>
            </w:r>
          </w:p>
        </w:tc>
        <w:tc>
          <w:tcPr>
            <w:tcW w:w="13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0"/>
        </w:trPr>
        <w:tc>
          <w:tcPr>
            <w:tcW w:w="200" w:type="dxa"/>
            <w:vAlign w:val="bottom"/>
          </w:tcPr>
          <w:p>
            <w:pPr>
              <w:spacing w:after="0"/>
              <w:rPr>
                <w:sz w:val="6"/>
                <w:szCs w:val="6"/>
                <w:color w:val="auto"/>
              </w:rPr>
            </w:pPr>
          </w:p>
        </w:tc>
        <w:tc>
          <w:tcPr>
            <w:tcW w:w="2700" w:type="dxa"/>
            <w:vAlign w:val="bottom"/>
            <w:vMerge w:val="continue"/>
          </w:tcPr>
          <w:p>
            <w:pPr>
              <w:spacing w:after="0"/>
              <w:rPr>
                <w:sz w:val="6"/>
                <w:szCs w:val="6"/>
                <w:color w:val="auto"/>
              </w:rPr>
            </w:pPr>
          </w:p>
        </w:tc>
        <w:tc>
          <w:tcPr>
            <w:tcW w:w="1320" w:type="dxa"/>
            <w:vAlign w:val="bottom"/>
          </w:tcPr>
          <w:p>
            <w:pPr>
              <w:spacing w:after="0"/>
              <w:rPr>
                <w:sz w:val="6"/>
                <w:szCs w:val="6"/>
                <w:color w:val="auto"/>
              </w:rPr>
            </w:pPr>
          </w:p>
        </w:tc>
        <w:tc>
          <w:tcPr>
            <w:tcW w:w="1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E-Systems net sales were $6.0 billion for the year ended December 31, 2025, as compared to $6.1 billion for the year ended December 31, 2024, a decrease of $108 million or 2%. Lower production volumes on Lear platforms (including the JLR production disruption) and the winddown and divestiture of certain businesses reduced net sales by $347 million and $196 million, respectively. These decreases were partially offset by new business and the impact of foreign exchange rate</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fluctuations, which increased net sales by $148 million and $66 million, respectively. Commercial recoveries were partially offset by the impact of selling price reductions.</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Segment earnings, including restructuring costs, and the related margin on net sales were $186 million and 3.1% in 2025, as compared to $247 million and 4.1% in 2024. Lower production volumes on Lear platforms (including the JLR production disruption), net of new business, reduced segment earnings by $64 million. The impact of favorable operating performance, including the benefit of operational restructuring actions, was offset by selling price reductions, higher restructuring costs, and the winddown and divestiture of certain businesses.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financial measures for our other category, which is not an operating segment, is shown below (dollar amounts in millions):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000" w:type="dxa"/>
            <w:vAlign w:val="bottom"/>
            <w:tcBorders>
              <w:top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For the year ended December 31,</w:t>
            </w:r>
          </w:p>
        </w:tc>
        <w:tc>
          <w:tcPr>
            <w:tcW w:w="1400" w:type="dxa"/>
            <w:vAlign w:val="bottom"/>
            <w:tcBorders>
              <w:top w:val="single" w:sz="8" w:color="auto"/>
              <w:bottom w:val="single" w:sz="8" w:color="auto"/>
            </w:tcBorders>
          </w:tcPr>
          <w:p>
            <w:pPr>
              <w:spacing w:after="0"/>
              <w:rPr>
                <w:sz w:val="19"/>
                <w:szCs w:val="19"/>
                <w:color w:val="auto"/>
              </w:rPr>
            </w:pPr>
          </w:p>
        </w:tc>
        <w:tc>
          <w:tcPr>
            <w:tcW w:w="1580" w:type="dxa"/>
            <w:vAlign w:val="bottom"/>
            <w:tcBorders>
              <w:top w:val="single" w:sz="8" w:color="auto"/>
              <w:bottom w:val="single" w:sz="8" w:color="auto"/>
            </w:tcBorders>
          </w:tcPr>
          <w:p>
            <w:pPr>
              <w:jc w:val="right"/>
              <w:ind w:right="955"/>
              <w:spacing w:after="0"/>
              <w:rPr>
                <w:sz w:val="20"/>
                <w:szCs w:val="20"/>
                <w:color w:val="auto"/>
              </w:rPr>
            </w:pPr>
            <w:r>
              <w:rPr>
                <w:rFonts w:ascii="Times New Roman" w:cs="Times New Roman" w:eastAsia="Times New Roman" w:hAnsi="Times New Roman"/>
                <w:sz w:val="14"/>
                <w:szCs w:val="14"/>
                <w:color w:val="auto"/>
              </w:rPr>
              <w:t>2025</w:t>
            </w:r>
          </w:p>
        </w:tc>
        <w:tc>
          <w:tcPr>
            <w:tcW w:w="1120" w:type="dxa"/>
            <w:vAlign w:val="bottom"/>
            <w:tcBorders>
              <w:top w:val="single" w:sz="8" w:color="auto"/>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color w:val="auto"/>
              </w:rPr>
              <w:t>2024</w:t>
            </w:r>
          </w:p>
        </w:tc>
        <w:tc>
          <w:tcPr>
            <w:tcW w:w="0" w:type="dxa"/>
            <w:vAlign w:val="bottom"/>
          </w:tcPr>
          <w:p>
            <w:pPr>
              <w:spacing w:after="0"/>
              <w:rPr>
                <w:sz w:val="1"/>
                <w:szCs w:val="1"/>
                <w:color w:val="auto"/>
              </w:rPr>
            </w:pPr>
          </w:p>
        </w:tc>
      </w:tr>
      <w:tr>
        <w:trPr>
          <w:trHeight w:val="230"/>
        </w:trPr>
        <w:tc>
          <w:tcPr>
            <w:tcW w:w="3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4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shd w:val="clear" w:color="auto" w:fill="CCEEFF"/>
          </w:tcPr>
          <w:p>
            <w:pPr>
              <w:jc w:val="center"/>
              <w:ind w:left="695"/>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29"/>
        </w:trPr>
        <w:tc>
          <w:tcPr>
            <w:tcW w:w="300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Segment earnings </w:t>
            </w:r>
            <w:r>
              <w:rPr>
                <w:rFonts w:ascii="Times New Roman" w:cs="Times New Roman" w:eastAsia="Times New Roman" w:hAnsi="Times New Roman"/>
                <w:sz w:val="23"/>
                <w:szCs w:val="23"/>
                <w:color w:val="auto"/>
                <w:vertAlign w:val="superscript"/>
              </w:rPr>
              <w:t>(1)</w:t>
            </w:r>
          </w:p>
        </w:tc>
        <w:tc>
          <w:tcPr>
            <w:tcW w:w="1400" w:type="dxa"/>
            <w:vAlign w:val="bottom"/>
          </w:tcPr>
          <w:p>
            <w:pPr>
              <w:spacing w:after="0"/>
              <w:rPr>
                <w:sz w:val="19"/>
                <w:szCs w:val="19"/>
                <w:color w:val="auto"/>
              </w:rPr>
            </w:pPr>
          </w:p>
        </w:tc>
        <w:tc>
          <w:tcPr>
            <w:tcW w:w="1580" w:type="dxa"/>
            <w:vAlign w:val="bottom"/>
          </w:tcPr>
          <w:p>
            <w:pPr>
              <w:jc w:val="right"/>
              <w:ind w:right="415"/>
              <w:spacing w:after="0"/>
              <w:rPr>
                <w:sz w:val="20"/>
                <w:szCs w:val="20"/>
                <w:color w:val="auto"/>
              </w:rPr>
            </w:pPr>
            <w:r>
              <w:rPr>
                <w:rFonts w:ascii="Times New Roman" w:cs="Times New Roman" w:eastAsia="Times New Roman" w:hAnsi="Times New Roman"/>
                <w:sz w:val="18"/>
                <w:szCs w:val="18"/>
                <w:color w:val="auto"/>
              </w:rPr>
              <w:t>(357.7)</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(348.2)</w:t>
            </w:r>
          </w:p>
        </w:tc>
        <w:tc>
          <w:tcPr>
            <w:tcW w:w="0" w:type="dxa"/>
            <w:vAlign w:val="bottom"/>
          </w:tcPr>
          <w:p>
            <w:pPr>
              <w:spacing w:after="0"/>
              <w:rPr>
                <w:sz w:val="1"/>
                <w:szCs w:val="1"/>
                <w:color w:val="auto"/>
              </w:rPr>
            </w:pPr>
          </w:p>
        </w:tc>
      </w:tr>
      <w:tr>
        <w:trPr>
          <w:trHeight w:val="237"/>
        </w:trPr>
        <w:tc>
          <w:tcPr>
            <w:tcW w:w="300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Margin</w:t>
            </w:r>
          </w:p>
        </w:tc>
        <w:tc>
          <w:tcPr>
            <w:tcW w:w="1400" w:type="dxa"/>
            <w:vAlign w:val="bottom"/>
            <w:tcBorders>
              <w:bottom w:val="single" w:sz="8" w:color="auto"/>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ind w:right="395"/>
              <w:spacing w:after="0"/>
              <w:rPr>
                <w:sz w:val="20"/>
                <w:szCs w:val="20"/>
                <w:color w:val="auto"/>
              </w:rPr>
            </w:pPr>
            <w:r>
              <w:rPr>
                <w:rFonts w:ascii="Times New Roman" w:cs="Times New Roman" w:eastAsia="Times New Roman" w:hAnsi="Times New Roman"/>
                <w:sz w:val="18"/>
                <w:szCs w:val="18"/>
                <w:color w:val="auto"/>
              </w:rPr>
              <w:t>N/A</w:t>
            </w:r>
          </w:p>
        </w:tc>
        <w:tc>
          <w:tcPr>
            <w:tcW w:w="1120" w:type="dxa"/>
            <w:vAlign w:val="bottom"/>
            <w:tcBorders>
              <w:bottom w:val="single" w:sz="8" w:color="auto"/>
            </w:tcBorders>
            <w:shd w:val="clear" w:color="auto" w:fill="CCEEFF"/>
          </w:tcPr>
          <w:p>
            <w:pPr>
              <w:jc w:val="center"/>
              <w:ind w:left="675"/>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44"/>
        </w:trPr>
        <w:tc>
          <w:tcPr>
            <w:tcW w:w="200" w:type="dxa"/>
            <w:vAlign w:val="bottom"/>
          </w:tcPr>
          <w:p>
            <w:pPr>
              <w:spacing w:after="0"/>
              <w:rPr>
                <w:sz w:val="20"/>
                <w:szCs w:val="20"/>
                <w:color w:val="auto"/>
              </w:rPr>
            </w:pPr>
            <w:r>
              <w:rPr>
                <w:rFonts w:ascii="Times New Roman" w:cs="Times New Roman" w:eastAsia="Times New Roman" w:hAnsi="Times New Roman"/>
                <w:sz w:val="9"/>
                <w:szCs w:val="9"/>
                <w:color w:val="auto"/>
              </w:rPr>
              <w:t>(1)</w:t>
            </w:r>
          </w:p>
        </w:tc>
        <w:tc>
          <w:tcPr>
            <w:tcW w:w="280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See definition above.</w:t>
            </w:r>
          </w:p>
        </w:tc>
        <w:tc>
          <w:tcPr>
            <w:tcW w:w="14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0"/>
        </w:trPr>
        <w:tc>
          <w:tcPr>
            <w:tcW w:w="200" w:type="dxa"/>
            <w:vAlign w:val="bottom"/>
          </w:tcPr>
          <w:p>
            <w:pPr>
              <w:spacing w:after="0"/>
              <w:rPr>
                <w:sz w:val="6"/>
                <w:szCs w:val="6"/>
                <w:color w:val="auto"/>
              </w:rPr>
            </w:pPr>
          </w:p>
        </w:tc>
        <w:tc>
          <w:tcPr>
            <w:tcW w:w="2800" w:type="dxa"/>
            <w:vAlign w:val="bottom"/>
            <w:vMerge w:val="continue"/>
          </w:tcPr>
          <w:p>
            <w:pPr>
              <w:spacing w:after="0"/>
              <w:rPr>
                <w:sz w:val="6"/>
                <w:szCs w:val="6"/>
                <w:color w:val="auto"/>
              </w:rPr>
            </w:pPr>
          </w:p>
        </w:tc>
        <w:tc>
          <w:tcPr>
            <w:tcW w:w="1400" w:type="dxa"/>
            <w:vAlign w:val="bottom"/>
          </w:tcPr>
          <w:p>
            <w:pPr>
              <w:spacing w:after="0"/>
              <w:rPr>
                <w:sz w:val="6"/>
                <w:szCs w:val="6"/>
                <w:color w:val="auto"/>
              </w:rPr>
            </w:pPr>
          </w:p>
        </w:tc>
        <w:tc>
          <w:tcPr>
            <w:tcW w:w="15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earnings related to our other category were ($358) million in 2025, as compared to ($348) million in 2024.</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Ended December 31, 2024, Compared With Year Ended December 31, 2023</w:t>
      </w:r>
    </w:p>
    <w:p>
      <w:pPr>
        <w:spacing w:after="0" w:line="1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a discussion of our results of operations for the year ended December 31, 2024, compared with the year ended December 31, 2023, refer to our Annual Report on Form 10-K for the year ended December 31,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primary liquidity needs are to fund general business requirements, including working capital requirements, capital expenditures, operational restructuring actions and debt service requirements. Our principal sources of liquidity are cash flows from operating activities, borrowings under available credit facilities and our existing cash balance.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Provided by Subsidiaries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substantial portion of our operating income is generated by our subsidiaries. As a result, we are dependent on the earnings and cash flows of and the combination of dividends, royalties, intercompany loan repayments and other distributions and advances from our subsidiaries to provide the funds necessary to meet our obligations.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2025 and 2024, cash and cash equivalents of $741 million and $705 million, respectively, were held in foreign subsidiaries and can be repatriated, primarily through the repayment of intercompany loans and the payment of dividends. There are no restrictions on the ability of our subsidiaries to pay dividends or make other distributions to Lear that would have a material impact on Lear.</w:t>
      </w:r>
    </w:p>
    <w:p>
      <w:pPr>
        <w:spacing w:after="0" w:line="6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further information regarding potential dividends from our non-U.S. subsidiaries, see "— Adequacy of Liquidity Sources" below and Note 7, "Income Taxes," to the consolidated financial statements included in this Report.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Adequacy of Liquidity Sources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December 31, 2025, we had approximately $1.0 billion of cash and cash equivalents on hand and $2.0 billion in available borrowing capacity under our Credit Agreement. Together with cash provided by operating activities, we believe that this will enable us to meet our liquidity needs for the foreseeable future and to satisfy ordinary course business obligations. In addition, we expect to continue to pay quarterly cash dividends and repurchase shares of our common stock pursuant to our Repurchase Program, although such actions are at the discretion of our Board and will depend upon our financial condition, results of operations, capital requirements, prevailing market conditions, alternative uses of capital and other factors that our Board may consider at its discretion.</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future financial results and our ability to continue to meet our liquidity needs are subject to, and will be affected by, cash flows from operations, as well as restructuring activities, automotive industry conditions, the financial condition of our customers and suppliers, supply chain disruptions and other related factors. Additionally, an economic downturn or further reduction in production levels could negatively impact our financial condition.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further discussion of the risks and uncertainties affecting our cash flows from operations and our overall liquidity, see Part I</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Item 1A, "Risk Factors," included in this Report, "— Executive Overview" above and "— Forward-Looking Statements" below.</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Year Ended December 31, 2025, Compared with Year Ended December 31, 2024</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net cash provided by operating activities is shown below (in millions):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706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For the year ended December 31,</w:t>
            </w:r>
          </w:p>
        </w:tc>
        <w:tc>
          <w:tcPr>
            <w:tcW w:w="3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vMerge w:val="restart"/>
          </w:tcPr>
          <w:p>
            <w:pPr>
              <w:jc w:val="right"/>
              <w:ind w:right="452"/>
              <w:spacing w:after="0"/>
              <w:rPr>
                <w:sz w:val="20"/>
                <w:szCs w:val="20"/>
                <w:color w:val="auto"/>
              </w:rPr>
            </w:pPr>
            <w:r>
              <w:rPr>
                <w:rFonts w:ascii="Times New Roman" w:cs="Times New Roman" w:eastAsia="Times New Roman" w:hAnsi="Times New Roman"/>
                <w:sz w:val="14"/>
                <w:szCs w:val="14"/>
                <w:color w:val="auto"/>
              </w:rPr>
              <w:t>2025</w:t>
            </w:r>
          </w:p>
        </w:tc>
        <w:tc>
          <w:tcPr>
            <w:tcW w:w="36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vMerge w:val="restart"/>
          </w:tcPr>
          <w:p>
            <w:pPr>
              <w:jc w:val="right"/>
              <w:ind w:right="452"/>
              <w:spacing w:after="0"/>
              <w:rPr>
                <w:sz w:val="20"/>
                <w:szCs w:val="20"/>
                <w:color w:val="auto"/>
              </w:rPr>
            </w:pPr>
            <w:r>
              <w:rPr>
                <w:rFonts w:ascii="Times New Roman" w:cs="Times New Roman" w:eastAsia="Times New Roman" w:hAnsi="Times New Roman"/>
                <w:sz w:val="14"/>
                <w:szCs w:val="14"/>
                <w:color w:val="auto"/>
              </w:rPr>
              <w:t>2024</w:t>
            </w:r>
          </w:p>
        </w:tc>
        <w:tc>
          <w:tcPr>
            <w:tcW w:w="138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color w:val="auto"/>
              </w:rPr>
              <w:t>Increase (Decrease) in</w:t>
            </w:r>
          </w:p>
        </w:tc>
        <w:tc>
          <w:tcPr>
            <w:tcW w:w="0" w:type="dxa"/>
            <w:vAlign w:val="bottom"/>
          </w:tcPr>
          <w:p>
            <w:pPr>
              <w:spacing w:after="0"/>
              <w:rPr>
                <w:sz w:val="1"/>
                <w:szCs w:val="1"/>
                <w:color w:val="auto"/>
              </w:rPr>
            </w:pPr>
          </w:p>
        </w:tc>
      </w:tr>
      <w:tr>
        <w:trPr>
          <w:trHeight w:val="193"/>
        </w:trPr>
        <w:tc>
          <w:tcPr>
            <w:tcW w:w="706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color w:val="auto"/>
              </w:rPr>
              <w:t>Cash Flow</w:t>
            </w:r>
          </w:p>
        </w:tc>
        <w:tc>
          <w:tcPr>
            <w:tcW w:w="0" w:type="dxa"/>
            <w:vAlign w:val="bottom"/>
          </w:tcPr>
          <w:p>
            <w:pPr>
              <w:spacing w:after="0"/>
              <w:rPr>
                <w:sz w:val="1"/>
                <w:szCs w:val="1"/>
                <w:color w:val="auto"/>
              </w:rPr>
            </w:pPr>
          </w:p>
        </w:tc>
      </w:tr>
      <w:tr>
        <w:trPr>
          <w:trHeight w:val="228"/>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net income and depreciation and amortization</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1,131</w:t>
            </w:r>
          </w:p>
        </w:tc>
        <w:tc>
          <w:tcPr>
            <w:tcW w:w="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1,213</w:t>
            </w:r>
          </w:p>
        </w:tc>
        <w:tc>
          <w:tcPr>
            <w:tcW w:w="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29"/>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change in working capital items: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receivable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9"/>
        </w:trPr>
        <w:tc>
          <w:tcPr>
            <w:tcW w:w="7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Inventories</w:t>
            </w:r>
          </w:p>
        </w:tc>
        <w:tc>
          <w:tcPr>
            <w:tcW w:w="300" w:type="dxa"/>
            <w:vAlign w:val="bottom"/>
          </w:tcPr>
          <w:p>
            <w:pPr>
              <w:spacing w:after="0"/>
              <w:rPr>
                <w:sz w:val="19"/>
                <w:szCs w:val="19"/>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w:t>
            </w:r>
          </w:p>
        </w:tc>
        <w:tc>
          <w:tcPr>
            <w:tcW w:w="360" w:type="dxa"/>
            <w:vAlign w:val="bottom"/>
          </w:tcPr>
          <w:p>
            <w:pPr>
              <w:spacing w:after="0"/>
              <w:rPr>
                <w:sz w:val="19"/>
                <w:szCs w:val="19"/>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77</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current assets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11</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29"/>
        </w:trPr>
        <w:tc>
          <w:tcPr>
            <w:tcW w:w="7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9"/>
        </w:trPr>
        <w:tc>
          <w:tcPr>
            <w:tcW w:w="7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w:t>
            </w: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23"/>
        </w:trPr>
        <w:tc>
          <w:tcPr>
            <w:tcW w:w="70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Net change in working capital items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23"/>
        </w:trPr>
        <w:tc>
          <w:tcPr>
            <w:tcW w:w="70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125</w:t>
            </w: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36</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30"/>
        </w:trPr>
        <w:tc>
          <w:tcPr>
            <w:tcW w:w="7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1,089</w:t>
            </w:r>
          </w:p>
        </w:tc>
        <w:tc>
          <w:tcPr>
            <w:tcW w:w="3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1,120</w:t>
            </w:r>
          </w:p>
        </w:tc>
        <w:tc>
          <w:tcPr>
            <w:tcW w:w="3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57"/>
        </w:trPr>
        <w:tc>
          <w:tcPr>
            <w:tcW w:w="70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7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3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3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57"/>
        </w:trPr>
        <w:tc>
          <w:tcPr>
            <w:tcW w:w="70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7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3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3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418"/>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operating activities was $1.1 billion in both 2025 and 2024.</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was $517 million in 2025, as compared to $543 million in 2024. In 2025, we received proceeds of $37 million related to the sale of a non-core business. In 2025, capital spending was $562 million, as compared to $559 million in 2024. Capital spending is estimated to be approximately $660 million in 2026.</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cash used in financing activities was $619 million in 2025, as compared to $694 million in 2024. In both 2025 and 2024, we made principal payments under our Term Loan of $50 million. In 2025, we paid $325 million for repurchases of our common stock, $165 million in dividends to Lear shareholders and $87 million in dividends to noncontrolling interest holders. In 2024, we paid $417 million for repurchases of our common stock, $174 million in dividends to Lear shareholders and $75 million in dividends to noncontrolling interest holders.</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further information regarding our 2025 and 2024 financing transactions, see "— Capitalization" below and Note 5, "Debt," and Note 10, "Capital Stock, Accumulated Other Comprehensive Loss and Equity," to the consolidated financial statements included in this Report.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Year Ended December 31, 2024, Compared with Year Ended December 31, 2023</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a discussion of our cash flows for the year ended December 31, 2024, compared with the year ended December 31, 2023, refer to our Annual Report on Form 10-K for the year ended December 31, 2024.</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Capitalization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Short-Term Borrowings</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utilize uncommitted lines of credit as needed for our short-term working capital fluctuations. As of December 31, 2025 and 2024, we had lines of credit from banks totaling $383 million and $343 million, respectively. As of December 31, 2025 and 2024, we had short-term debt balances outstanding related to draws on our lines of credit of $28 million and $27 million, respectively.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availability of uncommitted lines of credit may be affected by our financial performance, credit ratings and other factors.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Senior Notes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our senior notes (collectively, the "Notes") consist of the amounts shown below (in millions, except stated coupon rates):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6360" w:type="dxa"/>
            <w:vAlign w:val="bottom"/>
            <w:tcBorders>
              <w:top w:val="single" w:sz="8" w:color="auto"/>
            </w:tcBorders>
            <w:vMerge w:val="restart"/>
          </w:tcPr>
          <w:p>
            <w:pPr>
              <w:ind w:left="2980"/>
              <w:spacing w:after="0"/>
              <w:rPr>
                <w:sz w:val="20"/>
                <w:szCs w:val="20"/>
                <w:color w:val="auto"/>
              </w:rPr>
            </w:pPr>
            <w:r>
              <w:rPr>
                <w:rFonts w:ascii="Times New Roman" w:cs="Times New Roman" w:eastAsia="Times New Roman" w:hAnsi="Times New Roman"/>
                <w:sz w:val="14"/>
                <w:szCs w:val="14"/>
                <w:color w:val="auto"/>
              </w:rPr>
              <w:t>Note</w:t>
            </w:r>
          </w:p>
        </w:tc>
        <w:tc>
          <w:tcPr>
            <w:tcW w:w="1420" w:type="dxa"/>
            <w:vAlign w:val="bottom"/>
            <w:tcBorders>
              <w:top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4"/>
                <w:szCs w:val="14"/>
                <w:color w:val="auto"/>
              </w:rPr>
              <w:t>Aggregate Principal</w:t>
            </w:r>
          </w:p>
        </w:tc>
        <w:tc>
          <w:tcPr>
            <w:tcW w:w="144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Stated Coupon Rate</w:t>
            </w:r>
          </w:p>
        </w:tc>
        <w:tc>
          <w:tcPr>
            <w:tcW w:w="0" w:type="dxa"/>
            <w:vAlign w:val="bottom"/>
          </w:tcPr>
          <w:p>
            <w:pPr>
              <w:spacing w:after="0"/>
              <w:rPr>
                <w:sz w:val="1"/>
                <w:szCs w:val="1"/>
                <w:color w:val="auto"/>
              </w:rPr>
            </w:pPr>
          </w:p>
        </w:tc>
      </w:tr>
      <w:tr>
        <w:trPr>
          <w:trHeight w:val="193"/>
        </w:trPr>
        <w:tc>
          <w:tcPr>
            <w:tcW w:w="6360" w:type="dxa"/>
            <w:vAlign w:val="bottom"/>
            <w:tcBorders>
              <w:bottom w:val="single" w:sz="8" w:color="CCEEFF"/>
            </w:tcBorders>
            <w:vMerge w:val="continue"/>
          </w:tcPr>
          <w:p>
            <w:pPr>
              <w:spacing w:after="0"/>
              <w:rPr>
                <w:sz w:val="16"/>
                <w:szCs w:val="16"/>
                <w:color w:val="auto"/>
              </w:rPr>
            </w:pPr>
          </w:p>
        </w:tc>
        <w:tc>
          <w:tcPr>
            <w:tcW w:w="142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4"/>
                <w:szCs w:val="14"/>
                <w:color w:val="auto"/>
              </w:rPr>
              <w:t>Amount at Maturity</w:t>
            </w:r>
          </w:p>
        </w:tc>
        <w:tc>
          <w:tcPr>
            <w:tcW w:w="14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unsecured notes due 2027 (the "2027 Notes")</w:t>
            </w:r>
          </w:p>
        </w:tc>
        <w:tc>
          <w:tcPr>
            <w:tcW w:w="48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550</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3.80%</w:t>
            </w:r>
          </w:p>
        </w:tc>
        <w:tc>
          <w:tcPr>
            <w:tcW w:w="0" w:type="dxa"/>
            <w:vAlign w:val="bottom"/>
          </w:tcPr>
          <w:p>
            <w:pPr>
              <w:spacing w:after="0"/>
              <w:rPr>
                <w:sz w:val="1"/>
                <w:szCs w:val="1"/>
                <w:color w:val="auto"/>
              </w:rPr>
            </w:pP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unsecured notes due 2029 (the "2029 Notes")</w:t>
            </w:r>
          </w:p>
        </w:tc>
        <w:tc>
          <w:tcPr>
            <w:tcW w:w="480" w:type="dxa"/>
            <w:vAlign w:val="bottom"/>
          </w:tcPr>
          <w:p>
            <w:pPr>
              <w:spacing w:after="0"/>
              <w:rPr>
                <w:sz w:val="19"/>
                <w:szCs w:val="19"/>
                <w:color w:val="auto"/>
              </w:rPr>
            </w:pPr>
          </w:p>
        </w:tc>
        <w:tc>
          <w:tcPr>
            <w:tcW w:w="9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375</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4.25%</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unsecured notes due 2030 (the "2030 Notes")</w:t>
            </w: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350</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3.50%</w:t>
            </w:r>
          </w:p>
        </w:tc>
        <w:tc>
          <w:tcPr>
            <w:tcW w:w="0" w:type="dxa"/>
            <w:vAlign w:val="bottom"/>
          </w:tcPr>
          <w:p>
            <w:pPr>
              <w:spacing w:after="0"/>
              <w:rPr>
                <w:sz w:val="1"/>
                <w:szCs w:val="1"/>
                <w:color w:val="auto"/>
              </w:rPr>
            </w:pP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unsecured notes due 2032 (the "2032 Notes")</w:t>
            </w:r>
          </w:p>
        </w:tc>
        <w:tc>
          <w:tcPr>
            <w:tcW w:w="480" w:type="dxa"/>
            <w:vAlign w:val="bottom"/>
          </w:tcPr>
          <w:p>
            <w:pPr>
              <w:spacing w:after="0"/>
              <w:rPr>
                <w:sz w:val="19"/>
                <w:szCs w:val="19"/>
                <w:color w:val="auto"/>
              </w:rPr>
            </w:pPr>
          </w:p>
        </w:tc>
        <w:tc>
          <w:tcPr>
            <w:tcW w:w="9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350</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2.60%</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unsecured notes due 2049 (the "2049 Notes")</w:t>
            </w: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625</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5.25%</w:t>
            </w:r>
          </w:p>
        </w:tc>
        <w:tc>
          <w:tcPr>
            <w:tcW w:w="0" w:type="dxa"/>
            <w:vAlign w:val="bottom"/>
          </w:tcPr>
          <w:p>
            <w:pPr>
              <w:spacing w:after="0"/>
              <w:rPr>
                <w:sz w:val="1"/>
                <w:szCs w:val="1"/>
                <w:color w:val="auto"/>
              </w:rPr>
            </w:pPr>
          </w:p>
        </w:tc>
      </w:tr>
      <w:tr>
        <w:trPr>
          <w:trHeight w:val="229"/>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Senior unsecured notes due 2052 (the "2052 Notes")</w:t>
            </w: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350</w:t>
            </w:r>
          </w:p>
        </w:tc>
        <w:tc>
          <w:tcPr>
            <w:tcW w:w="14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3.55%</w:t>
            </w:r>
          </w:p>
        </w:tc>
        <w:tc>
          <w:tcPr>
            <w:tcW w:w="0" w:type="dxa"/>
            <w:vAlign w:val="bottom"/>
          </w:tcPr>
          <w:p>
            <w:pPr>
              <w:spacing w:after="0"/>
              <w:rPr>
                <w:sz w:val="1"/>
                <w:szCs w:val="1"/>
                <w:color w:val="auto"/>
              </w:rPr>
            </w:pPr>
          </w:p>
        </w:tc>
      </w:tr>
      <w:tr>
        <w:trPr>
          <w:trHeight w:val="230"/>
        </w:trPr>
        <w:tc>
          <w:tcPr>
            <w:tcW w:w="6360" w:type="dxa"/>
            <w:vAlign w:val="bottom"/>
            <w:tcBorders>
              <w:bottom w:val="single" w:sz="8" w:color="auto"/>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2,600</w:t>
            </w:r>
          </w:p>
        </w:tc>
        <w:tc>
          <w:tcPr>
            <w:tcW w:w="144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issue, maturity and interest payment dates of the Notes are shown below:</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360" w:type="dxa"/>
            <w:vAlign w:val="bottom"/>
            <w:tcBorders>
              <w:top w:val="single" w:sz="8" w:color="auto"/>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Note</w:t>
            </w:r>
          </w:p>
        </w:tc>
        <w:tc>
          <w:tcPr>
            <w:tcW w:w="2980" w:type="dxa"/>
            <w:vAlign w:val="bottom"/>
            <w:tcBorders>
              <w:top w:val="single" w:sz="8" w:color="auto"/>
              <w:bottom w:val="single" w:sz="8" w:color="auto"/>
            </w:tcBorders>
          </w:tcPr>
          <w:p>
            <w:pPr>
              <w:jc w:val="center"/>
              <w:ind w:left="53"/>
              <w:spacing w:after="0"/>
              <w:rPr>
                <w:sz w:val="20"/>
                <w:szCs w:val="20"/>
                <w:color w:val="auto"/>
              </w:rPr>
            </w:pPr>
            <w:r>
              <w:rPr>
                <w:rFonts w:ascii="Times New Roman" w:cs="Times New Roman" w:eastAsia="Times New Roman" w:hAnsi="Times New Roman"/>
                <w:sz w:val="14"/>
                <w:szCs w:val="14"/>
                <w:b w:val="1"/>
                <w:bCs w:val="1"/>
                <w:color w:val="auto"/>
              </w:rPr>
              <w:t>Issuance Date</w:t>
            </w:r>
          </w:p>
        </w:tc>
        <w:tc>
          <w:tcPr>
            <w:tcW w:w="21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27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Interest Payment Dates</w:t>
            </w:r>
          </w:p>
        </w:tc>
      </w:tr>
      <w:tr>
        <w:trPr>
          <w:trHeight w:val="229"/>
        </w:trPr>
        <w:tc>
          <w:tcPr>
            <w:tcW w:w="1360" w:type="dxa"/>
            <w:vAlign w:val="bottom"/>
            <w:shd w:val="clear" w:color="auto" w:fill="CCEEFF"/>
          </w:tcPr>
          <w:p>
            <w:pPr>
              <w:jc w:val="right"/>
              <w:ind w:right="413"/>
              <w:spacing w:after="0"/>
              <w:rPr>
                <w:sz w:val="20"/>
                <w:szCs w:val="20"/>
                <w:color w:val="auto"/>
              </w:rPr>
            </w:pPr>
            <w:r>
              <w:rPr>
                <w:rFonts w:ascii="Times New Roman" w:cs="Times New Roman" w:eastAsia="Times New Roman" w:hAnsi="Times New Roman"/>
                <w:sz w:val="18"/>
                <w:szCs w:val="18"/>
                <w:color w:val="auto"/>
              </w:rPr>
              <w:t>2027 Notes</w:t>
            </w:r>
          </w:p>
        </w:tc>
        <w:tc>
          <w:tcPr>
            <w:tcW w:w="2980" w:type="dxa"/>
            <w:vAlign w:val="bottom"/>
            <w:shd w:val="clear" w:color="auto" w:fill="CCEEFF"/>
          </w:tcPr>
          <w:p>
            <w:pPr>
              <w:jc w:val="center"/>
              <w:ind w:left="53"/>
              <w:spacing w:after="0"/>
              <w:rPr>
                <w:sz w:val="20"/>
                <w:szCs w:val="20"/>
                <w:color w:val="auto"/>
              </w:rPr>
            </w:pPr>
            <w:r>
              <w:rPr>
                <w:rFonts w:ascii="Times New Roman" w:cs="Times New Roman" w:eastAsia="Times New Roman" w:hAnsi="Times New Roman"/>
                <w:sz w:val="18"/>
                <w:szCs w:val="18"/>
                <w:color w:val="auto"/>
                <w:w w:val="99"/>
              </w:rPr>
              <w:t>August 2017</w:t>
            </w:r>
          </w:p>
        </w:tc>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September 15, 2027</w:t>
            </w:r>
          </w:p>
        </w:tc>
        <w:tc>
          <w:tcPr>
            <w:tcW w:w="2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March 15 and September 15</w:t>
            </w:r>
          </w:p>
        </w:tc>
      </w:tr>
      <w:tr>
        <w:trPr>
          <w:trHeight w:val="229"/>
        </w:trPr>
        <w:tc>
          <w:tcPr>
            <w:tcW w:w="1360" w:type="dxa"/>
            <w:vAlign w:val="bottom"/>
          </w:tcPr>
          <w:p>
            <w:pPr>
              <w:jc w:val="right"/>
              <w:ind w:right="413"/>
              <w:spacing w:after="0"/>
              <w:rPr>
                <w:sz w:val="20"/>
                <w:szCs w:val="20"/>
                <w:color w:val="auto"/>
              </w:rPr>
            </w:pPr>
            <w:r>
              <w:rPr>
                <w:rFonts w:ascii="Times New Roman" w:cs="Times New Roman" w:eastAsia="Times New Roman" w:hAnsi="Times New Roman"/>
                <w:sz w:val="18"/>
                <w:szCs w:val="18"/>
                <w:color w:val="auto"/>
              </w:rPr>
              <w:t>2029 Notes</w:t>
            </w:r>
          </w:p>
        </w:tc>
        <w:tc>
          <w:tcPr>
            <w:tcW w:w="2980" w:type="dxa"/>
            <w:vAlign w:val="bottom"/>
          </w:tcPr>
          <w:p>
            <w:pPr>
              <w:jc w:val="center"/>
              <w:ind w:left="53"/>
              <w:spacing w:after="0"/>
              <w:rPr>
                <w:sz w:val="20"/>
                <w:szCs w:val="20"/>
                <w:color w:val="auto"/>
              </w:rPr>
            </w:pPr>
            <w:r>
              <w:rPr>
                <w:rFonts w:ascii="Times New Roman" w:cs="Times New Roman" w:eastAsia="Times New Roman" w:hAnsi="Times New Roman"/>
                <w:sz w:val="18"/>
                <w:szCs w:val="18"/>
                <w:color w:val="auto"/>
                <w:w w:val="97"/>
              </w:rPr>
              <w:t>May 2019</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15, 2029</w:t>
            </w: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15 and November 15</w:t>
            </w:r>
          </w:p>
        </w:tc>
      </w:tr>
      <w:tr>
        <w:trPr>
          <w:trHeight w:val="230"/>
        </w:trPr>
        <w:tc>
          <w:tcPr>
            <w:tcW w:w="1360" w:type="dxa"/>
            <w:vAlign w:val="bottom"/>
            <w:shd w:val="clear" w:color="auto" w:fill="CCEEFF"/>
          </w:tcPr>
          <w:p>
            <w:pPr>
              <w:jc w:val="right"/>
              <w:ind w:right="413"/>
              <w:spacing w:after="0"/>
              <w:rPr>
                <w:sz w:val="20"/>
                <w:szCs w:val="20"/>
                <w:color w:val="auto"/>
              </w:rPr>
            </w:pPr>
            <w:r>
              <w:rPr>
                <w:rFonts w:ascii="Times New Roman" w:cs="Times New Roman" w:eastAsia="Times New Roman" w:hAnsi="Times New Roman"/>
                <w:sz w:val="18"/>
                <w:szCs w:val="18"/>
                <w:color w:val="auto"/>
              </w:rPr>
              <w:t>2030 Notes</w:t>
            </w:r>
          </w:p>
        </w:tc>
        <w:tc>
          <w:tcPr>
            <w:tcW w:w="2980" w:type="dxa"/>
            <w:vAlign w:val="bottom"/>
            <w:shd w:val="clear" w:color="auto" w:fill="CCEEFF"/>
          </w:tcPr>
          <w:p>
            <w:pPr>
              <w:jc w:val="center"/>
              <w:ind w:left="53"/>
              <w:spacing w:after="0"/>
              <w:rPr>
                <w:sz w:val="20"/>
                <w:szCs w:val="20"/>
                <w:color w:val="auto"/>
              </w:rPr>
            </w:pPr>
            <w:r>
              <w:rPr>
                <w:rFonts w:ascii="Times New Roman" w:cs="Times New Roman" w:eastAsia="Times New Roman" w:hAnsi="Times New Roman"/>
                <w:sz w:val="18"/>
                <w:szCs w:val="18"/>
                <w:color w:val="auto"/>
                <w:w w:val="98"/>
              </w:rPr>
              <w:t>February 2020</w:t>
            </w:r>
          </w:p>
        </w:tc>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May 30, 2030</w:t>
            </w:r>
          </w:p>
        </w:tc>
        <w:tc>
          <w:tcPr>
            <w:tcW w:w="2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May 30 and November 30</w:t>
            </w:r>
          </w:p>
        </w:tc>
      </w:tr>
      <w:tr>
        <w:trPr>
          <w:trHeight w:val="229"/>
        </w:trPr>
        <w:tc>
          <w:tcPr>
            <w:tcW w:w="1360" w:type="dxa"/>
            <w:vAlign w:val="bottom"/>
          </w:tcPr>
          <w:p>
            <w:pPr>
              <w:jc w:val="right"/>
              <w:ind w:right="413"/>
              <w:spacing w:after="0"/>
              <w:rPr>
                <w:sz w:val="20"/>
                <w:szCs w:val="20"/>
                <w:color w:val="auto"/>
              </w:rPr>
            </w:pPr>
            <w:r>
              <w:rPr>
                <w:rFonts w:ascii="Times New Roman" w:cs="Times New Roman" w:eastAsia="Times New Roman" w:hAnsi="Times New Roman"/>
                <w:sz w:val="18"/>
                <w:szCs w:val="18"/>
                <w:color w:val="auto"/>
              </w:rPr>
              <w:t>2032 Notes</w:t>
            </w:r>
          </w:p>
        </w:tc>
        <w:tc>
          <w:tcPr>
            <w:tcW w:w="2980" w:type="dxa"/>
            <w:vAlign w:val="bottom"/>
          </w:tcPr>
          <w:p>
            <w:pPr>
              <w:jc w:val="center"/>
              <w:ind w:left="53"/>
              <w:spacing w:after="0"/>
              <w:rPr>
                <w:sz w:val="20"/>
                <w:szCs w:val="20"/>
                <w:color w:val="auto"/>
              </w:rPr>
            </w:pPr>
            <w:r>
              <w:rPr>
                <w:rFonts w:ascii="Times New Roman" w:cs="Times New Roman" w:eastAsia="Times New Roman" w:hAnsi="Times New Roman"/>
                <w:sz w:val="18"/>
                <w:szCs w:val="18"/>
                <w:color w:val="auto"/>
                <w:w w:val="99"/>
              </w:rPr>
              <w:t>November 2021</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15, 2032</w:t>
            </w: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January 15 and July 15</w:t>
            </w:r>
          </w:p>
        </w:tc>
      </w:tr>
      <w:tr>
        <w:trPr>
          <w:trHeight w:val="229"/>
        </w:trPr>
        <w:tc>
          <w:tcPr>
            <w:tcW w:w="1360" w:type="dxa"/>
            <w:vAlign w:val="bottom"/>
            <w:shd w:val="clear" w:color="auto" w:fill="CCEEFF"/>
          </w:tcPr>
          <w:p>
            <w:pPr>
              <w:jc w:val="right"/>
              <w:ind w:right="413"/>
              <w:spacing w:after="0"/>
              <w:rPr>
                <w:sz w:val="20"/>
                <w:szCs w:val="20"/>
                <w:color w:val="auto"/>
              </w:rPr>
            </w:pPr>
            <w:r>
              <w:rPr>
                <w:rFonts w:ascii="Times New Roman" w:cs="Times New Roman" w:eastAsia="Times New Roman" w:hAnsi="Times New Roman"/>
                <w:sz w:val="18"/>
                <w:szCs w:val="18"/>
                <w:color w:val="auto"/>
              </w:rPr>
              <w:t>2049 Notes</w:t>
            </w:r>
          </w:p>
        </w:tc>
        <w:tc>
          <w:tcPr>
            <w:tcW w:w="2980" w:type="dxa"/>
            <w:vAlign w:val="bottom"/>
            <w:shd w:val="clear" w:color="auto" w:fill="CCEEFF"/>
          </w:tcPr>
          <w:p>
            <w:pPr>
              <w:jc w:val="center"/>
              <w:ind w:left="33"/>
              <w:spacing w:after="0"/>
              <w:rPr>
                <w:sz w:val="20"/>
                <w:szCs w:val="20"/>
                <w:color w:val="auto"/>
              </w:rPr>
            </w:pPr>
            <w:r>
              <w:rPr>
                <w:rFonts w:ascii="Times New Roman" w:cs="Times New Roman" w:eastAsia="Times New Roman" w:hAnsi="Times New Roman"/>
                <w:sz w:val="18"/>
                <w:szCs w:val="18"/>
                <w:color w:val="auto"/>
                <w:w w:val="99"/>
              </w:rPr>
              <w:t>May 2019 and February 2020</w:t>
            </w:r>
          </w:p>
        </w:tc>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May 15, 2049</w:t>
            </w:r>
          </w:p>
        </w:tc>
        <w:tc>
          <w:tcPr>
            <w:tcW w:w="2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May 15 and November 15</w:t>
            </w:r>
          </w:p>
        </w:tc>
      </w:tr>
      <w:tr>
        <w:trPr>
          <w:trHeight w:val="237"/>
        </w:trPr>
        <w:tc>
          <w:tcPr>
            <w:tcW w:w="136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8"/>
                <w:szCs w:val="18"/>
                <w:color w:val="auto"/>
              </w:rPr>
              <w:t>2052 Notes</w:t>
            </w:r>
          </w:p>
        </w:tc>
        <w:tc>
          <w:tcPr>
            <w:tcW w:w="2980" w:type="dxa"/>
            <w:vAlign w:val="bottom"/>
            <w:tcBorders>
              <w:bottom w:val="single" w:sz="8" w:color="auto"/>
            </w:tcBorders>
          </w:tcPr>
          <w:p>
            <w:pPr>
              <w:jc w:val="center"/>
              <w:ind w:left="53"/>
              <w:spacing w:after="0"/>
              <w:rPr>
                <w:sz w:val="20"/>
                <w:szCs w:val="20"/>
                <w:color w:val="auto"/>
              </w:rPr>
            </w:pPr>
            <w:r>
              <w:rPr>
                <w:rFonts w:ascii="Times New Roman" w:cs="Times New Roman" w:eastAsia="Times New Roman" w:hAnsi="Times New Roman"/>
                <w:sz w:val="18"/>
                <w:szCs w:val="18"/>
                <w:color w:val="auto"/>
                <w:w w:val="99"/>
              </w:rPr>
              <w:t>November 2021</w:t>
            </w:r>
          </w:p>
        </w:tc>
        <w:tc>
          <w:tcPr>
            <w:tcW w:w="2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January 15, 2052</w:t>
            </w:r>
          </w:p>
        </w:tc>
        <w:tc>
          <w:tcPr>
            <w:tcW w:w="2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January 15 and July 15</w:t>
            </w:r>
          </w:p>
        </w:tc>
      </w:tr>
    </w:tbl>
    <w:p>
      <w:pPr>
        <w:spacing w:after="0" w:line="17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indentures governing the Notes contain certain restrictive covenants and customary events of default. As of December 31, 2025, we were in compliance with all covenants under the indentures governing the Notes.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further information related to the Notes, including information on early redemption, covenants and events of default, see Note 5, "Debt," to the consolidated financial statements included in this Report and the indentures governing the Notes, which have been incorporated by reference as exhibits to this Report.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Credit Agreement</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July 2025, we amended and restated our Credit Agreement to extend the maturity date to July 24, 2030. The Credit Agreement consists of a $2.0 billion Revolving Credit Facility. In connection with this transaction, we recognized a loss on the extinguishment of debt of less than $1 million and incurred related issuance costs of approximately $3 million.</w:t>
      </w:r>
    </w:p>
    <w:p>
      <w:pPr>
        <w:spacing w:after="0" w:line="6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2025, 2024 and 2023, there were no borrowings or repayments under the Revolving Credit Facility. As of December 31, 2025 and 2024, there were no borrowings outstanding under the Revolving Credit Facility.</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color w:val="242424"/>
        </w:rPr>
        <w:t>Credit Agreement</w:t>
      </w:r>
      <w:r>
        <w:rPr>
          <w:rFonts w:ascii="Times New Roman" w:cs="Times New Roman" w:eastAsia="Times New Roman" w:hAnsi="Times New Roman"/>
          <w:sz w:val="18"/>
          <w:szCs w:val="18"/>
          <w:color w:val="auto"/>
        </w:rPr>
        <w:t xml:space="preserve"> contains various financial and other covenants, including a maximum leverage coverage ratio. As of December 31, 2025, we were in compliance with all covenants under the </w:t>
      </w:r>
      <w:r>
        <w:rPr>
          <w:rFonts w:ascii="Times New Roman" w:cs="Times New Roman" w:eastAsia="Times New Roman" w:hAnsi="Times New Roman"/>
          <w:sz w:val="18"/>
          <w:szCs w:val="18"/>
          <w:color w:val="242424"/>
        </w:rPr>
        <w:t>Credit Agreement</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For further information related to our </w:t>
      </w:r>
      <w:r>
        <w:rPr>
          <w:rFonts w:ascii="Times New Roman" w:cs="Times New Roman" w:eastAsia="Times New Roman" w:hAnsi="Times New Roman"/>
          <w:sz w:val="18"/>
          <w:szCs w:val="18"/>
          <w:color w:val="242424"/>
        </w:rPr>
        <w:t>Credit Agreement</w:t>
      </w:r>
      <w:r>
        <w:rPr>
          <w:rFonts w:ascii="Times New Roman" w:cs="Times New Roman" w:eastAsia="Times New Roman" w:hAnsi="Times New Roman"/>
          <w:sz w:val="18"/>
          <w:szCs w:val="18"/>
          <w:color w:val="auto"/>
        </w:rPr>
        <w:t xml:space="preserve">, including information on pricing, covenants and events of default, see Note 5, "Debt," to the consolidated financial statements included in this Report and the </w:t>
      </w:r>
      <w:r>
        <w:rPr>
          <w:rFonts w:ascii="Times New Roman" w:cs="Times New Roman" w:eastAsia="Times New Roman" w:hAnsi="Times New Roman"/>
          <w:sz w:val="18"/>
          <w:szCs w:val="18"/>
          <w:color w:val="242424"/>
        </w:rPr>
        <w:t>Credit Agreement</w:t>
      </w:r>
      <w:r>
        <w:rPr>
          <w:rFonts w:ascii="Times New Roman" w:cs="Times New Roman" w:eastAsia="Times New Roman" w:hAnsi="Times New Roman"/>
          <w:sz w:val="18"/>
          <w:szCs w:val="18"/>
          <w:color w:val="auto"/>
        </w:rPr>
        <w:t>, which has been incorporated by reference as an exhibit to this Report.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Term Loan</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June 2025, we amended our Term Loan to extend the maturity date to September 30, 2027, and reduce the pricing across the grid. In connection with this transaction, we recognized a loss on the extinguishment of debt and incurred related issuance costs totaling $1 million.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both 2025 and 2024, we made principal payments under the Term Loan of $50 million.</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Term Loan contains the same covenants as the Credit Agreement. As of December 31, 2025, we were in compliance with all covenants under the Term Loan.</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further information related to our Term Loan, see Note 5, "Debt," to the consolidated financial statements included in this Report.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Common Stock Share Repurchase Program</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Item 5, "Market for the Company's Common Equity,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Dividends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2025, 2024 and 2023, our Board declared a quarterly cash dividend of $0.77 per share of common stock in all quarters.</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expect to continue to pay quarterly cash dividends in the future, although such payments are at the discretion of our Board and will depend upon our financial condition, results of operations, capital requirements, prevailing market conditions, alternative uses of capital and other factors that our Board may consider at its discretion. See "— Forward-Looking Statements" below and Note 5, "Debt," to the consolidated financial statements included in this Report.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Commodity Prices</w:t>
      </w:r>
    </w:p>
    <w:p>
      <w:pPr>
        <w:spacing w:after="0" w:line="11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Raw material, energy and commodity costs can be volatile, reflecting, among other things, changes in supply and demand, logistics issues, global trade and tariff policies (including recent U.S. tariffs imposed or threatened to be imposed on Mexico, Canada and China, as well as other countries and any retaliatory actions taken by such countries), and geopolitical issues. We have commodity price risk with respect to purchases of certain raw materials, including steel, copper, diesel fuel, chemicals, resins and leather. Our primary commodity cost exposures relate to steel, copper and leather. The majority of the steel used in our products is comprised of fabricated components that are integrated into a seat system, such as seat frames, recliner mechanisms, seat tracks and other mechanical components. Therefore, our exposure to changes in steel prices is primarily indirect, through purchased components. Additionally, approximately 87% of our copper purchases and a significant portion of our leather and direct steel purchases are subject to price index agreements with our customers and suppliers. We have developed and implemented additional strategies to mitigate the impact of any such cost increases, including the selective in-sourcing of components, the continued consolidation of our supply base, longer-term purchase commitments, commercial recovery mechanisms and the selective expansion of low-cost country sourcing and engineering, as well as value engineering and product benchmarking. Certain of these strategies may limit our opportunities in a declining commodity price environment. In the current environment of elevated raw material, energy and commodity costs, these strategies, together with commercial negotiations with our customers and suppliers and improved manufacturing productivity through automation and other advanced technologies, have more than offset the adverse impact. However, no assurances can be provided that these costs will continue to be offset in the future. If these costs increase further, it could have an adverse impact on our operating results in the foreseeable future.</w:t>
      </w:r>
    </w:p>
    <w:p>
      <w:pPr>
        <w:spacing w:after="0" w:line="8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See Part I — Item 1A, "Risk Factors — Increases in the costs and restrictions on the availability of raw materials, energy, commodities, product components and labor could adversely affect our financial performance," and "— Forward-Looking Statements" below.</w:t>
      </w:r>
    </w:p>
    <w:p>
      <w:pPr>
        <w:spacing w:after="0" w:line="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further information related to the financial instruments described above, see Note 14, "Financial Instruments," to the consolidated financial statements included in this Report.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Contractual Obligations and Cash Requirements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material cash requirements include the following contractual and other obligations: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Debt obligations and interest expense associated with debt obligations</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2025, we had $2.6 billion of outstanding senior unsecured notes maturing in 2027 through 2052 and $50 million outstanding under our Term Loan maturing in 2027, as well as $2.0 billion in available borrowing capacity under our Revolving Credit Facility maturing in 2030.</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on the Notes is due biannually at varying dates. The scheduled interest payments on the Notes are shown below (in millions):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38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color w:val="auto"/>
              </w:rPr>
              <w:t>2026</w:t>
            </w:r>
          </w:p>
        </w:tc>
        <w:tc>
          <w:tcPr>
            <w:tcW w:w="3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color w:val="auto"/>
              </w:rPr>
              <w:t>2027</w:t>
            </w:r>
          </w:p>
        </w:tc>
        <w:tc>
          <w:tcPr>
            <w:tcW w:w="3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color w:val="auto"/>
              </w:rPr>
              <w:t>2028</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2029</w:t>
            </w:r>
          </w:p>
        </w:tc>
        <w:tc>
          <w:tcPr>
            <w:tcW w:w="3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2030</w:t>
            </w:r>
          </w:p>
        </w:tc>
        <w:tc>
          <w:tcPr>
            <w:tcW w:w="36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color w:val="auto"/>
              </w:rPr>
              <w:t>Thereafter</w:t>
            </w:r>
          </w:p>
        </w:tc>
        <w:tc>
          <w:tcPr>
            <w:tcW w:w="3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color w:val="auto"/>
              </w:rPr>
              <w:t>Total</w:t>
            </w:r>
          </w:p>
        </w:tc>
      </w:tr>
      <w:tr>
        <w:trPr>
          <w:trHeight w:val="236"/>
        </w:trPr>
        <w:tc>
          <w:tcPr>
            <w:tcW w:w="2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Scheduled interest payments</w:t>
            </w:r>
          </w:p>
        </w:tc>
        <w:tc>
          <w:tcPr>
            <w:tcW w:w="5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103</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103</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83</w:t>
            </w:r>
          </w:p>
        </w:tc>
        <w:tc>
          <w:tcPr>
            <w:tcW w:w="860" w:type="dxa"/>
            <w:vAlign w:val="bottom"/>
            <w:tcBorders>
              <w:bottom w:val="single" w:sz="8" w:color="auto"/>
            </w:tcBorders>
            <w:shd w:val="clear" w:color="auto" w:fill="CCEEFF"/>
          </w:tcPr>
          <w:p>
            <w:pPr>
              <w:jc w:val="right"/>
              <w:ind w:right="599"/>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w:t>
            </w:r>
          </w:p>
        </w:tc>
        <w:tc>
          <w:tcPr>
            <w:tcW w:w="860" w:type="dxa"/>
            <w:vAlign w:val="bottom"/>
            <w:tcBorders>
              <w:bottom w:val="single" w:sz="8" w:color="auto"/>
            </w:tcBorders>
            <w:shd w:val="clear" w:color="auto" w:fill="CCEEFF"/>
          </w:tcPr>
          <w:p>
            <w:pPr>
              <w:jc w:val="right"/>
              <w:ind w:right="599"/>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888</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w:t>
            </w:r>
          </w:p>
        </w:tc>
      </w:tr>
    </w:tbl>
    <w:p>
      <w:pPr>
        <w:spacing w:after="0" w:line="18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further information related to our debt, see "— Capitalization — Senior Notes," "— Credit Agreement" and "— Term Loan" above and Note 5, "Debt," to the consolidated financial statements included in this Report.</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Purchase obligations</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enter into agreements with our customers to produce products at the beginning of a vehicle's life cycle. Although these agreements do not provide for a specified quantity of products, once entered into, we are generally required to fulfill our customers' purchasing requirements for the production life of the vehicle. Prior to being formally awarded a program, we typically work closely with our customers in the early stages of the design and engineering of a vehicle's systems. Failure to complete the design and engineering work related to a vehicle's systems, or to fulfill a customer agreement, could have a material adverse impact on our business.</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also enter into agreements with suppliers to assist us in meeting our customers' production needs. These agreements vary as to duration and quantity commitments. Historically, most have been short-term agreements, which do not provide for minimum purchases, or are requirements-based agreements.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Leases</w:t>
      </w:r>
    </w:p>
    <w:p>
      <w:pPr>
        <w:spacing w:after="0" w:line="11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has operating leases for production, office and warehouse facilities, manufacturing and office equipment, and vehicles with future lease obligations ranging from 2026 through 2047. Maturities of undiscounted operating lease obligations are shown below (in millions):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3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2026</w:t>
            </w:r>
          </w:p>
        </w:tc>
        <w:tc>
          <w:tcPr>
            <w:tcW w:w="4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2027</w:t>
            </w:r>
          </w:p>
        </w:tc>
        <w:tc>
          <w:tcPr>
            <w:tcW w:w="4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2028</w:t>
            </w:r>
          </w:p>
        </w:tc>
        <w:tc>
          <w:tcPr>
            <w:tcW w:w="4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2029</w:t>
            </w:r>
          </w:p>
        </w:tc>
        <w:tc>
          <w:tcPr>
            <w:tcW w:w="3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2030</w:t>
            </w:r>
          </w:p>
        </w:tc>
        <w:tc>
          <w:tcPr>
            <w:tcW w:w="36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color w:val="auto"/>
              </w:rPr>
              <w:t>Thereafter</w:t>
            </w:r>
          </w:p>
        </w:tc>
        <w:tc>
          <w:tcPr>
            <w:tcW w:w="3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color w:val="auto"/>
              </w:rPr>
              <w:t>Total</w:t>
            </w:r>
          </w:p>
        </w:tc>
      </w:tr>
      <w:tr>
        <w:trPr>
          <w:trHeight w:val="237"/>
        </w:trPr>
        <w:tc>
          <w:tcPr>
            <w:tcW w:w="2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1060" w:type="dxa"/>
            <w:vAlign w:val="bottom"/>
            <w:tcBorders>
              <w:bottom w:val="single" w:sz="8" w:color="auto"/>
            </w:tcBorders>
            <w:shd w:val="clear" w:color="auto" w:fill="CCEEFF"/>
          </w:tcPr>
          <w:p>
            <w:pPr>
              <w:jc w:val="right"/>
              <w:ind w:right="559"/>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194</w:t>
            </w:r>
          </w:p>
        </w:tc>
        <w:tc>
          <w:tcPr>
            <w:tcW w:w="820" w:type="dxa"/>
            <w:vAlign w:val="bottom"/>
            <w:tcBorders>
              <w:bottom w:val="single" w:sz="8" w:color="auto"/>
            </w:tcBorders>
            <w:shd w:val="clear" w:color="auto" w:fill="CCEEFF"/>
          </w:tcPr>
          <w:p>
            <w:pPr>
              <w:jc w:val="right"/>
              <w:ind w:right="559"/>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167</w:t>
            </w:r>
          </w:p>
        </w:tc>
        <w:tc>
          <w:tcPr>
            <w:tcW w:w="820" w:type="dxa"/>
            <w:vAlign w:val="bottom"/>
            <w:tcBorders>
              <w:bottom w:val="single" w:sz="8" w:color="auto"/>
            </w:tcBorders>
            <w:shd w:val="clear" w:color="auto" w:fill="CCEEFF"/>
          </w:tcPr>
          <w:p>
            <w:pPr>
              <w:jc w:val="right"/>
              <w:ind w:right="539"/>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135</w:t>
            </w:r>
          </w:p>
        </w:tc>
        <w:tc>
          <w:tcPr>
            <w:tcW w:w="860" w:type="dxa"/>
            <w:vAlign w:val="bottom"/>
            <w:tcBorders>
              <w:bottom w:val="single" w:sz="8" w:color="auto"/>
            </w:tcBorders>
            <w:shd w:val="clear" w:color="auto" w:fill="CCEEFF"/>
          </w:tcPr>
          <w:p>
            <w:pPr>
              <w:jc w:val="right"/>
              <w:ind w:right="599"/>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98</w:t>
            </w:r>
          </w:p>
        </w:tc>
        <w:tc>
          <w:tcPr>
            <w:tcW w:w="860" w:type="dxa"/>
            <w:vAlign w:val="bottom"/>
            <w:tcBorders>
              <w:bottom w:val="single" w:sz="8" w:color="auto"/>
            </w:tcBorders>
            <w:shd w:val="clear" w:color="auto" w:fill="CCEEFF"/>
          </w:tcPr>
          <w:p>
            <w:pPr>
              <w:jc w:val="right"/>
              <w:ind w:right="599"/>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183</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w:t>
            </w: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further information related to our lease obligations, see Note 6, "Leases," to the consolidated financial statements included in this Report.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Taxes</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may be required to make significant cash outlays related to our unrecognized tax benefits, including interest and penalties. As of December 31, 2025, we had unrecognized tax benefits, including interest and penalties, of $49 million. However, due to the uncertainty of the timing of future cash flows associated with our unrecognized tax benefits, we are unable to make reasonably reliable estimates of the period of cash settlement, if any, with the respective taxing authorities.</w:t>
      </w:r>
    </w:p>
    <w:p>
      <w:pPr>
        <w:spacing w:after="0" w:line="7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further information related to our unrecognized tax benefits, see Note 7, "Income Taxes," to the consolidated financial statements included in this Report.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Pension and postretirement obligations</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minimum funding requirements with respect to certain of our pension benefit obligations. We may elect to make contributions in excess of the minimum funding requirements in response to investment performance or changes in interest rates or when we believe that it is financially advantageous to do so and based on our other cash requirements. Our minimum funding requirements after 2026 will depend on several factors, including investment performance and interest rates. Our minimum funding requirements may also be affected by changes in applicable legal requirements. Required contributions to our defined benefit pension plans are expected to be approximately $7 million in 2026.</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do not fund our postretirement benefit obligations and certain of our pension benefit obligations. Rather, benefit payments are made to eligible participants as incurred. We expect benefit payments related to our unfunded pension and postretirement benefit obligations to be approximately $8 million and $4 million, respectively, in 2026.</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further information related to our pension and other postretirement benefit plans, see Note 8, "Pension and Other Postretirement Benefit Plans," to the consolidated financial statements included in this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and Environmental Matters</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involved from time to time in various legal proceedings and claims, including, without limitation, commercial and contractual disputes, product liability claims, and environmental and other matters. As of December 31, 2025, we had recorded reserves for pending legal disputes, including commercial and contractual disputes, product liability claims and other legal matters, of $14 million. In addition, as of December 31, 2025, we had recorded reserves for warranty and recall matters of $40 million and environmental matters of $5 million. We carry insurance for certain legal matters, including product liability claims, but such coverage may be limited. We do not maintain insurance for warranty and recall matters. Although these reserves were determined in accordance with GAAP, the ultimate outcomes of these matters are inherently uncertain, and actual results may differ significantly from current estimates. For a description of risks related to various legal proceedings and claims,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Part I — Item 1A, "Risk Factors." For a more complete description of our outstanding material legal proceedings, see Note 12, "Legal and Other Contingencies," to the consolidated financial statements included in this Report.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Accounting Estimates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of our accounting policies require management to make estimates and assumptions that affect the reported amounts of assets and liabilities as of the date of the consolidated financial statements and the reported amounts of revenues and expenses during the reporting period. These estimates and assumptions are based on our historical experience, the terms of existing contracts, our evaluation of trends in the industry, information provided by our customers and suppliers and information available from other outside sources, as appropriate. However, these estimates and assumptions are subject to an inherent degree of uncertainty. Accordingly, actual results in these areas may differ significantly from our estimates.</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consider an accounting estimate to be critical if it requires us to make assumptions about matters that were uncertain at the time the estimate was made and changes in the estimate would have had a significant impact on our consolidated financial position or results of operations.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Revenue Recognition</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enter into contracts with our customers to provide production parts generally at the beginning of a vehicle's life cycle. Typically, these contracts do not provide for a specified quantity of products, but once entered into, we are often expected to fulfill our customers' purchasing requirements for the production life of the vehicle. Many of these contracts may be terminated by our customers at any time. Historically, terminations of these contracts have been infrequent. We receive purchase orders from our customers, which provide the commercial terms for a particular production part, including price (but not quantities). Contracts may also provide for annual price reductions over the production life of the vehicle, and prices may be adjusted on an ongoing basis to reflect changes in product content/cost and other commercial factors.</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Revenue is recognized at a point in time when control of the product is transferred to the customer under standard commercial terms, as we do not have an enforceable right to payment prior to such transfer. The amount of revenue recognized reflects the consideration that we expect to be entitled to in exchange for those products based on the current purchase orders, annual price reductions and ongoing price adjustments. Our customers pay for products received in accordance with payment terms that are customary within the industry. Our contracts with our customers do not have significant financing components. We record a contract liability for advances received from our customers.</w:t>
      </w:r>
    </w:p>
    <w:p>
      <w:pPr>
        <w:spacing w:after="0" w:line="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Amounts billed to customers related to shipping and handling costs are included in net sales in the consolidated statements of income. Shipping and handling costs are accounted for as fulfillment costs and are included in cost of sales in the consolidated statements of income.</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Taxes assessed by a governmental authority that are both imposed on and concurrent with a specific revenue-producing transaction that we collect from a customer are excluded from revenue.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Impairment of Goodwill</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Goodwill is not amortized but is tested for impairment on at least an annual basis. Impairment testing is required more often than annually if an event or circumstance indicates that an impairment is more likely than not to have occurred. In conducting our annual impairment testing, we may first perform a qualitative assessment of whether it is more likely than not that a reporting unit's fair value is less than its carrying amount. If not, no further goodwill impairment testing is required. If it is more likely than not that a reporting unit's fair value is less than its carrying amount, or if we elect not to perform a qualitative assessment of a reporting unit, we then compare the fair value of the reporting unit to the related net book value. If the net book value of a reporting unit exceeds its fair value, an impairment loss is measured and recognized.</w:t>
      </w:r>
    </w:p>
    <w:p>
      <w:pPr>
        <w:spacing w:after="0" w:line="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utilize an income approach to estimate the fair value of each of our reporting units and a market valuation approach, where applicable, to further support this analysis. The income approach is based on projected debt-free cash flow which is discounted to the present value using discount factors that consider the timing and risk of cash flows. We believe that this approach is appropriate because it provides a fair value estimate based upon the reporting unit's expected long-term operating cash flow performance. This approach also mitigates the impact of cyclical trends that occur in the industry. Fair value is estimated using recent automotive industry and specific platform production volume projections, which are based on both third-party and internally developed forecasts, as well as commercial and discount rate assumptions. The discount rate used is the value-weighted average of our estimated cost of equity and of debt ("cost of capital") derived using both known and estimated customary market metrics. Our weighted average cost of capital is adjusted by reporting unit to reflect a risk factor, if necessary. Other significant assumptions include terminal value growth rates, terminal value margin rates, future capital expenditures and changes in future working capital requirements. While there are inherent uncertainties related to the assumptions used and to management's application of these assumptions to this analysis, we believe that the income approach</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provides a reasonable estimate of the fair value of our reporting units. The market valuation approach is used, where applicable, to further support our analysis and is based on recent transactions involving comparable companies.</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annual goodwill impairment assessment is completed as of the first day of our fourth quarter. We performed a qualitative assessment for each reporting unit, except for one reporting unit within the E-Systems operating segment and one reporting unit within the Seating operating segment where quantitative analyses were performed. The qualitative assessments indicated that it was more likely than not that the fair value of each reporting unit exceeded its respective carrying value. The quantitative analyses indicated that the fair value of the respective reporting units exceeded its respective carrying value.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Income Taxes</w:t>
      </w:r>
    </w:p>
    <w:p>
      <w:pPr>
        <w:spacing w:after="0" w:line="117"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We account for income taxes in accordance with GAAP. Deferred tax assets and liabilities are recognized for the future tax consequences attributable to temporary differences between financial statement carrying amounts of existing assets and liabilities and their respective tax basis and tax loss and credit carryforwards. Deferred tax assets and liabilities are measured using enacted tax rates expected to apply to taxable income for the years in which those temporary differences are expected to be recovered or settled.</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current and future provision for income taxes is impacted by the initial recognition of and changes in valuation allowances in certain countries. We intend to maintain these allowances until it is more likely than not that the deferred tax assets will be realized. Our future provision for income taxes will include no tax benefit with respect to losses incurred and, except for certain jurisdictions, no tax expense with respect to income generated in these countries until the respective valuation allowances are eliminated. Accordingly, income taxes are impacted by changes in valuation allowances and the mix of earnings among jurisdictions. We evaluate the realizability of our deferred tax assets on a quarterly basis. In completing this evaluation, we consider all available evidence in order to determine whether, based on the weight of the evidence, a valuation allowance for our deferred tax assets is necessary. Such evidence includes historical results, future reversals of existing taxable temporary differences and expectations for future taxable income (exclusive of the reversal of temporary differences and carryforwards), as well as the implementation of feasible and prudent tax planning strategies. If, based on the weight of the evidence, it is more likely than not that all or a portion of our deferred tax assets will not be realized, a valuation allowance is recorded.</w:t>
      </w:r>
    </w:p>
    <w:p>
      <w:pPr>
        <w:spacing w:after="0" w:line="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December 31, 2025, we had a valuation allowance related to tax loss and credit carryforwards and other deferred tax assets of $38 million in the United States and $414 million in several international jurisdictions. If operating results improve or decline on a continual basis in a particular jurisdiction, our decision regarding the need for a valuation allowance could change, resulting in either the initial recognition or reversal of a valuation allowance in that jurisdiction, which could have a significant impact on income tax expense in the period recognized and subsequent periods. In determining the provision for income taxes for financial statement purposes, we make certain estimates and judgments, which affect our evaluation of the carrying value of our deferred tax assets, as well as our calculation of certain tax liabilities.</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calculation of our gross unrecognized tax benefits and liabilities includes uncertainties in the application of, and changes in, complex tax regulations in a multitude of jurisdictions across our global operations. We recognize tax benefits and liabilities based on our estimate of whether, and the extent to which, additional taxes will be due. We adjust these benefits and liabilities based on changing facts and circumstances; however, due to the complexity of these uncertainties and the impact of tax audits, the ultimate resolutions may differ significantly from our estimates.</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further information, see "— Forward-Looking Statements" below and Note 7, "Income Taxes," to the consolidated financial statements included in this Report.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Use of Estimates</w:t>
      </w:r>
    </w:p>
    <w:p>
      <w:pPr>
        <w:spacing w:after="0" w:line="11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conformity with GAAP requires management to make estimates and assumptions that affect the reported amounts of assets and liabilities as of the date of the consolidated financial statements and the reported amounts of revenues and expenses during the reporting period. During 2025, there were no material changes in the methods or policies used to establish estimates and assumptions. Other matters subject to estimation and judgment include amounts related to accounts receivable realization, inventory obsolescence, asset impairments, useful lives of fixed and intangible assets, unsettled pricing discussions with customers and suppliers, restructuring accruals, deferred tax asset valuation allowances and income taxes, pension and other postretirement benefit plan assumptions, accruals related to litigation, and warranty and environmental remediation costs. Actual results may differ significantly from our estimates.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Pronouncements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information on the impact of recently issued accounting pronouncements, see Note 15, "Accounting Pronouncements," to the consolidated financial statements included in this Report.</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Private Securities Litigation Reform Act of 1995 provides a safe harbor for forward-looking statements made by us or on our behalf. The words "will," "may," "designed to," "outlook," "believes," "should," "anticipates," "plans," "expects," "intends," "estimates," "forecasts" and similar expressions identify certain of these forward-looking statements. We also may provide forward-looking statements in oral statements or other written materials released to the public. All such forward-looking statements contained or incorporated in this Report or in any other public statements which address operating performance, events or developments that we expect or anticipate may occur in the future, including, without limitation, statements related to business opportunities, awarded sales contracts, sales backlog and ongoing commercial arrangements, or statements expressing views about future operating results, are forward-looking statements. Actual results may differ materially from any or all forward-looking statements made by us. Important factors, risks and uncertainties that may cause actual results to differ materially from anticipated results include, but are not limited to:</w:t>
      </w:r>
    </w:p>
    <w:p>
      <w:pPr>
        <w:spacing w:after="0" w:line="30" w:lineRule="exact"/>
        <w:rPr>
          <w:sz w:val="20"/>
          <w:szCs w:val="20"/>
          <w:color w:val="auto"/>
        </w:rPr>
      </w:pPr>
    </w:p>
    <w:p>
      <w:pPr>
        <w:ind w:left="400" w:hanging="230"/>
        <w:spacing w:after="0"/>
        <w:tabs>
          <w:tab w:leader="none" w:pos="4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in the markets in which we operate, including changes in interest rates or currency exchange rates;</w:t>
      </w:r>
    </w:p>
    <w:p>
      <w:pPr>
        <w:spacing w:after="0" w:line="63" w:lineRule="exact"/>
        <w:rPr>
          <w:rFonts w:ascii="Times New Roman" w:cs="Times New Roman" w:eastAsia="Times New Roman" w:hAnsi="Times New Roman"/>
          <w:sz w:val="18"/>
          <w:szCs w:val="18"/>
          <w:color w:val="auto"/>
        </w:rPr>
      </w:pPr>
    </w:p>
    <w:p>
      <w:pPr>
        <w:ind w:left="400" w:hanging="230"/>
        <w:spacing w:after="0"/>
        <w:tabs>
          <w:tab w:leader="none" w:pos="4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administrative policy, including trade policies and tariffs, in the United States and related actions by countries in which we do business;</w:t>
      </w:r>
    </w:p>
    <w:p>
      <w:pPr>
        <w:spacing w:after="0" w:line="63" w:lineRule="exact"/>
        <w:rPr>
          <w:rFonts w:ascii="Times New Roman" w:cs="Times New Roman" w:eastAsia="Times New Roman" w:hAnsi="Times New Roman"/>
          <w:sz w:val="18"/>
          <w:szCs w:val="18"/>
          <w:color w:val="auto"/>
        </w:rPr>
      </w:pPr>
    </w:p>
    <w:p>
      <w:pPr>
        <w:ind w:left="400" w:hanging="230"/>
        <w:spacing w:after="0"/>
        <w:tabs>
          <w:tab w:leader="none" w:pos="4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actual industry vehicle production levels from our current estimates;</w:t>
      </w:r>
    </w:p>
    <w:p>
      <w:pPr>
        <w:spacing w:after="0" w:line="63" w:lineRule="exact"/>
        <w:rPr>
          <w:rFonts w:ascii="Times New Roman" w:cs="Times New Roman" w:eastAsia="Times New Roman" w:hAnsi="Times New Roman"/>
          <w:sz w:val="18"/>
          <w:szCs w:val="18"/>
          <w:color w:val="auto"/>
        </w:rPr>
      </w:pPr>
    </w:p>
    <w:p>
      <w:pPr>
        <w:ind w:left="420" w:hanging="250"/>
        <w:spacing w:after="0" w:line="281" w:lineRule="auto"/>
        <w:tabs>
          <w:tab w:leader="none" w:pos="41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production of vehicles or the loss of business with respect to, or the lack of commercial success of, a vehicle model for which we are a significant supplier;</w:t>
      </w:r>
    </w:p>
    <w:p>
      <w:pPr>
        <w:spacing w:after="0" w:line="1" w:lineRule="exact"/>
        <w:rPr>
          <w:rFonts w:ascii="Times New Roman" w:cs="Times New Roman" w:eastAsia="Times New Roman" w:hAnsi="Times New Roman"/>
          <w:sz w:val="18"/>
          <w:szCs w:val="18"/>
          <w:color w:val="auto"/>
        </w:rPr>
      </w:pPr>
    </w:p>
    <w:p>
      <w:pPr>
        <w:ind w:left="400" w:hanging="230"/>
        <w:spacing w:after="0"/>
        <w:tabs>
          <w:tab w:leader="none" w:pos="4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customer negotiations and the impact of customer-imposed price reductions;</w:t>
      </w:r>
    </w:p>
    <w:p>
      <w:pPr>
        <w:spacing w:after="0" w:line="63" w:lineRule="exact"/>
        <w:rPr>
          <w:rFonts w:ascii="Times New Roman" w:cs="Times New Roman" w:eastAsia="Times New Roman" w:hAnsi="Times New Roman"/>
          <w:sz w:val="18"/>
          <w:szCs w:val="18"/>
          <w:color w:val="auto"/>
        </w:rPr>
      </w:pPr>
    </w:p>
    <w:p>
      <w:pPr>
        <w:ind w:left="420" w:hanging="250"/>
        <w:spacing w:after="0" w:line="281" w:lineRule="auto"/>
        <w:tabs>
          <w:tab w:leader="none" w:pos="41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the costs and restrictions on the availability of raw materials, energy, commodities, product components and labor and our ability to mitigate such costs and insufficient availability;</w:t>
      </w:r>
    </w:p>
    <w:p>
      <w:pPr>
        <w:spacing w:after="0" w:line="1" w:lineRule="exact"/>
        <w:rPr>
          <w:rFonts w:ascii="Times New Roman" w:cs="Times New Roman" w:eastAsia="Times New Roman" w:hAnsi="Times New Roman"/>
          <w:sz w:val="18"/>
          <w:szCs w:val="18"/>
          <w:color w:val="auto"/>
        </w:rPr>
      </w:pPr>
    </w:p>
    <w:p>
      <w:pPr>
        <w:ind w:left="400" w:hanging="230"/>
        <w:spacing w:after="0"/>
        <w:tabs>
          <w:tab w:leader="none" w:pos="4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relationships with our customers and suppliers;</w:t>
      </w:r>
    </w:p>
    <w:p>
      <w:pPr>
        <w:spacing w:after="0" w:line="63" w:lineRule="exact"/>
        <w:rPr>
          <w:rFonts w:ascii="Times New Roman" w:cs="Times New Roman" w:eastAsia="Times New Roman" w:hAnsi="Times New Roman"/>
          <w:sz w:val="18"/>
          <w:szCs w:val="18"/>
          <w:color w:val="auto"/>
        </w:rPr>
      </w:pPr>
    </w:p>
    <w:p>
      <w:pPr>
        <w:ind w:left="400" w:hanging="230"/>
        <w:spacing w:after="0"/>
        <w:tabs>
          <w:tab w:leader="none" w:pos="4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condition of and adverse developments affecting our customers and suppliers;</w:t>
      </w:r>
    </w:p>
    <w:p>
      <w:pPr>
        <w:spacing w:after="0" w:line="63" w:lineRule="exact"/>
        <w:rPr>
          <w:rFonts w:ascii="Times New Roman" w:cs="Times New Roman" w:eastAsia="Times New Roman" w:hAnsi="Times New Roman"/>
          <w:sz w:val="18"/>
          <w:szCs w:val="18"/>
          <w:color w:val="auto"/>
        </w:rPr>
      </w:pPr>
    </w:p>
    <w:p>
      <w:pPr>
        <w:ind w:left="400" w:hanging="230"/>
        <w:spacing w:after="0"/>
        <w:tabs>
          <w:tab w:leader="none" w:pos="4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conducting business in foreign countries, including the risk of war or other geopolitical conflicts;</w:t>
      </w:r>
    </w:p>
    <w:p>
      <w:pPr>
        <w:spacing w:after="0" w:line="63" w:lineRule="exact"/>
        <w:rPr>
          <w:rFonts w:ascii="Times New Roman" w:cs="Times New Roman" w:eastAsia="Times New Roman" w:hAnsi="Times New Roman"/>
          <w:sz w:val="18"/>
          <w:szCs w:val="18"/>
          <w:color w:val="auto"/>
        </w:rPr>
      </w:pPr>
    </w:p>
    <w:p>
      <w:pPr>
        <w:ind w:left="400" w:hanging="230"/>
        <w:spacing w:after="0"/>
        <w:tabs>
          <w:tab w:leader="none" w:pos="4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controls and the ability to economically hedge currencies;</w:t>
      </w:r>
    </w:p>
    <w:p>
      <w:pPr>
        <w:spacing w:after="0" w:line="63" w:lineRule="exact"/>
        <w:rPr>
          <w:rFonts w:ascii="Times New Roman" w:cs="Times New Roman" w:eastAsia="Times New Roman" w:hAnsi="Times New Roman"/>
          <w:sz w:val="18"/>
          <w:szCs w:val="18"/>
          <w:color w:val="auto"/>
        </w:rPr>
      </w:pPr>
    </w:p>
    <w:p>
      <w:pPr>
        <w:ind w:left="420" w:hanging="250"/>
        <w:spacing w:after="0" w:line="281" w:lineRule="auto"/>
        <w:tabs>
          <w:tab w:leader="none" w:pos="41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sovereign fiscal matters and creditworthiness, including potential defaults and the related impacts on economic activity, including the possible effects on credit markets, currency values, monetary unions, international treaties and fiscal policies;</w:t>
      </w:r>
    </w:p>
    <w:p>
      <w:pPr>
        <w:spacing w:after="0" w:line="1" w:lineRule="exact"/>
        <w:rPr>
          <w:rFonts w:ascii="Times New Roman" w:cs="Times New Roman" w:eastAsia="Times New Roman" w:hAnsi="Times New Roman"/>
          <w:sz w:val="18"/>
          <w:szCs w:val="18"/>
          <w:color w:val="auto"/>
        </w:rPr>
      </w:pPr>
    </w:p>
    <w:p>
      <w:pPr>
        <w:ind w:left="400" w:hanging="230"/>
        <w:spacing w:after="0"/>
        <w:tabs>
          <w:tab w:leader="none" w:pos="4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conditions impacting us and our key customers and suppliers;</w:t>
      </w:r>
    </w:p>
    <w:p>
      <w:pPr>
        <w:spacing w:after="0" w:line="63" w:lineRule="exact"/>
        <w:rPr>
          <w:rFonts w:ascii="Times New Roman" w:cs="Times New Roman" w:eastAsia="Times New Roman" w:hAnsi="Times New Roman"/>
          <w:sz w:val="18"/>
          <w:szCs w:val="18"/>
          <w:color w:val="auto"/>
        </w:rPr>
      </w:pPr>
    </w:p>
    <w:p>
      <w:pPr>
        <w:ind w:left="420" w:hanging="250"/>
        <w:spacing w:after="0" w:line="281" w:lineRule="auto"/>
        <w:tabs>
          <w:tab w:leader="none" w:pos="41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disputes, including disruptions, involving us or our significant customers or suppliers or that otherwise affect us or our significant customers or suppliers;</w:t>
      </w:r>
    </w:p>
    <w:p>
      <w:pPr>
        <w:spacing w:after="0" w:line="1" w:lineRule="exact"/>
        <w:rPr>
          <w:rFonts w:ascii="Times New Roman" w:cs="Times New Roman" w:eastAsia="Times New Roman" w:hAnsi="Times New Roman"/>
          <w:sz w:val="18"/>
          <w:szCs w:val="18"/>
          <w:color w:val="auto"/>
        </w:rPr>
      </w:pPr>
    </w:p>
    <w:p>
      <w:pPr>
        <w:ind w:left="420" w:hanging="250"/>
        <w:spacing w:after="0" w:line="281" w:lineRule="auto"/>
        <w:tabs>
          <w:tab w:leader="none" w:pos="41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consequences of violations of law by our employees, agents or business partners, including violations related to anti-bribery, competition, export and import, trade sanctions, data privacy, environmental, human rights and other laws;</w:t>
      </w:r>
    </w:p>
    <w:p>
      <w:pPr>
        <w:spacing w:after="0" w:line="1" w:lineRule="exact"/>
        <w:rPr>
          <w:rFonts w:ascii="Times New Roman" w:cs="Times New Roman" w:eastAsia="Times New Roman" w:hAnsi="Times New Roman"/>
          <w:sz w:val="18"/>
          <w:szCs w:val="18"/>
          <w:color w:val="auto"/>
        </w:rPr>
      </w:pPr>
    </w:p>
    <w:p>
      <w:pPr>
        <w:ind w:left="400" w:hanging="230"/>
        <w:spacing w:after="0"/>
        <w:tabs>
          <w:tab w:leader="none" w:pos="4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operational and financial success of our joint ventures;</w:t>
      </w:r>
    </w:p>
    <w:p>
      <w:pPr>
        <w:spacing w:after="0" w:line="63" w:lineRule="exact"/>
        <w:rPr>
          <w:rFonts w:ascii="Times New Roman" w:cs="Times New Roman" w:eastAsia="Times New Roman" w:hAnsi="Times New Roman"/>
          <w:sz w:val="18"/>
          <w:szCs w:val="18"/>
          <w:color w:val="auto"/>
        </w:rPr>
      </w:pPr>
    </w:p>
    <w:p>
      <w:pPr>
        <w:ind w:left="400" w:hanging="230"/>
        <w:spacing w:after="0"/>
        <w:tabs>
          <w:tab w:leader="none" w:pos="4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develop, engage and retain qualified employees;</w:t>
      </w:r>
    </w:p>
    <w:p>
      <w:pPr>
        <w:spacing w:after="0" w:line="63" w:lineRule="exact"/>
        <w:rPr>
          <w:rFonts w:ascii="Times New Roman" w:cs="Times New Roman" w:eastAsia="Times New Roman" w:hAnsi="Times New Roman"/>
          <w:sz w:val="18"/>
          <w:szCs w:val="18"/>
          <w:color w:val="auto"/>
        </w:rPr>
      </w:pPr>
    </w:p>
    <w:p>
      <w:pPr>
        <w:ind w:left="400" w:hanging="230"/>
        <w:spacing w:after="0"/>
        <w:tabs>
          <w:tab w:leader="none" w:pos="4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respond to the evolution of the global transportation industry;</w:t>
      </w:r>
    </w:p>
    <w:p>
      <w:pPr>
        <w:spacing w:after="0" w:line="63" w:lineRule="exact"/>
        <w:rPr>
          <w:rFonts w:ascii="Times New Roman" w:cs="Times New Roman" w:eastAsia="Times New Roman" w:hAnsi="Times New Roman"/>
          <w:sz w:val="18"/>
          <w:szCs w:val="18"/>
          <w:color w:val="auto"/>
        </w:rPr>
      </w:pPr>
    </w:p>
    <w:p>
      <w:pPr>
        <w:ind w:left="400" w:hanging="230"/>
        <w:spacing w:after="0"/>
        <w:tabs>
          <w:tab w:leader="none" w:pos="4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 increased emphasis on global climate change and other sustainability matters by stakeholders;</w:t>
      </w:r>
    </w:p>
    <w:p>
      <w:pPr>
        <w:spacing w:after="0" w:line="63" w:lineRule="exact"/>
        <w:rPr>
          <w:rFonts w:ascii="Times New Roman" w:cs="Times New Roman" w:eastAsia="Times New Roman" w:hAnsi="Times New Roman"/>
          <w:sz w:val="18"/>
          <w:szCs w:val="18"/>
          <w:color w:val="auto"/>
        </w:rPr>
      </w:pPr>
    </w:p>
    <w:p>
      <w:pPr>
        <w:ind w:left="400" w:hanging="230"/>
        <w:spacing w:after="0"/>
        <w:tabs>
          <w:tab w:leader="none" w:pos="4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global climate change;</w:t>
      </w:r>
    </w:p>
    <w:p>
      <w:pPr>
        <w:spacing w:after="0" w:line="63" w:lineRule="exact"/>
        <w:rPr>
          <w:rFonts w:ascii="Times New Roman" w:cs="Times New Roman" w:eastAsia="Times New Roman" w:hAnsi="Times New Roman"/>
          <w:sz w:val="18"/>
          <w:szCs w:val="18"/>
          <w:color w:val="auto"/>
        </w:rPr>
      </w:pPr>
    </w:p>
    <w:p>
      <w:pPr>
        <w:ind w:left="400" w:hanging="230"/>
        <w:spacing w:after="0"/>
        <w:tabs>
          <w:tab w:leader="none" w:pos="4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pandemics, epidemics, disease outbreaks and other public health crises on our business;</w:t>
      </w:r>
    </w:p>
    <w:p>
      <w:pPr>
        <w:spacing w:after="0" w:line="63" w:lineRule="exact"/>
        <w:rPr>
          <w:rFonts w:ascii="Times New Roman" w:cs="Times New Roman" w:eastAsia="Times New Roman" w:hAnsi="Times New Roman"/>
          <w:sz w:val="18"/>
          <w:szCs w:val="18"/>
          <w:color w:val="auto"/>
        </w:rPr>
      </w:pPr>
    </w:p>
    <w:p>
      <w:pPr>
        <w:ind w:left="400" w:hanging="230"/>
        <w:spacing w:after="0"/>
        <w:tabs>
          <w:tab w:leader="none" w:pos="4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and timing of program launch costs and our management of new program launches;</w:t>
      </w:r>
    </w:p>
    <w:p>
      <w:pPr>
        <w:spacing w:after="0" w:line="63" w:lineRule="exact"/>
        <w:rPr>
          <w:rFonts w:ascii="Times New Roman" w:cs="Times New Roman" w:eastAsia="Times New Roman" w:hAnsi="Times New Roman"/>
          <w:sz w:val="18"/>
          <w:szCs w:val="18"/>
          <w:color w:val="auto"/>
        </w:rPr>
      </w:pPr>
    </w:p>
    <w:p>
      <w:pPr>
        <w:ind w:left="400" w:hanging="230"/>
        <w:spacing w:after="0"/>
        <w:tabs>
          <w:tab w:leader="none" w:pos="4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delayed program launches due to customer planning decisions;</w:t>
      </w:r>
    </w:p>
    <w:p>
      <w:pPr>
        <w:spacing w:after="0" w:line="63" w:lineRule="exact"/>
        <w:rPr>
          <w:rFonts w:ascii="Times New Roman" w:cs="Times New Roman" w:eastAsia="Times New Roman" w:hAnsi="Times New Roman"/>
          <w:sz w:val="18"/>
          <w:szCs w:val="18"/>
          <w:color w:val="auto"/>
        </w:rPr>
      </w:pPr>
    </w:p>
    <w:p>
      <w:pPr>
        <w:ind w:left="400" w:hanging="230"/>
        <w:spacing w:after="0"/>
        <w:tabs>
          <w:tab w:leader="none" w:pos="4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discount rates and the actual return on pension assets;</w:t>
      </w:r>
    </w:p>
    <w:p>
      <w:pPr>
        <w:spacing w:after="0" w:line="63" w:lineRule="exact"/>
        <w:rPr>
          <w:rFonts w:ascii="Times New Roman" w:cs="Times New Roman" w:eastAsia="Times New Roman" w:hAnsi="Times New Roman"/>
          <w:sz w:val="18"/>
          <w:szCs w:val="18"/>
          <w:color w:val="auto"/>
        </w:rPr>
      </w:pPr>
    </w:p>
    <w:p>
      <w:pPr>
        <w:ind w:left="400" w:hanging="230"/>
        <w:spacing w:after="0"/>
        <w:tabs>
          <w:tab w:leader="none" w:pos="4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charges initiated by adverse industry or market developments;</w:t>
      </w:r>
    </w:p>
    <w:p>
      <w:pPr>
        <w:spacing w:after="0" w:line="63" w:lineRule="exact"/>
        <w:rPr>
          <w:rFonts w:ascii="Times New Roman" w:cs="Times New Roman" w:eastAsia="Times New Roman" w:hAnsi="Times New Roman"/>
          <w:sz w:val="18"/>
          <w:szCs w:val="18"/>
          <w:color w:val="auto"/>
        </w:rPr>
      </w:pPr>
    </w:p>
    <w:p>
      <w:pPr>
        <w:ind w:left="400" w:hanging="230"/>
        <w:spacing w:after="0"/>
        <w:tabs>
          <w:tab w:leader="none" w:pos="4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execute our strategic objectives;</w:t>
      </w:r>
    </w:p>
    <w:p>
      <w:pPr>
        <w:spacing w:after="0" w:line="63" w:lineRule="exact"/>
        <w:rPr>
          <w:rFonts w:ascii="Times New Roman" w:cs="Times New Roman" w:eastAsia="Times New Roman" w:hAnsi="Times New Roman"/>
          <w:sz w:val="18"/>
          <w:szCs w:val="18"/>
          <w:color w:val="auto"/>
        </w:rPr>
      </w:pPr>
    </w:p>
    <w:p>
      <w:pPr>
        <w:ind w:left="400" w:hanging="230"/>
        <w:spacing w:after="0"/>
        <w:tabs>
          <w:tab w:leader="none" w:pos="4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imposed by our existing indebtedness and our ability to access capital markets on commercially reasonable terms;</w:t>
      </w:r>
    </w:p>
    <w:p>
      <w:pPr>
        <w:spacing w:after="0" w:line="63" w:lineRule="exact"/>
        <w:rPr>
          <w:rFonts w:ascii="Times New Roman" w:cs="Times New Roman" w:eastAsia="Times New Roman" w:hAnsi="Times New Roman"/>
          <w:sz w:val="18"/>
          <w:szCs w:val="18"/>
          <w:color w:val="auto"/>
        </w:rPr>
      </w:pPr>
    </w:p>
    <w:p>
      <w:pPr>
        <w:ind w:left="400" w:hanging="230"/>
        <w:spacing w:after="0"/>
        <w:tabs>
          <w:tab w:leader="none" w:pos="4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to our information technology systems, or those of our customers or suppliers, including those related to cybersecurity;</w:t>
      </w:r>
    </w:p>
    <w:p>
      <w:pPr>
        <w:spacing w:after="0" w:line="63" w:lineRule="exact"/>
        <w:rPr>
          <w:rFonts w:ascii="Times New Roman" w:cs="Times New Roman" w:eastAsia="Times New Roman" w:hAnsi="Times New Roman"/>
          <w:sz w:val="18"/>
          <w:szCs w:val="18"/>
          <w:color w:val="auto"/>
        </w:rPr>
      </w:pPr>
    </w:p>
    <w:p>
      <w:pPr>
        <w:ind w:left="400" w:hanging="230"/>
        <w:spacing w:after="0"/>
        <w:tabs>
          <w:tab w:leader="none" w:pos="4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our warranty, product liability or recall costs;</w:t>
      </w:r>
    </w:p>
    <w:p>
      <w:pPr>
        <w:spacing w:after="0" w:line="63" w:lineRule="exact"/>
        <w:rPr>
          <w:rFonts w:ascii="Times New Roman" w:cs="Times New Roman" w:eastAsia="Times New Roman" w:hAnsi="Times New Roman"/>
          <w:sz w:val="18"/>
          <w:szCs w:val="18"/>
          <w:color w:val="auto"/>
        </w:rPr>
      </w:pPr>
    </w:p>
    <w:p>
      <w:pPr>
        <w:ind w:left="400" w:hanging="230"/>
        <w:spacing w:after="0"/>
        <w:tabs>
          <w:tab w:leader="none" w:pos="4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legal or regulatory proceedings to which we are or may become a party;</w:t>
      </w:r>
    </w:p>
    <w:p>
      <w:pPr>
        <w:spacing w:after="0" w:line="63" w:lineRule="exact"/>
        <w:rPr>
          <w:rFonts w:ascii="Times New Roman" w:cs="Times New Roman" w:eastAsia="Times New Roman" w:hAnsi="Times New Roman"/>
          <w:sz w:val="18"/>
          <w:szCs w:val="18"/>
          <w:color w:val="auto"/>
        </w:rPr>
      </w:pPr>
    </w:p>
    <w:p>
      <w:pPr>
        <w:ind w:left="400" w:hanging="230"/>
        <w:spacing w:after="0"/>
        <w:tabs>
          <w:tab w:leader="none" w:pos="4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pending legislation and regulations or changes in existing federal, state, local or foreign laws or regulations;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00" w:hanging="230"/>
        <w:spacing w:after="0"/>
        <w:tabs>
          <w:tab w:leader="none" w:pos="4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regulations on our foreign operations;</w:t>
      </w:r>
    </w:p>
    <w:p>
      <w:pPr>
        <w:spacing w:after="0" w:line="63" w:lineRule="exact"/>
        <w:rPr>
          <w:rFonts w:ascii="Times New Roman" w:cs="Times New Roman" w:eastAsia="Times New Roman" w:hAnsi="Times New Roman"/>
          <w:sz w:val="18"/>
          <w:szCs w:val="18"/>
          <w:color w:val="auto"/>
        </w:rPr>
      </w:pPr>
    </w:p>
    <w:p>
      <w:pPr>
        <w:ind w:left="400" w:hanging="230"/>
        <w:spacing w:after="0"/>
        <w:tabs>
          <w:tab w:leader="none" w:pos="4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compliance with environmental laws and regulations;</w:t>
      </w:r>
    </w:p>
    <w:p>
      <w:pPr>
        <w:spacing w:after="0" w:line="63" w:lineRule="exact"/>
        <w:rPr>
          <w:rFonts w:ascii="Times New Roman" w:cs="Times New Roman" w:eastAsia="Times New Roman" w:hAnsi="Times New Roman"/>
          <w:sz w:val="18"/>
          <w:szCs w:val="18"/>
          <w:color w:val="auto"/>
        </w:rPr>
      </w:pPr>
    </w:p>
    <w:p>
      <w:pPr>
        <w:ind w:left="400" w:hanging="230"/>
        <w:spacing w:after="0"/>
        <w:tabs>
          <w:tab w:leader="none" w:pos="4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assertions by or against us relating to intellectual property rights;</w:t>
      </w:r>
    </w:p>
    <w:p>
      <w:pPr>
        <w:spacing w:after="0" w:line="63" w:lineRule="exact"/>
        <w:rPr>
          <w:rFonts w:ascii="Times New Roman" w:cs="Times New Roman" w:eastAsia="Times New Roman" w:hAnsi="Times New Roman"/>
          <w:sz w:val="18"/>
          <w:szCs w:val="18"/>
          <w:color w:val="auto"/>
        </w:rPr>
      </w:pPr>
    </w:p>
    <w:p>
      <w:pPr>
        <w:ind w:left="420" w:hanging="250"/>
        <w:spacing w:after="0" w:line="281" w:lineRule="auto"/>
        <w:tabs>
          <w:tab w:leader="none" w:pos="41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changes in our effective tax rate, the adoption of new tax legislation or exposure to additional income tax liabilities on our profitability; and</w:t>
      </w:r>
    </w:p>
    <w:p>
      <w:pPr>
        <w:spacing w:after="0" w:line="1" w:lineRule="exact"/>
        <w:rPr>
          <w:rFonts w:ascii="Times New Roman" w:cs="Times New Roman" w:eastAsia="Times New Roman" w:hAnsi="Times New Roman"/>
          <w:sz w:val="18"/>
          <w:szCs w:val="18"/>
          <w:color w:val="auto"/>
        </w:rPr>
      </w:pPr>
    </w:p>
    <w:p>
      <w:pPr>
        <w:ind w:left="400" w:hanging="230"/>
        <w:spacing w:after="0"/>
        <w:tabs>
          <w:tab w:leader="none" w:pos="4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described in Part I — Item 1A, "Risk Factors," included in this Report and in our other Securities and Exchange Commission filings.</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forward-looking statements in this Report are made as of the date hereof, and we do not assume any obligation to update, amend or clarify them to reflect events, new information or circumstances occurring after the date hereof.</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ITEM 7A — QUANTITATIVE AND QUALITATIVE DISCLOSURES ABOUT MARKET RISK</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 Risk Sensitivity</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normal course of business, we are exposed to market risks associated with fluctuations in foreign exchange rates, interest rates and commodity prices. We manage a portion of these risks through the use of derivative financial instruments in accordance with our policies. We enter into all hedging transactions for periods consistent with the underlying exposures. We do not enter into derivative instruments for trading purposes.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Foreign Exchange</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Operating results may be impacted by our buying, selling and financing in currencies other than the functional currency of our operating companies ("transactional exposure"). Currently, our most significant foreign currency transactional exposures relate to the Mexican peso, various European currencies, the Moroccan dirham, the Chinese renminbi and the Honduran lempira. We may mitigate a portion of this risk by entering into forward foreign exchange, futures and option contracts. The foreign exchange contracts are executed with banks that we believe are creditworthy.</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notional amount and estimated aggregate fair value of our outstanding foreign exchange contracts is shown below (in millions):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December 31,</w:t>
            </w:r>
          </w:p>
        </w:tc>
        <w:tc>
          <w:tcPr>
            <w:tcW w:w="7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color w:val="auto"/>
              </w:rPr>
              <w:t>2025</w:t>
            </w:r>
          </w:p>
        </w:tc>
        <w:tc>
          <w:tcPr>
            <w:tcW w:w="3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color w:val="auto"/>
              </w:rPr>
              <w:t>2024</w:t>
            </w:r>
          </w:p>
        </w:tc>
      </w:tr>
      <w:tr>
        <w:trPr>
          <w:trHeight w:val="230"/>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Notional amount (contract maturities &lt; 36 months)</w:t>
            </w:r>
          </w:p>
        </w:tc>
        <w:tc>
          <w:tcPr>
            <w:tcW w:w="7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3,069</w:t>
            </w:r>
          </w:p>
        </w:tc>
        <w:tc>
          <w:tcPr>
            <w:tcW w:w="3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3,087</w:t>
            </w:r>
          </w:p>
        </w:tc>
      </w:tr>
      <w:tr>
        <w:trPr>
          <w:trHeight w:val="236"/>
        </w:trPr>
        <w:tc>
          <w:tcPr>
            <w:tcW w:w="4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Fair value</w:t>
            </w:r>
          </w:p>
        </w:tc>
        <w:tc>
          <w:tcPr>
            <w:tcW w:w="7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202</w:t>
            </w:r>
          </w:p>
        </w:tc>
        <w:tc>
          <w:tcPr>
            <w:tcW w:w="3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w:t>
            </w:r>
          </w:p>
        </w:tc>
      </w:tr>
    </w:tbl>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2025 and 2024, the potential change in fair value of our outstanding foreign exchange contracts assuming a hypothetical 10% adverse move in foreign currency exchange rates would result in a loss of approximately $292 million and $254 million, respectively. As of December 31, 2025 and 2024, the potential change in fair value of our outstanding foreign exchange contracts assuming a hypothetical 10% favorable move in foreign currency exchange rates would result in a gain of approximately $351 million and $301 million, respectively.</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foreign currency exchange rates typically do not all move in the same direction, the estimated impact from changes in foreign currency exchange rates on the net fair value of the Company's foreign exchange contracts may be overstated. Gains and losses related to foreign exchange contracts are deferred where appropriate and included in the measurement of the foreign currency transaction subject to the hedge. Gains and losses related to foreign exchange contracts are generally offset by the direct effects of foreign currency exchange rate movements on the underlying transactions.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the transactional exposure described above, our operating results are impacted by the translation of our foreign operating income into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dollars ("translational exposure"). In 2025, net sales outside of the United States accounted for 77% of our consolidated net sales, although certain non-U.S.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sales are U.S. dollar denominated. We do not enter into foreign exchange contracts to mitigate our translational exposure.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4" w:name="page55"/>
    <w:bookmarkEnd w:id="5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ITEM 8 – CONSOLIDATED FINANCIAL STATEMENTS AND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SUPPLEMENTARY DATA</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277"/>
        </w:trPr>
        <w:tc>
          <w:tcPr>
            <w:tcW w:w="108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 xml:space="preserve">Reports of Ernst &amp; Young LLP, Independent Registered Public Accounting Firm </w:t>
            </w:r>
            <w:r>
              <w:rPr>
                <w:rFonts w:ascii="Times New Roman" w:cs="Times New Roman" w:eastAsia="Times New Roman" w:hAnsi="Times New Roman"/>
                <w:sz w:val="18"/>
                <w:szCs w:val="18"/>
                <w:color w:val="0000EE"/>
              </w:rPr>
              <w:t>(PCAOB ID: 42)</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56</w:t>
            </w:r>
          </w:p>
        </w:tc>
      </w:tr>
      <w:tr>
        <w:trPr>
          <w:trHeight w:val="20"/>
        </w:trPr>
        <w:tc>
          <w:tcPr>
            <w:tcW w:w="3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64"/>
        </w:trPr>
        <w:tc>
          <w:tcPr>
            <w:tcW w:w="46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9"/>
              </w:rPr>
              <w:t>Consolidated Balance Sheets as of December 31, 2025 and 2024</w:t>
            </w:r>
          </w:p>
        </w:tc>
        <w:tc>
          <w:tcPr>
            <w:tcW w:w="1140" w:type="dxa"/>
            <w:vAlign w:val="bottom"/>
          </w:tcPr>
          <w:p>
            <w:pPr>
              <w:spacing w:after="0"/>
              <w:rPr>
                <w:sz w:val="22"/>
                <w:szCs w:val="22"/>
                <w:color w:val="auto"/>
              </w:rPr>
            </w:pPr>
          </w:p>
        </w:tc>
        <w:tc>
          <w:tcPr>
            <w:tcW w:w="1280" w:type="dxa"/>
            <w:vAlign w:val="bottom"/>
            <w:gridSpan w:val="3"/>
          </w:tcPr>
          <w:p>
            <w:pPr>
              <w:spacing w:after="0"/>
              <w:rPr>
                <w:sz w:val="22"/>
                <w:szCs w:val="22"/>
                <w:color w:val="auto"/>
              </w:rPr>
            </w:pPr>
          </w:p>
        </w:tc>
        <w:tc>
          <w:tcPr>
            <w:tcW w:w="3800" w:type="dxa"/>
            <w:vAlign w:val="bottom"/>
            <w:gridSpan w:val="2"/>
          </w:tcPr>
          <w:p>
            <w:pPr>
              <w:spacing w:after="0"/>
              <w:rPr>
                <w:sz w:val="22"/>
                <w:szCs w:val="22"/>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59</w:t>
            </w:r>
          </w:p>
        </w:tc>
      </w:tr>
      <w:tr>
        <w:trPr>
          <w:trHeight w:val="20"/>
        </w:trPr>
        <w:tc>
          <w:tcPr>
            <w:tcW w:w="3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63"/>
        </w:trPr>
        <w:tc>
          <w:tcPr>
            <w:tcW w:w="108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Consolidated Statements of Income for the years ended December 31, 2025, 2024 and 2023</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60</w:t>
            </w:r>
          </w:p>
        </w:tc>
      </w:tr>
      <w:tr>
        <w:trPr>
          <w:trHeight w:val="20"/>
        </w:trPr>
        <w:tc>
          <w:tcPr>
            <w:tcW w:w="3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64"/>
        </w:trPr>
        <w:tc>
          <w:tcPr>
            <w:tcW w:w="108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Income for the years ended December 31, 2025, 2024 and 2023</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61</w:t>
            </w:r>
          </w:p>
        </w:tc>
      </w:tr>
      <w:tr>
        <w:trPr>
          <w:trHeight w:val="20"/>
        </w:trPr>
        <w:tc>
          <w:tcPr>
            <w:tcW w:w="3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63"/>
        </w:trPr>
        <w:tc>
          <w:tcPr>
            <w:tcW w:w="778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Consolidated Statements of Equity for the years ended December 31, 2025, 2024 and 2023</w:t>
            </w:r>
          </w:p>
        </w:tc>
        <w:tc>
          <w:tcPr>
            <w:tcW w:w="3100" w:type="dxa"/>
            <w:vAlign w:val="bottom"/>
          </w:tcPr>
          <w:p>
            <w:pPr>
              <w:spacing w:after="0"/>
              <w:rPr>
                <w:sz w:val="22"/>
                <w:szCs w:val="22"/>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62</w:t>
            </w:r>
          </w:p>
        </w:tc>
      </w:tr>
      <w:tr>
        <w:trPr>
          <w:trHeight w:val="20"/>
        </w:trPr>
        <w:tc>
          <w:tcPr>
            <w:tcW w:w="3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980" w:type="dxa"/>
            <w:vAlign w:val="bottom"/>
            <w:gridSpan w:val="3"/>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9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63"/>
        </w:trPr>
        <w:tc>
          <w:tcPr>
            <w:tcW w:w="69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 for the years ended December 31, 2025, 2024 and 2023</w:t>
            </w:r>
          </w:p>
        </w:tc>
        <w:tc>
          <w:tcPr>
            <w:tcW w:w="3960" w:type="dxa"/>
            <w:vAlign w:val="bottom"/>
            <w:gridSpan w:val="3"/>
          </w:tcPr>
          <w:p>
            <w:pPr>
              <w:spacing w:after="0"/>
              <w:rPr>
                <w:sz w:val="22"/>
                <w:szCs w:val="22"/>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64</w:t>
            </w:r>
          </w:p>
        </w:tc>
      </w:tr>
      <w:tr>
        <w:trPr>
          <w:trHeight w:val="20"/>
        </w:trPr>
        <w:tc>
          <w:tcPr>
            <w:tcW w:w="3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64"/>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3760" w:type="dxa"/>
            <w:vAlign w:val="bottom"/>
            <w:gridSpan w:val="5"/>
          </w:tcPr>
          <w:p>
            <w:pPr>
              <w:spacing w:after="0"/>
              <w:rPr>
                <w:sz w:val="22"/>
                <w:szCs w:val="22"/>
                <w:color w:val="auto"/>
              </w:rPr>
            </w:pPr>
          </w:p>
        </w:tc>
        <w:tc>
          <w:tcPr>
            <w:tcW w:w="3960" w:type="dxa"/>
            <w:vAlign w:val="bottom"/>
            <w:gridSpan w:val="3"/>
          </w:tcPr>
          <w:p>
            <w:pPr>
              <w:spacing w:after="0"/>
              <w:rPr>
                <w:sz w:val="22"/>
                <w:szCs w:val="22"/>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65</w:t>
            </w:r>
          </w:p>
        </w:tc>
      </w:tr>
      <w:tr>
        <w:trPr>
          <w:trHeight w:val="20"/>
        </w:trPr>
        <w:tc>
          <w:tcPr>
            <w:tcW w:w="316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32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63"/>
        </w:trPr>
        <w:tc>
          <w:tcPr>
            <w:tcW w:w="35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Schedule II – Valuation and Qualifying Accounts</w:t>
            </w:r>
          </w:p>
        </w:tc>
        <w:tc>
          <w:tcPr>
            <w:tcW w:w="7320" w:type="dxa"/>
            <w:vAlign w:val="bottom"/>
            <w:gridSpan w:val="7"/>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96"/>
              </w:rPr>
              <w:t>108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40" w:top="1319" w:right="379" w:bottom="1440" w:gutter="0" w:footer="0" w:header="0"/>
        </w:sectPr>
      </w:pPr>
    </w:p>
    <w:bookmarkStart w:id="55" w:name="page56"/>
    <w:bookmarkEnd w:id="55"/>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the Shareholders and the Board of Directors of Lear Corporation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Lear Corporation and subsidiaries (the Company) as of December 31, 2025 and 2024, the related consolidated statements of income, comprehensive income, equity and cash flows for each of the three years in the period ended December 31, 2025, and the related notes and financial statement schedule listed in the Index at Item 15(a)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each of the three years in the period ended December 31, 2025, in conformity with U.S. generally accepted accounting principles.</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December 31, 2025, based on criteria established in Internal Control-Integrated Framework issued by the Committee of Sponsoring Organizations of the Treadway Commission (2013 framework), and our report dated February 13, 2026 expressed an unqualified opinion thereon.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 or disclosure to which it relates.</w:t>
      </w:r>
    </w:p>
    <w:p>
      <w:pPr>
        <w:sectPr>
          <w:pgSz w:w="11900" w:h="16838" w:orient="portrait"/>
          <w:cols w:equalWidth="0" w:num="1">
            <w:col w:w="11240"/>
          </w:cols>
          <w:pgMar w:left="320" w:top="927" w:right="339" w:bottom="1440" w:gutter="0" w:footer="0" w:header="0"/>
        </w:sectPr>
      </w:pPr>
    </w:p>
    <w:p>
      <w:pPr>
        <w:spacing w:after="0" w:line="343" w:lineRule="exact"/>
        <w:rPr>
          <w:sz w:val="20"/>
          <w:szCs w:val="20"/>
          <w:color w:val="auto"/>
        </w:rPr>
      </w:pPr>
    </w:p>
    <w:p>
      <w:pPr>
        <w:ind w:left="20"/>
        <w:spacing w:after="0" w:line="238" w:lineRule="auto"/>
        <w:rPr>
          <w:sz w:val="20"/>
          <w:szCs w:val="20"/>
          <w:color w:val="auto"/>
        </w:rPr>
      </w:pPr>
      <w:r>
        <w:rPr>
          <w:rFonts w:ascii="Times New Roman" w:cs="Times New Roman" w:eastAsia="Times New Roman" w:hAnsi="Times New Roman"/>
          <w:sz w:val="18"/>
          <w:szCs w:val="18"/>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40" w:lineRule="exact"/>
        <w:rPr>
          <w:sz w:val="20"/>
          <w:szCs w:val="20"/>
          <w:color w:val="auto"/>
        </w:rPr>
      </w:pPr>
    </w:p>
    <w:p>
      <w:pPr>
        <w:jc w:val="both"/>
        <w:ind w:right="160"/>
        <w:spacing w:after="0" w:line="258" w:lineRule="auto"/>
        <w:rPr>
          <w:sz w:val="20"/>
          <w:szCs w:val="20"/>
          <w:color w:val="auto"/>
        </w:rPr>
      </w:pPr>
      <w:r>
        <w:rPr>
          <w:rFonts w:ascii="Times New Roman" w:cs="Times New Roman" w:eastAsia="Times New Roman" w:hAnsi="Times New Roman"/>
          <w:sz w:val="18"/>
          <w:szCs w:val="18"/>
          <w:color w:val="auto"/>
        </w:rPr>
        <w:t>As discussed in Note 2, Summary of Significant Accounting Policies, the Company's sales contracts with its customers may provide for annual price reductions over the production life of the vehicle. Prices may also be adjusted on an ongoing basis to reflect changes in product content, product cost and other commercial factors. Some of these price adjustments are non-routine in nature. The amount of revenue recognized by the Company reflects the consideration that the Company expects to be entitled to in exchange for its products based on the current purchase orders, annual price reductions and ongoing price adjustments.</w:t>
      </w:r>
    </w:p>
    <w:p>
      <w:pPr>
        <w:spacing w:after="0" w:line="210"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Auditing the consideration that the Company expects to be entitled to in exchange for certain of its products which are subject to non-routine price adjustments is highly judgmental as it relates to evaluating the sufficiency of evidence available from commercial negotiations to support the ultimate consideration that the Company is entitled to in exchange for those products.</w:t>
      </w:r>
    </w:p>
    <w:p>
      <w:pPr>
        <w:spacing w:after="0" w:line="200" w:lineRule="exact"/>
        <w:rPr>
          <w:sz w:val="20"/>
          <w:szCs w:val="20"/>
          <w:color w:val="auto"/>
        </w:rPr>
      </w:pPr>
    </w:p>
    <w:p>
      <w:pPr>
        <w:sectPr>
          <w:pgSz w:w="11900" w:h="16838" w:orient="portrait"/>
          <w:cols w:equalWidth="0" w:num="2">
            <w:col w:w="1320" w:space="400"/>
            <w:col w:w="9520"/>
          </w:cols>
          <w:pgMar w:left="320" w:top="927" w:right="339" w:bottom="1440" w:gutter="0" w:footer="0" w:header="0"/>
          <w:type w:val="continuous"/>
        </w:sect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type w:val="continuous"/>
        </w:sectPr>
      </w:pPr>
    </w:p>
    <w:bookmarkStart w:id="56" w:name="page57"/>
    <w:bookmarkEnd w:id="56"/>
    <w:p>
      <w:pPr>
        <w:ind w:left="20"/>
        <w:spacing w:after="0" w:line="184" w:lineRule="auto"/>
        <w:rPr>
          <w:sz w:val="20"/>
          <w:szCs w:val="20"/>
          <w:color w:val="auto"/>
        </w:rPr>
      </w:pPr>
      <w:r>
        <w:rPr>
          <w:rFonts w:ascii="Times New Roman" w:cs="Times New Roman" w:eastAsia="Times New Roman" w:hAnsi="Times New Roman"/>
          <w:sz w:val="18"/>
          <w:szCs w:val="18"/>
          <w:i w:val="1"/>
          <w:iCs w:val="1"/>
          <w:color w:val="auto"/>
        </w:rPr>
        <w:t xml:space="preserve">How We Addressed the </w:t>
      </w:r>
      <w:r>
        <w:rPr>
          <w:rFonts w:ascii="Times New Roman" w:cs="Times New Roman" w:eastAsia="Times New Roman" w:hAnsi="Times New Roman"/>
          <w:sz w:val="18"/>
          <w:szCs w:val="18"/>
          <w:color w:val="auto"/>
        </w:rPr>
        <w:t>We obtained an understanding, evaluated the design and tested the operating effectiveness of controls over the identification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35"/>
          <w:szCs w:val="35"/>
          <w:i w:val="1"/>
          <w:iCs w:val="1"/>
          <w:color w:val="auto"/>
          <w:vertAlign w:val="superscript"/>
        </w:rPr>
        <w:t>Matter in Our Audit</w:t>
      </w:r>
      <w:r>
        <w:rPr>
          <w:rFonts w:ascii="Times New Roman" w:cs="Times New Roman" w:eastAsia="Times New Roman" w:hAnsi="Times New Roman"/>
          <w:sz w:val="18"/>
          <w:szCs w:val="18"/>
          <w:color w:val="auto"/>
        </w:rPr>
        <w:t xml:space="preserve"> evaluation of product sales with non-routine price adjustments, including management's review of the evidence to support the</w:t>
      </w:r>
    </w:p>
    <w:p>
      <w:pPr>
        <w:ind w:left="1720"/>
        <w:spacing w:after="0"/>
        <w:rPr>
          <w:sz w:val="20"/>
          <w:szCs w:val="20"/>
          <w:color w:val="auto"/>
        </w:rPr>
      </w:pPr>
      <w:r>
        <w:rPr>
          <w:rFonts w:ascii="Times New Roman" w:cs="Times New Roman" w:eastAsia="Times New Roman" w:hAnsi="Times New Roman"/>
          <w:sz w:val="18"/>
          <w:szCs w:val="18"/>
          <w:color w:val="auto"/>
        </w:rPr>
        <w:t>Company's measurement of revenue related to those product sales.</w:t>
      </w:r>
    </w:p>
    <w:p>
      <w:pPr>
        <w:spacing w:after="0" w:line="205" w:lineRule="exact"/>
        <w:rPr>
          <w:sz w:val="20"/>
          <w:szCs w:val="20"/>
          <w:color w:val="auto"/>
        </w:rPr>
      </w:pPr>
    </w:p>
    <w:p>
      <w:pPr>
        <w:jc w:val="both"/>
        <w:ind w:left="1720"/>
        <w:spacing w:after="0" w:line="261" w:lineRule="auto"/>
        <w:rPr>
          <w:sz w:val="20"/>
          <w:szCs w:val="20"/>
          <w:color w:val="auto"/>
        </w:rPr>
      </w:pPr>
      <w:r>
        <w:rPr>
          <w:rFonts w:ascii="Times New Roman" w:cs="Times New Roman" w:eastAsia="Times New Roman" w:hAnsi="Times New Roman"/>
          <w:sz w:val="18"/>
          <w:szCs w:val="18"/>
          <w:color w:val="auto"/>
        </w:rPr>
        <w:t>Our audit procedures included, among others, inspecting communications between the Company and its customers related to the pricing arrangements, auditing adjustments related to those product sales, performing retrospective reviews of management's estimates to identify contrary evidence, if any, and performing inquiries of and obtaining written representations from executives, within the Company, responsible for the respective customer relationships.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Detroit, Michigan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13, 2026</w:t>
      </w:r>
    </w:p>
    <w:p>
      <w:pPr>
        <w:spacing w:after="0" w:line="200" w:lineRule="exact"/>
        <w:rPr>
          <w:sz w:val="20"/>
          <w:szCs w:val="20"/>
          <w:color w:val="auto"/>
        </w:rPr>
      </w:pPr>
    </w:p>
    <w:p>
      <w:pPr>
        <w:spacing w:after="0" w:line="38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118" w:right="499" w:bottom="1440" w:gutter="0" w:footer="0" w:header="0"/>
        </w:sectPr>
      </w:pPr>
    </w:p>
    <w:bookmarkStart w:id="57" w:name="page58"/>
    <w:bookmarkEnd w:id="57"/>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the Shareholders and the Board of Directors of Lear Corporation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audited Lear Corporation and subsidiaries' internal control over financial reporting as of December 31, 2025, based on criteria established in Internal Control—Integrated Framework issued by the Committee of Sponsoring Organizations of the Treadway Commission (2013 framework) (the COSO criteria). In our opinion, Lear Corporation and subsidiaries (the Company) maintained, in all material respects, effective internal control over financial reporting as of December 31, 2025, based on the COSO criteria.</w:t>
      </w:r>
    </w:p>
    <w:p>
      <w:pPr>
        <w:spacing w:after="0" w:line="7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2025 consolidated financial statements of the Company and our report dated February 13, 2026 expressed an unqualified opinion thereon.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Detroit, Michigan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13, 2026</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LEAR CORPORATION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BALANCE SHEETS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 except share data)</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7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December 31,</w:t>
            </w:r>
          </w:p>
        </w:tc>
        <w:tc>
          <w:tcPr>
            <w:tcW w:w="8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color w:val="auto"/>
              </w:rPr>
              <w:t>2025</w:t>
            </w:r>
          </w:p>
        </w:tc>
        <w:tc>
          <w:tcPr>
            <w:tcW w:w="4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color w:val="auto"/>
              </w:rPr>
              <w:t>2024</w:t>
            </w:r>
          </w:p>
        </w:tc>
      </w:tr>
      <w:tr>
        <w:trPr>
          <w:trHeight w:val="229"/>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8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Current Assets:</w:t>
            </w:r>
          </w:p>
        </w:tc>
        <w:tc>
          <w:tcPr>
            <w:tcW w:w="8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7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8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1,033.0</w:t>
            </w:r>
          </w:p>
        </w:tc>
        <w:tc>
          <w:tcPr>
            <w:tcW w:w="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1,052.9</w:t>
            </w:r>
          </w:p>
        </w:tc>
      </w:tr>
      <w:tr>
        <w:trPr>
          <w:trHeight w:val="229"/>
        </w:trPr>
        <w:tc>
          <w:tcPr>
            <w:tcW w:w="7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w:t>
            </w:r>
          </w:p>
        </w:tc>
        <w:tc>
          <w:tcPr>
            <w:tcW w:w="84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3,902.8</w:t>
            </w: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3,589.3</w:t>
            </w:r>
          </w:p>
        </w:tc>
      </w:tr>
      <w:tr>
        <w:trPr>
          <w:trHeight w:val="230"/>
        </w:trPr>
        <w:tc>
          <w:tcPr>
            <w:tcW w:w="7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8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1,693.2</w:t>
            </w: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1,601.1</w:t>
            </w:r>
          </w:p>
        </w:tc>
      </w:tr>
      <w:tr>
        <w:trPr>
          <w:trHeight w:val="229"/>
        </w:trPr>
        <w:tc>
          <w:tcPr>
            <w:tcW w:w="77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8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1,034.0</w:t>
            </w: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940.8</w:t>
            </w:r>
          </w:p>
        </w:tc>
      </w:tr>
      <w:tr>
        <w:trPr>
          <w:trHeight w:val="223"/>
        </w:trPr>
        <w:tc>
          <w:tcPr>
            <w:tcW w:w="774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current assets</w:t>
            </w:r>
          </w:p>
        </w:tc>
        <w:tc>
          <w:tcPr>
            <w:tcW w:w="8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7,663.0</w:t>
            </w:r>
          </w:p>
        </w:tc>
        <w:tc>
          <w:tcPr>
            <w:tcW w:w="4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7,184.1</w:t>
            </w:r>
          </w:p>
        </w:tc>
      </w:tr>
      <w:tr>
        <w:trPr>
          <w:trHeight w:val="22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Long-Term Assets:</w:t>
            </w:r>
          </w:p>
        </w:tc>
        <w:tc>
          <w:tcPr>
            <w:tcW w:w="8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7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8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2,913.1</w:t>
            </w: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2,833.4</w:t>
            </w:r>
          </w:p>
        </w:tc>
      </w:tr>
      <w:tr>
        <w:trPr>
          <w:trHeight w:val="229"/>
        </w:trPr>
        <w:tc>
          <w:tcPr>
            <w:tcW w:w="7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Goodwill</w:t>
            </w:r>
          </w:p>
        </w:tc>
        <w:tc>
          <w:tcPr>
            <w:tcW w:w="84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1,777.8</w:t>
            </w: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1,699.2</w:t>
            </w:r>
          </w:p>
        </w:tc>
      </w:tr>
      <w:tr>
        <w:trPr>
          <w:trHeight w:val="229"/>
        </w:trPr>
        <w:tc>
          <w:tcPr>
            <w:tcW w:w="774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8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2,489.2</w:t>
            </w:r>
          </w:p>
        </w:tc>
        <w:tc>
          <w:tcPr>
            <w:tcW w:w="4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2,310.8</w:t>
            </w:r>
          </w:p>
        </w:tc>
      </w:tr>
      <w:tr>
        <w:trPr>
          <w:trHeight w:val="223"/>
        </w:trPr>
        <w:tc>
          <w:tcPr>
            <w:tcW w:w="774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Total long-term assets</w:t>
            </w:r>
          </w:p>
        </w:tc>
        <w:tc>
          <w:tcPr>
            <w:tcW w:w="8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7,180.1</w:t>
            </w: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6,843.4</w:t>
            </w:r>
          </w:p>
        </w:tc>
      </w:tr>
      <w:tr>
        <w:trPr>
          <w:trHeight w:val="230"/>
        </w:trPr>
        <w:tc>
          <w:tcPr>
            <w:tcW w:w="7740" w:type="dxa"/>
            <w:vAlign w:val="bottom"/>
            <w:tcBorders>
              <w:bottom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Total assets</w:t>
            </w:r>
          </w:p>
        </w:tc>
        <w:tc>
          <w:tcPr>
            <w:tcW w:w="8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14,843.1</w:t>
            </w:r>
          </w:p>
        </w:tc>
        <w:tc>
          <w:tcPr>
            <w:tcW w:w="4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14,027.5</w:t>
            </w:r>
          </w:p>
        </w:tc>
      </w:tr>
      <w:tr>
        <w:trPr>
          <w:trHeight w:val="22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8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Current Liabilities:</w:t>
            </w:r>
          </w:p>
        </w:tc>
        <w:tc>
          <w:tcPr>
            <w:tcW w:w="8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7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Short-term borrowings</w:t>
            </w:r>
          </w:p>
        </w:tc>
        <w:tc>
          <w:tcPr>
            <w:tcW w:w="8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27.9</w:t>
            </w:r>
          </w:p>
        </w:tc>
        <w:tc>
          <w:tcPr>
            <w:tcW w:w="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r>
      <w:tr>
        <w:trPr>
          <w:trHeight w:val="229"/>
        </w:trPr>
        <w:tc>
          <w:tcPr>
            <w:tcW w:w="7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 and drafts</w:t>
            </w:r>
          </w:p>
        </w:tc>
        <w:tc>
          <w:tcPr>
            <w:tcW w:w="8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3,416.5</w:t>
            </w: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3,250.5</w:t>
            </w:r>
          </w:p>
        </w:tc>
      </w:tr>
      <w:tr>
        <w:trPr>
          <w:trHeight w:val="230"/>
        </w:trPr>
        <w:tc>
          <w:tcPr>
            <w:tcW w:w="7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liabilities</w:t>
            </w:r>
          </w:p>
        </w:tc>
        <w:tc>
          <w:tcPr>
            <w:tcW w:w="84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2,219.0</w:t>
            </w: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2,167.6</w:t>
            </w:r>
          </w:p>
        </w:tc>
      </w:tr>
      <w:tr>
        <w:trPr>
          <w:trHeight w:val="229"/>
        </w:trPr>
        <w:tc>
          <w:tcPr>
            <w:tcW w:w="774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8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3.7</w:t>
            </w:r>
          </w:p>
        </w:tc>
        <w:tc>
          <w:tcPr>
            <w:tcW w:w="4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3"/>
        </w:trPr>
        <w:tc>
          <w:tcPr>
            <w:tcW w:w="774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8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5,667.1</w:t>
            </w: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5,447.0</w:t>
            </w:r>
          </w:p>
        </w:tc>
      </w:tr>
      <w:tr>
        <w:trPr>
          <w:trHeight w:val="223"/>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Long-Term Liabilities:</w:t>
            </w:r>
          </w:p>
        </w:tc>
        <w:tc>
          <w:tcPr>
            <w:tcW w:w="8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7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Long-term debt</w:t>
            </w:r>
          </w:p>
        </w:tc>
        <w:tc>
          <w:tcPr>
            <w:tcW w:w="84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2,711.5</w:t>
            </w: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2,733.3</w:t>
            </w:r>
          </w:p>
        </w:tc>
      </w:tr>
      <w:tr>
        <w:trPr>
          <w:trHeight w:val="230"/>
        </w:trPr>
        <w:tc>
          <w:tcPr>
            <w:tcW w:w="774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8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1,263.5</w:t>
            </w:r>
          </w:p>
        </w:tc>
        <w:tc>
          <w:tcPr>
            <w:tcW w:w="4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1,246.2</w:t>
            </w:r>
          </w:p>
        </w:tc>
      </w:tr>
      <w:tr>
        <w:trPr>
          <w:trHeight w:val="223"/>
        </w:trPr>
        <w:tc>
          <w:tcPr>
            <w:tcW w:w="774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8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3,975.0</w:t>
            </w: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3,979.5</w:t>
            </w:r>
          </w:p>
        </w:tc>
      </w:tr>
      <w:tr>
        <w:trPr>
          <w:trHeight w:val="223"/>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Equity:</w:t>
            </w:r>
          </w:p>
        </w:tc>
        <w:tc>
          <w:tcPr>
            <w:tcW w:w="8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184"/>
        </w:trPr>
        <w:tc>
          <w:tcPr>
            <w:tcW w:w="7740" w:type="dxa"/>
            <w:vAlign w:val="bottom"/>
          </w:tcPr>
          <w:p>
            <w:pPr>
              <w:ind w:left="360"/>
              <w:spacing w:after="0" w:line="184" w:lineRule="exact"/>
              <w:rPr>
                <w:sz w:val="20"/>
                <w:szCs w:val="20"/>
                <w:color w:val="auto"/>
              </w:rPr>
            </w:pPr>
            <w:r>
              <w:rPr>
                <w:rFonts w:ascii="Times New Roman" w:cs="Times New Roman" w:eastAsia="Times New Roman" w:hAnsi="Times New Roman"/>
                <w:sz w:val="18"/>
                <w:szCs w:val="18"/>
                <w:color w:val="auto"/>
              </w:rPr>
              <w:t>Preferred stock, 100,000,000 shares authorized (including 10,896,250 shares</w:t>
            </w:r>
          </w:p>
        </w:tc>
        <w:tc>
          <w:tcPr>
            <w:tcW w:w="8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4"/>
        </w:trPr>
        <w:tc>
          <w:tcPr>
            <w:tcW w:w="77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of Series A convertible preferred stock authorized); no shares outstanding</w:t>
            </w:r>
          </w:p>
        </w:tc>
        <w:tc>
          <w:tcPr>
            <w:tcW w:w="840" w:type="dxa"/>
            <w:vAlign w:val="bottom"/>
          </w:tcPr>
          <w:p>
            <w:pPr>
              <w:spacing w:after="0"/>
              <w:rPr>
                <w:sz w:val="20"/>
                <w:szCs w:val="20"/>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84"/>
        </w:trPr>
        <w:tc>
          <w:tcPr>
            <w:tcW w:w="7740" w:type="dxa"/>
            <w:vAlign w:val="bottom"/>
            <w:shd w:val="clear" w:color="auto" w:fill="CCEEFF"/>
          </w:tcPr>
          <w:p>
            <w:pPr>
              <w:ind w:left="360"/>
              <w:spacing w:after="0" w:line="184" w:lineRule="exact"/>
              <w:rPr>
                <w:sz w:val="20"/>
                <w:szCs w:val="20"/>
                <w:color w:val="auto"/>
              </w:rPr>
            </w:pPr>
            <w:r>
              <w:rPr>
                <w:rFonts w:ascii="Times New Roman" w:cs="Times New Roman" w:eastAsia="Times New Roman" w:hAnsi="Times New Roman"/>
                <w:sz w:val="18"/>
                <w:szCs w:val="18"/>
                <w:color w:val="auto"/>
              </w:rPr>
              <w:t>Common stock, $0.01 par value, 300,000,000 shares authorized; 64,571,405 shares issued as of</w:t>
            </w:r>
          </w:p>
        </w:tc>
        <w:tc>
          <w:tcPr>
            <w:tcW w:w="8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34"/>
        </w:trPr>
        <w:tc>
          <w:tcPr>
            <w:tcW w:w="7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December 31, 2025 and 2024</w:t>
            </w:r>
          </w:p>
        </w:tc>
        <w:tc>
          <w:tcPr>
            <w:tcW w:w="84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0.6</w:t>
            </w:r>
          </w:p>
        </w:tc>
        <w:tc>
          <w:tcPr>
            <w:tcW w:w="4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30"/>
        </w:trPr>
        <w:tc>
          <w:tcPr>
            <w:tcW w:w="7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84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1,111.1</w:t>
            </w: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1,077.4</w:t>
            </w:r>
          </w:p>
        </w:tc>
      </w:tr>
      <w:tr>
        <w:trPr>
          <w:trHeight w:val="184"/>
        </w:trPr>
        <w:tc>
          <w:tcPr>
            <w:tcW w:w="7740" w:type="dxa"/>
            <w:vAlign w:val="bottom"/>
            <w:shd w:val="clear" w:color="auto" w:fill="CCEEFF"/>
          </w:tcPr>
          <w:p>
            <w:pPr>
              <w:ind w:left="360"/>
              <w:spacing w:after="0" w:line="184" w:lineRule="exact"/>
              <w:rPr>
                <w:sz w:val="20"/>
                <w:szCs w:val="20"/>
                <w:color w:val="auto"/>
              </w:rPr>
            </w:pPr>
            <w:r>
              <w:rPr>
                <w:rFonts w:ascii="Times New Roman" w:cs="Times New Roman" w:eastAsia="Times New Roman" w:hAnsi="Times New Roman"/>
                <w:sz w:val="18"/>
                <w:szCs w:val="18"/>
                <w:color w:val="auto"/>
              </w:rPr>
              <w:t>Common stock held in treasury, 13,924,658 and 10,993,851 shares</w:t>
            </w:r>
          </w:p>
        </w:tc>
        <w:tc>
          <w:tcPr>
            <w:tcW w:w="8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34"/>
        </w:trPr>
        <w:tc>
          <w:tcPr>
            <w:tcW w:w="7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as of December 31, 2025 and 2024, respectively, at cost</w:t>
            </w:r>
          </w:p>
        </w:tc>
        <w:tc>
          <w:tcPr>
            <w:tcW w:w="8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(1,721.3)</w:t>
            </w:r>
          </w:p>
        </w:tc>
        <w:tc>
          <w:tcPr>
            <w:tcW w:w="4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(1,423.6)</w:t>
            </w:r>
          </w:p>
        </w:tc>
      </w:tr>
      <w:tr>
        <w:trPr>
          <w:trHeight w:val="230"/>
        </w:trPr>
        <w:tc>
          <w:tcPr>
            <w:tcW w:w="7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Retained earnings</w:t>
            </w:r>
          </w:p>
        </w:tc>
        <w:tc>
          <w:tcPr>
            <w:tcW w:w="84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6,189.0</w:t>
            </w: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5,931.0</w:t>
            </w:r>
          </w:p>
        </w:tc>
      </w:tr>
      <w:tr>
        <w:trPr>
          <w:trHeight w:val="230"/>
        </w:trPr>
        <w:tc>
          <w:tcPr>
            <w:tcW w:w="774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8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(544.3)</w:t>
            </w:r>
          </w:p>
        </w:tc>
        <w:tc>
          <w:tcPr>
            <w:tcW w:w="4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(1,133.7)</w:t>
            </w:r>
          </w:p>
        </w:tc>
      </w:tr>
      <w:tr>
        <w:trPr>
          <w:trHeight w:val="223"/>
        </w:trPr>
        <w:tc>
          <w:tcPr>
            <w:tcW w:w="77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Lear Corporation shareholders' equity</w:t>
            </w:r>
          </w:p>
        </w:tc>
        <w:tc>
          <w:tcPr>
            <w:tcW w:w="84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5,035.1</w:t>
            </w: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4,451.7</w:t>
            </w:r>
          </w:p>
        </w:tc>
      </w:tr>
      <w:tr>
        <w:trPr>
          <w:trHeight w:val="230"/>
        </w:trPr>
        <w:tc>
          <w:tcPr>
            <w:tcW w:w="774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Noncontrolling interests</w:t>
            </w:r>
          </w:p>
        </w:tc>
        <w:tc>
          <w:tcPr>
            <w:tcW w:w="8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165.9</w:t>
            </w:r>
          </w:p>
        </w:tc>
        <w:tc>
          <w:tcPr>
            <w:tcW w:w="4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w:t>
            </w:r>
          </w:p>
        </w:tc>
      </w:tr>
      <w:tr>
        <w:trPr>
          <w:trHeight w:val="223"/>
        </w:trPr>
        <w:tc>
          <w:tcPr>
            <w:tcW w:w="774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Equity</w:t>
            </w:r>
          </w:p>
        </w:tc>
        <w:tc>
          <w:tcPr>
            <w:tcW w:w="8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5,201.0</w:t>
            </w: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4,601.0</w:t>
            </w:r>
          </w:p>
        </w:tc>
      </w:tr>
      <w:tr>
        <w:trPr>
          <w:trHeight w:val="230"/>
        </w:trPr>
        <w:tc>
          <w:tcPr>
            <w:tcW w:w="7740" w:type="dxa"/>
            <w:vAlign w:val="bottom"/>
            <w:tcBorders>
              <w:bottom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8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14,843.1</w:t>
            </w:r>
          </w:p>
        </w:tc>
        <w:tc>
          <w:tcPr>
            <w:tcW w:w="4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14,027.5</w:t>
            </w: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balance sheets.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LEAR CORPORATION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STATEMENTS OF INCOME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 except share and per share data)</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5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For the year ended December 31,</w:t>
            </w:r>
          </w:p>
        </w:tc>
        <w:tc>
          <w:tcPr>
            <w:tcW w:w="5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color w:val="auto"/>
              </w:rPr>
              <w:t>2025</w:t>
            </w:r>
          </w:p>
        </w:tc>
        <w:tc>
          <w:tcPr>
            <w:tcW w:w="4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color w:val="auto"/>
              </w:rPr>
              <w:t>2024</w:t>
            </w:r>
          </w:p>
        </w:tc>
        <w:tc>
          <w:tcPr>
            <w:tcW w:w="4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color w:val="auto"/>
              </w:rPr>
              <w:t>2023</w:t>
            </w:r>
          </w:p>
        </w:tc>
        <w:tc>
          <w:tcPr>
            <w:tcW w:w="20" w:type="dxa"/>
            <w:vAlign w:val="bottom"/>
          </w:tcPr>
          <w:p>
            <w:pPr>
              <w:spacing w:after="0"/>
              <w:rPr>
                <w:sz w:val="19"/>
                <w:szCs w:val="19"/>
                <w:color w:val="auto"/>
              </w:rPr>
            </w:pPr>
          </w:p>
        </w:tc>
      </w:tr>
      <w:tr>
        <w:trPr>
          <w:trHeight w:val="229"/>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5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23,259.1</w:t>
            </w:r>
          </w:p>
        </w:tc>
        <w:tc>
          <w:tcPr>
            <w:tcW w:w="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23,306.0</w:t>
            </w:r>
          </w:p>
        </w:tc>
        <w:tc>
          <w:tcPr>
            <w:tcW w:w="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23,466.9</w:t>
            </w:r>
          </w:p>
        </w:tc>
        <w:tc>
          <w:tcPr>
            <w:tcW w:w="20" w:type="dxa"/>
            <w:vAlign w:val="bottom"/>
          </w:tcPr>
          <w:p>
            <w:pPr>
              <w:spacing w:after="0"/>
              <w:rPr>
                <w:sz w:val="19"/>
                <w:szCs w:val="19"/>
                <w:color w:val="auto"/>
              </w:rPr>
            </w:pPr>
          </w:p>
        </w:tc>
      </w:tr>
      <w:tr>
        <w:trPr>
          <w:trHeight w:val="230"/>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50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21,754.7</w:t>
            </w:r>
          </w:p>
        </w:tc>
        <w:tc>
          <w:tcPr>
            <w:tcW w:w="40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21,666.7</w:t>
            </w: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21,756.5</w:t>
            </w:r>
          </w:p>
        </w:tc>
        <w:tc>
          <w:tcPr>
            <w:tcW w:w="20" w:type="dxa"/>
            <w:vAlign w:val="bottom"/>
          </w:tcPr>
          <w:p>
            <w:pPr>
              <w:spacing w:after="0"/>
              <w:rPr>
                <w:sz w:val="19"/>
                <w:szCs w:val="19"/>
                <w:color w:val="auto"/>
              </w:rPr>
            </w:pPr>
          </w:p>
        </w:tc>
      </w:tr>
      <w:tr>
        <w:trPr>
          <w:trHeight w:val="229"/>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5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707.6</w:t>
            </w: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702.5</w:t>
            </w: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714.7</w:t>
            </w:r>
          </w:p>
        </w:tc>
        <w:tc>
          <w:tcPr>
            <w:tcW w:w="20" w:type="dxa"/>
            <w:vAlign w:val="bottom"/>
          </w:tcPr>
          <w:p>
            <w:pPr>
              <w:spacing w:after="0"/>
              <w:rPr>
                <w:sz w:val="19"/>
                <w:szCs w:val="19"/>
                <w:color w:val="auto"/>
              </w:rPr>
            </w:pPr>
          </w:p>
        </w:tc>
      </w:tr>
      <w:tr>
        <w:trPr>
          <w:trHeight w:val="229"/>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50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19.5</w:t>
            </w:r>
          </w:p>
        </w:tc>
        <w:tc>
          <w:tcPr>
            <w:tcW w:w="40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49.1</w:t>
            </w: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20" w:type="dxa"/>
            <w:vAlign w:val="bottom"/>
          </w:tcPr>
          <w:p>
            <w:pPr>
              <w:spacing w:after="0"/>
              <w:rPr>
                <w:sz w:val="19"/>
                <w:szCs w:val="19"/>
                <w:color w:val="auto"/>
              </w:rPr>
            </w:pPr>
          </w:p>
        </w:tc>
      </w:tr>
      <w:tr>
        <w:trPr>
          <w:trHeight w:val="230"/>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5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100.8</w:t>
            </w: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106.2</w:t>
            </w: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20" w:type="dxa"/>
            <w:vAlign w:val="bottom"/>
          </w:tcPr>
          <w:p>
            <w:pPr>
              <w:spacing w:after="0"/>
              <w:rPr>
                <w:sz w:val="19"/>
                <w:szCs w:val="19"/>
                <w:color w:val="auto"/>
              </w:rPr>
            </w:pPr>
          </w:p>
        </w:tc>
      </w:tr>
      <w:tr>
        <w:trPr>
          <w:trHeight w:val="229"/>
        </w:trPr>
        <w:tc>
          <w:tcPr>
            <w:tcW w:w="6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5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51.4</w:t>
            </w:r>
          </w:p>
        </w:tc>
        <w:tc>
          <w:tcPr>
            <w:tcW w:w="4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48.6</w:t>
            </w: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20" w:type="dxa"/>
            <w:vAlign w:val="bottom"/>
          </w:tcPr>
          <w:p>
            <w:pPr>
              <w:spacing w:after="0"/>
              <w:rPr>
                <w:sz w:val="19"/>
                <w:szCs w:val="19"/>
                <w:color w:val="auto"/>
              </w:rPr>
            </w:pPr>
          </w:p>
        </w:tc>
      </w:tr>
      <w:tr>
        <w:trPr>
          <w:trHeight w:val="178"/>
        </w:trPr>
        <w:tc>
          <w:tcPr>
            <w:tcW w:w="6540" w:type="dxa"/>
            <w:vAlign w:val="bottom"/>
            <w:shd w:val="clear" w:color="auto" w:fill="CCEEFF"/>
          </w:tcPr>
          <w:p>
            <w:pPr>
              <w:ind w:left="360"/>
              <w:spacing w:after="0" w:line="177" w:lineRule="exact"/>
              <w:rPr>
                <w:sz w:val="20"/>
                <w:szCs w:val="20"/>
                <w:color w:val="auto"/>
              </w:rPr>
            </w:pPr>
            <w:r>
              <w:rPr>
                <w:rFonts w:ascii="Times New Roman" w:cs="Times New Roman" w:eastAsia="Times New Roman" w:hAnsi="Times New Roman"/>
                <w:sz w:val="18"/>
                <w:szCs w:val="18"/>
                <w:color w:val="auto"/>
              </w:rPr>
              <w:t>Consolidated income before provision for income taxes and equity in net income of</w:t>
            </w:r>
          </w:p>
        </w:tc>
        <w:tc>
          <w:tcPr>
            <w:tcW w:w="5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234"/>
        </w:trPr>
        <w:tc>
          <w:tcPr>
            <w:tcW w:w="6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affiliates</w:t>
            </w:r>
          </w:p>
        </w:tc>
        <w:tc>
          <w:tcPr>
            <w:tcW w:w="50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625.1</w:t>
            </w:r>
          </w:p>
        </w:tc>
        <w:tc>
          <w:tcPr>
            <w:tcW w:w="40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732.9</w:t>
            </w:r>
          </w:p>
        </w:tc>
        <w:tc>
          <w:tcPr>
            <w:tcW w:w="4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777.2</w:t>
            </w:r>
          </w:p>
        </w:tc>
        <w:tc>
          <w:tcPr>
            <w:tcW w:w="20" w:type="dxa"/>
            <w:vAlign w:val="bottom"/>
          </w:tcPr>
          <w:p>
            <w:pPr>
              <w:spacing w:after="0"/>
              <w:rPr>
                <w:sz w:val="20"/>
                <w:szCs w:val="20"/>
                <w:color w:val="auto"/>
              </w:rPr>
            </w:pPr>
          </w:p>
        </w:tc>
      </w:tr>
      <w:tr>
        <w:trPr>
          <w:trHeight w:val="230"/>
        </w:trPr>
        <w:tc>
          <w:tcPr>
            <w:tcW w:w="65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50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150.0</w:t>
            </w:r>
          </w:p>
        </w:tc>
        <w:tc>
          <w:tcPr>
            <w:tcW w:w="40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191.1</w:t>
            </w: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180.8</w:t>
            </w:r>
          </w:p>
        </w:tc>
        <w:tc>
          <w:tcPr>
            <w:tcW w:w="20" w:type="dxa"/>
            <w:vAlign w:val="bottom"/>
          </w:tcPr>
          <w:p>
            <w:pPr>
              <w:spacing w:after="0"/>
              <w:rPr>
                <w:sz w:val="19"/>
                <w:szCs w:val="19"/>
                <w:color w:val="auto"/>
              </w:rPr>
            </w:pPr>
          </w:p>
        </w:tc>
      </w:tr>
      <w:tr>
        <w:trPr>
          <w:trHeight w:val="229"/>
        </w:trPr>
        <w:tc>
          <w:tcPr>
            <w:tcW w:w="654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Equity in net income of affiliates</w:t>
            </w:r>
          </w:p>
        </w:tc>
        <w:tc>
          <w:tcPr>
            <w:tcW w:w="5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4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4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20" w:type="dxa"/>
            <w:vAlign w:val="bottom"/>
          </w:tcPr>
          <w:p>
            <w:pPr>
              <w:spacing w:after="0"/>
              <w:rPr>
                <w:sz w:val="19"/>
                <w:szCs w:val="19"/>
                <w:color w:val="auto"/>
              </w:rPr>
            </w:pPr>
          </w:p>
        </w:tc>
      </w:tr>
      <w:tr>
        <w:trPr>
          <w:trHeight w:val="223"/>
        </w:trPr>
        <w:tc>
          <w:tcPr>
            <w:tcW w:w="6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Consolidated net income</w:t>
            </w:r>
          </w:p>
        </w:tc>
        <w:tc>
          <w:tcPr>
            <w:tcW w:w="50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527.1</w:t>
            </w:r>
          </w:p>
        </w:tc>
        <w:tc>
          <w:tcPr>
            <w:tcW w:w="40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591.8</w:t>
            </w: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645.7</w:t>
            </w:r>
          </w:p>
        </w:tc>
        <w:tc>
          <w:tcPr>
            <w:tcW w:w="20" w:type="dxa"/>
            <w:vAlign w:val="bottom"/>
          </w:tcPr>
          <w:p>
            <w:pPr>
              <w:spacing w:after="0"/>
              <w:rPr>
                <w:sz w:val="19"/>
                <w:szCs w:val="19"/>
                <w:color w:val="auto"/>
              </w:rPr>
            </w:pPr>
          </w:p>
        </w:tc>
      </w:tr>
      <w:tr>
        <w:trPr>
          <w:trHeight w:val="229"/>
        </w:trPr>
        <w:tc>
          <w:tcPr>
            <w:tcW w:w="654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5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90.3</w:t>
            </w:r>
          </w:p>
        </w:tc>
        <w:tc>
          <w:tcPr>
            <w:tcW w:w="4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85.2</w:t>
            </w:r>
          </w:p>
        </w:tc>
        <w:tc>
          <w:tcPr>
            <w:tcW w:w="4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20" w:type="dxa"/>
            <w:vAlign w:val="bottom"/>
          </w:tcPr>
          <w:p>
            <w:pPr>
              <w:spacing w:after="0"/>
              <w:rPr>
                <w:sz w:val="19"/>
                <w:szCs w:val="19"/>
                <w:color w:val="auto"/>
              </w:rPr>
            </w:pPr>
          </w:p>
        </w:tc>
      </w:tr>
      <w:tr>
        <w:trPr>
          <w:trHeight w:val="230"/>
        </w:trPr>
        <w:tc>
          <w:tcPr>
            <w:tcW w:w="65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Net income attributable to Lear</w:t>
            </w:r>
          </w:p>
        </w:tc>
        <w:tc>
          <w:tcPr>
            <w:tcW w:w="5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436.8</w:t>
            </w:r>
          </w:p>
        </w:tc>
        <w:tc>
          <w:tcPr>
            <w:tcW w:w="4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506.6</w:t>
            </w:r>
          </w:p>
        </w:tc>
        <w:tc>
          <w:tcPr>
            <w:tcW w:w="4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572.5</w:t>
            </w:r>
          </w:p>
        </w:tc>
        <w:tc>
          <w:tcPr>
            <w:tcW w:w="20" w:type="dxa"/>
            <w:vAlign w:val="bottom"/>
          </w:tcPr>
          <w:p>
            <w:pPr>
              <w:spacing w:after="0"/>
              <w:rPr>
                <w:sz w:val="20"/>
                <w:szCs w:val="20"/>
                <w:color w:val="auto"/>
              </w:rPr>
            </w:pPr>
          </w:p>
        </w:tc>
      </w:tr>
      <w:tr>
        <w:trPr>
          <w:trHeight w:val="257"/>
        </w:trPr>
        <w:tc>
          <w:tcPr>
            <w:tcW w:w="65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20" w:type="dxa"/>
            <w:vAlign w:val="bottom"/>
          </w:tcPr>
          <w:p>
            <w:pPr>
              <w:spacing w:after="0"/>
              <w:rPr>
                <w:sz w:val="22"/>
                <w:szCs w:val="22"/>
                <w:color w:val="auto"/>
              </w:rPr>
            </w:pPr>
          </w:p>
        </w:tc>
      </w:tr>
      <w:tr>
        <w:trPr>
          <w:trHeight w:val="229"/>
        </w:trPr>
        <w:tc>
          <w:tcPr>
            <w:tcW w:w="6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Basic net income per share attributable to Lear</w:t>
            </w:r>
          </w:p>
        </w:tc>
        <w:tc>
          <w:tcPr>
            <w:tcW w:w="5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8.22</w:t>
            </w:r>
          </w:p>
        </w:tc>
        <w:tc>
          <w:tcPr>
            <w:tcW w:w="4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9.02</w:t>
            </w:r>
          </w:p>
        </w:tc>
        <w:tc>
          <w:tcPr>
            <w:tcW w:w="4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20" w:type="dxa"/>
            <w:vAlign w:val="bottom"/>
          </w:tcPr>
          <w:p>
            <w:pPr>
              <w:spacing w:after="0"/>
              <w:rPr>
                <w:sz w:val="19"/>
                <w:szCs w:val="19"/>
                <w:color w:val="auto"/>
              </w:rPr>
            </w:pPr>
          </w:p>
        </w:tc>
      </w:tr>
      <w:tr>
        <w:trPr>
          <w:trHeight w:val="250"/>
        </w:trPr>
        <w:tc>
          <w:tcPr>
            <w:tcW w:w="65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30"/>
        </w:trPr>
        <w:tc>
          <w:tcPr>
            <w:tcW w:w="6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Diluted net income per share attributable to Lear</w:t>
            </w:r>
          </w:p>
        </w:tc>
        <w:tc>
          <w:tcPr>
            <w:tcW w:w="5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8.15</w:t>
            </w:r>
          </w:p>
        </w:tc>
        <w:tc>
          <w:tcPr>
            <w:tcW w:w="4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8.97</w:t>
            </w:r>
          </w:p>
        </w:tc>
        <w:tc>
          <w:tcPr>
            <w:tcW w:w="4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9.68</w:t>
            </w:r>
          </w:p>
        </w:tc>
        <w:tc>
          <w:tcPr>
            <w:tcW w:w="20" w:type="dxa"/>
            <w:vAlign w:val="bottom"/>
          </w:tcPr>
          <w:p>
            <w:pPr>
              <w:spacing w:after="0"/>
              <w:rPr>
                <w:sz w:val="19"/>
                <w:szCs w:val="19"/>
                <w:color w:val="auto"/>
              </w:rPr>
            </w:pPr>
          </w:p>
        </w:tc>
      </w:tr>
      <w:tr>
        <w:trPr>
          <w:trHeight w:val="250"/>
        </w:trPr>
        <w:tc>
          <w:tcPr>
            <w:tcW w:w="65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29"/>
        </w:trPr>
        <w:tc>
          <w:tcPr>
            <w:tcW w:w="6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Average common shares outstanding</w:t>
            </w:r>
          </w:p>
        </w:tc>
        <w:tc>
          <w:tcPr>
            <w:tcW w:w="5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53,168,252</w:t>
            </w:r>
          </w:p>
        </w:tc>
        <w:tc>
          <w:tcPr>
            <w:tcW w:w="4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56,140,962</w:t>
            </w: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58,830,334</w:t>
            </w:r>
          </w:p>
        </w:tc>
        <w:tc>
          <w:tcPr>
            <w:tcW w:w="20" w:type="dxa"/>
            <w:vAlign w:val="bottom"/>
          </w:tcPr>
          <w:p>
            <w:pPr>
              <w:spacing w:after="0"/>
              <w:rPr>
                <w:sz w:val="19"/>
                <w:szCs w:val="19"/>
                <w:color w:val="auto"/>
              </w:rPr>
            </w:pPr>
          </w:p>
        </w:tc>
      </w:tr>
      <w:tr>
        <w:trPr>
          <w:trHeight w:val="250"/>
        </w:trPr>
        <w:tc>
          <w:tcPr>
            <w:tcW w:w="65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37"/>
        </w:trPr>
        <w:tc>
          <w:tcPr>
            <w:tcW w:w="6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Average diluted shares outstanding</w:t>
            </w:r>
          </w:p>
        </w:tc>
        <w:tc>
          <w:tcPr>
            <w:tcW w:w="5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53,590,776</w:t>
            </w:r>
          </w:p>
        </w:tc>
        <w:tc>
          <w:tcPr>
            <w:tcW w:w="4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56,476,105</w:t>
            </w:r>
          </w:p>
        </w:tc>
        <w:tc>
          <w:tcPr>
            <w:tcW w:w="4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59,116,375</w:t>
            </w:r>
          </w:p>
        </w:tc>
        <w:tc>
          <w:tcPr>
            <w:tcW w:w="20" w:type="dxa"/>
            <w:vAlign w:val="bottom"/>
          </w:tcPr>
          <w:p>
            <w:pPr>
              <w:spacing w:after="0"/>
              <w:rPr>
                <w:sz w:val="20"/>
                <w:szCs w:val="20"/>
                <w:color w:val="auto"/>
              </w:rPr>
            </w:pPr>
          </w:p>
        </w:tc>
      </w:tr>
      <w:tr>
        <w:trPr>
          <w:trHeight w:val="52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tc>
        <w:tc>
          <w:tcPr>
            <w:tcW w:w="5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70"/>
        </w:trPr>
        <w:tc>
          <w:tcPr>
            <w:tcW w:w="654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60</w:t>
            </w:r>
          </w:p>
        </w:tc>
        <w:tc>
          <w:tcPr>
            <w:tcW w:w="5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654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LEAR CORPORATION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STATEMENTS OF COMPREHENSIVE INCOME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0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For the year ended December 31,</w:t>
            </w:r>
          </w:p>
        </w:tc>
        <w:tc>
          <w:tcPr>
            <w:tcW w:w="10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color w:val="auto"/>
              </w:rPr>
              <w:t>2025</w:t>
            </w:r>
          </w:p>
        </w:tc>
        <w:tc>
          <w:tcPr>
            <w:tcW w:w="4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color w:val="auto"/>
              </w:rPr>
              <w:t>2024</w:t>
            </w:r>
          </w:p>
        </w:tc>
        <w:tc>
          <w:tcPr>
            <w:tcW w:w="4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color w:val="auto"/>
              </w:rPr>
              <w:t>2023</w:t>
            </w:r>
          </w:p>
        </w:tc>
      </w:tr>
      <w:tr>
        <w:trPr>
          <w:trHeight w:val="229"/>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net income</w:t>
            </w:r>
          </w:p>
        </w:tc>
        <w:tc>
          <w:tcPr>
            <w:tcW w:w="10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527.1</w:t>
            </w:r>
          </w:p>
        </w:tc>
        <w:tc>
          <w:tcPr>
            <w:tcW w:w="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591.8</w:t>
            </w:r>
          </w:p>
        </w:tc>
        <w:tc>
          <w:tcPr>
            <w:tcW w:w="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645.7</w:t>
            </w:r>
          </w:p>
        </w:tc>
      </w:tr>
      <w:tr>
        <w:trPr>
          <w:trHeight w:val="230"/>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10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6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Defined benefit plan adjustments</w:t>
            </w:r>
          </w:p>
        </w:tc>
        <w:tc>
          <w:tcPr>
            <w:tcW w:w="10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16.2</w:t>
            </w: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29"/>
        </w:trPr>
        <w:tc>
          <w:tcPr>
            <w:tcW w:w="6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Derivative instruments and hedging activities</w:t>
            </w:r>
          </w:p>
        </w:tc>
        <w:tc>
          <w:tcPr>
            <w:tcW w:w="104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279.9</w:t>
            </w:r>
          </w:p>
        </w:tc>
        <w:tc>
          <w:tcPr>
            <w:tcW w:w="4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(241.6)</w:t>
            </w: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w:t>
            </w:r>
          </w:p>
        </w:tc>
      </w:tr>
      <w:tr>
        <w:trPr>
          <w:trHeight w:val="230"/>
        </w:trPr>
        <w:tc>
          <w:tcPr>
            <w:tcW w:w="600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0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324.3</w:t>
            </w:r>
          </w:p>
        </w:tc>
        <w:tc>
          <w:tcPr>
            <w:tcW w:w="4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(222.9)</w:t>
            </w:r>
          </w:p>
        </w:tc>
        <w:tc>
          <w:tcPr>
            <w:tcW w:w="4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w:t>
            </w:r>
          </w:p>
        </w:tc>
      </w:tr>
      <w:tr>
        <w:trPr>
          <w:trHeight w:val="223"/>
        </w:trPr>
        <w:tc>
          <w:tcPr>
            <w:tcW w:w="600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10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594.6</w:t>
            </w:r>
          </w:p>
        </w:tc>
        <w:tc>
          <w:tcPr>
            <w:tcW w:w="4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(448.3)</w:t>
            </w: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113.8</w:t>
            </w:r>
          </w:p>
        </w:tc>
      </w:tr>
      <w:tr>
        <w:trPr>
          <w:trHeight w:val="223"/>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comprehensive income</w:t>
            </w:r>
          </w:p>
        </w:tc>
        <w:tc>
          <w:tcPr>
            <w:tcW w:w="10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1,121.7</w:t>
            </w: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143.5</w:t>
            </w: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759.5</w:t>
            </w:r>
          </w:p>
        </w:tc>
      </w:tr>
      <w:tr>
        <w:trPr>
          <w:trHeight w:val="229"/>
        </w:trPr>
        <w:tc>
          <w:tcPr>
            <w:tcW w:w="60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Less: Comprehensive income attributable to noncontrolling interests</w:t>
            </w:r>
          </w:p>
        </w:tc>
        <w:tc>
          <w:tcPr>
            <w:tcW w:w="10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95.5</w:t>
            </w:r>
          </w:p>
        </w:tc>
        <w:tc>
          <w:tcPr>
            <w:tcW w:w="4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81.8</w:t>
            </w: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70.7</w:t>
            </w:r>
          </w:p>
        </w:tc>
      </w:tr>
      <w:tr>
        <w:trPr>
          <w:trHeight w:val="230"/>
        </w:trPr>
        <w:tc>
          <w:tcPr>
            <w:tcW w:w="60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Lear</w:t>
            </w:r>
          </w:p>
        </w:tc>
        <w:tc>
          <w:tcPr>
            <w:tcW w:w="10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1,026.2</w:t>
            </w:r>
          </w:p>
        </w:tc>
        <w:tc>
          <w:tcPr>
            <w:tcW w:w="4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61.7</w:t>
            </w:r>
          </w:p>
        </w:tc>
        <w:tc>
          <w:tcPr>
            <w:tcW w:w="4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688.8</w:t>
            </w: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LEAR CORPORATION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STATEMENTS OF EQUITY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60" w:type="dxa"/>
            <w:vAlign w:val="bottom"/>
            <w:vMerge w:val="restart"/>
          </w:tcPr>
          <w:p>
            <w:pPr>
              <w:jc w:val="right"/>
              <w:ind w:right="111"/>
              <w:spacing w:after="0"/>
              <w:rPr>
                <w:sz w:val="20"/>
                <w:szCs w:val="20"/>
                <w:color w:val="auto"/>
              </w:rPr>
            </w:pPr>
            <w:r>
              <w:rPr>
                <w:rFonts w:ascii="Times New Roman" w:cs="Times New Roman" w:eastAsia="Times New Roman" w:hAnsi="Times New Roman"/>
                <w:sz w:val="14"/>
                <w:szCs w:val="14"/>
                <w:color w:val="auto"/>
              </w:rPr>
              <w:t>Common</w:t>
            </w:r>
          </w:p>
        </w:tc>
        <w:tc>
          <w:tcPr>
            <w:tcW w:w="1180" w:type="dxa"/>
            <w:vAlign w:val="bottom"/>
            <w:gridSpan w:val="2"/>
            <w:vMerge w:val="restart"/>
          </w:tcPr>
          <w:p>
            <w:pPr>
              <w:jc w:val="right"/>
              <w:ind w:right="11"/>
              <w:spacing w:after="0"/>
              <w:rPr>
                <w:sz w:val="20"/>
                <w:szCs w:val="20"/>
                <w:color w:val="auto"/>
              </w:rPr>
            </w:pPr>
            <w:r>
              <w:rPr>
                <w:rFonts w:ascii="Times New Roman" w:cs="Times New Roman" w:eastAsia="Times New Roman" w:hAnsi="Times New Roman"/>
                <w:sz w:val="14"/>
                <w:szCs w:val="14"/>
                <w:color w:val="auto"/>
              </w:rPr>
              <w:t>Additional Paid-</w:t>
            </w:r>
          </w:p>
        </w:tc>
        <w:tc>
          <w:tcPr>
            <w:tcW w:w="220" w:type="dxa"/>
            <w:vAlign w:val="bottom"/>
          </w:tcPr>
          <w:p>
            <w:pPr>
              <w:spacing w:after="0"/>
              <w:rPr>
                <w:sz w:val="13"/>
                <w:szCs w:val="13"/>
                <w:color w:val="auto"/>
              </w:rPr>
            </w:pPr>
          </w:p>
        </w:tc>
        <w:tc>
          <w:tcPr>
            <w:tcW w:w="840" w:type="dxa"/>
            <w:vAlign w:val="bottom"/>
          </w:tcPr>
          <w:p>
            <w:pPr>
              <w:jc w:val="center"/>
              <w:ind w:right="131"/>
              <w:spacing w:after="0"/>
              <w:rPr>
                <w:sz w:val="20"/>
                <w:szCs w:val="20"/>
                <w:color w:val="auto"/>
              </w:rPr>
            </w:pPr>
            <w:r>
              <w:rPr>
                <w:rFonts w:ascii="Times New Roman" w:cs="Times New Roman" w:eastAsia="Times New Roman" w:hAnsi="Times New Roman"/>
                <w:sz w:val="14"/>
                <w:szCs w:val="14"/>
                <w:color w:val="auto"/>
              </w:rPr>
              <w:t>Common</w:t>
            </w:r>
          </w:p>
        </w:tc>
        <w:tc>
          <w:tcPr>
            <w:tcW w:w="200" w:type="dxa"/>
            <w:vAlign w:val="bottom"/>
          </w:tcPr>
          <w:p>
            <w:pPr>
              <w:spacing w:after="0"/>
              <w:rPr>
                <w:sz w:val="13"/>
                <w:szCs w:val="13"/>
                <w:color w:val="auto"/>
              </w:rPr>
            </w:pPr>
          </w:p>
        </w:tc>
        <w:tc>
          <w:tcPr>
            <w:tcW w:w="760" w:type="dxa"/>
            <w:vAlign w:val="bottom"/>
            <w:vMerge w:val="restart"/>
          </w:tcPr>
          <w:p>
            <w:pPr>
              <w:jc w:val="right"/>
              <w:ind w:right="111"/>
              <w:spacing w:after="0"/>
              <w:rPr>
                <w:sz w:val="20"/>
                <w:szCs w:val="20"/>
                <w:color w:val="auto"/>
              </w:rPr>
            </w:pPr>
            <w:r>
              <w:rPr>
                <w:rFonts w:ascii="Times New Roman" w:cs="Times New Roman" w:eastAsia="Times New Roman" w:hAnsi="Times New Roman"/>
                <w:sz w:val="14"/>
                <w:szCs w:val="14"/>
                <w:color w:val="auto"/>
              </w:rPr>
              <w:t>Retained</w:t>
            </w:r>
          </w:p>
        </w:tc>
        <w:tc>
          <w:tcPr>
            <w:tcW w:w="0" w:type="dxa"/>
            <w:vAlign w:val="bottom"/>
          </w:tcPr>
          <w:p>
            <w:pPr>
              <w:spacing w:after="0"/>
              <w:rPr>
                <w:sz w:val="1"/>
                <w:szCs w:val="1"/>
                <w:color w:val="auto"/>
              </w:rPr>
            </w:pPr>
          </w:p>
        </w:tc>
      </w:tr>
      <w:tr>
        <w:trPr>
          <w:trHeight w:val="148"/>
        </w:trPr>
        <w:tc>
          <w:tcPr>
            <w:tcW w:w="68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0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rPr>
              <w:t>Stock Held in</w:t>
            </w:r>
          </w:p>
        </w:tc>
        <w:tc>
          <w:tcPr>
            <w:tcW w:w="2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68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color w:val="auto"/>
              </w:rPr>
              <w:t>Stock</w:t>
            </w: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color w:val="auto"/>
              </w:rPr>
              <w:t>in Capital</w:t>
            </w: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131"/>
              <w:spacing w:after="0"/>
              <w:rPr>
                <w:sz w:val="20"/>
                <w:szCs w:val="20"/>
                <w:color w:val="auto"/>
              </w:rPr>
            </w:pPr>
            <w:r>
              <w:rPr>
                <w:rFonts w:ascii="Times New Roman" w:cs="Times New Roman" w:eastAsia="Times New Roman" w:hAnsi="Times New Roman"/>
                <w:sz w:val="14"/>
                <w:szCs w:val="14"/>
                <w:color w:val="auto"/>
              </w:rPr>
              <w:t>Treasury</w:t>
            </w: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rPr>
              <w:t>Earnings</w:t>
            </w:r>
          </w:p>
        </w:tc>
        <w:tc>
          <w:tcPr>
            <w:tcW w:w="0" w:type="dxa"/>
            <w:vAlign w:val="bottom"/>
          </w:tcPr>
          <w:p>
            <w:pPr>
              <w:spacing w:after="0"/>
              <w:rPr>
                <w:sz w:val="1"/>
                <w:szCs w:val="1"/>
                <w:color w:val="auto"/>
              </w:rPr>
            </w:pPr>
          </w:p>
        </w:tc>
      </w:tr>
      <w:tr>
        <w:trPr>
          <w:trHeight w:val="228"/>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1,023.1</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5,214.1</w:t>
            </w:r>
          </w:p>
        </w:tc>
        <w:tc>
          <w:tcPr>
            <w:tcW w:w="0" w:type="dxa"/>
            <w:vAlign w:val="bottom"/>
          </w:tcPr>
          <w:p>
            <w:pPr>
              <w:spacing w:after="0"/>
              <w:rPr>
                <w:sz w:val="1"/>
                <w:szCs w:val="1"/>
                <w:color w:val="auto"/>
              </w:rPr>
            </w:pPr>
          </w:p>
        </w:tc>
      </w:tr>
      <w:tr>
        <w:trPr>
          <w:trHeight w:val="229"/>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572.5</w:t>
            </w:r>
          </w:p>
        </w:tc>
        <w:tc>
          <w:tcPr>
            <w:tcW w:w="0" w:type="dxa"/>
            <w:vAlign w:val="bottom"/>
          </w:tcPr>
          <w:p>
            <w:pPr>
              <w:spacing w:after="0"/>
              <w:rPr>
                <w:sz w:val="1"/>
                <w:szCs w:val="1"/>
                <w:color w:val="auto"/>
              </w:rPr>
            </w:pPr>
          </w:p>
        </w:tc>
      </w:tr>
      <w:tr>
        <w:trPr>
          <w:trHeight w:val="230"/>
        </w:trPr>
        <w:tc>
          <w:tcPr>
            <w:tcW w:w="68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8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comprehensive income (loss)</w:t>
            </w: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572.5</w:t>
            </w:r>
          </w:p>
        </w:tc>
        <w:tc>
          <w:tcPr>
            <w:tcW w:w="0" w:type="dxa"/>
            <w:vAlign w:val="bottom"/>
          </w:tcPr>
          <w:p>
            <w:pPr>
              <w:spacing w:after="0"/>
              <w:rPr>
                <w:sz w:val="1"/>
                <w:szCs w:val="1"/>
                <w:color w:val="auto"/>
              </w:rPr>
            </w:pPr>
          </w:p>
        </w:tc>
      </w:tr>
      <w:tr>
        <w:trPr>
          <w:trHeight w:val="230"/>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67.5</w:t>
            </w:r>
          </w:p>
        </w:tc>
        <w:tc>
          <w:tcPr>
            <w:tcW w:w="220" w:type="dxa"/>
            <w:vAlign w:val="bottom"/>
          </w:tcPr>
          <w:p>
            <w:pPr>
              <w:spacing w:after="0"/>
              <w:rPr>
                <w:sz w:val="19"/>
                <w:szCs w:val="19"/>
                <w:color w:val="auto"/>
              </w:rPr>
            </w:pPr>
          </w:p>
        </w:tc>
        <w:tc>
          <w:tcPr>
            <w:tcW w:w="8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issuances of 182,461 shares held in treasury in settlement of stock-based compensation</w:t>
            </w: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25.3</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9"/>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Repurchases of 2,281,723 shares of common stock at an average price of $137.21 per share</w:t>
            </w: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(316.0)</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declared to Lear Corporation shareholders</w:t>
            </w: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(184.5)</w:t>
            </w:r>
          </w:p>
        </w:tc>
        <w:tc>
          <w:tcPr>
            <w:tcW w:w="0" w:type="dxa"/>
            <w:vAlign w:val="bottom"/>
          </w:tcPr>
          <w:p>
            <w:pPr>
              <w:spacing w:after="0"/>
              <w:rPr>
                <w:sz w:val="1"/>
                <w:szCs w:val="1"/>
                <w:color w:val="auto"/>
              </w:rPr>
            </w:pPr>
          </w:p>
        </w:tc>
      </w:tr>
      <w:tr>
        <w:trPr>
          <w:trHeight w:val="229"/>
        </w:trPr>
        <w:tc>
          <w:tcPr>
            <w:tcW w:w="6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Dividends declared to noncontrolling interests</w:t>
            </w: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8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1,050.5</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5,601.1</w:t>
            </w:r>
          </w:p>
        </w:tc>
        <w:tc>
          <w:tcPr>
            <w:tcW w:w="0" w:type="dxa"/>
            <w:vAlign w:val="bottom"/>
          </w:tcPr>
          <w:p>
            <w:pPr>
              <w:spacing w:after="0"/>
              <w:rPr>
                <w:sz w:val="1"/>
                <w:szCs w:val="1"/>
                <w:color w:val="auto"/>
              </w:rPr>
            </w:pPr>
          </w:p>
        </w:tc>
      </w:tr>
      <w:tr>
        <w:trPr>
          <w:trHeight w:val="230"/>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506.6</w:t>
            </w:r>
          </w:p>
        </w:tc>
        <w:tc>
          <w:tcPr>
            <w:tcW w:w="0" w:type="dxa"/>
            <w:vAlign w:val="bottom"/>
          </w:tcPr>
          <w:p>
            <w:pPr>
              <w:spacing w:after="0"/>
              <w:rPr>
                <w:sz w:val="1"/>
                <w:szCs w:val="1"/>
                <w:color w:val="auto"/>
              </w:rPr>
            </w:pPr>
          </w:p>
        </w:tc>
      </w:tr>
      <w:tr>
        <w:trPr>
          <w:trHeight w:val="229"/>
        </w:trPr>
        <w:tc>
          <w:tcPr>
            <w:tcW w:w="68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8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comprehensive income (loss)</w:t>
            </w: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506.6</w:t>
            </w:r>
          </w:p>
        </w:tc>
        <w:tc>
          <w:tcPr>
            <w:tcW w:w="0" w:type="dxa"/>
            <w:vAlign w:val="bottom"/>
          </w:tcPr>
          <w:p>
            <w:pPr>
              <w:spacing w:after="0"/>
              <w:rPr>
                <w:sz w:val="1"/>
                <w:szCs w:val="1"/>
                <w:color w:val="auto"/>
              </w:rPr>
            </w:pPr>
          </w:p>
        </w:tc>
      </w:tr>
      <w:tr>
        <w:trPr>
          <w:trHeight w:val="229"/>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64.4</w:t>
            </w:r>
          </w:p>
        </w:tc>
        <w:tc>
          <w:tcPr>
            <w:tcW w:w="220" w:type="dxa"/>
            <w:vAlign w:val="bottom"/>
          </w:tcPr>
          <w:p>
            <w:pPr>
              <w:spacing w:after="0"/>
              <w:rPr>
                <w:sz w:val="19"/>
                <w:szCs w:val="19"/>
                <w:color w:val="auto"/>
              </w:rPr>
            </w:pPr>
          </w:p>
        </w:tc>
        <w:tc>
          <w:tcPr>
            <w:tcW w:w="8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issuances of 176,789 shares held in treasury in settlement of stock-based compensation</w:t>
            </w: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24.9</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9"/>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Repurchases of 3,578,167 shares of common stock at an average price of $111.81 per share</w:t>
            </w: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(403.9)</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declared to Lear Corporation shareholders</w:t>
            </w: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(174.7)</w:t>
            </w:r>
          </w:p>
        </w:tc>
        <w:tc>
          <w:tcPr>
            <w:tcW w:w="0" w:type="dxa"/>
            <w:vAlign w:val="bottom"/>
          </w:tcPr>
          <w:p>
            <w:pPr>
              <w:spacing w:after="0"/>
              <w:rPr>
                <w:sz w:val="1"/>
                <w:szCs w:val="1"/>
                <w:color w:val="auto"/>
              </w:rPr>
            </w:pPr>
          </w:p>
        </w:tc>
      </w:tr>
      <w:tr>
        <w:trPr>
          <w:trHeight w:val="230"/>
        </w:trPr>
        <w:tc>
          <w:tcPr>
            <w:tcW w:w="6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Dividends declared to noncontrolling interests</w:t>
            </w: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8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1,077.4</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5,931.0</w:t>
            </w:r>
          </w:p>
        </w:tc>
        <w:tc>
          <w:tcPr>
            <w:tcW w:w="0" w:type="dxa"/>
            <w:vAlign w:val="bottom"/>
          </w:tcPr>
          <w:p>
            <w:pPr>
              <w:spacing w:after="0"/>
              <w:rPr>
                <w:sz w:val="1"/>
                <w:szCs w:val="1"/>
                <w:color w:val="auto"/>
              </w:rPr>
            </w:pPr>
          </w:p>
        </w:tc>
      </w:tr>
      <w:tr>
        <w:trPr>
          <w:trHeight w:val="229"/>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436.8</w:t>
            </w:r>
          </w:p>
        </w:tc>
        <w:tc>
          <w:tcPr>
            <w:tcW w:w="0" w:type="dxa"/>
            <w:vAlign w:val="bottom"/>
          </w:tcPr>
          <w:p>
            <w:pPr>
              <w:spacing w:after="0"/>
              <w:rPr>
                <w:sz w:val="1"/>
                <w:szCs w:val="1"/>
                <w:color w:val="auto"/>
              </w:rPr>
            </w:pPr>
          </w:p>
        </w:tc>
      </w:tr>
      <w:tr>
        <w:trPr>
          <w:trHeight w:val="230"/>
        </w:trPr>
        <w:tc>
          <w:tcPr>
            <w:tcW w:w="68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8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comprehensive income (loss)</w:t>
            </w: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436.8</w:t>
            </w:r>
          </w:p>
        </w:tc>
        <w:tc>
          <w:tcPr>
            <w:tcW w:w="0" w:type="dxa"/>
            <w:vAlign w:val="bottom"/>
          </w:tcPr>
          <w:p>
            <w:pPr>
              <w:spacing w:after="0"/>
              <w:rPr>
                <w:sz w:val="1"/>
                <w:szCs w:val="1"/>
                <w:color w:val="auto"/>
              </w:rPr>
            </w:pPr>
          </w:p>
        </w:tc>
      </w:tr>
      <w:tr>
        <w:trPr>
          <w:trHeight w:val="230"/>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66.2</w:t>
            </w:r>
          </w:p>
        </w:tc>
        <w:tc>
          <w:tcPr>
            <w:tcW w:w="220" w:type="dxa"/>
            <w:vAlign w:val="bottom"/>
          </w:tcPr>
          <w:p>
            <w:pPr>
              <w:spacing w:after="0"/>
              <w:rPr>
                <w:sz w:val="19"/>
                <w:szCs w:val="19"/>
                <w:color w:val="auto"/>
              </w:rPr>
            </w:pPr>
          </w:p>
        </w:tc>
        <w:tc>
          <w:tcPr>
            <w:tcW w:w="8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issuances of 204,653 shares held in treasury in settlement of stock-based compensation</w:t>
            </w: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30.6</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29"/>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Repurchases of 3,135,460 shares of common stock at an average price of $103.71 per share</w:t>
            </w: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(328.3)</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declared to Lear Corporation shareholders</w:t>
            </w: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(168.2)</w:t>
            </w:r>
          </w:p>
        </w:tc>
        <w:tc>
          <w:tcPr>
            <w:tcW w:w="0" w:type="dxa"/>
            <w:vAlign w:val="bottom"/>
          </w:tcPr>
          <w:p>
            <w:pPr>
              <w:spacing w:after="0"/>
              <w:rPr>
                <w:sz w:val="1"/>
                <w:szCs w:val="1"/>
                <w:color w:val="auto"/>
              </w:rPr>
            </w:pPr>
          </w:p>
        </w:tc>
      </w:tr>
      <w:tr>
        <w:trPr>
          <w:trHeight w:val="230"/>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declared to noncontrolling interests</w:t>
            </w: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Contribution from noncontrolling interest holder</w:t>
            </w: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Affiliate transaction</w:t>
            </w: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8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1,111.1</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6,189.0</w:t>
            </w: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LEAR CORPORATION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STATEMENTS OF EQUITY</w:t>
      </w:r>
      <w:r>
        <w:rPr>
          <w:rFonts w:ascii="Times New Roman" w:cs="Times New Roman" w:eastAsia="Times New Roman" w:hAnsi="Times New Roman"/>
          <w:sz w:val="18"/>
          <w:szCs w:val="18"/>
          <w:b w:val="1"/>
          <w:bCs w:val="1"/>
          <w:color w:val="auto"/>
        </w:rPr>
        <w:t xml:space="preserve">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 except share data)</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320" w:type="dxa"/>
            <w:vAlign w:val="bottom"/>
            <w:tcBorders>
              <w:top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3400" w:type="dxa"/>
            <w:vAlign w:val="bottom"/>
            <w:tcBorders>
              <w:top w:val="single" w:sz="8" w:color="auto"/>
              <w:bottom w:val="single" w:sz="8" w:color="auto"/>
            </w:tcBorders>
            <w:gridSpan w:val="5"/>
          </w:tcPr>
          <w:p>
            <w:pPr>
              <w:jc w:val="center"/>
              <w:ind w:right="52"/>
              <w:spacing w:after="0"/>
              <w:rPr>
                <w:sz w:val="20"/>
                <w:szCs w:val="20"/>
                <w:color w:val="auto"/>
              </w:rPr>
            </w:pPr>
            <w:r>
              <w:rPr>
                <w:rFonts w:ascii="Times New Roman" w:cs="Times New Roman" w:eastAsia="Times New Roman" w:hAnsi="Times New Roman"/>
                <w:sz w:val="14"/>
                <w:szCs w:val="14"/>
                <w:color w:val="auto"/>
              </w:rPr>
              <w:t>Accumulated Other Comprehensive Loss, net of tax</w:t>
            </w:r>
          </w:p>
        </w:tc>
        <w:tc>
          <w:tcPr>
            <w:tcW w:w="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39"/>
        </w:trPr>
        <w:tc>
          <w:tcPr>
            <w:tcW w:w="4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jc w:val="center"/>
              <w:ind w:right="72"/>
              <w:spacing w:after="0" w:line="139" w:lineRule="exact"/>
              <w:rPr>
                <w:sz w:val="20"/>
                <w:szCs w:val="20"/>
                <w:color w:val="auto"/>
              </w:rPr>
            </w:pPr>
            <w:r>
              <w:rPr>
                <w:rFonts w:ascii="Times New Roman" w:cs="Times New Roman" w:eastAsia="Times New Roman" w:hAnsi="Times New Roman"/>
                <w:sz w:val="14"/>
                <w:szCs w:val="14"/>
                <w:color w:val="auto"/>
              </w:rPr>
              <w:t>Derivative</w:t>
            </w:r>
          </w:p>
        </w:tc>
        <w:tc>
          <w:tcPr>
            <w:tcW w:w="200" w:type="dxa"/>
            <w:vAlign w:val="bottom"/>
          </w:tcPr>
          <w:p>
            <w:pPr>
              <w:spacing w:after="0"/>
              <w:rPr>
                <w:sz w:val="12"/>
                <w:szCs w:val="12"/>
                <w:color w:val="auto"/>
              </w:rPr>
            </w:pPr>
          </w:p>
        </w:tc>
        <w:tc>
          <w:tcPr>
            <w:tcW w:w="10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color w:val="auto"/>
              </w:rPr>
              <w:t>Cumulative</w:t>
            </w:r>
          </w:p>
        </w:tc>
        <w:tc>
          <w:tcPr>
            <w:tcW w:w="120" w:type="dxa"/>
            <w:vAlign w:val="bottom"/>
          </w:tcPr>
          <w:p>
            <w:pPr>
              <w:spacing w:after="0"/>
              <w:rPr>
                <w:sz w:val="12"/>
                <w:szCs w:val="12"/>
                <w:color w:val="auto"/>
              </w:rPr>
            </w:pPr>
          </w:p>
        </w:tc>
        <w:tc>
          <w:tcPr>
            <w:tcW w:w="980" w:type="dxa"/>
            <w:vAlign w:val="bottom"/>
          </w:tcPr>
          <w:p>
            <w:pPr>
              <w:jc w:val="center"/>
              <w:ind w:right="72"/>
              <w:spacing w:after="0" w:line="139" w:lineRule="exact"/>
              <w:rPr>
                <w:sz w:val="20"/>
                <w:szCs w:val="20"/>
                <w:color w:val="auto"/>
              </w:rPr>
            </w:pPr>
            <w:r>
              <w:rPr>
                <w:rFonts w:ascii="Times New Roman" w:cs="Times New Roman" w:eastAsia="Times New Roman" w:hAnsi="Times New Roman"/>
                <w:sz w:val="14"/>
                <w:szCs w:val="14"/>
                <w:color w:val="auto"/>
              </w:rPr>
              <w:t>Lear</w:t>
            </w:r>
          </w:p>
        </w:tc>
        <w:tc>
          <w:tcPr>
            <w:tcW w:w="180" w:type="dxa"/>
            <w:vAlign w:val="bottom"/>
          </w:tcPr>
          <w:p>
            <w:pPr>
              <w:spacing w:after="0"/>
              <w:rPr>
                <w:sz w:val="12"/>
                <w:szCs w:val="12"/>
                <w:color w:val="auto"/>
              </w:rPr>
            </w:pPr>
          </w:p>
        </w:tc>
        <w:tc>
          <w:tcPr>
            <w:tcW w:w="820" w:type="dxa"/>
            <w:vAlign w:val="bottom"/>
            <w:vMerge w:val="restart"/>
          </w:tcPr>
          <w:p>
            <w:pPr>
              <w:jc w:val="center"/>
              <w:ind w:right="72"/>
              <w:spacing w:after="0"/>
              <w:rPr>
                <w:sz w:val="20"/>
                <w:szCs w:val="20"/>
                <w:color w:val="auto"/>
              </w:rPr>
            </w:pPr>
            <w:r>
              <w:rPr>
                <w:rFonts w:ascii="Times New Roman" w:cs="Times New Roman" w:eastAsia="Times New Roman" w:hAnsi="Times New Roman"/>
                <w:sz w:val="14"/>
                <w:szCs w:val="14"/>
                <w:color w:val="auto"/>
              </w:rPr>
              <w:t>Non-</w:t>
            </w: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vMerge w:val="restart"/>
          </w:tcPr>
          <w:p>
            <w:pPr>
              <w:jc w:val="right"/>
              <w:ind w:right="252"/>
              <w:spacing w:after="0"/>
              <w:rPr>
                <w:sz w:val="20"/>
                <w:szCs w:val="20"/>
                <w:color w:val="auto"/>
              </w:rPr>
            </w:pPr>
            <w:r>
              <w:rPr>
                <w:rFonts w:ascii="Times New Roman" w:cs="Times New Roman" w:eastAsia="Times New Roman" w:hAnsi="Times New Roman"/>
                <w:sz w:val="14"/>
                <w:szCs w:val="14"/>
                <w:color w:val="auto"/>
              </w:rPr>
              <w:t>Defined</w:t>
            </w:r>
          </w:p>
        </w:tc>
        <w:tc>
          <w:tcPr>
            <w:tcW w:w="180" w:type="dxa"/>
            <w:vAlign w:val="bottom"/>
          </w:tcPr>
          <w:p>
            <w:pPr>
              <w:spacing w:after="0"/>
              <w:rPr>
                <w:sz w:val="12"/>
                <w:szCs w:val="12"/>
                <w:color w:val="auto"/>
              </w:rPr>
            </w:pPr>
          </w:p>
        </w:tc>
        <w:tc>
          <w:tcPr>
            <w:tcW w:w="1140" w:type="dxa"/>
            <w:vAlign w:val="bottom"/>
          </w:tcPr>
          <w:p>
            <w:pPr>
              <w:jc w:val="center"/>
              <w:ind w:right="72"/>
              <w:spacing w:after="0" w:line="149" w:lineRule="exact"/>
              <w:rPr>
                <w:sz w:val="20"/>
                <w:szCs w:val="20"/>
                <w:color w:val="auto"/>
              </w:rPr>
            </w:pPr>
            <w:r>
              <w:rPr>
                <w:rFonts w:ascii="Times New Roman" w:cs="Times New Roman" w:eastAsia="Times New Roman" w:hAnsi="Times New Roman"/>
                <w:sz w:val="14"/>
                <w:szCs w:val="14"/>
                <w:color w:val="auto"/>
              </w:rPr>
              <w:t>Instruments and</w:t>
            </w:r>
          </w:p>
        </w:tc>
        <w:tc>
          <w:tcPr>
            <w:tcW w:w="2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center"/>
              <w:ind w:right="72"/>
              <w:spacing w:after="0" w:line="149" w:lineRule="exact"/>
              <w:rPr>
                <w:sz w:val="20"/>
                <w:szCs w:val="20"/>
                <w:color w:val="auto"/>
              </w:rPr>
            </w:pPr>
            <w:r>
              <w:rPr>
                <w:rFonts w:ascii="Times New Roman" w:cs="Times New Roman" w:eastAsia="Times New Roman" w:hAnsi="Times New Roman"/>
                <w:sz w:val="14"/>
                <w:szCs w:val="14"/>
                <w:color w:val="auto"/>
              </w:rPr>
              <w:t>Corporation</w:t>
            </w:r>
          </w:p>
        </w:tc>
        <w:tc>
          <w:tcPr>
            <w:tcW w:w="18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jc w:val="center"/>
              <w:ind w:right="72"/>
              <w:spacing w:after="0" w:line="145" w:lineRule="exact"/>
              <w:rPr>
                <w:sz w:val="20"/>
                <w:szCs w:val="20"/>
                <w:color w:val="auto"/>
              </w:rPr>
            </w:pPr>
            <w:r>
              <w:rPr>
                <w:rFonts w:ascii="Times New Roman" w:cs="Times New Roman" w:eastAsia="Times New Roman" w:hAnsi="Times New Roman"/>
                <w:sz w:val="14"/>
                <w:szCs w:val="14"/>
                <w:color w:val="auto"/>
              </w:rPr>
              <w:t>Hedge</w:t>
            </w:r>
          </w:p>
        </w:tc>
        <w:tc>
          <w:tcPr>
            <w:tcW w:w="200" w:type="dxa"/>
            <w:vAlign w:val="bottom"/>
          </w:tcPr>
          <w:p>
            <w:pPr>
              <w:spacing w:after="0"/>
              <w:rPr>
                <w:sz w:val="12"/>
                <w:szCs w:val="12"/>
                <w:color w:val="auto"/>
              </w:rPr>
            </w:pPr>
          </w:p>
        </w:tc>
        <w:tc>
          <w:tcPr>
            <w:tcW w:w="1000" w:type="dxa"/>
            <w:vAlign w:val="bottom"/>
            <w:gridSpan w:val="2"/>
          </w:tcPr>
          <w:p>
            <w:pPr>
              <w:jc w:val="center"/>
              <w:ind w:right="220"/>
              <w:spacing w:after="0" w:line="145" w:lineRule="exact"/>
              <w:rPr>
                <w:sz w:val="20"/>
                <w:szCs w:val="20"/>
                <w:color w:val="auto"/>
              </w:rPr>
            </w:pPr>
            <w:r>
              <w:rPr>
                <w:rFonts w:ascii="Times New Roman" w:cs="Times New Roman" w:eastAsia="Times New Roman" w:hAnsi="Times New Roman"/>
                <w:sz w:val="14"/>
                <w:szCs w:val="14"/>
                <w:color w:val="auto"/>
              </w:rPr>
              <w:t>Translation</w:t>
            </w:r>
          </w:p>
        </w:tc>
        <w:tc>
          <w:tcPr>
            <w:tcW w:w="120" w:type="dxa"/>
            <w:vAlign w:val="bottom"/>
          </w:tcPr>
          <w:p>
            <w:pPr>
              <w:spacing w:after="0"/>
              <w:rPr>
                <w:sz w:val="12"/>
                <w:szCs w:val="12"/>
                <w:color w:val="auto"/>
              </w:rPr>
            </w:pPr>
          </w:p>
        </w:tc>
        <w:tc>
          <w:tcPr>
            <w:tcW w:w="980" w:type="dxa"/>
            <w:vAlign w:val="bottom"/>
          </w:tcPr>
          <w:p>
            <w:pPr>
              <w:jc w:val="center"/>
              <w:ind w:right="72"/>
              <w:spacing w:after="0" w:line="145" w:lineRule="exact"/>
              <w:rPr>
                <w:sz w:val="20"/>
                <w:szCs w:val="20"/>
                <w:color w:val="auto"/>
              </w:rPr>
            </w:pPr>
            <w:r>
              <w:rPr>
                <w:rFonts w:ascii="Times New Roman" w:cs="Times New Roman" w:eastAsia="Times New Roman" w:hAnsi="Times New Roman"/>
                <w:sz w:val="14"/>
                <w:szCs w:val="14"/>
                <w:color w:val="auto"/>
              </w:rPr>
              <w:t>Shareholders'</w:t>
            </w:r>
          </w:p>
        </w:tc>
        <w:tc>
          <w:tcPr>
            <w:tcW w:w="180" w:type="dxa"/>
            <w:vAlign w:val="bottom"/>
          </w:tcPr>
          <w:p>
            <w:pPr>
              <w:spacing w:after="0"/>
              <w:rPr>
                <w:sz w:val="12"/>
                <w:szCs w:val="12"/>
                <w:color w:val="auto"/>
              </w:rPr>
            </w:pPr>
          </w:p>
        </w:tc>
        <w:tc>
          <w:tcPr>
            <w:tcW w:w="820" w:type="dxa"/>
            <w:vAlign w:val="bottom"/>
          </w:tcPr>
          <w:p>
            <w:pPr>
              <w:jc w:val="center"/>
              <w:ind w:right="72"/>
              <w:spacing w:after="0" w:line="145" w:lineRule="exact"/>
              <w:rPr>
                <w:sz w:val="20"/>
                <w:szCs w:val="20"/>
                <w:color w:val="auto"/>
              </w:rPr>
            </w:pPr>
            <w:r>
              <w:rPr>
                <w:rFonts w:ascii="Times New Roman" w:cs="Times New Roman" w:eastAsia="Times New Roman" w:hAnsi="Times New Roman"/>
                <w:sz w:val="14"/>
                <w:szCs w:val="14"/>
                <w:color w:val="auto"/>
              </w:rPr>
              <w:t>controlling</w:t>
            </w:r>
          </w:p>
        </w:tc>
        <w:tc>
          <w:tcPr>
            <w:tcW w:w="240" w:type="dxa"/>
            <w:vAlign w:val="bottom"/>
          </w:tcPr>
          <w:p>
            <w:pPr>
              <w:spacing w:after="0"/>
              <w:rPr>
                <w:sz w:val="12"/>
                <w:szCs w:val="12"/>
                <w:color w:val="auto"/>
              </w:rPr>
            </w:pPr>
          </w:p>
        </w:tc>
        <w:tc>
          <w:tcPr>
            <w:tcW w:w="720" w:type="dxa"/>
            <w:vAlign w:val="bottom"/>
            <w:vMerge w:val="restart"/>
          </w:tcPr>
          <w:p>
            <w:pPr>
              <w:jc w:val="right"/>
              <w:ind w:right="171"/>
              <w:spacing w:after="0"/>
              <w:rPr>
                <w:sz w:val="20"/>
                <w:szCs w:val="20"/>
                <w:color w:val="auto"/>
              </w:rPr>
            </w:pPr>
            <w:r>
              <w:rPr>
                <w:rFonts w:ascii="Times New Roman" w:cs="Times New Roman" w:eastAsia="Times New Roman" w:hAnsi="Times New Roman"/>
                <w:sz w:val="14"/>
                <w:szCs w:val="14"/>
                <w:color w:val="auto"/>
              </w:rPr>
              <w:t>Equity</w:t>
            </w:r>
          </w:p>
        </w:tc>
        <w:tc>
          <w:tcPr>
            <w:tcW w:w="0" w:type="dxa"/>
            <w:vAlign w:val="bottom"/>
          </w:tcPr>
          <w:p>
            <w:pPr>
              <w:spacing w:after="0"/>
              <w:rPr>
                <w:sz w:val="1"/>
                <w:szCs w:val="1"/>
                <w:color w:val="auto"/>
              </w:rPr>
            </w:pPr>
          </w:p>
        </w:tc>
      </w:tr>
      <w:tr>
        <w:trPr>
          <w:trHeight w:val="198"/>
        </w:trPr>
        <w:tc>
          <w:tcPr>
            <w:tcW w:w="43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color w:val="auto"/>
              </w:rPr>
              <w:t>Benefit Plans</w:t>
            </w: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4"/>
                <w:szCs w:val="14"/>
                <w:color w:val="auto"/>
                <w:w w:val="99"/>
              </w:rPr>
              <w:t>Activities</w:t>
            </w: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Adjustments</w:t>
            </w: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4"/>
                <w:szCs w:val="14"/>
                <w:color w:val="auto"/>
              </w:rPr>
              <w:t>Equity</w:t>
            </w: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center"/>
              <w:ind w:right="92"/>
              <w:spacing w:after="0"/>
              <w:rPr>
                <w:sz w:val="20"/>
                <w:szCs w:val="20"/>
                <w:color w:val="auto"/>
              </w:rPr>
            </w:pPr>
            <w:r>
              <w:rPr>
                <w:rFonts w:ascii="Times New Roman" w:cs="Times New Roman" w:eastAsia="Times New Roman" w:hAnsi="Times New Roman"/>
                <w:sz w:val="14"/>
                <w:szCs w:val="14"/>
                <w:color w:val="auto"/>
              </w:rPr>
              <w:t>Interests</w:t>
            </w:r>
          </w:p>
        </w:tc>
        <w:tc>
          <w:tcPr>
            <w:tcW w:w="2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33.4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4,678.8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151.5</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4,830.3</w:t>
            </w:r>
          </w:p>
        </w:tc>
        <w:tc>
          <w:tcPr>
            <w:tcW w:w="0" w:type="dxa"/>
            <w:vAlign w:val="bottom"/>
          </w:tcPr>
          <w:p>
            <w:pPr>
              <w:spacing w:after="0"/>
              <w:rPr>
                <w:sz w:val="1"/>
                <w:szCs w:val="1"/>
                <w:color w:val="auto"/>
              </w:rPr>
            </w:pPr>
          </w:p>
        </w:tc>
      </w:tr>
      <w:tr>
        <w:trPr>
          <w:trHeight w:val="229"/>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572.5</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73.2</w:t>
            </w: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645.7</w:t>
            </w:r>
          </w:p>
        </w:tc>
        <w:tc>
          <w:tcPr>
            <w:tcW w:w="0" w:type="dxa"/>
            <w:vAlign w:val="bottom"/>
          </w:tcPr>
          <w:p>
            <w:pPr>
              <w:spacing w:after="0"/>
              <w:rPr>
                <w:sz w:val="1"/>
                <w:szCs w:val="1"/>
                <w:color w:val="auto"/>
              </w:rPr>
            </w:pPr>
          </w:p>
        </w:tc>
      </w:tr>
      <w:tr>
        <w:trPr>
          <w:trHeight w:val="229"/>
        </w:trPr>
        <w:tc>
          <w:tcPr>
            <w:tcW w:w="43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74.5</w:t>
            </w: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116.3</w:t>
            </w: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113.8</w:t>
            </w:r>
          </w:p>
        </w:tc>
        <w:tc>
          <w:tcPr>
            <w:tcW w:w="0" w:type="dxa"/>
            <w:vAlign w:val="bottom"/>
          </w:tcPr>
          <w:p>
            <w:pPr>
              <w:spacing w:after="0"/>
              <w:rPr>
                <w:sz w:val="1"/>
                <w:szCs w:val="1"/>
                <w:color w:val="auto"/>
              </w:rPr>
            </w:pPr>
          </w:p>
        </w:tc>
      </w:tr>
      <w:tr>
        <w:trPr>
          <w:trHeight w:val="223"/>
        </w:trPr>
        <w:tc>
          <w:tcPr>
            <w:tcW w:w="43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comprehensive income (loss)</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74.5</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688.8</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70.7</w:t>
            </w: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759.5</w:t>
            </w:r>
          </w:p>
        </w:tc>
        <w:tc>
          <w:tcPr>
            <w:tcW w:w="0" w:type="dxa"/>
            <w:vAlign w:val="bottom"/>
          </w:tcPr>
          <w:p>
            <w:pPr>
              <w:spacing w:after="0"/>
              <w:rPr>
                <w:sz w:val="1"/>
                <w:szCs w:val="1"/>
                <w:color w:val="auto"/>
              </w:rPr>
            </w:pPr>
          </w:p>
        </w:tc>
      </w:tr>
      <w:tr>
        <w:trPr>
          <w:trHeight w:val="229"/>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40" w:type="dxa"/>
            <w:vAlign w:val="bottom"/>
          </w:tcPr>
          <w:p>
            <w:pPr>
              <w:spacing w:after="0"/>
              <w:rPr>
                <w:sz w:val="19"/>
                <w:szCs w:val="19"/>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67.5</w:t>
            </w:r>
          </w:p>
        </w:tc>
        <w:tc>
          <w:tcPr>
            <w:tcW w:w="180" w:type="dxa"/>
            <w:vAlign w:val="bottom"/>
          </w:tcPr>
          <w:p>
            <w:pPr>
              <w:spacing w:after="0"/>
              <w:rPr>
                <w:sz w:val="19"/>
                <w:szCs w:val="19"/>
                <w:color w:val="auto"/>
              </w:rPr>
            </w:pPr>
          </w:p>
        </w:tc>
        <w:tc>
          <w:tcPr>
            <w:tcW w:w="8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0" w:type="dxa"/>
            <w:vAlign w:val="bottom"/>
          </w:tcPr>
          <w:p>
            <w:pPr>
              <w:spacing w:after="0"/>
              <w:rPr>
                <w:sz w:val="1"/>
                <w:szCs w:val="1"/>
                <w:color w:val="auto"/>
              </w:rPr>
            </w:pPr>
          </w:p>
        </w:tc>
      </w:tr>
      <w:tr>
        <w:trPr>
          <w:trHeight w:val="184"/>
        </w:trPr>
        <w:tc>
          <w:tcPr>
            <w:tcW w:w="432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Net issuances of 182,461 shares held in treasury in</w:t>
            </w: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 of stock-based compensation</w:t>
            </w: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184"/>
        </w:trPr>
        <w:tc>
          <w:tcPr>
            <w:tcW w:w="43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Repurchases of 2,281,723 shares of common stock at an</w:t>
            </w: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price of $137.21 per share</w:t>
            </w:r>
          </w:p>
        </w:tc>
        <w:tc>
          <w:tcPr>
            <w:tcW w:w="140" w:type="dxa"/>
            <w:vAlign w:val="bottom"/>
          </w:tcPr>
          <w:p>
            <w:pPr>
              <w:spacing w:after="0"/>
              <w:rPr>
                <w:sz w:val="20"/>
                <w:szCs w:val="20"/>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(316.0)</w:t>
            </w:r>
          </w:p>
        </w:tc>
        <w:tc>
          <w:tcPr>
            <w:tcW w:w="180" w:type="dxa"/>
            <w:vAlign w:val="bottom"/>
          </w:tcPr>
          <w:p>
            <w:pPr>
              <w:spacing w:after="0"/>
              <w:rPr>
                <w:sz w:val="20"/>
                <w:szCs w:val="20"/>
                <w:color w:val="auto"/>
              </w:rPr>
            </w:pPr>
          </w:p>
        </w:tc>
        <w:tc>
          <w:tcPr>
            <w:tcW w:w="8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(316.0)</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declared to Lear Corporation shareholders</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(184.5)</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(184.5)</w:t>
            </w:r>
          </w:p>
        </w:tc>
        <w:tc>
          <w:tcPr>
            <w:tcW w:w="0" w:type="dxa"/>
            <w:vAlign w:val="bottom"/>
          </w:tcPr>
          <w:p>
            <w:pPr>
              <w:spacing w:after="0"/>
              <w:rPr>
                <w:sz w:val="1"/>
                <w:szCs w:val="1"/>
                <w:color w:val="auto"/>
              </w:rPr>
            </w:pPr>
          </w:p>
        </w:tc>
      </w:tr>
      <w:tr>
        <w:trPr>
          <w:trHeight w:val="229"/>
        </w:trPr>
        <w:tc>
          <w:tcPr>
            <w:tcW w:w="4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Dividends declared to noncontrolling interests</w:t>
            </w: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0" w:type="dxa"/>
            <w:vAlign w:val="bottom"/>
          </w:tcPr>
          <w:p>
            <w:pPr>
              <w:spacing w:after="0"/>
              <w:rPr>
                <w:sz w:val="1"/>
                <w:szCs w:val="1"/>
                <w:color w:val="auto"/>
              </w:rPr>
            </w:pPr>
          </w:p>
        </w:tc>
      </w:tr>
      <w:tr>
        <w:trPr>
          <w:trHeight w:val="230"/>
        </w:trPr>
        <w:tc>
          <w:tcPr>
            <w:tcW w:w="4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107.9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(689.4)</w:t>
            </w:r>
          </w:p>
        </w:tc>
        <w:tc>
          <w:tcPr>
            <w:tcW w:w="8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4,918.8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141.8</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5,060.6</w:t>
            </w:r>
          </w:p>
        </w:tc>
        <w:tc>
          <w:tcPr>
            <w:tcW w:w="0" w:type="dxa"/>
            <w:vAlign w:val="bottom"/>
          </w:tcPr>
          <w:p>
            <w:pPr>
              <w:spacing w:after="0"/>
              <w:rPr>
                <w:sz w:val="1"/>
                <w:szCs w:val="1"/>
                <w:color w:val="auto"/>
              </w:rPr>
            </w:pPr>
          </w:p>
        </w:tc>
      </w:tr>
      <w:tr>
        <w:trPr>
          <w:trHeight w:val="229"/>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506.6</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85.2</w:t>
            </w: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591.8</w:t>
            </w:r>
          </w:p>
        </w:tc>
        <w:tc>
          <w:tcPr>
            <w:tcW w:w="0" w:type="dxa"/>
            <w:vAlign w:val="bottom"/>
          </w:tcPr>
          <w:p>
            <w:pPr>
              <w:spacing w:after="0"/>
              <w:rPr>
                <w:sz w:val="1"/>
                <w:szCs w:val="1"/>
                <w:color w:val="auto"/>
              </w:rPr>
            </w:pPr>
          </w:p>
        </w:tc>
      </w:tr>
      <w:tr>
        <w:trPr>
          <w:trHeight w:val="229"/>
        </w:trPr>
        <w:tc>
          <w:tcPr>
            <w:tcW w:w="43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16.2</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(241.6)</w:t>
            </w: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(219.5)</w:t>
            </w: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(444.9)</w:t>
            </w: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(448.3)</w:t>
            </w:r>
          </w:p>
        </w:tc>
        <w:tc>
          <w:tcPr>
            <w:tcW w:w="0" w:type="dxa"/>
            <w:vAlign w:val="bottom"/>
          </w:tcPr>
          <w:p>
            <w:pPr>
              <w:spacing w:after="0"/>
              <w:rPr>
                <w:sz w:val="1"/>
                <w:szCs w:val="1"/>
                <w:color w:val="auto"/>
              </w:rPr>
            </w:pPr>
          </w:p>
        </w:tc>
      </w:tr>
      <w:tr>
        <w:trPr>
          <w:trHeight w:val="223"/>
        </w:trPr>
        <w:tc>
          <w:tcPr>
            <w:tcW w:w="43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comprehensive income (loss)</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16.2</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(241.6)</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61.7</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81.8</w:t>
            </w: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w:t>
            </w:r>
          </w:p>
        </w:tc>
        <w:tc>
          <w:tcPr>
            <w:tcW w:w="0" w:type="dxa"/>
            <w:vAlign w:val="bottom"/>
          </w:tcPr>
          <w:p>
            <w:pPr>
              <w:spacing w:after="0"/>
              <w:rPr>
                <w:sz w:val="1"/>
                <w:szCs w:val="1"/>
                <w:color w:val="auto"/>
              </w:rPr>
            </w:pPr>
          </w:p>
        </w:tc>
      </w:tr>
      <w:tr>
        <w:trPr>
          <w:trHeight w:val="230"/>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40" w:type="dxa"/>
            <w:vAlign w:val="bottom"/>
          </w:tcPr>
          <w:p>
            <w:pPr>
              <w:spacing w:after="0"/>
              <w:rPr>
                <w:sz w:val="19"/>
                <w:szCs w:val="19"/>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64.4</w:t>
            </w:r>
          </w:p>
        </w:tc>
        <w:tc>
          <w:tcPr>
            <w:tcW w:w="180" w:type="dxa"/>
            <w:vAlign w:val="bottom"/>
          </w:tcPr>
          <w:p>
            <w:pPr>
              <w:spacing w:after="0"/>
              <w:rPr>
                <w:sz w:val="19"/>
                <w:szCs w:val="19"/>
                <w:color w:val="auto"/>
              </w:rPr>
            </w:pPr>
          </w:p>
        </w:tc>
        <w:tc>
          <w:tcPr>
            <w:tcW w:w="8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0" w:type="dxa"/>
            <w:vAlign w:val="bottom"/>
          </w:tcPr>
          <w:p>
            <w:pPr>
              <w:spacing w:after="0"/>
              <w:rPr>
                <w:sz w:val="1"/>
                <w:szCs w:val="1"/>
                <w:color w:val="auto"/>
              </w:rPr>
            </w:pPr>
          </w:p>
        </w:tc>
      </w:tr>
      <w:tr>
        <w:trPr>
          <w:trHeight w:val="184"/>
        </w:trPr>
        <w:tc>
          <w:tcPr>
            <w:tcW w:w="432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Net issuances of 176,789 shares held in treasury in</w:t>
            </w: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 of stock-based compensation</w:t>
            </w: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184"/>
        </w:trPr>
        <w:tc>
          <w:tcPr>
            <w:tcW w:w="43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Repurchases of 3,578,167 shares of common stock at an</w:t>
            </w: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price of $111.81 per share</w:t>
            </w:r>
          </w:p>
        </w:tc>
        <w:tc>
          <w:tcPr>
            <w:tcW w:w="140" w:type="dxa"/>
            <w:vAlign w:val="bottom"/>
          </w:tcPr>
          <w:p>
            <w:pPr>
              <w:spacing w:after="0"/>
              <w:rPr>
                <w:sz w:val="20"/>
                <w:szCs w:val="20"/>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(403.9)</w:t>
            </w:r>
          </w:p>
        </w:tc>
        <w:tc>
          <w:tcPr>
            <w:tcW w:w="180" w:type="dxa"/>
            <w:vAlign w:val="bottom"/>
          </w:tcPr>
          <w:p>
            <w:pPr>
              <w:spacing w:after="0"/>
              <w:rPr>
                <w:sz w:val="20"/>
                <w:szCs w:val="20"/>
                <w:color w:val="auto"/>
              </w:rPr>
            </w:pPr>
          </w:p>
        </w:tc>
        <w:tc>
          <w:tcPr>
            <w:tcW w:w="8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(403.9)</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declared to Lear Corporation shareholders</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(174.7)</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(174.7)</w:t>
            </w:r>
          </w:p>
        </w:tc>
        <w:tc>
          <w:tcPr>
            <w:tcW w:w="0" w:type="dxa"/>
            <w:vAlign w:val="bottom"/>
          </w:tcPr>
          <w:p>
            <w:pPr>
              <w:spacing w:after="0"/>
              <w:rPr>
                <w:sz w:val="1"/>
                <w:szCs w:val="1"/>
                <w:color w:val="auto"/>
              </w:rPr>
            </w:pPr>
          </w:p>
        </w:tc>
      </w:tr>
      <w:tr>
        <w:trPr>
          <w:trHeight w:val="229"/>
        </w:trPr>
        <w:tc>
          <w:tcPr>
            <w:tcW w:w="4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Dividends declared to noncontrolling interests</w:t>
            </w: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0" w:type="dxa"/>
            <w:vAlign w:val="bottom"/>
          </w:tcPr>
          <w:p>
            <w:pPr>
              <w:spacing w:after="0"/>
              <w:rPr>
                <w:sz w:val="1"/>
                <w:szCs w:val="1"/>
                <w:color w:val="auto"/>
              </w:rPr>
            </w:pPr>
          </w:p>
        </w:tc>
      </w:tr>
      <w:tr>
        <w:trPr>
          <w:trHeight w:val="230"/>
        </w:trPr>
        <w:tc>
          <w:tcPr>
            <w:tcW w:w="4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(908.9)</w:t>
            </w:r>
          </w:p>
        </w:tc>
        <w:tc>
          <w:tcPr>
            <w:tcW w:w="8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4,451.7</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149.3</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4,601.0</w:t>
            </w:r>
          </w:p>
        </w:tc>
        <w:tc>
          <w:tcPr>
            <w:tcW w:w="0" w:type="dxa"/>
            <w:vAlign w:val="bottom"/>
          </w:tcPr>
          <w:p>
            <w:pPr>
              <w:spacing w:after="0"/>
              <w:rPr>
                <w:sz w:val="1"/>
                <w:szCs w:val="1"/>
                <w:color w:val="auto"/>
              </w:rPr>
            </w:pPr>
          </w:p>
        </w:tc>
      </w:tr>
      <w:tr>
        <w:trPr>
          <w:trHeight w:val="230"/>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436.8</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90.3</w:t>
            </w: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527.1</w:t>
            </w:r>
          </w:p>
        </w:tc>
        <w:tc>
          <w:tcPr>
            <w:tcW w:w="0" w:type="dxa"/>
            <w:vAlign w:val="bottom"/>
          </w:tcPr>
          <w:p>
            <w:pPr>
              <w:spacing w:after="0"/>
              <w:rPr>
                <w:sz w:val="1"/>
                <w:szCs w:val="1"/>
                <w:color w:val="auto"/>
              </w:rPr>
            </w:pPr>
          </w:p>
        </w:tc>
      </w:tr>
      <w:tr>
        <w:trPr>
          <w:trHeight w:val="230"/>
        </w:trPr>
        <w:tc>
          <w:tcPr>
            <w:tcW w:w="43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279.9</w:t>
            </w: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319.1</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589.4</w:t>
            </w: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5.2</w:t>
            </w: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594.6</w:t>
            </w:r>
          </w:p>
        </w:tc>
        <w:tc>
          <w:tcPr>
            <w:tcW w:w="0" w:type="dxa"/>
            <w:vAlign w:val="bottom"/>
          </w:tcPr>
          <w:p>
            <w:pPr>
              <w:spacing w:after="0"/>
              <w:rPr>
                <w:sz w:val="1"/>
                <w:szCs w:val="1"/>
                <w:color w:val="auto"/>
              </w:rPr>
            </w:pPr>
          </w:p>
        </w:tc>
      </w:tr>
      <w:tr>
        <w:trPr>
          <w:trHeight w:val="223"/>
        </w:trPr>
        <w:tc>
          <w:tcPr>
            <w:tcW w:w="43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comprehensive income (loss)</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279.9</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1,026.2</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95.5</w:t>
            </w: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1,121.7</w:t>
            </w:r>
          </w:p>
        </w:tc>
        <w:tc>
          <w:tcPr>
            <w:tcW w:w="0" w:type="dxa"/>
            <w:vAlign w:val="bottom"/>
          </w:tcPr>
          <w:p>
            <w:pPr>
              <w:spacing w:after="0"/>
              <w:rPr>
                <w:sz w:val="1"/>
                <w:szCs w:val="1"/>
                <w:color w:val="auto"/>
              </w:rPr>
            </w:pPr>
          </w:p>
        </w:tc>
      </w:tr>
      <w:tr>
        <w:trPr>
          <w:trHeight w:val="229"/>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40" w:type="dxa"/>
            <w:vAlign w:val="bottom"/>
          </w:tcPr>
          <w:p>
            <w:pPr>
              <w:spacing w:after="0"/>
              <w:rPr>
                <w:sz w:val="19"/>
                <w:szCs w:val="19"/>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66.2</w:t>
            </w:r>
          </w:p>
        </w:tc>
        <w:tc>
          <w:tcPr>
            <w:tcW w:w="180" w:type="dxa"/>
            <w:vAlign w:val="bottom"/>
          </w:tcPr>
          <w:p>
            <w:pPr>
              <w:spacing w:after="0"/>
              <w:rPr>
                <w:sz w:val="19"/>
                <w:szCs w:val="19"/>
                <w:color w:val="auto"/>
              </w:rPr>
            </w:pPr>
          </w:p>
        </w:tc>
        <w:tc>
          <w:tcPr>
            <w:tcW w:w="8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0" w:type="dxa"/>
            <w:vAlign w:val="bottom"/>
          </w:tcPr>
          <w:p>
            <w:pPr>
              <w:spacing w:after="0"/>
              <w:rPr>
                <w:sz w:val="1"/>
                <w:szCs w:val="1"/>
                <w:color w:val="auto"/>
              </w:rPr>
            </w:pPr>
          </w:p>
        </w:tc>
      </w:tr>
      <w:tr>
        <w:trPr>
          <w:trHeight w:val="184"/>
        </w:trPr>
        <w:tc>
          <w:tcPr>
            <w:tcW w:w="432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Net issuances of 204,653 shares held in treasury in</w:t>
            </w: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 of stock-based compensation</w:t>
            </w: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184"/>
        </w:trPr>
        <w:tc>
          <w:tcPr>
            <w:tcW w:w="43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Repurchases of 3,135,460 shares of common stock at an</w:t>
            </w: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price of $103.71 per share</w:t>
            </w:r>
          </w:p>
        </w:tc>
        <w:tc>
          <w:tcPr>
            <w:tcW w:w="140" w:type="dxa"/>
            <w:vAlign w:val="bottom"/>
          </w:tcPr>
          <w:p>
            <w:pPr>
              <w:spacing w:after="0"/>
              <w:rPr>
                <w:sz w:val="20"/>
                <w:szCs w:val="20"/>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(328.3)</w:t>
            </w:r>
          </w:p>
        </w:tc>
        <w:tc>
          <w:tcPr>
            <w:tcW w:w="180" w:type="dxa"/>
            <w:vAlign w:val="bottom"/>
          </w:tcPr>
          <w:p>
            <w:pPr>
              <w:spacing w:after="0"/>
              <w:rPr>
                <w:sz w:val="20"/>
                <w:szCs w:val="20"/>
                <w:color w:val="auto"/>
              </w:rPr>
            </w:pPr>
          </w:p>
        </w:tc>
        <w:tc>
          <w:tcPr>
            <w:tcW w:w="8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(328.3)</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declared to Lear Corporation shareholders</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(168.2)</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(168.2)</w:t>
            </w:r>
          </w:p>
        </w:tc>
        <w:tc>
          <w:tcPr>
            <w:tcW w:w="0" w:type="dxa"/>
            <w:vAlign w:val="bottom"/>
          </w:tcPr>
          <w:p>
            <w:pPr>
              <w:spacing w:after="0"/>
              <w:rPr>
                <w:sz w:val="1"/>
                <w:szCs w:val="1"/>
                <w:color w:val="auto"/>
              </w:rPr>
            </w:pPr>
          </w:p>
        </w:tc>
      </w:tr>
      <w:tr>
        <w:trPr>
          <w:trHeight w:val="230"/>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declared to noncontrolling interests</w:t>
            </w:r>
          </w:p>
        </w:tc>
        <w:tc>
          <w:tcPr>
            <w:tcW w:w="140" w:type="dxa"/>
            <w:vAlign w:val="bottom"/>
          </w:tcPr>
          <w:p>
            <w:pPr>
              <w:spacing w:after="0"/>
              <w:rPr>
                <w:sz w:val="19"/>
                <w:szCs w:val="19"/>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Contribution from noncontrolling interest holder</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2.1</w:t>
            </w: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30"/>
        </w:trPr>
        <w:tc>
          <w:tcPr>
            <w:tcW w:w="4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Affiliate transaction</w:t>
            </w: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5.3</w:t>
            </w: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30"/>
        </w:trPr>
        <w:tc>
          <w:tcPr>
            <w:tcW w:w="4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146.2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(589.8)</w:t>
            </w:r>
          </w:p>
        </w:tc>
        <w:tc>
          <w:tcPr>
            <w:tcW w:w="8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5,035.1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165.9</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5,201.0</w:t>
            </w: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11000"/>
          </w:cols>
          <w:pgMar w:left="320" w:top="117" w:right="5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117" w:right="579" w:bottom="1440" w:gutter="0" w:footer="0" w:header="0"/>
          <w:type w:val="continuous"/>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LEAR CORPORATION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STATEMENTS OF CASH FLOWS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6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For the year ended December 31,</w:t>
            </w:r>
          </w:p>
        </w:tc>
        <w:tc>
          <w:tcPr>
            <w:tcW w:w="4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color w:val="auto"/>
              </w:rPr>
              <w:t>2025</w:t>
            </w:r>
          </w:p>
        </w:tc>
        <w:tc>
          <w:tcPr>
            <w:tcW w:w="4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color w:val="auto"/>
              </w:rPr>
              <w:t>2024</w:t>
            </w:r>
          </w:p>
        </w:tc>
        <w:tc>
          <w:tcPr>
            <w:tcW w:w="4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color w:val="auto"/>
              </w:rPr>
              <w:t>2023</w:t>
            </w:r>
          </w:p>
        </w:tc>
        <w:tc>
          <w:tcPr>
            <w:tcW w:w="0" w:type="dxa"/>
            <w:vAlign w:val="bottom"/>
          </w:tcPr>
          <w:p>
            <w:pPr>
              <w:spacing w:after="0"/>
              <w:rPr>
                <w:sz w:val="1"/>
                <w:szCs w:val="1"/>
                <w:color w:val="auto"/>
              </w:rPr>
            </w:pPr>
          </w:p>
        </w:tc>
      </w:tr>
      <w:tr>
        <w:trPr>
          <w:trHeight w:val="229"/>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Consolidated net income</w:t>
            </w:r>
          </w:p>
        </w:tc>
        <w:tc>
          <w:tcPr>
            <w:tcW w:w="40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527.1</w:t>
            </w:r>
          </w:p>
        </w:tc>
        <w:tc>
          <w:tcPr>
            <w:tcW w:w="40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591.8</w:t>
            </w:r>
          </w:p>
        </w:tc>
        <w:tc>
          <w:tcPr>
            <w:tcW w:w="40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645.7</w:t>
            </w:r>
          </w:p>
        </w:tc>
        <w:tc>
          <w:tcPr>
            <w:tcW w:w="0" w:type="dxa"/>
            <w:vAlign w:val="bottom"/>
          </w:tcPr>
          <w:p>
            <w:pPr>
              <w:spacing w:after="0"/>
              <w:rPr>
                <w:sz w:val="1"/>
                <w:szCs w:val="1"/>
                <w:color w:val="auto"/>
              </w:rPr>
            </w:pPr>
          </w:p>
        </w:tc>
      </w:tr>
      <w:tr>
        <w:trPr>
          <w:trHeight w:val="233"/>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Adjustments to reconcile consolidated net income to net cash provided by operating activities –</w:t>
            </w:r>
          </w:p>
        </w:tc>
        <w:tc>
          <w:tcPr>
            <w:tcW w:w="4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66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Equity in net income of affiliates</w:t>
            </w:r>
          </w:p>
        </w:tc>
        <w:tc>
          <w:tcPr>
            <w:tcW w:w="4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(52.0)</w:t>
            </w:r>
          </w:p>
        </w:tc>
        <w:tc>
          <w:tcPr>
            <w:tcW w:w="4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w:t>
            </w: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(49.3)</w:t>
            </w:r>
          </w:p>
        </w:tc>
        <w:tc>
          <w:tcPr>
            <w:tcW w:w="0" w:type="dxa"/>
            <w:vAlign w:val="bottom"/>
          </w:tcPr>
          <w:p>
            <w:pPr>
              <w:spacing w:after="0"/>
              <w:rPr>
                <w:sz w:val="1"/>
                <w:szCs w:val="1"/>
                <w:color w:val="auto"/>
              </w:rPr>
            </w:pPr>
          </w:p>
        </w:tc>
      </w:tr>
      <w:tr>
        <w:trPr>
          <w:trHeight w:val="233"/>
        </w:trPr>
        <w:tc>
          <w:tcPr>
            <w:tcW w:w="6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Impairment charges</w:t>
            </w:r>
          </w:p>
        </w:tc>
        <w:tc>
          <w:tcPr>
            <w:tcW w:w="40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64.1</w:t>
            </w:r>
          </w:p>
        </w:tc>
        <w:tc>
          <w:tcPr>
            <w:tcW w:w="40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10.5</w:t>
            </w:r>
          </w:p>
        </w:tc>
        <w:tc>
          <w:tcPr>
            <w:tcW w:w="4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29.3</w:t>
            </w:r>
          </w:p>
        </w:tc>
        <w:tc>
          <w:tcPr>
            <w:tcW w:w="0" w:type="dxa"/>
            <w:vAlign w:val="bottom"/>
          </w:tcPr>
          <w:p>
            <w:pPr>
              <w:spacing w:after="0"/>
              <w:rPr>
                <w:sz w:val="1"/>
                <w:szCs w:val="1"/>
                <w:color w:val="auto"/>
              </w:rPr>
            </w:pPr>
          </w:p>
        </w:tc>
      </w:tr>
      <w:tr>
        <w:trPr>
          <w:trHeight w:val="226"/>
        </w:trPr>
        <w:tc>
          <w:tcPr>
            <w:tcW w:w="66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Deferred tax benefit</w:t>
            </w:r>
          </w:p>
        </w:tc>
        <w:tc>
          <w:tcPr>
            <w:tcW w:w="4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(117.0)</w:t>
            </w:r>
          </w:p>
        </w:tc>
        <w:tc>
          <w:tcPr>
            <w:tcW w:w="4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(56.9)</w:t>
            </w: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(58.8)</w:t>
            </w:r>
          </w:p>
        </w:tc>
        <w:tc>
          <w:tcPr>
            <w:tcW w:w="0" w:type="dxa"/>
            <w:vAlign w:val="bottom"/>
          </w:tcPr>
          <w:p>
            <w:pPr>
              <w:spacing w:after="0"/>
              <w:rPr>
                <w:sz w:val="1"/>
                <w:szCs w:val="1"/>
                <w:color w:val="auto"/>
              </w:rPr>
            </w:pPr>
          </w:p>
        </w:tc>
      </w:tr>
      <w:tr>
        <w:trPr>
          <w:trHeight w:val="233"/>
        </w:trPr>
        <w:tc>
          <w:tcPr>
            <w:tcW w:w="6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40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604.1</w:t>
            </w:r>
          </w:p>
        </w:tc>
        <w:tc>
          <w:tcPr>
            <w:tcW w:w="40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620.7</w:t>
            </w:r>
          </w:p>
        </w:tc>
        <w:tc>
          <w:tcPr>
            <w:tcW w:w="4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604.4</w:t>
            </w:r>
          </w:p>
        </w:tc>
        <w:tc>
          <w:tcPr>
            <w:tcW w:w="0" w:type="dxa"/>
            <w:vAlign w:val="bottom"/>
          </w:tcPr>
          <w:p>
            <w:pPr>
              <w:spacing w:after="0"/>
              <w:rPr>
                <w:sz w:val="1"/>
                <w:szCs w:val="1"/>
                <w:color w:val="auto"/>
              </w:rPr>
            </w:pPr>
          </w:p>
        </w:tc>
      </w:tr>
      <w:tr>
        <w:trPr>
          <w:trHeight w:val="226"/>
        </w:trPr>
        <w:tc>
          <w:tcPr>
            <w:tcW w:w="66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Stock-based compensation</w:t>
            </w:r>
          </w:p>
        </w:tc>
        <w:tc>
          <w:tcPr>
            <w:tcW w:w="400" w:type="dxa"/>
            <w:vAlign w:val="bottom"/>
          </w:tcPr>
          <w:p>
            <w:pPr>
              <w:spacing w:after="0"/>
              <w:rPr>
                <w:sz w:val="19"/>
                <w:szCs w:val="19"/>
                <w:color w:val="auto"/>
              </w:rPr>
            </w:pPr>
          </w:p>
        </w:tc>
        <w:tc>
          <w:tcPr>
            <w:tcW w:w="11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66.2</w:t>
            </w:r>
          </w:p>
        </w:tc>
        <w:tc>
          <w:tcPr>
            <w:tcW w:w="400" w:type="dxa"/>
            <w:vAlign w:val="bottom"/>
          </w:tcPr>
          <w:p>
            <w:pPr>
              <w:spacing w:after="0"/>
              <w:rPr>
                <w:sz w:val="19"/>
                <w:szCs w:val="19"/>
                <w:color w:val="auto"/>
              </w:rPr>
            </w:pPr>
          </w:p>
        </w:tc>
        <w:tc>
          <w:tcPr>
            <w:tcW w:w="11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64.4</w:t>
            </w: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67.5</w:t>
            </w:r>
          </w:p>
        </w:tc>
        <w:tc>
          <w:tcPr>
            <w:tcW w:w="0" w:type="dxa"/>
            <w:vAlign w:val="bottom"/>
          </w:tcPr>
          <w:p>
            <w:pPr>
              <w:spacing w:after="0"/>
              <w:rPr>
                <w:sz w:val="1"/>
                <w:szCs w:val="1"/>
                <w:color w:val="auto"/>
              </w:rPr>
            </w:pPr>
          </w:p>
        </w:tc>
      </w:tr>
      <w:tr>
        <w:trPr>
          <w:trHeight w:val="233"/>
        </w:trPr>
        <w:tc>
          <w:tcPr>
            <w:tcW w:w="6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Net change in recoverable customer engineering, development and tooling</w:t>
            </w:r>
          </w:p>
        </w:tc>
        <w:tc>
          <w:tcPr>
            <w:tcW w:w="40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74.8</w:t>
            </w:r>
          </w:p>
        </w:tc>
        <w:tc>
          <w:tcPr>
            <w:tcW w:w="4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w:t>
            </w:r>
          </w:p>
        </w:tc>
        <w:tc>
          <w:tcPr>
            <w:tcW w:w="4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(42.3)</w:t>
            </w:r>
          </w:p>
        </w:tc>
        <w:tc>
          <w:tcPr>
            <w:tcW w:w="0" w:type="dxa"/>
            <w:vAlign w:val="bottom"/>
          </w:tcPr>
          <w:p>
            <w:pPr>
              <w:spacing w:after="0"/>
              <w:rPr>
                <w:sz w:val="1"/>
                <w:szCs w:val="1"/>
                <w:color w:val="auto"/>
              </w:rPr>
            </w:pPr>
          </w:p>
        </w:tc>
      </w:tr>
      <w:tr>
        <w:trPr>
          <w:trHeight w:val="226"/>
        </w:trPr>
        <w:tc>
          <w:tcPr>
            <w:tcW w:w="66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Net change in working capital items (see below)</w:t>
            </w:r>
          </w:p>
        </w:tc>
        <w:tc>
          <w:tcPr>
            <w:tcW w:w="4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(167.2)</w:t>
            </w:r>
          </w:p>
        </w:tc>
        <w:tc>
          <w:tcPr>
            <w:tcW w:w="4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(128.8)</w:t>
            </w: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44.8</w:t>
            </w:r>
          </w:p>
        </w:tc>
        <w:tc>
          <w:tcPr>
            <w:tcW w:w="0" w:type="dxa"/>
            <w:vAlign w:val="bottom"/>
          </w:tcPr>
          <w:p>
            <w:pPr>
              <w:spacing w:after="0"/>
              <w:rPr>
                <w:sz w:val="1"/>
                <w:szCs w:val="1"/>
                <w:color w:val="auto"/>
              </w:rPr>
            </w:pPr>
          </w:p>
        </w:tc>
      </w:tr>
      <w:tr>
        <w:trPr>
          <w:trHeight w:val="233"/>
        </w:trPr>
        <w:tc>
          <w:tcPr>
            <w:tcW w:w="6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Changes in other long-term assets</w:t>
            </w:r>
          </w:p>
        </w:tc>
        <w:tc>
          <w:tcPr>
            <w:tcW w:w="40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15.7</w:t>
            </w:r>
          </w:p>
        </w:tc>
        <w:tc>
          <w:tcPr>
            <w:tcW w:w="40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0" w:type="dxa"/>
            <w:vAlign w:val="bottom"/>
          </w:tcPr>
          <w:p>
            <w:pPr>
              <w:spacing w:after="0"/>
              <w:rPr>
                <w:sz w:val="1"/>
                <w:szCs w:val="1"/>
                <w:color w:val="auto"/>
              </w:rPr>
            </w:pPr>
          </w:p>
        </w:tc>
      </w:tr>
      <w:tr>
        <w:trPr>
          <w:trHeight w:val="226"/>
        </w:trPr>
        <w:tc>
          <w:tcPr>
            <w:tcW w:w="66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Changes in other long-term liabilities</w:t>
            </w:r>
          </w:p>
        </w:tc>
        <w:tc>
          <w:tcPr>
            <w:tcW w:w="400" w:type="dxa"/>
            <w:vAlign w:val="bottom"/>
          </w:tcPr>
          <w:p>
            <w:pPr>
              <w:spacing w:after="0"/>
              <w:rPr>
                <w:sz w:val="19"/>
                <w:szCs w:val="19"/>
                <w:color w:val="auto"/>
              </w:rPr>
            </w:pPr>
          </w:p>
        </w:tc>
        <w:tc>
          <w:tcPr>
            <w:tcW w:w="11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31.6</w:t>
            </w:r>
          </w:p>
        </w:tc>
        <w:tc>
          <w:tcPr>
            <w:tcW w:w="400" w:type="dxa"/>
            <w:vAlign w:val="bottom"/>
          </w:tcPr>
          <w:p>
            <w:pPr>
              <w:spacing w:after="0"/>
              <w:rPr>
                <w:sz w:val="19"/>
                <w:szCs w:val="19"/>
                <w:color w:val="auto"/>
              </w:rPr>
            </w:pPr>
          </w:p>
        </w:tc>
        <w:tc>
          <w:tcPr>
            <w:tcW w:w="11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25.2</w:t>
            </w: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17.2</w:t>
            </w:r>
          </w:p>
        </w:tc>
        <w:tc>
          <w:tcPr>
            <w:tcW w:w="0" w:type="dxa"/>
            <w:vAlign w:val="bottom"/>
          </w:tcPr>
          <w:p>
            <w:pPr>
              <w:spacing w:after="0"/>
              <w:rPr>
                <w:sz w:val="1"/>
                <w:szCs w:val="1"/>
                <w:color w:val="auto"/>
              </w:rPr>
            </w:pPr>
          </w:p>
        </w:tc>
      </w:tr>
      <w:tr>
        <w:trPr>
          <w:trHeight w:val="233"/>
        </w:trPr>
        <w:tc>
          <w:tcPr>
            <w:tcW w:w="6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Non-cash loss on disposal of a non-core business</w:t>
            </w:r>
          </w:p>
        </w:tc>
        <w:tc>
          <w:tcPr>
            <w:tcW w:w="40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2.7</w:t>
            </w:r>
          </w:p>
        </w:tc>
        <w:tc>
          <w:tcPr>
            <w:tcW w:w="40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24.4</w:t>
            </w:r>
          </w:p>
        </w:tc>
        <w:tc>
          <w:tcPr>
            <w:tcW w:w="4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6"/>
        </w:trPr>
        <w:tc>
          <w:tcPr>
            <w:tcW w:w="66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7"/>
                <w:szCs w:val="17"/>
                <w:color w:val="auto"/>
              </w:rPr>
              <w:t>Other, net</w:t>
            </w:r>
          </w:p>
        </w:tc>
        <w:tc>
          <w:tcPr>
            <w:tcW w:w="4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38.7</w:t>
            </w:r>
          </w:p>
        </w:tc>
        <w:tc>
          <w:tcPr>
            <w:tcW w:w="4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36.5</w:t>
            </w: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(15.7)</w:t>
            </w:r>
          </w:p>
        </w:tc>
        <w:tc>
          <w:tcPr>
            <w:tcW w:w="0" w:type="dxa"/>
            <w:vAlign w:val="bottom"/>
          </w:tcPr>
          <w:p>
            <w:pPr>
              <w:spacing w:after="0"/>
              <w:rPr>
                <w:sz w:val="1"/>
                <w:szCs w:val="1"/>
                <w:color w:val="auto"/>
              </w:rPr>
            </w:pPr>
          </w:p>
        </w:tc>
      </w:tr>
      <w:tr>
        <w:trPr>
          <w:trHeight w:val="223"/>
        </w:trPr>
        <w:tc>
          <w:tcPr>
            <w:tcW w:w="664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4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1,088.8</w:t>
            </w:r>
          </w:p>
        </w:tc>
        <w:tc>
          <w:tcPr>
            <w:tcW w:w="4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1,120.1</w:t>
            </w:r>
          </w:p>
        </w:tc>
        <w:tc>
          <w:tcPr>
            <w:tcW w:w="4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1,249.3</w:t>
            </w:r>
          </w:p>
        </w:tc>
        <w:tc>
          <w:tcPr>
            <w:tcW w:w="0" w:type="dxa"/>
            <w:vAlign w:val="bottom"/>
          </w:tcPr>
          <w:p>
            <w:pPr>
              <w:spacing w:after="0"/>
              <w:rPr>
                <w:sz w:val="1"/>
                <w:szCs w:val="1"/>
                <w:color w:val="auto"/>
              </w:rPr>
            </w:pPr>
          </w:p>
        </w:tc>
      </w:tr>
      <w:tr>
        <w:trPr>
          <w:trHeight w:val="225"/>
        </w:trPr>
        <w:tc>
          <w:tcPr>
            <w:tcW w:w="66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4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Additions to property, plant and equipment</w:t>
            </w:r>
          </w:p>
        </w:tc>
        <w:tc>
          <w:tcPr>
            <w:tcW w:w="4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(561.6)</w:t>
            </w:r>
          </w:p>
        </w:tc>
        <w:tc>
          <w:tcPr>
            <w:tcW w:w="4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(558.7)</w:t>
            </w:r>
          </w:p>
        </w:tc>
        <w:tc>
          <w:tcPr>
            <w:tcW w:w="4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(626.5)</w:t>
            </w:r>
          </w:p>
        </w:tc>
        <w:tc>
          <w:tcPr>
            <w:tcW w:w="0" w:type="dxa"/>
            <w:vAlign w:val="bottom"/>
          </w:tcPr>
          <w:p>
            <w:pPr>
              <w:spacing w:after="0"/>
              <w:rPr>
                <w:sz w:val="1"/>
                <w:szCs w:val="1"/>
                <w:color w:val="auto"/>
              </w:rPr>
            </w:pPr>
          </w:p>
        </w:tc>
      </w:tr>
      <w:tr>
        <w:trPr>
          <w:trHeight w:val="226"/>
        </w:trPr>
        <w:tc>
          <w:tcPr>
            <w:tcW w:w="6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Acquisitions, net of cash acquired</w:t>
            </w:r>
          </w:p>
        </w:tc>
        <w:tc>
          <w:tcPr>
            <w:tcW w:w="400" w:type="dxa"/>
            <w:vAlign w:val="bottom"/>
          </w:tcPr>
          <w:p>
            <w:pPr>
              <w:spacing w:after="0"/>
              <w:rPr>
                <w:sz w:val="19"/>
                <w:szCs w:val="19"/>
                <w:color w:val="auto"/>
              </w:rPr>
            </w:pPr>
          </w:p>
        </w:tc>
        <w:tc>
          <w:tcPr>
            <w:tcW w:w="11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(0.8)</w:t>
            </w: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(174.5)</w:t>
            </w:r>
          </w:p>
        </w:tc>
        <w:tc>
          <w:tcPr>
            <w:tcW w:w="0" w:type="dxa"/>
            <w:vAlign w:val="bottom"/>
          </w:tcPr>
          <w:p>
            <w:pPr>
              <w:spacing w:after="0"/>
              <w:rPr>
                <w:sz w:val="1"/>
                <w:szCs w:val="1"/>
                <w:color w:val="auto"/>
              </w:rPr>
            </w:pPr>
          </w:p>
        </w:tc>
      </w:tr>
      <w:tr>
        <w:trPr>
          <w:trHeight w:val="230"/>
        </w:trPr>
        <w:tc>
          <w:tcPr>
            <w:tcW w:w="66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net</w:t>
            </w:r>
          </w:p>
        </w:tc>
        <w:tc>
          <w:tcPr>
            <w:tcW w:w="4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44.8</w:t>
            </w:r>
          </w:p>
        </w:tc>
        <w:tc>
          <w:tcPr>
            <w:tcW w:w="4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16.5</w:t>
            </w:r>
          </w:p>
        </w:tc>
        <w:tc>
          <w:tcPr>
            <w:tcW w:w="4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39.5</w:t>
            </w:r>
          </w:p>
        </w:tc>
        <w:tc>
          <w:tcPr>
            <w:tcW w:w="0" w:type="dxa"/>
            <w:vAlign w:val="bottom"/>
          </w:tcPr>
          <w:p>
            <w:pPr>
              <w:spacing w:after="0"/>
              <w:rPr>
                <w:sz w:val="1"/>
                <w:szCs w:val="1"/>
                <w:color w:val="auto"/>
              </w:rPr>
            </w:pPr>
          </w:p>
        </w:tc>
      </w:tr>
      <w:tr>
        <w:trPr>
          <w:trHeight w:val="223"/>
        </w:trPr>
        <w:tc>
          <w:tcPr>
            <w:tcW w:w="664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4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(516.8)</w:t>
            </w:r>
          </w:p>
        </w:tc>
        <w:tc>
          <w:tcPr>
            <w:tcW w:w="4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(543.0)</w:t>
            </w: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(761.5)</w:t>
            </w:r>
          </w:p>
        </w:tc>
        <w:tc>
          <w:tcPr>
            <w:tcW w:w="0" w:type="dxa"/>
            <w:vAlign w:val="bottom"/>
          </w:tcPr>
          <w:p>
            <w:pPr>
              <w:spacing w:after="0"/>
              <w:rPr>
                <w:sz w:val="1"/>
                <w:szCs w:val="1"/>
                <w:color w:val="auto"/>
              </w:rPr>
            </w:pPr>
          </w:p>
        </w:tc>
      </w:tr>
      <w:tr>
        <w:trPr>
          <w:trHeight w:val="227"/>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Financing Activities:</w:t>
            </w: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Short-term borrowings, net</w:t>
            </w:r>
          </w:p>
        </w:tc>
        <w:tc>
          <w:tcPr>
            <w:tcW w:w="400" w:type="dxa"/>
            <w:vAlign w:val="bottom"/>
          </w:tcPr>
          <w:p>
            <w:pPr>
              <w:spacing w:after="0"/>
              <w:rPr>
                <w:sz w:val="19"/>
                <w:szCs w:val="19"/>
                <w:color w:val="auto"/>
              </w:rPr>
            </w:pPr>
          </w:p>
        </w:tc>
        <w:tc>
          <w:tcPr>
            <w:tcW w:w="11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spacing w:after="0"/>
              <w:rPr>
                <w:sz w:val="19"/>
                <w:szCs w:val="19"/>
                <w:color w:val="auto"/>
              </w:rPr>
            </w:pPr>
          </w:p>
        </w:tc>
        <w:tc>
          <w:tcPr>
            <w:tcW w:w="11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17.7</w:t>
            </w:r>
          </w:p>
        </w:tc>
        <w:tc>
          <w:tcPr>
            <w:tcW w:w="0" w:type="dxa"/>
            <w:vAlign w:val="bottom"/>
          </w:tcPr>
          <w:p>
            <w:pPr>
              <w:spacing w:after="0"/>
              <w:rPr>
                <w:sz w:val="1"/>
                <w:szCs w:val="1"/>
                <w:color w:val="auto"/>
              </w:rPr>
            </w:pPr>
          </w:p>
        </w:tc>
      </w:tr>
      <w:tr>
        <w:trPr>
          <w:trHeight w:val="233"/>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Term loan repayments</w:t>
            </w:r>
          </w:p>
        </w:tc>
        <w:tc>
          <w:tcPr>
            <w:tcW w:w="4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w:t>
            </w:r>
          </w:p>
        </w:tc>
        <w:tc>
          <w:tcPr>
            <w:tcW w:w="4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w:t>
            </w:r>
          </w:p>
        </w:tc>
        <w:tc>
          <w:tcPr>
            <w:tcW w:w="4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6"/>
        </w:trPr>
        <w:tc>
          <w:tcPr>
            <w:tcW w:w="6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Term loan borrowings</w:t>
            </w:r>
          </w:p>
        </w:tc>
        <w:tc>
          <w:tcPr>
            <w:tcW w:w="400" w:type="dxa"/>
            <w:vAlign w:val="bottom"/>
          </w:tcPr>
          <w:p>
            <w:pPr>
              <w:spacing w:after="0"/>
              <w:rPr>
                <w:sz w:val="19"/>
                <w:szCs w:val="19"/>
                <w:color w:val="auto"/>
              </w:rPr>
            </w:pPr>
          </w:p>
        </w:tc>
        <w:tc>
          <w:tcPr>
            <w:tcW w:w="11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spacing w:after="0"/>
              <w:rPr>
                <w:sz w:val="19"/>
                <w:szCs w:val="19"/>
                <w:color w:val="auto"/>
              </w:rPr>
            </w:pPr>
          </w:p>
        </w:tc>
        <w:tc>
          <w:tcPr>
            <w:tcW w:w="11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150.0</w:t>
            </w:r>
          </w:p>
        </w:tc>
        <w:tc>
          <w:tcPr>
            <w:tcW w:w="0" w:type="dxa"/>
            <w:vAlign w:val="bottom"/>
          </w:tcPr>
          <w:p>
            <w:pPr>
              <w:spacing w:after="0"/>
              <w:rPr>
                <w:sz w:val="1"/>
                <w:szCs w:val="1"/>
                <w:color w:val="auto"/>
              </w:rPr>
            </w:pPr>
          </w:p>
        </w:tc>
      </w:tr>
      <w:tr>
        <w:trPr>
          <w:trHeight w:val="233"/>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Repurchases of common stock</w:t>
            </w:r>
          </w:p>
        </w:tc>
        <w:tc>
          <w:tcPr>
            <w:tcW w:w="4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(325.2)</w:t>
            </w:r>
          </w:p>
        </w:tc>
        <w:tc>
          <w:tcPr>
            <w:tcW w:w="4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(416.7)</w:t>
            </w:r>
          </w:p>
        </w:tc>
        <w:tc>
          <w:tcPr>
            <w:tcW w:w="4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(296.5)</w:t>
            </w:r>
          </w:p>
        </w:tc>
        <w:tc>
          <w:tcPr>
            <w:tcW w:w="0" w:type="dxa"/>
            <w:vAlign w:val="bottom"/>
          </w:tcPr>
          <w:p>
            <w:pPr>
              <w:spacing w:after="0"/>
              <w:rPr>
                <w:sz w:val="1"/>
                <w:szCs w:val="1"/>
                <w:color w:val="auto"/>
              </w:rPr>
            </w:pPr>
          </w:p>
        </w:tc>
      </w:tr>
      <w:tr>
        <w:trPr>
          <w:trHeight w:val="226"/>
        </w:trPr>
        <w:tc>
          <w:tcPr>
            <w:tcW w:w="6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Dividends paid to Lear Corporation shareholders</w:t>
            </w:r>
          </w:p>
        </w:tc>
        <w:tc>
          <w:tcPr>
            <w:tcW w:w="4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(164.8)</w:t>
            </w:r>
          </w:p>
        </w:tc>
        <w:tc>
          <w:tcPr>
            <w:tcW w:w="4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(173.7)</w:t>
            </w: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(181.9)</w:t>
            </w:r>
          </w:p>
        </w:tc>
        <w:tc>
          <w:tcPr>
            <w:tcW w:w="0" w:type="dxa"/>
            <w:vAlign w:val="bottom"/>
          </w:tcPr>
          <w:p>
            <w:pPr>
              <w:spacing w:after="0"/>
              <w:rPr>
                <w:sz w:val="1"/>
                <w:szCs w:val="1"/>
                <w:color w:val="auto"/>
              </w:rPr>
            </w:pPr>
          </w:p>
        </w:tc>
      </w:tr>
      <w:tr>
        <w:trPr>
          <w:trHeight w:val="233"/>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Dividends paid to noncontrolling interests</w:t>
            </w:r>
          </w:p>
        </w:tc>
        <w:tc>
          <w:tcPr>
            <w:tcW w:w="4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(86.9)</w:t>
            </w:r>
          </w:p>
        </w:tc>
        <w:tc>
          <w:tcPr>
            <w:tcW w:w="4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(74.8)</w:t>
            </w:r>
          </w:p>
        </w:tc>
        <w:tc>
          <w:tcPr>
            <w:tcW w:w="4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(78.7)</w:t>
            </w:r>
          </w:p>
        </w:tc>
        <w:tc>
          <w:tcPr>
            <w:tcW w:w="0" w:type="dxa"/>
            <w:vAlign w:val="bottom"/>
          </w:tcPr>
          <w:p>
            <w:pPr>
              <w:spacing w:after="0"/>
              <w:rPr>
                <w:sz w:val="1"/>
                <w:szCs w:val="1"/>
                <w:color w:val="auto"/>
              </w:rPr>
            </w:pPr>
          </w:p>
        </w:tc>
      </w:tr>
      <w:tr>
        <w:trPr>
          <w:trHeight w:val="226"/>
        </w:trPr>
        <w:tc>
          <w:tcPr>
            <w:tcW w:w="6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Other, net</w:t>
            </w:r>
          </w:p>
        </w:tc>
        <w:tc>
          <w:tcPr>
            <w:tcW w:w="4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8.4</w:t>
            </w:r>
          </w:p>
        </w:tc>
        <w:tc>
          <w:tcPr>
            <w:tcW w:w="4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21.3</w:t>
            </w: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(30.1)</w:t>
            </w:r>
          </w:p>
        </w:tc>
        <w:tc>
          <w:tcPr>
            <w:tcW w:w="0" w:type="dxa"/>
            <w:vAlign w:val="bottom"/>
          </w:tcPr>
          <w:p>
            <w:pPr>
              <w:spacing w:after="0"/>
              <w:rPr>
                <w:sz w:val="1"/>
                <w:szCs w:val="1"/>
                <w:color w:val="auto"/>
              </w:rPr>
            </w:pPr>
          </w:p>
        </w:tc>
      </w:tr>
      <w:tr>
        <w:trPr>
          <w:trHeight w:val="223"/>
        </w:trPr>
        <w:tc>
          <w:tcPr>
            <w:tcW w:w="664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Net cash used in financing activities</w:t>
            </w:r>
          </w:p>
        </w:tc>
        <w:tc>
          <w:tcPr>
            <w:tcW w:w="4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(618.5)</w:t>
            </w:r>
          </w:p>
        </w:tc>
        <w:tc>
          <w:tcPr>
            <w:tcW w:w="4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(693.9)</w:t>
            </w:r>
          </w:p>
        </w:tc>
        <w:tc>
          <w:tcPr>
            <w:tcW w:w="4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(419.5)</w:t>
            </w:r>
          </w:p>
        </w:tc>
        <w:tc>
          <w:tcPr>
            <w:tcW w:w="0" w:type="dxa"/>
            <w:vAlign w:val="bottom"/>
          </w:tcPr>
          <w:p>
            <w:pPr>
              <w:spacing w:after="0"/>
              <w:rPr>
                <w:sz w:val="1"/>
                <w:szCs w:val="1"/>
                <w:color w:val="auto"/>
              </w:rPr>
            </w:pPr>
          </w:p>
        </w:tc>
      </w:tr>
      <w:tr>
        <w:trPr>
          <w:trHeight w:val="223"/>
        </w:trPr>
        <w:tc>
          <w:tcPr>
            <w:tcW w:w="6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Effect of foreign currency translation</w:t>
            </w:r>
          </w:p>
        </w:tc>
        <w:tc>
          <w:tcPr>
            <w:tcW w:w="4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26.4</w:t>
            </w:r>
          </w:p>
        </w:tc>
        <w:tc>
          <w:tcPr>
            <w:tcW w:w="4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(26.3)</w:t>
            </w: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12.8</w:t>
            </w:r>
          </w:p>
        </w:tc>
        <w:tc>
          <w:tcPr>
            <w:tcW w:w="0" w:type="dxa"/>
            <w:vAlign w:val="bottom"/>
          </w:tcPr>
          <w:p>
            <w:pPr>
              <w:spacing w:after="0"/>
              <w:rPr>
                <w:sz w:val="1"/>
                <w:szCs w:val="1"/>
                <w:color w:val="auto"/>
              </w:rPr>
            </w:pPr>
          </w:p>
        </w:tc>
      </w:tr>
      <w:tr>
        <w:trPr>
          <w:trHeight w:val="227"/>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Change in Cash, Cash Equivalents and Restricted Cash</w:t>
            </w: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w:t>
            </w: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(143.1)</w:t>
            </w: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81.1</w:t>
            </w:r>
          </w:p>
        </w:tc>
        <w:tc>
          <w:tcPr>
            <w:tcW w:w="0" w:type="dxa"/>
            <w:vAlign w:val="bottom"/>
          </w:tcPr>
          <w:p>
            <w:pPr>
              <w:spacing w:after="0"/>
              <w:rPr>
                <w:sz w:val="1"/>
                <w:szCs w:val="1"/>
                <w:color w:val="auto"/>
              </w:rPr>
            </w:pPr>
          </w:p>
        </w:tc>
      </w:tr>
      <w:tr>
        <w:trPr>
          <w:trHeight w:val="228"/>
        </w:trPr>
        <w:tc>
          <w:tcPr>
            <w:tcW w:w="6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Cash, Cash Equivalents and Restricted Cash as of Beginning of Period</w:t>
            </w:r>
          </w:p>
        </w:tc>
        <w:tc>
          <w:tcPr>
            <w:tcW w:w="4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1,055.4</w:t>
            </w:r>
          </w:p>
        </w:tc>
        <w:tc>
          <w:tcPr>
            <w:tcW w:w="4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1,198.5</w:t>
            </w: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1,117.4</w:t>
            </w:r>
          </w:p>
        </w:tc>
        <w:tc>
          <w:tcPr>
            <w:tcW w:w="0" w:type="dxa"/>
            <w:vAlign w:val="bottom"/>
          </w:tcPr>
          <w:p>
            <w:pPr>
              <w:spacing w:after="0"/>
              <w:rPr>
                <w:sz w:val="1"/>
                <w:szCs w:val="1"/>
                <w:color w:val="auto"/>
              </w:rPr>
            </w:pPr>
          </w:p>
        </w:tc>
      </w:tr>
      <w:tr>
        <w:trPr>
          <w:trHeight w:val="232"/>
        </w:trPr>
        <w:tc>
          <w:tcPr>
            <w:tcW w:w="66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Cash, Cash Equivalents and Restricted Cash as of End of Period</w:t>
            </w:r>
          </w:p>
        </w:tc>
        <w:tc>
          <w:tcPr>
            <w:tcW w:w="40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1,035.3</w:t>
            </w:r>
          </w:p>
        </w:tc>
        <w:tc>
          <w:tcPr>
            <w:tcW w:w="40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1,055.4</w:t>
            </w:r>
          </w:p>
        </w:tc>
        <w:tc>
          <w:tcPr>
            <w:tcW w:w="40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1,198.5</w:t>
            </w:r>
          </w:p>
        </w:tc>
        <w:tc>
          <w:tcPr>
            <w:tcW w:w="0" w:type="dxa"/>
            <w:vAlign w:val="bottom"/>
          </w:tcPr>
          <w:p>
            <w:pPr>
              <w:spacing w:after="0"/>
              <w:rPr>
                <w:sz w:val="1"/>
                <w:szCs w:val="1"/>
                <w:color w:val="auto"/>
              </w:rPr>
            </w:pPr>
          </w:p>
        </w:tc>
      </w:tr>
      <w:tr>
        <w:trPr>
          <w:trHeight w:val="228"/>
        </w:trPr>
        <w:tc>
          <w:tcPr>
            <w:tcW w:w="66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Changes in Working Capital Items:</w:t>
            </w:r>
          </w:p>
        </w:tc>
        <w:tc>
          <w:tcPr>
            <w:tcW w:w="4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Accounts receivable</w:t>
            </w:r>
          </w:p>
        </w:tc>
        <w:tc>
          <w:tcPr>
            <w:tcW w:w="40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(89.3)</w:t>
            </w:r>
          </w:p>
        </w:tc>
        <w:tc>
          <w:tcPr>
            <w:tcW w:w="40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(72.8)</w:t>
            </w:r>
          </w:p>
        </w:tc>
        <w:tc>
          <w:tcPr>
            <w:tcW w:w="40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(148.3)</w:t>
            </w:r>
          </w:p>
        </w:tc>
        <w:tc>
          <w:tcPr>
            <w:tcW w:w="0" w:type="dxa"/>
            <w:vAlign w:val="bottom"/>
          </w:tcPr>
          <w:p>
            <w:pPr>
              <w:spacing w:after="0"/>
              <w:rPr>
                <w:sz w:val="1"/>
                <w:szCs w:val="1"/>
                <w:color w:val="auto"/>
              </w:rPr>
            </w:pPr>
          </w:p>
        </w:tc>
      </w:tr>
      <w:tr>
        <w:trPr>
          <w:trHeight w:val="226"/>
        </w:trPr>
        <w:tc>
          <w:tcPr>
            <w:tcW w:w="6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Inventories</w:t>
            </w:r>
          </w:p>
        </w:tc>
        <w:tc>
          <w:tcPr>
            <w:tcW w:w="400" w:type="dxa"/>
            <w:vAlign w:val="bottom"/>
          </w:tcPr>
          <w:p>
            <w:pPr>
              <w:spacing w:after="0"/>
              <w:rPr>
                <w:sz w:val="19"/>
                <w:szCs w:val="19"/>
                <w:color w:val="auto"/>
              </w:rPr>
            </w:pPr>
          </w:p>
        </w:tc>
        <w:tc>
          <w:tcPr>
            <w:tcW w:w="11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0.9</w:t>
            </w:r>
          </w:p>
        </w:tc>
        <w:tc>
          <w:tcPr>
            <w:tcW w:w="400" w:type="dxa"/>
            <w:vAlign w:val="bottom"/>
          </w:tcPr>
          <w:p>
            <w:pPr>
              <w:spacing w:after="0"/>
              <w:rPr>
                <w:sz w:val="19"/>
                <w:szCs w:val="19"/>
                <w:color w:val="auto"/>
              </w:rPr>
            </w:pPr>
          </w:p>
        </w:tc>
        <w:tc>
          <w:tcPr>
            <w:tcW w:w="11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76.9</w:t>
            </w: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(117.9)</w:t>
            </w:r>
          </w:p>
        </w:tc>
        <w:tc>
          <w:tcPr>
            <w:tcW w:w="0" w:type="dxa"/>
            <w:vAlign w:val="bottom"/>
          </w:tcPr>
          <w:p>
            <w:pPr>
              <w:spacing w:after="0"/>
              <w:rPr>
                <w:sz w:val="1"/>
                <w:szCs w:val="1"/>
                <w:color w:val="auto"/>
              </w:rPr>
            </w:pPr>
          </w:p>
        </w:tc>
      </w:tr>
      <w:tr>
        <w:trPr>
          <w:trHeight w:val="171"/>
        </w:trPr>
        <w:tc>
          <w:tcPr>
            <w:tcW w:w="6640" w:type="dxa"/>
            <w:vAlign w:val="bottom"/>
            <w:shd w:val="clear" w:color="auto" w:fill="CCEEFF"/>
          </w:tcPr>
          <w:p>
            <w:pPr>
              <w:ind w:left="20"/>
              <w:spacing w:after="0" w:line="171" w:lineRule="exact"/>
              <w:rPr>
                <w:sz w:val="20"/>
                <w:szCs w:val="20"/>
                <w:color w:val="auto"/>
              </w:rPr>
            </w:pPr>
            <w:r>
              <w:rPr>
                <w:rFonts w:ascii="Times New Roman" w:cs="Times New Roman" w:eastAsia="Times New Roman" w:hAnsi="Times New Roman"/>
                <w:sz w:val="17"/>
                <w:szCs w:val="17"/>
                <w:color w:val="auto"/>
              </w:rPr>
              <w:t>Accounts payable (including $15.4 million of cash paid in 2023 in conjunction with the</w:t>
            </w:r>
          </w:p>
        </w:tc>
        <w:tc>
          <w:tcPr>
            <w:tcW w:w="40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(28.7)</w:t>
            </w:r>
          </w:p>
        </w:tc>
        <w:tc>
          <w:tcPr>
            <w:tcW w:w="40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(48.8)</w:t>
            </w:r>
          </w:p>
        </w:tc>
        <w:tc>
          <w:tcPr>
            <w:tcW w:w="40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162.4</w:t>
            </w:r>
          </w:p>
        </w:tc>
        <w:tc>
          <w:tcPr>
            <w:tcW w:w="0" w:type="dxa"/>
            <w:vAlign w:val="bottom"/>
          </w:tcPr>
          <w:p>
            <w:pPr>
              <w:spacing w:after="0"/>
              <w:rPr>
                <w:sz w:val="1"/>
                <w:szCs w:val="1"/>
                <w:color w:val="auto"/>
              </w:rPr>
            </w:pPr>
          </w:p>
        </w:tc>
      </w:tr>
      <w:tr>
        <w:trPr>
          <w:trHeight w:val="224"/>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acquisition of IGB to settle pre-existing accounts payable)</w:t>
            </w:r>
          </w:p>
        </w:tc>
        <w:tc>
          <w:tcPr>
            <w:tcW w:w="40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Accrued liabilities and other</w:t>
            </w:r>
          </w:p>
        </w:tc>
        <w:tc>
          <w:tcPr>
            <w:tcW w:w="4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(50.1)</w:t>
            </w:r>
          </w:p>
        </w:tc>
        <w:tc>
          <w:tcPr>
            <w:tcW w:w="4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(84.1)</w:t>
            </w: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148.6</w:t>
            </w:r>
          </w:p>
        </w:tc>
        <w:tc>
          <w:tcPr>
            <w:tcW w:w="0" w:type="dxa"/>
            <w:vAlign w:val="bottom"/>
          </w:tcPr>
          <w:p>
            <w:pPr>
              <w:spacing w:after="0"/>
              <w:rPr>
                <w:sz w:val="1"/>
                <w:szCs w:val="1"/>
                <w:color w:val="auto"/>
              </w:rPr>
            </w:pPr>
          </w:p>
        </w:tc>
      </w:tr>
      <w:tr>
        <w:trPr>
          <w:trHeight w:val="234"/>
        </w:trPr>
        <w:tc>
          <w:tcPr>
            <w:tcW w:w="66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change in working capital items</w:t>
            </w:r>
          </w:p>
        </w:tc>
        <w:tc>
          <w:tcPr>
            <w:tcW w:w="40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(167.2)</w:t>
            </w:r>
          </w:p>
        </w:tc>
        <w:tc>
          <w:tcPr>
            <w:tcW w:w="40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(128.8)</w:t>
            </w:r>
          </w:p>
        </w:tc>
        <w:tc>
          <w:tcPr>
            <w:tcW w:w="40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44.8</w:t>
            </w:r>
          </w:p>
        </w:tc>
        <w:tc>
          <w:tcPr>
            <w:tcW w:w="0" w:type="dxa"/>
            <w:vAlign w:val="bottom"/>
          </w:tcPr>
          <w:p>
            <w:pPr>
              <w:spacing w:after="0"/>
              <w:rPr>
                <w:sz w:val="1"/>
                <w:szCs w:val="1"/>
                <w:color w:val="auto"/>
              </w:rPr>
            </w:pPr>
          </w:p>
        </w:tc>
      </w:tr>
      <w:tr>
        <w:trPr>
          <w:trHeight w:val="228"/>
        </w:trPr>
        <w:tc>
          <w:tcPr>
            <w:tcW w:w="66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Supplementary Disclosure:</w:t>
            </w:r>
          </w:p>
        </w:tc>
        <w:tc>
          <w:tcPr>
            <w:tcW w:w="4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paid for interest</w:t>
            </w:r>
          </w:p>
        </w:tc>
        <w:tc>
          <w:tcPr>
            <w:tcW w:w="40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114.1</w:t>
            </w:r>
          </w:p>
        </w:tc>
        <w:tc>
          <w:tcPr>
            <w:tcW w:w="40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115.7</w:t>
            </w:r>
          </w:p>
        </w:tc>
        <w:tc>
          <w:tcPr>
            <w:tcW w:w="40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112.2</w:t>
            </w:r>
          </w:p>
        </w:tc>
        <w:tc>
          <w:tcPr>
            <w:tcW w:w="0" w:type="dxa"/>
            <w:vAlign w:val="bottom"/>
          </w:tcPr>
          <w:p>
            <w:pPr>
              <w:spacing w:after="0"/>
              <w:rPr>
                <w:sz w:val="1"/>
                <w:szCs w:val="1"/>
                <w:color w:val="auto"/>
              </w:rPr>
            </w:pPr>
          </w:p>
        </w:tc>
      </w:tr>
      <w:tr>
        <w:trPr>
          <w:trHeight w:val="167"/>
        </w:trPr>
        <w:tc>
          <w:tcPr>
            <w:tcW w:w="6640" w:type="dxa"/>
            <w:vAlign w:val="bottom"/>
          </w:tcPr>
          <w:p>
            <w:pPr>
              <w:ind w:left="20"/>
              <w:spacing w:after="0" w:line="167" w:lineRule="exact"/>
              <w:rPr>
                <w:sz w:val="20"/>
                <w:szCs w:val="20"/>
                <w:color w:val="auto"/>
              </w:rPr>
            </w:pPr>
            <w:r>
              <w:rPr>
                <w:rFonts w:ascii="Times New Roman" w:cs="Times New Roman" w:eastAsia="Times New Roman" w:hAnsi="Times New Roman"/>
                <w:sz w:val="17"/>
                <w:szCs w:val="17"/>
                <w:color w:val="auto"/>
              </w:rPr>
              <w:t>Cash paid for income taxes, net of refunds received of $29.5 million in 2025, $24.1 million in</w:t>
            </w:r>
          </w:p>
        </w:tc>
        <w:tc>
          <w:tcPr>
            <w:tcW w:w="400" w:type="dxa"/>
            <w:vAlign w:val="bottom"/>
            <w:vMerge w:val="restart"/>
          </w:tcPr>
          <w:p>
            <w:pPr>
              <w:jc w:val="right"/>
              <w:ind w:right="155"/>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vMerge w:val="restart"/>
          </w:tcPr>
          <w:p>
            <w:pPr>
              <w:jc w:val="right"/>
              <w:ind w:right="35"/>
              <w:spacing w:after="0"/>
              <w:rPr>
                <w:sz w:val="20"/>
                <w:szCs w:val="20"/>
                <w:color w:val="auto"/>
              </w:rPr>
            </w:pPr>
            <w:r>
              <w:rPr>
                <w:rFonts w:ascii="Times New Roman" w:cs="Times New Roman" w:eastAsia="Times New Roman" w:hAnsi="Times New Roman"/>
                <w:sz w:val="17"/>
                <w:szCs w:val="17"/>
                <w:color w:val="auto"/>
              </w:rPr>
              <w:t>276.8</w:t>
            </w:r>
          </w:p>
        </w:tc>
        <w:tc>
          <w:tcPr>
            <w:tcW w:w="400" w:type="dxa"/>
            <w:vAlign w:val="bottom"/>
            <w:vMerge w:val="restart"/>
          </w:tcPr>
          <w:p>
            <w:pPr>
              <w:jc w:val="right"/>
              <w:ind w:right="155"/>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vMerge w:val="restart"/>
          </w:tcPr>
          <w:p>
            <w:pPr>
              <w:jc w:val="right"/>
              <w:ind w:right="35"/>
              <w:spacing w:after="0"/>
              <w:rPr>
                <w:sz w:val="20"/>
                <w:szCs w:val="20"/>
                <w:color w:val="auto"/>
              </w:rPr>
            </w:pPr>
            <w:r>
              <w:rPr>
                <w:rFonts w:ascii="Times New Roman" w:cs="Times New Roman" w:eastAsia="Times New Roman" w:hAnsi="Times New Roman"/>
                <w:sz w:val="17"/>
                <w:szCs w:val="17"/>
                <w:color w:val="auto"/>
              </w:rPr>
              <w:t>267.5</w:t>
            </w:r>
          </w:p>
        </w:tc>
        <w:tc>
          <w:tcPr>
            <w:tcW w:w="400" w:type="dxa"/>
            <w:vAlign w:val="bottom"/>
            <w:vMerge w:val="restart"/>
          </w:tcPr>
          <w:p>
            <w:pPr>
              <w:jc w:val="right"/>
              <w:ind w:right="155"/>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217.6</w:t>
            </w:r>
          </w:p>
        </w:tc>
        <w:tc>
          <w:tcPr>
            <w:tcW w:w="0" w:type="dxa"/>
            <w:vAlign w:val="bottom"/>
          </w:tcPr>
          <w:p>
            <w:pPr>
              <w:spacing w:after="0"/>
              <w:rPr>
                <w:sz w:val="1"/>
                <w:szCs w:val="1"/>
                <w:color w:val="auto"/>
              </w:rPr>
            </w:pPr>
          </w:p>
        </w:tc>
      </w:tr>
      <w:tr>
        <w:trPr>
          <w:trHeight w:val="231"/>
        </w:trPr>
        <w:tc>
          <w:tcPr>
            <w:tcW w:w="6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2024 and $15.7 million in 2023</w:t>
            </w:r>
          </w:p>
        </w:tc>
        <w:tc>
          <w:tcPr>
            <w:tcW w:w="400" w:type="dxa"/>
            <w:vAlign w:val="bottom"/>
            <w:tcBorders>
              <w:bottom w:val="single" w:sz="8" w:color="auto"/>
            </w:tcBorders>
            <w:vMerge w:val="continue"/>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400" w:type="dxa"/>
            <w:vAlign w:val="bottom"/>
            <w:tcBorders>
              <w:bottom w:val="single" w:sz="8" w:color="auto"/>
            </w:tcBorders>
            <w:vMerge w:val="continue"/>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400" w:type="dxa"/>
            <w:vAlign w:val="bottom"/>
            <w:tcBorders>
              <w:bottom w:val="single" w:sz="8" w:color="auto"/>
            </w:tcBorders>
            <w:vMerge w:val="continue"/>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11220"/>
          </w:cols>
          <w:pgMar w:left="320" w:top="117" w:right="35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type w:val="continuous"/>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Lear Corporation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Lear Corporation ("Lear," and together with its consolidated subsidiaries, the "Company") and its affiliates design and manufacture automotive seating and electrical distribution systems and related components. The Company's main customers are automotive original equipment manufacturers. The Company operates facilities worldwide.</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Lear, a Delaware corporation, and the wholly-owned and less than wholly-owned subsidiaries controlled by Lear.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Consolidation</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Lear consolidates all entities, including variable interest entities, in which it has a controlling financial interest. Investments in affiliates in which Lear does not have control, but does have the ability to exercise significant influence over operating and financial policies, are accounted for under the equity method (Note 4, "Investments in Affiliates and Other Related Party Transactions").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Fiscal Period Reporting</w:t>
      </w:r>
    </w:p>
    <w:p>
      <w:pPr>
        <w:spacing w:after="0" w:line="1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Company's annual financial results are reported on a calendar year basis, and quarterly interim results are reported using a thirteen week reporting calendar.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Cash Equivalents and Restricted Cash</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and cash equivalents include all highly liquid investments with original maturities of ninety days or less. Restricted cash includes cash that is legally restricted as to use or withdrawal.</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records accounts receivable at a point in time when control of the product is transferred to the customer under standard commercial terms, as the Company does not have an enforceable right to payment prior to such transfer. The Company's customers are the world's major automotive manufacturers. Generally, the Company does not require collateral for its accounts receivable.</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allowance for credit losses on financial assets measured at amortized cost, primarily accounts receivable, reflects management's estimate of credit losses over the remaining expected life of such assets, measured primarily using historical experience, as well as current conditions and forecasts that affect the collectability of the reported amount. Expected credit losses for newly recognized financial assets, as well as changes to expected credit losses during the period, are recognized in earnings. The Company also considers geographic and segment specific risk factors in the development of expected credit losses. As of December 31, 2025 and 2024, accounts receivable are reflected net of reserves of $28.4 million and $27.3 million, respectively. Changes in expected credit losses were not significant during the year ended December 31, 2025.</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receives bank notes from its customers, which are classified as other current assets in the consolidated balance sheets, for certain amounts of accounts receivable, primarily in Asia. The Company may hold such bank notes until maturity, exchange them with suppliers to settle liabilities or sell them to third-party financial institutions in exchange for cash.</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Inventories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Cost is determined using standard costing, which approximates actual cost on a first-in, first-out method. Finished goods and work-in-process inventories include material, labor and manufacturing overhead costs. The Company records reserves for inventory in excess of production and/or forecasted requirements and for obsolete inventory in production and service inventories.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Lear Corporation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inventories is shown below (in millions):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7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December 31,</w:t>
            </w:r>
          </w:p>
        </w:tc>
        <w:tc>
          <w:tcPr>
            <w:tcW w:w="38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color w:val="auto"/>
              </w:rPr>
              <w:t>2025</w:t>
            </w:r>
          </w:p>
        </w:tc>
        <w:tc>
          <w:tcPr>
            <w:tcW w:w="38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color w:val="auto"/>
              </w:rPr>
              <w:t>2024</w:t>
            </w:r>
          </w:p>
        </w:tc>
      </w:tr>
      <w:tr>
        <w:trPr>
          <w:trHeight w:val="229"/>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38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1,254.6</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1,206.7</w:t>
            </w:r>
          </w:p>
        </w:tc>
      </w:tr>
      <w:tr>
        <w:trPr>
          <w:trHeight w:val="230"/>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Work-in-process</w:t>
            </w:r>
          </w:p>
        </w:tc>
        <w:tc>
          <w:tcPr>
            <w:tcW w:w="3840" w:type="dxa"/>
            <w:vAlign w:val="bottom"/>
          </w:tcPr>
          <w:p>
            <w:pPr>
              <w:spacing w:after="0"/>
              <w:rPr>
                <w:sz w:val="19"/>
                <w:szCs w:val="19"/>
                <w:color w:val="auto"/>
              </w:rPr>
            </w:pPr>
          </w:p>
        </w:tc>
        <w:tc>
          <w:tcPr>
            <w:tcW w:w="11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129.0</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124.3</w:t>
            </w:r>
          </w:p>
        </w:tc>
      </w:tr>
      <w:tr>
        <w:trPr>
          <w:trHeight w:val="229"/>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38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518.8</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477.0</w:t>
            </w:r>
          </w:p>
        </w:tc>
      </w:tr>
      <w:tr>
        <w:trPr>
          <w:trHeight w:val="230"/>
        </w:trPr>
        <w:tc>
          <w:tcPr>
            <w:tcW w:w="4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Reserves</w:t>
            </w:r>
          </w:p>
        </w:tc>
        <w:tc>
          <w:tcPr>
            <w:tcW w:w="38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(209.2)</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(206.9)</w:t>
            </w:r>
          </w:p>
        </w:tc>
      </w:tr>
      <w:tr>
        <w:trPr>
          <w:trHeight w:val="230"/>
        </w:trPr>
        <w:tc>
          <w:tcPr>
            <w:tcW w:w="47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38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1,693.2</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1,601.1</w:t>
            </w: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Engineering and Development ("E&amp;D") and Tooling Costs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2025, the Company incurred E&amp;D costs of $598.7 million, including $377.7 million (or 2% of related sales) in its Seating segment, $215.4 million (or 4% of related sales) in its E-Systems segment and $5.6 million at its headquarters location.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Pre-Production Costs Related to Long-Term Supply Agreements</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incurs pre-production E&amp;D and tooling costs related to the products produced for its customers under long-term supply agreements. The Company expenses all pre-production E&amp;D costs for which reimbursement is not contractually guaranteed by the customer. In addition, the Company expenses all pre-production tooling costs related to customer-owned tools for which reimbursement is not contractually guaranteed by the customer or for which the Company does not have a non-cancelable right to use the tooling.</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2025 and 2024, the Company capitalized $281.7 million and $298.0 million, respectively, of pre-production E&amp;D costs for which reimbursement is contractually guaranteed by the customer. During 2025 and 2024, the Company also capitalized $107.0 million and $173.4 million, respectively, of pre-production tooling costs related to customer-owned tools for which reimbursement is contractually guaranteed by the customer or for which the Company has a non-cancelable right to use the tooling. These amounts are included in other current and long-term assets in the accompanying consolidated balance sheets as of December 31, 2025 and 2024. During 2025 and 2024, the Company collected $470.4 million and $450.4 million, respectively, of cash related to E&amp;D and tooling costs.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classification of recoverable customer E&amp;D and tooling costs related to long-term supply agreements is shown below (in millions):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6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December 31,</w:t>
            </w:r>
          </w:p>
        </w:tc>
        <w:tc>
          <w:tcPr>
            <w:tcW w:w="30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color w:val="auto"/>
              </w:rPr>
              <w:t>2025</w:t>
            </w:r>
          </w:p>
        </w:tc>
        <w:tc>
          <w:tcPr>
            <w:tcW w:w="4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color w:val="auto"/>
              </w:rPr>
              <w:t>2024</w:t>
            </w:r>
          </w:p>
        </w:tc>
      </w:tr>
      <w:tr>
        <w:trPr>
          <w:trHeight w:val="230"/>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30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190.8</w:t>
            </w:r>
          </w:p>
        </w:tc>
        <w:tc>
          <w:tcPr>
            <w:tcW w:w="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248.3</w:t>
            </w:r>
          </w:p>
        </w:tc>
      </w:tr>
      <w:tr>
        <w:trPr>
          <w:trHeight w:val="229"/>
        </w:trPr>
        <w:tc>
          <w:tcPr>
            <w:tcW w:w="5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Long-term</w:t>
            </w:r>
          </w:p>
        </w:tc>
        <w:tc>
          <w:tcPr>
            <w:tcW w:w="30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149.1</w:t>
            </w: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141.6</w:t>
            </w:r>
          </w:p>
        </w:tc>
      </w:tr>
      <w:tr>
        <w:trPr>
          <w:trHeight w:val="230"/>
        </w:trPr>
        <w:tc>
          <w:tcPr>
            <w:tcW w:w="56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Recoverable customer E&amp;D and tooling</w:t>
            </w:r>
          </w:p>
        </w:tc>
        <w:tc>
          <w:tcPr>
            <w:tcW w:w="30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339.9</w:t>
            </w:r>
          </w:p>
        </w:tc>
        <w:tc>
          <w:tcPr>
            <w:tcW w:w="4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389.9</w:t>
            </w: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E&amp;D Costs</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Costs incurred in connection with product launches, to the extent not recoverable from the Company's customers, are recorded in cost of sales as incurred and totaled $146.1 million, $153.3 million and $138.8 million for the years ended December 31, 2025, 2024 and 2023, respectively.</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other E&amp;D costs are recorded in selling, general and administrative expenses as incurred and totaled $170.9 million, $183.5 million and $180.8 million for the years ended December 31, 2025, 2024 and 2023, respectively.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Property, Plant and Equipment</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Property, plant and equipment is stated at cost. Costs associated with the repair and maintenance of the Company's property, plant and equipment are expensed as incurred. Costs associated with improvements which extend the life, increase the capacity or improve the efficiency or safety of the Company's property, plant and equipment are capitalized and depreciated over the remaining useful life of the related asset. Depreciable property is depreciated over the estimated useful lives of the assets, using principally the straight-line method as follows: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30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1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 to 40 years</w:t>
            </w:r>
          </w:p>
        </w:tc>
      </w:tr>
      <w:tr>
        <w:trPr>
          <w:trHeight w:val="241"/>
        </w:trPr>
        <w:tc>
          <w:tcPr>
            <w:tcW w:w="3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 to 15 years</w:t>
            </w: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Lear Corporation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property, plant and equipment is shown below (in millions):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4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December 31,</w:t>
            </w:r>
          </w:p>
        </w:tc>
        <w:tc>
          <w:tcPr>
            <w:tcW w:w="31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color w:val="auto"/>
              </w:rPr>
              <w:t>2025</w:t>
            </w:r>
          </w:p>
        </w:tc>
        <w:tc>
          <w:tcPr>
            <w:tcW w:w="38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color w:val="auto"/>
              </w:rPr>
              <w:t>2024</w:t>
            </w:r>
          </w:p>
        </w:tc>
      </w:tr>
      <w:tr>
        <w:trPr>
          <w:trHeight w:val="22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3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102.9</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w:t>
            </w:r>
          </w:p>
        </w:tc>
      </w:tr>
      <w:tr>
        <w:trPr>
          <w:trHeight w:val="229"/>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3160" w:type="dxa"/>
            <w:vAlign w:val="bottom"/>
          </w:tcPr>
          <w:p>
            <w:pPr>
              <w:spacing w:after="0"/>
              <w:rPr>
                <w:sz w:val="19"/>
                <w:szCs w:val="19"/>
                <w:color w:val="auto"/>
              </w:rPr>
            </w:pPr>
          </w:p>
        </w:tc>
        <w:tc>
          <w:tcPr>
            <w:tcW w:w="11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1,004.0</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898.3</w:t>
            </w:r>
          </w:p>
        </w:tc>
      </w:tr>
      <w:tr>
        <w:trPr>
          <w:trHeight w:val="230"/>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3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5,984.9</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5,485.2</w:t>
            </w:r>
          </w:p>
        </w:tc>
      </w:tr>
      <w:tr>
        <w:trPr>
          <w:trHeight w:val="229"/>
        </w:trPr>
        <w:tc>
          <w:tcPr>
            <w:tcW w:w="5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3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355.3</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335.8</w:t>
            </w:r>
          </w:p>
        </w:tc>
      </w:tr>
      <w:tr>
        <w:trPr>
          <w:trHeight w:val="223"/>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property, plant and equipment</w:t>
            </w:r>
          </w:p>
        </w:tc>
        <w:tc>
          <w:tcPr>
            <w:tcW w:w="3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7,447.1</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6,817.9</w:t>
            </w:r>
          </w:p>
        </w:tc>
      </w:tr>
      <w:tr>
        <w:trPr>
          <w:trHeight w:val="229"/>
        </w:trPr>
        <w:tc>
          <w:tcPr>
            <w:tcW w:w="5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Less – accumulated depreciation</w:t>
            </w:r>
          </w:p>
        </w:tc>
        <w:tc>
          <w:tcPr>
            <w:tcW w:w="3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(4,534.0)</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(3,984.5)</w:t>
            </w:r>
          </w:p>
        </w:tc>
      </w:tr>
      <w:tr>
        <w:trPr>
          <w:trHeight w:val="230"/>
        </w:trPr>
        <w:tc>
          <w:tcPr>
            <w:tcW w:w="5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property, plant and equipment</w:t>
            </w:r>
          </w:p>
        </w:tc>
        <w:tc>
          <w:tcPr>
            <w:tcW w:w="31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2,913.1</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2,833.4</w:t>
            </w:r>
          </w:p>
        </w:tc>
      </w:tr>
    </w:tbl>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2025, 2024 and 2023, depreciation expense was $584.6 million, $571.6 million and $541.9 million, respectively. As of December 31, 2025, 2024 and 2023, capital expenditures recorded in accounts payable totaled $131.3 million, $158.4 million and $133.1 million, respectively.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Assets Held for Sale</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2025 and 2024, the Company has assets classified as held for sale of $3.3 million and $47.4 million, respectively. The criteria for classification as held for sale have been met, as management is committed to a plan to sell the assets, the assets are available for immediate sale in their present condition, an active program to locate a buyer has been initiated, the sale is probable and expected to be completed within one year, and the assets are being marketed at a price that is reasonable in relation to their current fair value.</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2024, $42.0 million of the assets held for sale relate to the then-pending disposal of a non-core business in the Company's Seating segment. The assets held for sale were measured at the lower of their carrying amount or fair value less costs to sell. The carrying value of the net asset disposal group was $66.4 million. A loss of $24.4 million was recognized as the carrying value exceeded the fair value less costs to sell. The loss is included in other expense, net in the accompanying consolidated statement of income for the year ended December 31, 2024.</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sale was completed in the first quarter of 2025. Accordingly, the assets classified as held from sale have been removed from the accompanying consolidated balance sheet as of December 31, 2025. For the year ended December 31, 2025, an incremental loss of $2.7 million on the disposal of the non-core business was recognized to reflect adjustments to the carrying values of the assets and transaction expenses. The loss is included in other expense, net in the accompanying consolidated statement of income for the year ended December 31, 2025. Proceeds from the sale of $36.5 million are included in cash flows from investing activities in the accompanying consolidated statement of cash flows for the year ended December 31, 2025.</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remaining assets held for sale as of December 31, 2025 and 2024, are primarily buildings and improvements.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classification of assets held for sale is shown below (in millions):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3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December 31,</w:t>
            </w:r>
          </w:p>
        </w:tc>
        <w:tc>
          <w:tcPr>
            <w:tcW w:w="22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color w:val="auto"/>
              </w:rPr>
              <w:t>2025</w:t>
            </w:r>
          </w:p>
        </w:tc>
        <w:tc>
          <w:tcPr>
            <w:tcW w:w="4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color w:val="auto"/>
              </w:rPr>
              <w:t>2024</w:t>
            </w: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2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3.3</w:t>
            </w:r>
          </w:p>
        </w:tc>
        <w:tc>
          <w:tcPr>
            <w:tcW w:w="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w:t>
            </w:r>
          </w:p>
        </w:tc>
      </w:tr>
      <w:tr>
        <w:trPr>
          <w:trHeight w:val="230"/>
        </w:trPr>
        <w:tc>
          <w:tcPr>
            <w:tcW w:w="6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2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30"/>
        </w:trPr>
        <w:tc>
          <w:tcPr>
            <w:tcW w:w="6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assets held for sale</w:t>
            </w:r>
          </w:p>
        </w:tc>
        <w:tc>
          <w:tcPr>
            <w:tcW w:w="22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3.3</w:t>
            </w:r>
          </w:p>
        </w:tc>
        <w:tc>
          <w:tcPr>
            <w:tcW w:w="4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w:t>
            </w:r>
          </w:p>
        </w:tc>
      </w:tr>
      <w:tr>
        <w:trPr>
          <w:trHeight w:val="405"/>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Assets held for sale by segment is shown below (in millions):</w:t>
            </w:r>
          </w:p>
        </w:tc>
        <w:tc>
          <w:tcPr>
            <w:tcW w:w="2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42"/>
        </w:trPr>
        <w:tc>
          <w:tcPr>
            <w:tcW w:w="6360" w:type="dxa"/>
            <w:vAlign w:val="bottom"/>
            <w:tcBorders>
              <w:bottom w:val="single" w:sz="8" w:color="auto"/>
            </w:tcBorders>
          </w:tcPr>
          <w:p>
            <w:pPr>
              <w:spacing w:after="0"/>
              <w:rPr>
                <w:sz w:val="12"/>
                <w:szCs w:val="12"/>
                <w:color w:val="auto"/>
              </w:rPr>
            </w:pPr>
          </w:p>
        </w:tc>
        <w:tc>
          <w:tcPr>
            <w:tcW w:w="22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r>
      <w:tr>
        <w:trPr>
          <w:trHeight w:val="196"/>
        </w:trPr>
        <w:tc>
          <w:tcPr>
            <w:tcW w:w="6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December 31,</w:t>
            </w:r>
          </w:p>
        </w:tc>
        <w:tc>
          <w:tcPr>
            <w:tcW w:w="2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color w:val="auto"/>
              </w:rPr>
              <w:t>2025</w:t>
            </w:r>
          </w:p>
        </w:tc>
        <w:tc>
          <w:tcPr>
            <w:tcW w:w="4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color w:val="auto"/>
              </w:rPr>
              <w:t>2024</w:t>
            </w: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Seating</w:t>
            </w:r>
          </w:p>
        </w:tc>
        <w:tc>
          <w:tcPr>
            <w:tcW w:w="2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0.5</w:t>
            </w:r>
          </w:p>
        </w:tc>
        <w:tc>
          <w:tcPr>
            <w:tcW w:w="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w:t>
            </w:r>
          </w:p>
        </w:tc>
      </w:tr>
      <w:tr>
        <w:trPr>
          <w:trHeight w:val="229"/>
        </w:trPr>
        <w:tc>
          <w:tcPr>
            <w:tcW w:w="6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E-Systems</w:t>
            </w:r>
          </w:p>
        </w:tc>
        <w:tc>
          <w:tcPr>
            <w:tcW w:w="2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2.8</w:t>
            </w: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30"/>
        </w:trPr>
        <w:tc>
          <w:tcPr>
            <w:tcW w:w="6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assets held for sale</w:t>
            </w:r>
          </w:p>
        </w:tc>
        <w:tc>
          <w:tcPr>
            <w:tcW w:w="22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3.3</w:t>
            </w:r>
          </w:p>
        </w:tc>
        <w:tc>
          <w:tcPr>
            <w:tcW w:w="4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w:t>
            </w: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of Goodwill</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Goodwill is not amortized but is tested for impairment on at least an annual basis. Impairment testing is required more often than annually if an event or circumstance indicates that an impairment is more likely than not to have occurred. In conducting its annual impairment testing, the Company may first perform a qualitative assessment of whether it is more likely than not that a reporting unit's fair value is less than its carrying amount. If not, no further goodwill impairment testing is required. If it is more likely than not that a reporting unit's fair value is less than its carrying amount, or if the Company elects not to perform a</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Lear Corporation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qualitative assessment of a reporting unit, the Company then compares the fair value of the reporting unit to the related net book value. If the net book value of a reporting unit exceeds its fair value, an impairment loss is measured and recognized.</w:t>
      </w:r>
    </w:p>
    <w:p>
      <w:pPr>
        <w:spacing w:after="0" w:line="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utilizes an income approach to estimate the fair value of each of its reporting units and a market valuation approach, where applicable, to further support this analysis. The income approach is based on projected debt-free cash flow which is discounted to the present value using discount factors that consider the timing and risk of cash flows. The Company believes that this approach is appropriate because it provides a fair value estimate based upon the reporting unit's expected long-term operating cash flow performance. This approach also mitigates the impact of cyclical trends that occur in the industry. Fair value is estimated using recent automotive industry and specific platform production volume projections, which are based on both third-party and internally developed forecasts, as well as commercial and discount rate assumptions. The discount rate used is the value-weighted average of the Company's estimated cost of equity and of debt ("cost of capital") derived using both known and estimated customary market metrics. The Company's weighted average cost of capital is adjusted by reporting unit to reflect a risk factor, if necessary. Other significant assumptions include terminal value growth rates, terminal value margin rates, future capital expenditures and changes in future working capital requirements. While there are inherent uncertainties related to the assumptions used and to management's application of these assumptions to this analysis, the Company believes that the income approach provides a reasonable estimate of the fair value of its reporting units. The market valuation approach is used, where applicable, to further support the Company's analysis and is based on recent transactions involving comparable companies.</w:t>
      </w:r>
    </w:p>
    <w:p>
      <w:pPr>
        <w:spacing w:after="0" w:line="8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annual goodwill impairment assessment is completed as of the first day of the Company's fourth quarter. The Company performed a qualitative assessment for each reporting unit, except for one reporting unit within the E-Systems operating segment and one reporting unit within the Seating operating segment where quantitative analyses were performed. The qualitative assessments indicated that it was more likely than not that the fair value of each reporting unit exceeded its respective carrying value. The goodwill of the E-Systems and Seating reporting units where quantitative analyses were performed account for 16.1% and 58.5%, respectively, of the Company's total goodwill. The quantitative analyses indicated that the fair value of each of the two reporting units exceeded its respective carrying value.</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summary of the changes in the carrying amount of goodwill for each of the periods in the two years ended December 31, 2025, is shown below (in millions):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08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color w:val="auto"/>
              </w:rPr>
              <w:t>Seating</w:t>
            </w:r>
          </w:p>
        </w:tc>
        <w:tc>
          <w:tcPr>
            <w:tcW w:w="30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color w:val="auto"/>
              </w:rPr>
              <w:t>E-Systems</w:t>
            </w:r>
          </w:p>
        </w:tc>
        <w:tc>
          <w:tcPr>
            <w:tcW w:w="3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jc w:val="right"/>
              <w:ind w:right="153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6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1,341.5</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396.4</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1,737.9</w:t>
            </w:r>
          </w:p>
        </w:tc>
        <w:tc>
          <w:tcPr>
            <w:tcW w:w="0" w:type="dxa"/>
            <w:vAlign w:val="bottom"/>
          </w:tcPr>
          <w:p>
            <w:pPr>
              <w:spacing w:after="0"/>
              <w:rPr>
                <w:sz w:val="1"/>
                <w:szCs w:val="1"/>
                <w:color w:val="auto"/>
              </w:rPr>
            </w:pPr>
          </w:p>
        </w:tc>
      </w:tr>
      <w:tr>
        <w:trPr>
          <w:trHeight w:val="229"/>
        </w:trPr>
        <w:tc>
          <w:tcPr>
            <w:tcW w:w="4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Acquisition</w:t>
            </w:r>
          </w:p>
        </w:tc>
        <w:tc>
          <w:tcPr>
            <w:tcW w:w="680" w:type="dxa"/>
            <w:vAlign w:val="bottom"/>
          </w:tcPr>
          <w:p>
            <w:pPr>
              <w:spacing w:after="0"/>
              <w:rPr>
                <w:sz w:val="19"/>
                <w:szCs w:val="19"/>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3.3</w:t>
            </w:r>
          </w:p>
        </w:tc>
        <w:tc>
          <w:tcPr>
            <w:tcW w:w="300" w:type="dxa"/>
            <w:vAlign w:val="bottom"/>
          </w:tcPr>
          <w:p>
            <w:pPr>
              <w:spacing w:after="0"/>
              <w:rPr>
                <w:sz w:val="19"/>
                <w:szCs w:val="19"/>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176"/>
        </w:trPr>
        <w:tc>
          <w:tcPr>
            <w:tcW w:w="408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Then-pending disposal of a non-core business</w:t>
            </w:r>
          </w:p>
        </w:tc>
        <w:tc>
          <w:tcPr>
            <w:tcW w:w="68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30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148"/>
        </w:trPr>
        <w:tc>
          <w:tcPr>
            <w:tcW w:w="4080" w:type="dxa"/>
            <w:vAlign w:val="bottom"/>
            <w:vMerge w:val="restart"/>
            <w:shd w:val="clear" w:color="auto" w:fill="CCEEFF"/>
          </w:tcPr>
          <w:p>
            <w:pPr>
              <w:jc w:val="right"/>
              <w:ind w:right="1530"/>
              <w:spacing w:after="0"/>
              <w:rPr>
                <w:sz w:val="20"/>
                <w:szCs w:val="20"/>
                <w:color w:val="auto"/>
              </w:rPr>
            </w:pPr>
            <w:r>
              <w:rPr>
                <w:rFonts w:ascii="Times New Roman" w:cs="Times New Roman" w:eastAsia="Times New Roman" w:hAnsi="Times New Roman"/>
                <w:sz w:val="18"/>
                <w:szCs w:val="18"/>
                <w:color w:val="auto"/>
              </w:rPr>
              <w:t>(classified as held for sale)</w:t>
            </w:r>
          </w:p>
        </w:tc>
        <w:tc>
          <w:tcPr>
            <w:tcW w:w="680" w:type="dxa"/>
            <w:vAlign w:val="bottom"/>
            <w:shd w:val="clear" w:color="auto" w:fill="CCEEFF"/>
          </w:tcPr>
          <w:p>
            <w:pPr>
              <w:spacing w:after="0"/>
              <w:rPr>
                <w:sz w:val="12"/>
                <w:szCs w:val="12"/>
                <w:color w:val="auto"/>
              </w:rPr>
            </w:pPr>
          </w:p>
        </w:tc>
        <w:tc>
          <w:tcPr>
            <w:tcW w:w="1120" w:type="dxa"/>
            <w:vAlign w:val="bottom"/>
            <w:vMerge w:val="continue"/>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60" w:type="dxa"/>
            <w:vAlign w:val="bottom"/>
            <w:vMerge w:val="continue"/>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2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4080" w:type="dxa"/>
            <w:vAlign w:val="bottom"/>
            <w:vMerge w:val="continue"/>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16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40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 and other</w:t>
            </w:r>
          </w:p>
        </w:tc>
        <w:tc>
          <w:tcPr>
            <w:tcW w:w="6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0" w:type="dxa"/>
            <w:vAlign w:val="bottom"/>
          </w:tcPr>
          <w:p>
            <w:pPr>
              <w:spacing w:after="0"/>
              <w:rPr>
                <w:sz w:val="1"/>
                <w:szCs w:val="1"/>
                <w:color w:val="auto"/>
              </w:rPr>
            </w:pPr>
          </w:p>
        </w:tc>
      </w:tr>
      <w:tr>
        <w:trPr>
          <w:trHeight w:val="223"/>
        </w:trPr>
        <w:tc>
          <w:tcPr>
            <w:tcW w:w="4080" w:type="dxa"/>
            <w:vAlign w:val="bottom"/>
            <w:shd w:val="clear" w:color="auto" w:fill="CCEEFF"/>
          </w:tcPr>
          <w:p>
            <w:pPr>
              <w:jc w:val="right"/>
              <w:ind w:right="1530"/>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6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1,305.9</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393.3</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1,699.2</w:t>
            </w:r>
          </w:p>
        </w:tc>
        <w:tc>
          <w:tcPr>
            <w:tcW w:w="0" w:type="dxa"/>
            <w:vAlign w:val="bottom"/>
          </w:tcPr>
          <w:p>
            <w:pPr>
              <w:spacing w:after="0"/>
              <w:rPr>
                <w:sz w:val="1"/>
                <w:szCs w:val="1"/>
                <w:color w:val="auto"/>
              </w:rPr>
            </w:pPr>
          </w:p>
        </w:tc>
      </w:tr>
      <w:tr>
        <w:trPr>
          <w:trHeight w:val="229"/>
        </w:trPr>
        <w:tc>
          <w:tcPr>
            <w:tcW w:w="40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 and other</w:t>
            </w:r>
          </w:p>
        </w:tc>
        <w:tc>
          <w:tcPr>
            <w:tcW w:w="6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69.3</w:t>
            </w: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9.3</w:t>
            </w: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0" w:type="dxa"/>
            <w:vAlign w:val="bottom"/>
          </w:tcPr>
          <w:p>
            <w:pPr>
              <w:spacing w:after="0"/>
              <w:rPr>
                <w:sz w:val="1"/>
                <w:szCs w:val="1"/>
                <w:color w:val="auto"/>
              </w:rPr>
            </w:pPr>
          </w:p>
        </w:tc>
      </w:tr>
      <w:tr>
        <w:trPr>
          <w:trHeight w:val="230"/>
        </w:trPr>
        <w:tc>
          <w:tcPr>
            <w:tcW w:w="4080" w:type="dxa"/>
            <w:vAlign w:val="bottom"/>
            <w:tcBorders>
              <w:bottom w:val="single" w:sz="8" w:color="auto"/>
            </w:tcBorders>
            <w:shd w:val="clear" w:color="auto" w:fill="CCEEFF"/>
          </w:tcPr>
          <w:p>
            <w:pPr>
              <w:jc w:val="right"/>
              <w:ind w:right="1530"/>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6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1,375.2</w:t>
            </w:r>
          </w:p>
        </w:tc>
        <w:tc>
          <w:tcPr>
            <w:tcW w:w="3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402.6</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1,777.8</w:t>
            </w:r>
          </w:p>
        </w:tc>
        <w:tc>
          <w:tcPr>
            <w:tcW w:w="0" w:type="dxa"/>
            <w:vAlign w:val="bottom"/>
          </w:tcPr>
          <w:p>
            <w:pPr>
              <w:spacing w:after="0"/>
              <w:rPr>
                <w:sz w:val="1"/>
                <w:szCs w:val="1"/>
                <w:color w:val="auto"/>
              </w:rPr>
            </w:pPr>
          </w:p>
        </w:tc>
      </w:tr>
    </w:tbl>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Intangible Assets</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December 31, 2025, intangible assets consist primarily of certain intangible assets recorded in connection with the Company's acquisitions. These intangible assets were recorded at their estimated fair value, based on independent appraisals, as of the transaction or acquisition date. The value assigned to technology intangibles is based on the royalty savings method, which applies a hypothetical royalty rate to projected revenues attributable to the identified technologies. Royalty rates were determined based primarily on analysis of market information. The customer-based intangible asset includes the acquired entity's established relationships with its customers and the ability of these customers to generate future economic profits for the Company. The value assigned to customer-based intangibles is based on the present value of future earnings attributable to the asset group after recognition of required returns to other contributory assets.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Lear Corporation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intangible assets as of December 31, 2025, is shown below (in millions):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840" w:type="dxa"/>
            <w:vAlign w:val="bottom"/>
            <w:tcBorders>
              <w:top w:val="single" w:sz="8" w:color="auto"/>
            </w:tcBorders>
          </w:tcPr>
          <w:p>
            <w:pPr>
              <w:spacing w:after="0"/>
              <w:rPr>
                <w:sz w:val="14"/>
                <w:szCs w:val="14"/>
                <w:color w:val="auto"/>
              </w:rPr>
            </w:pPr>
          </w:p>
        </w:tc>
        <w:tc>
          <w:tcPr>
            <w:tcW w:w="154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vMerge w:val="restart"/>
          </w:tcPr>
          <w:p>
            <w:pPr>
              <w:jc w:val="center"/>
              <w:ind w:right="156"/>
              <w:spacing w:after="0"/>
              <w:rPr>
                <w:sz w:val="20"/>
                <w:szCs w:val="20"/>
                <w:color w:val="auto"/>
              </w:rPr>
            </w:pPr>
            <w:r>
              <w:rPr>
                <w:rFonts w:ascii="Times New Roman" w:cs="Times New Roman" w:eastAsia="Times New Roman" w:hAnsi="Times New Roman"/>
                <w:sz w:val="14"/>
                <w:szCs w:val="14"/>
                <w:color w:val="auto"/>
              </w:rPr>
              <w:t>Gross Carrying</w:t>
            </w:r>
          </w:p>
        </w:tc>
        <w:tc>
          <w:tcPr>
            <w:tcW w:w="30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vMerge w:val="restart"/>
          </w:tcPr>
          <w:p>
            <w:pPr>
              <w:jc w:val="right"/>
              <w:ind w:right="296"/>
              <w:spacing w:after="0"/>
              <w:rPr>
                <w:sz w:val="20"/>
                <w:szCs w:val="20"/>
                <w:color w:val="auto"/>
              </w:rPr>
            </w:pPr>
            <w:r>
              <w:rPr>
                <w:rFonts w:ascii="Times New Roman" w:cs="Times New Roman" w:eastAsia="Times New Roman" w:hAnsi="Times New Roman"/>
                <w:sz w:val="14"/>
                <w:szCs w:val="14"/>
                <w:color w:val="auto"/>
              </w:rPr>
              <w:t>Accumulated</w:t>
            </w:r>
          </w:p>
        </w:tc>
        <w:tc>
          <w:tcPr>
            <w:tcW w:w="28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vMerge w:val="restart"/>
          </w:tcPr>
          <w:p>
            <w:pPr>
              <w:jc w:val="center"/>
              <w:ind w:right="156"/>
              <w:spacing w:after="0"/>
              <w:rPr>
                <w:sz w:val="20"/>
                <w:szCs w:val="20"/>
                <w:color w:val="auto"/>
              </w:rPr>
            </w:pPr>
            <w:r>
              <w:rPr>
                <w:rFonts w:ascii="Times New Roman" w:cs="Times New Roman" w:eastAsia="Times New Roman" w:hAnsi="Times New Roman"/>
                <w:sz w:val="14"/>
                <w:szCs w:val="14"/>
                <w:color w:val="auto"/>
              </w:rPr>
              <w:t>Net Carrying</w:t>
            </w:r>
          </w:p>
        </w:tc>
        <w:tc>
          <w:tcPr>
            <w:tcW w:w="1540" w:type="dxa"/>
            <w:vAlign w:val="bottom"/>
            <w:tcBorders>
              <w:top w:val="single" w:sz="8" w:color="auto"/>
            </w:tcBorders>
          </w:tcPr>
          <w:p>
            <w:pPr>
              <w:jc w:val="center"/>
              <w:ind w:left="38"/>
              <w:spacing w:after="0"/>
              <w:rPr>
                <w:sz w:val="20"/>
                <w:szCs w:val="20"/>
                <w:color w:val="auto"/>
              </w:rPr>
            </w:pPr>
            <w:r>
              <w:rPr>
                <w:rFonts w:ascii="Times New Roman" w:cs="Times New Roman" w:eastAsia="Times New Roman" w:hAnsi="Times New Roman"/>
                <w:sz w:val="14"/>
                <w:szCs w:val="14"/>
                <w:color w:val="auto"/>
                <w:w w:val="99"/>
              </w:rPr>
              <w:t>Weighted</w:t>
            </w:r>
          </w:p>
        </w:tc>
        <w:tc>
          <w:tcPr>
            <w:tcW w:w="0" w:type="dxa"/>
            <w:vAlign w:val="bottom"/>
          </w:tcPr>
          <w:p>
            <w:pPr>
              <w:spacing w:after="0"/>
              <w:rPr>
                <w:sz w:val="1"/>
                <w:szCs w:val="1"/>
                <w:color w:val="auto"/>
              </w:rPr>
            </w:pPr>
          </w:p>
        </w:tc>
      </w:tr>
      <w:tr>
        <w:trPr>
          <w:trHeight w:val="144"/>
        </w:trPr>
        <w:tc>
          <w:tcPr>
            <w:tcW w:w="38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1540" w:type="dxa"/>
            <w:vAlign w:val="bottom"/>
          </w:tcPr>
          <w:p>
            <w:pPr>
              <w:jc w:val="center"/>
              <w:ind w:left="38"/>
              <w:spacing w:after="0" w:line="145" w:lineRule="exact"/>
              <w:rPr>
                <w:sz w:val="20"/>
                <w:szCs w:val="20"/>
                <w:color w:val="auto"/>
              </w:rPr>
            </w:pPr>
            <w:r>
              <w:rPr>
                <w:rFonts w:ascii="Times New Roman" w:cs="Times New Roman" w:eastAsia="Times New Roman" w:hAnsi="Times New Roman"/>
                <w:sz w:val="14"/>
                <w:szCs w:val="14"/>
                <w:color w:val="auto"/>
              </w:rPr>
              <w:t>Average Useful</w:t>
            </w:r>
          </w:p>
        </w:tc>
        <w:tc>
          <w:tcPr>
            <w:tcW w:w="0" w:type="dxa"/>
            <w:vAlign w:val="bottom"/>
          </w:tcPr>
          <w:p>
            <w:pPr>
              <w:spacing w:after="0"/>
              <w:rPr>
                <w:sz w:val="1"/>
                <w:szCs w:val="1"/>
                <w:color w:val="auto"/>
              </w:rPr>
            </w:pPr>
          </w:p>
        </w:tc>
      </w:tr>
      <w:tr>
        <w:trPr>
          <w:trHeight w:val="198"/>
        </w:trPr>
        <w:tc>
          <w:tcPr>
            <w:tcW w:w="38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4"/>
                <w:szCs w:val="14"/>
                <w:color w:val="auto"/>
              </w:rPr>
              <w:t>Value</w:t>
            </w:r>
          </w:p>
        </w:tc>
        <w:tc>
          <w:tcPr>
            <w:tcW w:w="3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color w:val="auto"/>
              </w:rPr>
              <w:t>Amortization</w:t>
            </w: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156"/>
              <w:spacing w:after="0"/>
              <w:rPr>
                <w:sz w:val="20"/>
                <w:szCs w:val="20"/>
                <w:color w:val="auto"/>
              </w:rPr>
            </w:pPr>
            <w:r>
              <w:rPr>
                <w:rFonts w:ascii="Times New Roman" w:cs="Times New Roman" w:eastAsia="Times New Roman" w:hAnsi="Times New Roman"/>
                <w:sz w:val="14"/>
                <w:szCs w:val="14"/>
                <w:color w:val="auto"/>
                <w:w w:val="95"/>
              </w:rPr>
              <w:t>Value</w:t>
            </w:r>
          </w:p>
        </w:tc>
        <w:tc>
          <w:tcPr>
            <w:tcW w:w="1540" w:type="dxa"/>
            <w:vAlign w:val="bottom"/>
            <w:tcBorders>
              <w:bottom w:val="single" w:sz="8" w:color="auto"/>
            </w:tcBorders>
          </w:tcPr>
          <w:p>
            <w:pPr>
              <w:jc w:val="center"/>
              <w:ind w:left="18"/>
              <w:spacing w:after="0"/>
              <w:rPr>
                <w:sz w:val="20"/>
                <w:szCs w:val="20"/>
                <w:color w:val="auto"/>
              </w:rPr>
            </w:pPr>
            <w:r>
              <w:rPr>
                <w:rFonts w:ascii="Times New Roman" w:cs="Times New Roman" w:eastAsia="Times New Roman" w:hAnsi="Times New Roman"/>
                <w:sz w:val="14"/>
                <w:szCs w:val="14"/>
                <w:color w:val="auto"/>
              </w:rPr>
              <w:t>Life (years)</w:t>
            </w:r>
          </w:p>
        </w:tc>
        <w:tc>
          <w:tcPr>
            <w:tcW w:w="0" w:type="dxa"/>
            <w:vAlign w:val="bottom"/>
          </w:tcPr>
          <w:p>
            <w:pPr>
              <w:spacing w:after="0"/>
              <w:rPr>
                <w:sz w:val="1"/>
                <w:szCs w:val="1"/>
                <w:color w:val="auto"/>
              </w:rPr>
            </w:pPr>
          </w:p>
        </w:tc>
      </w:tr>
      <w:tr>
        <w:trPr>
          <w:trHeight w:val="228"/>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Amortized intangible assets:</w:t>
            </w:r>
          </w:p>
        </w:tc>
        <w:tc>
          <w:tcPr>
            <w:tcW w:w="15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Customer-based</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222.0</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(130.3)</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1540" w:type="dxa"/>
            <w:vAlign w:val="bottom"/>
          </w:tcPr>
          <w:p>
            <w:pPr>
              <w:jc w:val="center"/>
              <w:ind w:left="38"/>
              <w:spacing w:after="0"/>
              <w:rPr>
                <w:sz w:val="20"/>
                <w:szCs w:val="20"/>
                <w:color w:val="auto"/>
              </w:rPr>
            </w:pPr>
            <w:r>
              <w:rPr>
                <w:rFonts w:ascii="Times New Roman" w:cs="Times New Roman" w:eastAsia="Times New Roman" w:hAnsi="Times New Roman"/>
                <w:sz w:val="18"/>
                <w:szCs w:val="18"/>
                <w:color w:val="auto"/>
                <w:w w:val="99"/>
              </w:rPr>
              <w:t>14</w:t>
            </w:r>
          </w:p>
        </w:tc>
        <w:tc>
          <w:tcPr>
            <w:tcW w:w="0" w:type="dxa"/>
            <w:vAlign w:val="bottom"/>
          </w:tcPr>
          <w:p>
            <w:pPr>
              <w:spacing w:after="0"/>
              <w:rPr>
                <w:sz w:val="1"/>
                <w:szCs w:val="1"/>
                <w:color w:val="auto"/>
              </w:rPr>
            </w:pPr>
          </w:p>
        </w:tc>
      </w:tr>
      <w:tr>
        <w:trPr>
          <w:trHeight w:val="229"/>
        </w:trPr>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Technology</w:t>
            </w:r>
          </w:p>
        </w:tc>
        <w:tc>
          <w:tcPr>
            <w:tcW w:w="15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27.7</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540" w:type="dxa"/>
            <w:vAlign w:val="bottom"/>
            <w:shd w:val="clear" w:color="auto" w:fill="CCEEFF"/>
          </w:tcPr>
          <w:p>
            <w:pPr>
              <w:jc w:val="center"/>
              <w:ind w:left="38"/>
              <w:spacing w:after="0"/>
              <w:rPr>
                <w:sz w:val="20"/>
                <w:szCs w:val="20"/>
                <w:color w:val="auto"/>
              </w:rPr>
            </w:pPr>
            <w:r>
              <w:rPr>
                <w:rFonts w:ascii="Times New Roman" w:cs="Times New Roman" w:eastAsia="Times New Roman" w:hAnsi="Times New Roman"/>
                <w:sz w:val="18"/>
                <w:szCs w:val="18"/>
                <w:color w:val="auto"/>
                <w:w w:val="99"/>
              </w:rPr>
              <w:t>12</w:t>
            </w:r>
          </w:p>
        </w:tc>
        <w:tc>
          <w:tcPr>
            <w:tcW w:w="0" w:type="dxa"/>
            <w:vAlign w:val="bottom"/>
          </w:tcPr>
          <w:p>
            <w:pPr>
              <w:spacing w:after="0"/>
              <w:rPr>
                <w:sz w:val="1"/>
                <w:szCs w:val="1"/>
                <w:color w:val="auto"/>
              </w:rPr>
            </w:pPr>
          </w:p>
        </w:tc>
      </w:tr>
      <w:tr>
        <w:trPr>
          <w:trHeight w:val="230"/>
        </w:trPr>
        <w:tc>
          <w:tcPr>
            <w:tcW w:w="38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5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0.4</w:t>
            </w: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540" w:type="dxa"/>
            <w:vAlign w:val="bottom"/>
            <w:tcBorders>
              <w:bottom w:val="single" w:sz="8" w:color="CCEEFF"/>
            </w:tcBorders>
          </w:tcPr>
          <w:p>
            <w:pPr>
              <w:jc w:val="center"/>
              <w:ind w:left="18"/>
              <w:spacing w:after="0"/>
              <w:rPr>
                <w:sz w:val="20"/>
                <w:szCs w:val="20"/>
                <w:color w:val="auto"/>
              </w:rPr>
            </w:pPr>
            <w:r>
              <w:rPr>
                <w:rFonts w:ascii="Times New Roman" w:cs="Times New Roman" w:eastAsia="Times New Roman" w:hAnsi="Times New Roman"/>
                <w:sz w:val="18"/>
                <w:szCs w:val="18"/>
                <w:color w:val="auto"/>
                <w:w w:val="88"/>
              </w:rPr>
              <w:t>5</w:t>
            </w:r>
          </w:p>
        </w:tc>
        <w:tc>
          <w:tcPr>
            <w:tcW w:w="0" w:type="dxa"/>
            <w:vAlign w:val="bottom"/>
          </w:tcPr>
          <w:p>
            <w:pPr>
              <w:spacing w:after="0"/>
              <w:rPr>
                <w:sz w:val="1"/>
                <w:szCs w:val="1"/>
                <w:color w:val="auto"/>
              </w:rPr>
            </w:pPr>
          </w:p>
        </w:tc>
      </w:tr>
      <w:tr>
        <w:trPr>
          <w:trHeight w:val="230"/>
        </w:trPr>
        <w:tc>
          <w:tcPr>
            <w:tcW w:w="38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250.1</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(140.2)</w:t>
            </w: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w:t>
            </w:r>
          </w:p>
        </w:tc>
        <w:tc>
          <w:tcPr>
            <w:tcW w:w="1540" w:type="dxa"/>
            <w:vAlign w:val="bottom"/>
            <w:tcBorders>
              <w:bottom w:val="single" w:sz="8" w:color="auto"/>
            </w:tcBorders>
            <w:shd w:val="clear" w:color="auto" w:fill="CCEEFF"/>
          </w:tcPr>
          <w:p>
            <w:pPr>
              <w:jc w:val="center"/>
              <w:ind w:left="38"/>
              <w:spacing w:after="0"/>
              <w:rPr>
                <w:sz w:val="20"/>
                <w:szCs w:val="20"/>
                <w:color w:val="auto"/>
              </w:rPr>
            </w:pPr>
            <w:r>
              <w:rPr>
                <w:rFonts w:ascii="Times New Roman" w:cs="Times New Roman" w:eastAsia="Times New Roman" w:hAnsi="Times New Roman"/>
                <w:sz w:val="18"/>
                <w:szCs w:val="18"/>
                <w:color w:val="auto"/>
                <w:w w:val="99"/>
              </w:rPr>
              <w:t>13</w:t>
            </w:r>
          </w:p>
        </w:tc>
        <w:tc>
          <w:tcPr>
            <w:tcW w:w="0" w:type="dxa"/>
            <w:vAlign w:val="bottom"/>
          </w:tcPr>
          <w:p>
            <w:pPr>
              <w:spacing w:after="0"/>
              <w:rPr>
                <w:sz w:val="1"/>
                <w:szCs w:val="1"/>
                <w:color w:val="auto"/>
              </w:rPr>
            </w:pPr>
          </w:p>
        </w:tc>
      </w:tr>
      <w:tr>
        <w:trPr>
          <w:trHeight w:val="418"/>
        </w:trPr>
        <w:tc>
          <w:tcPr>
            <w:tcW w:w="6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 summary of intangible assets as of December 31, 2024, is shown below (in millions):</w:t>
            </w: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84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84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280" w:type="dxa"/>
            <w:vAlign w:val="bottom"/>
            <w:vMerge w:val="restart"/>
          </w:tcPr>
          <w:p>
            <w:pPr>
              <w:jc w:val="center"/>
              <w:ind w:right="156"/>
              <w:spacing w:after="0"/>
              <w:rPr>
                <w:sz w:val="20"/>
                <w:szCs w:val="20"/>
                <w:color w:val="auto"/>
              </w:rPr>
            </w:pPr>
            <w:r>
              <w:rPr>
                <w:rFonts w:ascii="Times New Roman" w:cs="Times New Roman" w:eastAsia="Times New Roman" w:hAnsi="Times New Roman"/>
                <w:sz w:val="14"/>
                <w:szCs w:val="14"/>
                <w:color w:val="auto"/>
              </w:rPr>
              <w:t>Gross Carrying</w:t>
            </w:r>
          </w:p>
        </w:tc>
        <w:tc>
          <w:tcPr>
            <w:tcW w:w="300" w:type="dxa"/>
            <w:vAlign w:val="bottom"/>
          </w:tcPr>
          <w:p>
            <w:pPr>
              <w:spacing w:after="0"/>
              <w:rPr>
                <w:sz w:val="11"/>
                <w:szCs w:val="11"/>
                <w:color w:val="auto"/>
              </w:rPr>
            </w:pPr>
          </w:p>
        </w:tc>
        <w:tc>
          <w:tcPr>
            <w:tcW w:w="1260" w:type="dxa"/>
            <w:vAlign w:val="bottom"/>
            <w:vMerge w:val="restart"/>
          </w:tcPr>
          <w:p>
            <w:pPr>
              <w:jc w:val="right"/>
              <w:ind w:right="296"/>
              <w:spacing w:after="0"/>
              <w:rPr>
                <w:sz w:val="20"/>
                <w:szCs w:val="20"/>
                <w:color w:val="auto"/>
              </w:rPr>
            </w:pPr>
            <w:r>
              <w:rPr>
                <w:rFonts w:ascii="Times New Roman" w:cs="Times New Roman" w:eastAsia="Times New Roman" w:hAnsi="Times New Roman"/>
                <w:sz w:val="14"/>
                <w:szCs w:val="14"/>
                <w:color w:val="auto"/>
              </w:rPr>
              <w:t>Accumulated</w:t>
            </w:r>
          </w:p>
        </w:tc>
        <w:tc>
          <w:tcPr>
            <w:tcW w:w="280" w:type="dxa"/>
            <w:vAlign w:val="bottom"/>
          </w:tcPr>
          <w:p>
            <w:pPr>
              <w:spacing w:after="0"/>
              <w:rPr>
                <w:sz w:val="11"/>
                <w:szCs w:val="11"/>
                <w:color w:val="auto"/>
              </w:rPr>
            </w:pPr>
          </w:p>
        </w:tc>
        <w:tc>
          <w:tcPr>
            <w:tcW w:w="1200" w:type="dxa"/>
            <w:vAlign w:val="bottom"/>
            <w:vMerge w:val="restart"/>
          </w:tcPr>
          <w:p>
            <w:pPr>
              <w:jc w:val="center"/>
              <w:ind w:right="156"/>
              <w:spacing w:after="0"/>
              <w:rPr>
                <w:sz w:val="20"/>
                <w:szCs w:val="20"/>
                <w:color w:val="auto"/>
              </w:rPr>
            </w:pPr>
            <w:r>
              <w:rPr>
                <w:rFonts w:ascii="Times New Roman" w:cs="Times New Roman" w:eastAsia="Times New Roman" w:hAnsi="Times New Roman"/>
                <w:sz w:val="14"/>
                <w:szCs w:val="14"/>
                <w:color w:val="auto"/>
              </w:rPr>
              <w:t>Net Carrying</w:t>
            </w:r>
          </w:p>
        </w:tc>
        <w:tc>
          <w:tcPr>
            <w:tcW w:w="1540" w:type="dxa"/>
            <w:vAlign w:val="bottom"/>
          </w:tcPr>
          <w:p>
            <w:pPr>
              <w:jc w:val="center"/>
              <w:ind w:left="38"/>
              <w:spacing w:after="0" w:line="135" w:lineRule="exact"/>
              <w:rPr>
                <w:sz w:val="20"/>
                <w:szCs w:val="20"/>
                <w:color w:val="auto"/>
              </w:rPr>
            </w:pPr>
            <w:r>
              <w:rPr>
                <w:rFonts w:ascii="Times New Roman" w:cs="Times New Roman" w:eastAsia="Times New Roman" w:hAnsi="Times New Roman"/>
                <w:sz w:val="14"/>
                <w:szCs w:val="14"/>
                <w:color w:val="auto"/>
                <w:w w:val="99"/>
              </w:rPr>
              <w:t>Weighted</w:t>
            </w:r>
          </w:p>
        </w:tc>
        <w:tc>
          <w:tcPr>
            <w:tcW w:w="0" w:type="dxa"/>
            <w:vAlign w:val="bottom"/>
          </w:tcPr>
          <w:p>
            <w:pPr>
              <w:spacing w:after="0"/>
              <w:rPr>
                <w:sz w:val="1"/>
                <w:szCs w:val="1"/>
                <w:color w:val="auto"/>
              </w:rPr>
            </w:pPr>
          </w:p>
        </w:tc>
      </w:tr>
      <w:tr>
        <w:trPr>
          <w:trHeight w:val="149"/>
        </w:trPr>
        <w:tc>
          <w:tcPr>
            <w:tcW w:w="38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1540" w:type="dxa"/>
            <w:vAlign w:val="bottom"/>
          </w:tcPr>
          <w:p>
            <w:pPr>
              <w:jc w:val="center"/>
              <w:ind w:left="38"/>
              <w:spacing w:after="0" w:line="149" w:lineRule="exact"/>
              <w:rPr>
                <w:sz w:val="20"/>
                <w:szCs w:val="20"/>
                <w:color w:val="auto"/>
              </w:rPr>
            </w:pPr>
            <w:r>
              <w:rPr>
                <w:rFonts w:ascii="Times New Roman" w:cs="Times New Roman" w:eastAsia="Times New Roman" w:hAnsi="Times New Roman"/>
                <w:sz w:val="14"/>
                <w:szCs w:val="14"/>
                <w:color w:val="auto"/>
              </w:rPr>
              <w:t>Average Useful</w:t>
            </w:r>
          </w:p>
        </w:tc>
        <w:tc>
          <w:tcPr>
            <w:tcW w:w="0" w:type="dxa"/>
            <w:vAlign w:val="bottom"/>
          </w:tcPr>
          <w:p>
            <w:pPr>
              <w:spacing w:after="0"/>
              <w:rPr>
                <w:sz w:val="1"/>
                <w:szCs w:val="1"/>
                <w:color w:val="auto"/>
              </w:rPr>
            </w:pPr>
          </w:p>
        </w:tc>
      </w:tr>
      <w:tr>
        <w:trPr>
          <w:trHeight w:val="196"/>
        </w:trPr>
        <w:tc>
          <w:tcPr>
            <w:tcW w:w="38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4"/>
                <w:szCs w:val="14"/>
                <w:color w:val="auto"/>
              </w:rPr>
              <w:t>Value</w:t>
            </w:r>
          </w:p>
        </w:tc>
        <w:tc>
          <w:tcPr>
            <w:tcW w:w="3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color w:val="auto"/>
              </w:rPr>
              <w:t>Amortization</w:t>
            </w: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156"/>
              <w:spacing w:after="0"/>
              <w:rPr>
                <w:sz w:val="20"/>
                <w:szCs w:val="20"/>
                <w:color w:val="auto"/>
              </w:rPr>
            </w:pPr>
            <w:r>
              <w:rPr>
                <w:rFonts w:ascii="Times New Roman" w:cs="Times New Roman" w:eastAsia="Times New Roman" w:hAnsi="Times New Roman"/>
                <w:sz w:val="14"/>
                <w:szCs w:val="14"/>
                <w:color w:val="auto"/>
                <w:w w:val="95"/>
              </w:rPr>
              <w:t>Value</w:t>
            </w:r>
          </w:p>
        </w:tc>
        <w:tc>
          <w:tcPr>
            <w:tcW w:w="1540" w:type="dxa"/>
            <w:vAlign w:val="bottom"/>
            <w:tcBorders>
              <w:bottom w:val="single" w:sz="8" w:color="auto"/>
            </w:tcBorders>
          </w:tcPr>
          <w:p>
            <w:pPr>
              <w:jc w:val="center"/>
              <w:ind w:left="18"/>
              <w:spacing w:after="0"/>
              <w:rPr>
                <w:sz w:val="20"/>
                <w:szCs w:val="20"/>
                <w:color w:val="auto"/>
              </w:rPr>
            </w:pPr>
            <w:r>
              <w:rPr>
                <w:rFonts w:ascii="Times New Roman" w:cs="Times New Roman" w:eastAsia="Times New Roman" w:hAnsi="Times New Roman"/>
                <w:sz w:val="14"/>
                <w:szCs w:val="14"/>
                <w:color w:val="auto"/>
              </w:rPr>
              <w:t>Life (years)</w:t>
            </w:r>
          </w:p>
        </w:tc>
        <w:tc>
          <w:tcPr>
            <w:tcW w:w="0" w:type="dxa"/>
            <w:vAlign w:val="bottom"/>
          </w:tcPr>
          <w:p>
            <w:pPr>
              <w:spacing w:after="0"/>
              <w:rPr>
                <w:sz w:val="1"/>
                <w:szCs w:val="1"/>
                <w:color w:val="auto"/>
              </w:rPr>
            </w:pPr>
          </w:p>
        </w:tc>
      </w:tr>
      <w:tr>
        <w:trPr>
          <w:trHeight w:val="229"/>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Amortized intangible assets:</w:t>
            </w:r>
          </w:p>
        </w:tc>
        <w:tc>
          <w:tcPr>
            <w:tcW w:w="15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Customer-based</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199.5</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1540" w:type="dxa"/>
            <w:vAlign w:val="bottom"/>
          </w:tcPr>
          <w:p>
            <w:pPr>
              <w:jc w:val="center"/>
              <w:ind w:left="38"/>
              <w:spacing w:after="0"/>
              <w:rPr>
                <w:sz w:val="20"/>
                <w:szCs w:val="20"/>
                <w:color w:val="auto"/>
              </w:rPr>
            </w:pPr>
            <w:r>
              <w:rPr>
                <w:rFonts w:ascii="Times New Roman" w:cs="Times New Roman" w:eastAsia="Times New Roman" w:hAnsi="Times New Roman"/>
                <w:sz w:val="18"/>
                <w:szCs w:val="18"/>
                <w:color w:val="auto"/>
                <w:w w:val="99"/>
              </w:rPr>
              <w:t>14</w:t>
            </w:r>
          </w:p>
        </w:tc>
        <w:tc>
          <w:tcPr>
            <w:tcW w:w="0" w:type="dxa"/>
            <w:vAlign w:val="bottom"/>
          </w:tcPr>
          <w:p>
            <w:pPr>
              <w:spacing w:after="0"/>
              <w:rPr>
                <w:sz w:val="1"/>
                <w:szCs w:val="1"/>
                <w:color w:val="auto"/>
              </w:rPr>
            </w:pPr>
          </w:p>
        </w:tc>
      </w:tr>
      <w:tr>
        <w:trPr>
          <w:trHeight w:val="230"/>
        </w:trPr>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Technology</w:t>
            </w:r>
          </w:p>
        </w:tc>
        <w:tc>
          <w:tcPr>
            <w:tcW w:w="15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25.7</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540" w:type="dxa"/>
            <w:vAlign w:val="bottom"/>
            <w:shd w:val="clear" w:color="auto" w:fill="CCEEFF"/>
          </w:tcPr>
          <w:p>
            <w:pPr>
              <w:jc w:val="center"/>
              <w:ind w:left="38"/>
              <w:spacing w:after="0"/>
              <w:rPr>
                <w:sz w:val="20"/>
                <w:szCs w:val="20"/>
                <w:color w:val="auto"/>
              </w:rPr>
            </w:pPr>
            <w:r>
              <w:rPr>
                <w:rFonts w:ascii="Times New Roman" w:cs="Times New Roman" w:eastAsia="Times New Roman" w:hAnsi="Times New Roman"/>
                <w:sz w:val="18"/>
                <w:szCs w:val="18"/>
                <w:color w:val="auto"/>
                <w:w w:val="99"/>
              </w:rPr>
              <w:t>11</w:t>
            </w:r>
          </w:p>
        </w:tc>
        <w:tc>
          <w:tcPr>
            <w:tcW w:w="0" w:type="dxa"/>
            <w:vAlign w:val="bottom"/>
          </w:tcPr>
          <w:p>
            <w:pPr>
              <w:spacing w:after="0"/>
              <w:rPr>
                <w:sz w:val="1"/>
                <w:szCs w:val="1"/>
                <w:color w:val="auto"/>
              </w:rPr>
            </w:pPr>
          </w:p>
        </w:tc>
      </w:tr>
      <w:tr>
        <w:trPr>
          <w:trHeight w:val="229"/>
        </w:trPr>
        <w:tc>
          <w:tcPr>
            <w:tcW w:w="38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5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0.4</w:t>
            </w: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540" w:type="dxa"/>
            <w:vAlign w:val="bottom"/>
            <w:tcBorders>
              <w:bottom w:val="single" w:sz="8" w:color="CCEEFF"/>
            </w:tcBorders>
          </w:tcPr>
          <w:p>
            <w:pPr>
              <w:jc w:val="center"/>
              <w:ind w:left="18"/>
              <w:spacing w:after="0"/>
              <w:rPr>
                <w:sz w:val="20"/>
                <w:szCs w:val="20"/>
                <w:color w:val="auto"/>
              </w:rPr>
            </w:pPr>
            <w:r>
              <w:rPr>
                <w:rFonts w:ascii="Times New Roman" w:cs="Times New Roman" w:eastAsia="Times New Roman" w:hAnsi="Times New Roman"/>
                <w:sz w:val="18"/>
                <w:szCs w:val="18"/>
                <w:color w:val="auto"/>
                <w:w w:val="88"/>
              </w:rPr>
              <w:t>5</w:t>
            </w:r>
          </w:p>
        </w:tc>
        <w:tc>
          <w:tcPr>
            <w:tcW w:w="0" w:type="dxa"/>
            <w:vAlign w:val="bottom"/>
          </w:tcPr>
          <w:p>
            <w:pPr>
              <w:spacing w:after="0"/>
              <w:rPr>
                <w:sz w:val="1"/>
                <w:szCs w:val="1"/>
                <w:color w:val="auto"/>
              </w:rPr>
            </w:pPr>
          </w:p>
        </w:tc>
      </w:tr>
      <w:tr>
        <w:trPr>
          <w:trHeight w:val="230"/>
        </w:trPr>
        <w:tc>
          <w:tcPr>
            <w:tcW w:w="38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225.6</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w:t>
            </w: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1540" w:type="dxa"/>
            <w:vAlign w:val="bottom"/>
            <w:tcBorders>
              <w:bottom w:val="single" w:sz="8" w:color="auto"/>
            </w:tcBorders>
            <w:shd w:val="clear" w:color="auto" w:fill="CCEEFF"/>
          </w:tcPr>
          <w:p>
            <w:pPr>
              <w:jc w:val="center"/>
              <w:ind w:left="38"/>
              <w:spacing w:after="0"/>
              <w:rPr>
                <w:sz w:val="20"/>
                <w:szCs w:val="20"/>
                <w:color w:val="auto"/>
              </w:rPr>
            </w:pPr>
            <w:r>
              <w:rPr>
                <w:rFonts w:ascii="Times New Roman" w:cs="Times New Roman" w:eastAsia="Times New Roman" w:hAnsi="Times New Roman"/>
                <w:sz w:val="18"/>
                <w:szCs w:val="18"/>
                <w:color w:val="auto"/>
                <w:w w:val="99"/>
              </w:rPr>
              <w:t>13</w:t>
            </w: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2024, intangible assets with a gross carrying value of $325.6 million became fully amortized and are no longer included in the gross carrying value or accumulated amortization as of December 31, 2025 and 2024. In 2024, intangible assets with a net carrying value of $21.0 million were classified as held for sale in connection with the then-pending disposal of a non-core business.</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Excluding the impact of any future acquisitions, the Company's estimated annual amortization expense for the five succeeding years is shown below (in millions):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6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Year</w:t>
            </w:r>
          </w:p>
        </w:tc>
        <w:tc>
          <w:tcPr>
            <w:tcW w:w="25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color w:val="auto"/>
              </w:rPr>
              <w:t>Expense</w:t>
            </w:r>
          </w:p>
        </w:tc>
      </w:tr>
      <w:tr>
        <w:trPr>
          <w:trHeight w:val="230"/>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5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r>
      <w:tr>
        <w:trPr>
          <w:trHeight w:val="230"/>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5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r>
      <w:tr>
        <w:trPr>
          <w:trHeight w:val="229"/>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5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r>
      <w:tr>
        <w:trPr>
          <w:trHeight w:val="230"/>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5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r>
      <w:tr>
        <w:trPr>
          <w:trHeight w:val="237"/>
        </w:trPr>
        <w:tc>
          <w:tcPr>
            <w:tcW w:w="26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254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of Long-Lived Assets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monitors its long-lived assets for impairment indicators on an ongoing basis in accordance with accounting principles generally accepted in the United States ("GAAP"). If impairment indicators exist, the Company performs the required impairment analysis by comparing the undiscounted cash flows expected to be generated from the long-lived assets to the related net book values. If the net book value exceeds the undiscounted cash flows, an impairment loss is measured and recognized. An impairment loss is measured as the difference between the net book value and the fair value of the long-lived assets. Fair value estimates of long-lived assets are based on independent appraisals or discounted cash flows, giving consideration to the highest and best use of the assets. Key assumptions used in the appraisals are based on a combination of market and cost approaches, as appropriate.</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the years ended December 31, 2025, 2024 and 2023, the Company recognized fixed asset impairment charges of $38.7 million, $2.9 million and $5.1 million, respectively, in conjunction with its restructuring actions (Note 3, "Restructuring"). For the years ended December 31, 2025, 2024 and 2023, the Company recognized additional fixed asset impairment charges of $15.2 million, $4.4 million and $6.3 million, respectively. For the year ended December 31, 2025, fixed asset impairment charges of $4.9 million and $49.0 million were recorded in the Seating and E-Systems segments, respectively. Fixed asset impairment charges are recorded in cost of sales in the accompanying consolidated statements of income for the years ended December 31, 2025, 2024 and 2023.</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2023, the Company recognized impairment charges of $1.9 million related to certain definite-lived intangible assets of its E-Systems segment resulting from a change in the intended use of such assets. The impairment charges are included in amortization of intangible assets in the accompanying consolidated statement of income for the year ended December 31, 2023.</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Lear Corporation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information related to impairments of right-of-use assets, see Note 6, "Leases."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of Investments in Affiliates</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monitors its investments in affiliates for indicators of other-than-temporary declines in value on an ongoing basis in accordance with GAAP. If the Company determines that an other-than-temporary decline in value has occurred, it recognizes an impairment loss, which is measured as the difference between the recorded book value and the fair value of the investment. Fair value is generally determined using an income approach based on discounted cash flows or negotiated transaction values. For the years ended December 31, 2025 and 2023, the Company recognized impairment charges of $2.6 million and $7.0 million, respectively, related to its investments in affiliates. The impairment charges are included in other expense, net in the accompanying consolidated statements of income for the years ended December 31, 2025 and 2023. There were no impairment charges recognized related to the Company's investments in affiliates for the year ended December 31, 2024.</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Accrued Liabilities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accrued liabilities as of December 31, 2025 and 2024, is shown below (in millions):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9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December 31,</w:t>
            </w:r>
          </w:p>
        </w:tc>
        <w:tc>
          <w:tcPr>
            <w:tcW w:w="328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color w:val="auto"/>
              </w:rPr>
              <w:t>2025</w:t>
            </w:r>
          </w:p>
        </w:tc>
        <w:tc>
          <w:tcPr>
            <w:tcW w:w="3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color w:val="auto"/>
              </w:rPr>
              <w:t>2024</w:t>
            </w:r>
          </w:p>
        </w:tc>
      </w:tr>
      <w:tr>
        <w:trPr>
          <w:trHeight w:val="229"/>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 and employee benefits</w:t>
            </w:r>
          </w:p>
        </w:tc>
        <w:tc>
          <w:tcPr>
            <w:tcW w:w="3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515.0</w:t>
            </w: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429.5</w:t>
            </w:r>
          </w:p>
        </w:tc>
      </w:tr>
      <w:tr>
        <w:trPr>
          <w:trHeight w:val="229"/>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and other taxes payable</w:t>
            </w:r>
          </w:p>
        </w:tc>
        <w:tc>
          <w:tcPr>
            <w:tcW w:w="3280" w:type="dxa"/>
            <w:vAlign w:val="bottom"/>
          </w:tcPr>
          <w:p>
            <w:pPr>
              <w:spacing w:after="0"/>
              <w:rPr>
                <w:sz w:val="19"/>
                <w:szCs w:val="19"/>
                <w:color w:val="auto"/>
              </w:rPr>
            </w:pPr>
          </w:p>
        </w:tc>
        <w:tc>
          <w:tcPr>
            <w:tcW w:w="8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356.7</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354.6</w:t>
            </w:r>
          </w:p>
        </w:tc>
      </w:tr>
      <w:tr>
        <w:trPr>
          <w:trHeight w:val="230"/>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lease obligations</w:t>
            </w:r>
          </w:p>
        </w:tc>
        <w:tc>
          <w:tcPr>
            <w:tcW w:w="32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169.4</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w:t>
            </w:r>
          </w:p>
        </w:tc>
      </w:tr>
      <w:tr>
        <w:trPr>
          <w:trHeight w:val="229"/>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portion of restructuring accrual</w:t>
            </w:r>
          </w:p>
        </w:tc>
        <w:tc>
          <w:tcPr>
            <w:tcW w:w="3280" w:type="dxa"/>
            <w:vAlign w:val="bottom"/>
          </w:tcPr>
          <w:p>
            <w:pPr>
              <w:spacing w:after="0"/>
              <w:rPr>
                <w:sz w:val="19"/>
                <w:szCs w:val="19"/>
                <w:color w:val="auto"/>
              </w:rPr>
            </w:pPr>
          </w:p>
        </w:tc>
        <w:tc>
          <w:tcPr>
            <w:tcW w:w="8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72.3</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w:t>
            </w:r>
          </w:p>
        </w:tc>
      </w:tr>
      <w:tr>
        <w:trPr>
          <w:trHeight w:val="229"/>
        </w:trPr>
        <w:tc>
          <w:tcPr>
            <w:tcW w:w="59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1,105.6</w:t>
            </w:r>
          </w:p>
        </w:tc>
        <w:tc>
          <w:tcPr>
            <w:tcW w:w="3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1,149.8</w:t>
            </w:r>
          </w:p>
        </w:tc>
      </w:tr>
      <w:tr>
        <w:trPr>
          <w:trHeight w:val="230"/>
        </w:trPr>
        <w:tc>
          <w:tcPr>
            <w:tcW w:w="5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3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2,219.0</w:t>
            </w:r>
          </w:p>
        </w:tc>
        <w:tc>
          <w:tcPr>
            <w:tcW w:w="3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2,167.6</w:t>
            </w: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determines if an arrangement contains a lease at inception. For all asset classes, the Company utilizes the short-term lease exemption as provided under GAAP. A short-term lease is a lease that, at the commencement date, has a term of twelve months or less and does not include an option to purchase the underlying asset. For all asset classes, the Company accounts for each lease component of a contract and its associated non-lease components as a single lease component, rather than allocating a standalone value to each component of a lease.</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purposes of calculating operating lease obligations under the standard, the Company's lease terms may include options to extend or terminate the lease when it is reasonably certain that the Company will exercise such option. The Company's leases do not contain material residual value guarantees or material restrictive covenants.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lease expense is recognized on a straight-line basis over the lease terms.</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discount rate used to measure a lease obligation should be the rate implicit in the lease; however, the Company's operating leases generally do not provide an implicit rate. Accordingly, the Company uses its incremental borrowing rate at lease commencement to determine the present value of lease payments. The incremental borrowing rate is an entity-specific rate which represents the rate of interest a lessee would pay to borrow on a collateralized basis over a similar term with similar payments.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enters into contracts with its customers to provide production parts generally at the beginning of a vehicle's life cycle. Typically, these contracts do not provide for a specified quantity of products, but once entered into, the Company is often expected to fulfill its customers' purchasing requirements for the production life of the vehicle. Many of these contracts may be terminated by the Company's customers at any time. Historically, terminations of these contracts have been infrequent. The Company receives purchase orders from its customers, which provide the commercial terms for a particular production part, including price (but not quantities). Contracts may also provide for annual price reductions over the production life of the vehicle, and prices may be adjusted on an ongoing basis to reflect changes in product content/cost and other commercial factors.</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Revenue is recognized at a point in time when control of the product is transferred to the customer under standard commercial terms, as the Company does not have an enforceable right to payment prior to such transfer. The amount of revenue recognized reflects the consideration that the Company expects to be entitled to in exchange for those products based on the current purchase orders, annual price reductions and ongoing price adjustments. Revenue recognized related to prior years represented approximately 1% of consolidated net sales during the years ended December 31, 2025, 2024 and 2023. The Company's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Lear Corporation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8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customers pay for products received in accordance with payment terms that are customary within the industry. The Company's contracts with its customers do not have significant financing components.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records a contract liability for advances received from its customers. As of December 31, 2025 and 2024, there were no significant contract liabilities recorded. Further, there were no significant contract liabilities recognized in revenue during the years ended December 31, 2025, 2024 and 2023.</w:t>
      </w:r>
    </w:p>
    <w:p>
      <w:pPr>
        <w:spacing w:after="0" w:line="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Amounts billed to customers related to shipping and handling costs are included in net sales in the consolidated statements of income. Shipping and handling costs are accounted for as fulfillment costs and are included in cost of sales in the consolidated statements of income.</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Taxes assessed by a governmental authority that are both imposed on and concurrent with a specific revenue-producing transaction that are collected by the Company from a customer are excluded from revenue.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Sales and Selling, General and Administrative Expenses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Cost of sales includes material, labor and overhead costs associated with the manufacture and distribution of the Company's products. Distribution costs include inbound freight costs, purchasing and receiving costs, inspection costs, warehousing costs and other costs of the Company's distribution network. Selling, general and administrative expenses include selling, engineering and development and administrative costs not directly associated with the manufacture and distribution of the Company's products.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Restructuring Costs</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Restructuring costs include employee termination benefits, asset impairment charges and contract termination costs, as well as other incremental net costs resulting from the restructuring actions. Employee termination benefits are recorded based on existing union and employee contracts, statutory requirements, completed negotiations and Company policy. Other incremental net costs principally include equipment and personnel relocation costs and gains and losses on the sales of facilities. In addition to restructuring costs, the Company also incurs incremental manufacturing inefficiency costs at the operating locations impacted by the restructuring actions during the related restructuring implementation period. Restructuring costs are recognized in the Company's consolidated financial statements in accordance with GAAP. Generally, charges are recorded as restructuring actions are approved, communicated and/or implemented.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Expense, Net</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expense, net includes non-income related taxes, foreign exchange gains and losses, gains and losses related to certain derivative instruments and hedging activities, gains and losses on certain disposals of assets, the non-service cost components of net periodic benefit cost and other miscellaneous income and expense. A summary of other expense, net is shown below (in millions):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3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For the year ended December 31,</w:t>
            </w:r>
          </w:p>
        </w:tc>
        <w:tc>
          <w:tcPr>
            <w:tcW w:w="3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2025</w:t>
            </w:r>
          </w:p>
        </w:tc>
        <w:tc>
          <w:tcPr>
            <w:tcW w:w="5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580" w:type="dxa"/>
            <w:vAlign w:val="bottom"/>
            <w:tcBorders>
              <w:top w:val="single" w:sz="8" w:color="auto"/>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color w:val="auto"/>
              </w:rPr>
              <w:t>2023</w:t>
            </w:r>
          </w:p>
        </w:tc>
      </w:tr>
      <w:tr>
        <w:trPr>
          <w:trHeight w:val="230"/>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w:t>
            </w:r>
          </w:p>
        </w:tc>
        <w:tc>
          <w:tcPr>
            <w:tcW w:w="330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71.0</w:t>
            </w:r>
          </w:p>
        </w:tc>
        <w:tc>
          <w:tcPr>
            <w:tcW w:w="96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77.0</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center"/>
              <w:ind w:left="555"/>
              <w:spacing w:after="0"/>
              <w:rPr>
                <w:sz w:val="20"/>
                <w:szCs w:val="20"/>
                <w:color w:val="auto"/>
              </w:rPr>
            </w:pPr>
            <w:r>
              <w:rPr>
                <w:rFonts w:ascii="Times New Roman" w:cs="Times New Roman" w:eastAsia="Times New Roman" w:hAnsi="Times New Roman"/>
                <w:sz w:val="18"/>
                <w:szCs w:val="18"/>
                <w:color w:val="auto"/>
                <w:w w:val="95"/>
              </w:rPr>
              <w:t>83.7</w:t>
            </w:r>
          </w:p>
        </w:tc>
      </w:tr>
      <w:tr>
        <w:trPr>
          <w:trHeight w:val="230"/>
        </w:trPr>
        <w:tc>
          <w:tcPr>
            <w:tcW w:w="4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33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(19.6)</w:t>
            </w:r>
          </w:p>
        </w:tc>
        <w:tc>
          <w:tcPr>
            <w:tcW w:w="9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(28.4)</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left="535"/>
              <w:spacing w:after="0"/>
              <w:rPr>
                <w:sz w:val="20"/>
                <w:szCs w:val="20"/>
                <w:color w:val="auto"/>
              </w:rPr>
            </w:pPr>
            <w:r>
              <w:rPr>
                <w:rFonts w:ascii="Times New Roman" w:cs="Times New Roman" w:eastAsia="Times New Roman" w:hAnsi="Times New Roman"/>
                <w:sz w:val="18"/>
                <w:szCs w:val="18"/>
                <w:color w:val="auto"/>
              </w:rPr>
              <w:t>(28.8)</w:t>
            </w:r>
          </w:p>
        </w:tc>
      </w:tr>
      <w:tr>
        <w:trPr>
          <w:trHeight w:val="230"/>
        </w:trPr>
        <w:tc>
          <w:tcPr>
            <w:tcW w:w="4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3300" w:type="dxa"/>
            <w:vAlign w:val="bottom"/>
            <w:tcBorders>
              <w:bottom w:val="single" w:sz="8" w:color="auto"/>
            </w:tcBorders>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51.4</w:t>
            </w:r>
          </w:p>
        </w:tc>
        <w:tc>
          <w:tcPr>
            <w:tcW w:w="960" w:type="dxa"/>
            <w:vAlign w:val="bottom"/>
            <w:tcBorders>
              <w:bottom w:val="single" w:sz="8" w:color="auto"/>
            </w:tcBorders>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48.6</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center"/>
              <w:ind w:left="555"/>
              <w:spacing w:after="0"/>
              <w:rPr>
                <w:sz w:val="20"/>
                <w:szCs w:val="20"/>
                <w:color w:val="auto"/>
              </w:rPr>
            </w:pPr>
            <w:r>
              <w:rPr>
                <w:rFonts w:ascii="Times New Roman" w:cs="Times New Roman" w:eastAsia="Times New Roman" w:hAnsi="Times New Roman"/>
                <w:sz w:val="18"/>
                <w:szCs w:val="18"/>
                <w:color w:val="auto"/>
                <w:w w:val="95"/>
              </w:rPr>
              <w:t>54.9</w:t>
            </w: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Deferred tax assets and liabilities are recognized for the future tax consequences attributable to temporary differences between financial statement carrying amounts of existing assets and liabilities and their respective tax basis and tax loss and credit carryforwards. Deferred tax assets and liabilities are measured using enacted tax rates expected to apply to taxable income for the years in which those temporary differences are expected to be recovered or settled.</w:t>
      </w:r>
    </w:p>
    <w:p>
      <w:pPr>
        <w:spacing w:after="0" w:line="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current and future provision for income taxes is impacted by the initial recognition of and changes in valuation allowances in certain countries. The Company intends to maintain these allowances until it is more likely than not that the deferred tax assets will be realized. The Company's future provision for income taxes will include no tax benefit with respect to losses incurred and, except for certain jurisdictions, no tax expense with respect to income generated in these countries until the respective valuation allowances are eliminated. Accordingly, income taxes are impacted by changes in valuation allowances and the mix of earnings among jurisdictions. The Company evaluates the realizability of its deferred tax assets on a quarterly basis. In completing this evaluation, the Company considers all available evidence in order to determine whether, based on the weight of the evidence, a valuation allowance for its deferred tax assets is necessary. Such evidence includes historical results, future reversals of existing taxable temporary differences and expectations for future taxable income (exclusive of the reversal</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Lear Corporation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of temporary differences and carryforwards), as well as the implementation of feasible and prudent tax planning strategies. If, based on the weight of the evidence, it is more likely than not that all or a portion of the Company's deferred tax assets will not be realized, a valuation allowance is recorded. If operating results improve or decline on a continual basis in a particular jurisdiction, the Company's decision regarding the need for a valuation allowance could change, resulting in either the initial recognition or reversal of a valuation allowance in that jurisdiction, which could have a significant impact on income tax expense in the period recognized and subsequent periods. In determining the provision for income taxes for financial statement purposes, the Company makes certain estimates and judgments, which affect its evaluation of the carrying value of its deferred tax assets, as well as its calculation of certain tax liabilities.</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reclassifies taxes from accumulated other comprehensive loss to earnings as the items to which the tax effects relate are similarly reclassified.</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calculation of the Company's gross unrecognized tax benefits and liabilities includes uncertainties in the application of, and changes in, complex tax regulations in a multitude of jurisdictions across its global operations. The Company recognizes tax benefits and liabilities based on its estimates of whether, and the extent to which, additional taxes will be due. The Company adjusts these benefits and liabilities based on changing facts and circumstances; however, due to the complexity of these uncertainties and the impact of tax audits, the ultimate resolutions may differ significantly from the Company's estimates.</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Effective January 1, 2025, Accounting Standards Update ("ASU") 2023-09, "Improvements to Income Tax Disclosures," requires disclosure of specific categories in the effective tax rate reconciliation, as well as additional information for reconciling items that meet a quantitative threshold. The update also requires disclosure of income taxes paid, net of refunds, disaggregated by federal, state and foreign taxes, and further disaggregated by jurisdiction based on a quantitative threshold. Adoption of the update modified the Company's financial statement disclosures but did not have a significant impact on its consolidated financial statements.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Assets and liabilities of foreign subsidiaries that use a functional currency other than the U.S. dollar are translated into U.S. dollars at the foreign exchange rates in effect at the end of the period. Revenues and expenses of foreign subsidiaries are translated into U.S. dollars using an average of the foreign exchange rates in effect during the period. Translation adjustments that arise from translating a foreign subsidiary's financial statements from the functional currency to the U.S. dollar are reflected in accumulated other comprehensive loss in the consolidated balance sheets.</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Transaction gains and losses that arise from foreign exchange rate fluctuations on transactions denominated in a currency other than the functional currency, except certain long-term intercompany transactions, are included in the consolidated statements of income as incurred.</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2025, 2024 and 2023, other expense, net includes net foreign currency transaction losses of $39.8 million, $21.4 million and $53.0 million, respectively. For the years ended December 31, 2025, 2024 and 2023, net foreign currency transaction losses include $10.3 million, $16.1 million and $30.6 million, respectively, related to the hyper-inflationary environment and significant currency devaluation in Argentina.</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measures stock-based employee compensation expense at fair value in accordance with GAAP and recognizes such expense over the vesting period of the stock-based employee awards.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 Per Share Attributable to Lear</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Basic net income per share attributable to Lear is computed by dividing net income attributable to Lear by the average number of common shares outstanding during the period. Common shares issuable upon the satisfaction of certain conditions pursuant to a contractual agreement are considered common shares outstanding and are included in the computation of basic net income per share attributable to Lear.</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Diluted net income per share attributable to Lear is computed using the treasury stock method by dividing net income attributable to Lear by the average number of common shares outstanding, including the dilutive effect of common stock equivalents using the average share price during the period.</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Lear Corporation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summary of information used to compute basic and diluted net income per share attributable to Lear is shown below (in millions, except share and per share data):</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For the year ended December 31,</w:t>
            </w:r>
          </w:p>
        </w:tc>
        <w:tc>
          <w:tcPr>
            <w:tcW w:w="19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color w:val="auto"/>
              </w:rPr>
              <w:t>2025</w:t>
            </w:r>
          </w:p>
        </w:tc>
        <w:tc>
          <w:tcPr>
            <w:tcW w:w="38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color w:val="auto"/>
              </w:rPr>
              <w:t>2024</w:t>
            </w:r>
          </w:p>
        </w:tc>
        <w:tc>
          <w:tcPr>
            <w:tcW w:w="38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color w:val="auto"/>
              </w:rPr>
              <w:t>2023</w:t>
            </w:r>
          </w:p>
        </w:tc>
      </w:tr>
      <w:tr>
        <w:trPr>
          <w:trHeight w:val="237"/>
        </w:trPr>
        <w:tc>
          <w:tcPr>
            <w:tcW w:w="5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Lear</w:t>
            </w:r>
          </w:p>
        </w:tc>
        <w:tc>
          <w:tcPr>
            <w:tcW w:w="19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436.8</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506.6</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572.5</w:t>
            </w:r>
          </w:p>
        </w:tc>
      </w:tr>
      <w:tr>
        <w:trPr>
          <w:trHeight w:val="243"/>
        </w:trPr>
        <w:tc>
          <w:tcPr>
            <w:tcW w:w="514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29"/>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common shares outstanding</w:t>
            </w:r>
          </w:p>
        </w:tc>
        <w:tc>
          <w:tcPr>
            <w:tcW w:w="19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53,168,252</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56,140,962</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58,830,334</w:t>
            </w:r>
          </w:p>
        </w:tc>
      </w:tr>
      <w:tr>
        <w:trPr>
          <w:trHeight w:val="230"/>
        </w:trPr>
        <w:tc>
          <w:tcPr>
            <w:tcW w:w="5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Dilutive effect of common stock equivalents</w:t>
            </w:r>
          </w:p>
        </w:tc>
        <w:tc>
          <w:tcPr>
            <w:tcW w:w="19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422,524</w:t>
            </w: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335,143</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286,041</w:t>
            </w:r>
          </w:p>
        </w:tc>
      </w:tr>
      <w:tr>
        <w:trPr>
          <w:trHeight w:val="230"/>
        </w:trPr>
        <w:tc>
          <w:tcPr>
            <w:tcW w:w="5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diluted shares outstanding</w:t>
            </w:r>
          </w:p>
        </w:tc>
        <w:tc>
          <w:tcPr>
            <w:tcW w:w="19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53,590,776</w:t>
            </w:r>
          </w:p>
        </w:tc>
        <w:tc>
          <w:tcPr>
            <w:tcW w:w="38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56,476,105</w:t>
            </w:r>
          </w:p>
        </w:tc>
        <w:tc>
          <w:tcPr>
            <w:tcW w:w="38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59,116,375</w:t>
            </w:r>
          </w:p>
        </w:tc>
      </w:tr>
      <w:tr>
        <w:trPr>
          <w:trHeight w:val="243"/>
        </w:trPr>
        <w:tc>
          <w:tcPr>
            <w:tcW w:w="514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37"/>
        </w:trPr>
        <w:tc>
          <w:tcPr>
            <w:tcW w:w="5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net income per share attributable to Lear</w:t>
            </w:r>
          </w:p>
        </w:tc>
        <w:tc>
          <w:tcPr>
            <w:tcW w:w="19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8.22</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9.02</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w:t>
            </w:r>
          </w:p>
        </w:tc>
      </w:tr>
      <w:tr>
        <w:trPr>
          <w:trHeight w:val="243"/>
        </w:trPr>
        <w:tc>
          <w:tcPr>
            <w:tcW w:w="514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37"/>
        </w:trPr>
        <w:tc>
          <w:tcPr>
            <w:tcW w:w="5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net income per share attributable to Lear</w:t>
            </w:r>
          </w:p>
        </w:tc>
        <w:tc>
          <w:tcPr>
            <w:tcW w:w="19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8.15</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8.97</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w:t>
            </w: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Warranty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Losses from warranty obligations are accrued when it is probable that a liability has been incurred and the related amounts are reasonably estimable.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Reporting</w:t>
      </w:r>
    </w:p>
    <w:p>
      <w:pPr>
        <w:spacing w:after="0" w:line="11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is organized under two reportable operating segments: Seating and E-Systems. Each of these segments has a varied product and technology portfolio across a number of component categories. Further, the Company continuously evaluates this portfolio, aligning it with industry trends while balancing risk-adjusted returns, which allows the Company to offer value-added solutions to its customers.</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Seating segment consists of the design, development, engineering and manufacture of complete seat systems and key seat components. The Company's capabilities in operations and supply chain management enable synchronized assembly and just-in-time delivery of complex complete seat systems at high volumes to its customers. Key seat component product offerings include seat trim covers; surface materials such as leather and fabric; seat mechanisms; seat cushioning; headrests; and thermal comfort systems such as seat heating, ventilation, active cooling, pneumatic lumbar and massage products. All of these products are compatible with traditional internal combustion engine ("ICE") architectures and electrified powertrains, including the full range of hybrid, plug-in hybrid and battery electric architectures. Thermal comfort systems are facilitated by the Company's seat system, component and integration capabilities, together with our competencies in electronics, sensors, software and algorithms.</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E-Systems segment consists of the design, development, engineering and manufacture of complete electrical distribution and connection systems; high-voltage power distribution products, including battery disconnect units ("BDUs"); and low-voltage power distribution products and electronic controllers.</w:t>
      </w:r>
    </w:p>
    <w:p>
      <w:pPr>
        <w:spacing w:after="0" w:line="14" w:lineRule="exact"/>
        <w:rPr>
          <w:sz w:val="20"/>
          <w:szCs w:val="20"/>
          <w:color w:val="auto"/>
        </w:rPr>
      </w:pPr>
    </w:p>
    <w:p>
      <w:pPr>
        <w:jc w:val="both"/>
        <w:ind w:left="660" w:hanging="328"/>
        <w:spacing w:after="0" w:line="258"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Electrical distribution and connection systems utilize low-voltage and high-voltage wire and high-speed data cables to connect networks' electrical signals and manage electrical power within the vehicle for all types of powertrains – from traditional ICE architectures to the full range of electrified powertrains that require management of higher voltage and power. Key components of our electrical distribution and connection systems portfolio include wire harnesses, terminals and connectors, high-voltage battery connection systems and engineered components. High-voltage battery connection systems include intercell connect boards, bus bars and main battery interface connection systems.</w:t>
      </w:r>
    </w:p>
    <w:p>
      <w:pPr>
        <w:spacing w:after="0" w:line="2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High-voltage power distribution products control the flow and distribution of high-voltage power throughout electric and hybrid vehicles and include BDUs, which control all electrical energy flowing into and out of high-voltage batteries in electrified vehicles.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Low-voltage power distribution products and electronic controllers facilitate signal, data and/or power management within the vehicle and include the associated software required to facilitate these functions. Key components of this portfolio include zonal controllers, body domain control modules, and smart and passive power distribution modules. The Company's software offerings include embedded control, cybersecurity software and software to control hardware devices. The Company's customers traditionally have sourced our electronic hardware together with the software that we integrate and embed in it.</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other category includes unallocated costs related to corporate headquarters, regional headquarters and the elimination of intercompany activities, including intersegment revenues and cost of sales, none of which meets the requirements for being classified as an operating segment. Corporate and regional headquarters costs include various support functions, such as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Lear Corporation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information technology, corporate finance, legal, executive administration and human resources. Such costs are reflected in the operating segment results to the extent they are directly attributable to an operating segment.</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chief operating decision maker ("CODM") is Raymond E. Scott, President and Chief Executive Officer. Each of the Company's operating segments reports its results from operations and makes its requests for capital expenditures directly to the CODM. The CODM assesses the operating performance of each segment based on segment earnings which is driven primarily by automotive production volumes in the geographic regions in which it operates, as well as by the success of the vehicle platforms for which it supplies products. Also, each operating segment operates in the competitive Tier 1 automotive supplier environment and is continually working with its customers to manage costs and improve quality. The Company's production processes generally make use of an hourly workforce, dedicated facilities, sequential manufacturing and assembly processes and commodity raw materials.</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CODM evaluates the performance of its operating segments based primarily on (i) revenues from external customers, (ii) pretax income before equity in net income of affiliates, interest expense, net and other expense, net ("segment earnings") and (iii) cash flows, being defined as segment earnings less capital expenditures plus depreciation and amortization.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accounting policies of the Company's operating segments are the same as those described in this note to the consolidated financial statements.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 Instruments and Hedging Activities</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has used derivative financial instruments, including forwards, futures, options, swaps and other derivative contracts, to reduce the effects of fluctuations in foreign exchange rates and interest rates and the resulting variability of the Company's operating results. The Company is not a party to leveraged derivatives. The Company's derivative financial instruments are subject to master arrangements that provide for the net settlement of contracts, by counterparty, in the event of default or termination. On the date that a derivative contract for a hedge instrument is entered into, the Company designates the derivative as either (1) a hedge of the exposure to changes in the fair value of a recognized asset or liability or of an unrecognized firm commitment (a fair value hedge), (2) a hedge of the exposure of a forecasted transaction or of the variability in the cash flows of a recognized asset or liability (a cash flow hedge), (3) a hedge of a net investment in a foreign operation (a net investment hedge) or (4) a contract not designated as a hedge instrument.</w:t>
      </w:r>
    </w:p>
    <w:p>
      <w:pPr>
        <w:spacing w:after="0" w:line="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For a fair value hedge, the change in the fair value of the derivative is recorded in earnings and reflected in the consolidated statements of income on the same line as the gain or loss on the hedged item attributable to the hedged risk. For a cash flow hedge, the change in the fair value of the derivative is recorded in accumulated other comprehensive loss in the consolidated balance sheets. When the underlying hedged transaction is realized, the gain or loss included in accumulated other comprehensive loss is recorded in earnings and reflected in the consolidated statements of income on the same line as the gain or loss on the hedged item attributable to the hedged risk. For a net investment hedge, the change in the fair value of the derivative is recorded in cumulative translation adjustment, which is a component of accumulated other comprehensive loss in the consolidated balance sheets. When the related currency translation adjustment is required to be reclassified, usually upon the sale or liquidation of the investment, the gain or loss included in accumulated other comprehensive loss is recorded in earnings and reflected in other expense, net in the consolidated statements of income. Changes in the fair value of contracts not designated as hedge instruments are recorded in earnings and reflected in other expense, net in the consolidated statements of income. Cash flows attributable to derivatives used to manage foreign currency risks are classified on the same line as the hedged item attributable to the hedged risk in the consolidated statements of cash flows. Upon settlement, cash flows attributable to derivatives designated as net investment hedges are classified as investing activities in the consolidated statements of cash flows. Cash flows attributable to forward starting interest rate swaps are classified as financing activities in the consolidated statements of cash flows.</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formally documents its hedge relationships, including the identification of the hedge instruments and the related hedged items, as well as its risk management objectives and strategies for undertaking the hedge transaction. Derivatives are recorded at fair value in other current and long-term assets and other current and long-term liabilities in the consolidated balance sheets. The Company also formally assesses whether a derivative used in a hedge transaction is highly effective in offsetting changes in either the fair value or the cash flows of the hedged item. When it is determined that a hedged transaction is no longer probable to occur, the Company discontinues hedge accounting.</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conformity with GAAP requires management to make estimates and assumptions that affect the reported amounts of assets and liabilities as of the date of the consolidated financial statements and the reported amounts of revenues and expenses during the reporting period. During 2025, there were no material changes in the methods or policies used to establish estimates and assumptions. Other matters subject to estimation and judgment include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Lear Corporation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amounts related to accounts receivable realization, inventory obsolescence, asset impairments, useful lives of fixed and intangible assets and unsettled pricing negotiations with customers and suppliers (Note 2, "Summary of Significant Accounting Policies"), restructuring accruals (Note 3, "Restructuring"), deferred tax asset valuation allowances and income taxes (Note 7, "Income Taxes"), pension and other postretirement benefit plan assumptions (Note 8, "Pension and Other Postretirement Benefit Plans") and accruals related to legal, warranty and environmental matters (Note 12, "Legal and Other Contingencies"). Actual results may differ significantly from the Company's estimates.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Restructuring</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Charges recorded in connection with the Company's restructuring actions are shown below (in millions):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3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For the year ended December 31,</w:t>
            </w:r>
          </w:p>
        </w:tc>
        <w:tc>
          <w:tcPr>
            <w:tcW w:w="7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color w:val="auto"/>
              </w:rPr>
              <w:t>2025</w:t>
            </w:r>
          </w:p>
        </w:tc>
        <w:tc>
          <w:tcPr>
            <w:tcW w:w="38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color w:val="auto"/>
              </w:rPr>
              <w:t>2024</w:t>
            </w:r>
          </w:p>
        </w:tc>
        <w:tc>
          <w:tcPr>
            <w:tcW w:w="38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color w:val="auto"/>
              </w:rPr>
              <w:t>2023</w:t>
            </w:r>
          </w:p>
        </w:tc>
      </w:tr>
      <w:tr>
        <w:trPr>
          <w:trHeight w:val="230"/>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termination benefits</w:t>
            </w:r>
          </w:p>
        </w:tc>
        <w:tc>
          <w:tcPr>
            <w:tcW w:w="7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194.7</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129.0</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w:t>
            </w:r>
          </w:p>
        </w:tc>
      </w:tr>
      <w:tr>
        <w:trPr>
          <w:trHeight w:val="229"/>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 impairments</w:t>
            </w:r>
          </w:p>
        </w:tc>
        <w:tc>
          <w:tcPr>
            <w:tcW w:w="7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6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7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38.7</w:t>
            </w: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2.9</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30"/>
        </w:trPr>
        <w:tc>
          <w:tcPr>
            <w:tcW w:w="6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Right-of-use assets</w:t>
            </w:r>
          </w:p>
        </w:tc>
        <w:tc>
          <w:tcPr>
            <w:tcW w:w="720" w:type="dxa"/>
            <w:vAlign w:val="bottom"/>
          </w:tcPr>
          <w:p>
            <w:pPr>
              <w:spacing w:after="0"/>
              <w:rPr>
                <w:sz w:val="19"/>
                <w:szCs w:val="19"/>
                <w:color w:val="auto"/>
              </w:rPr>
            </w:pP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7.6</w:t>
            </w:r>
          </w:p>
        </w:tc>
        <w:tc>
          <w:tcPr>
            <w:tcW w:w="380" w:type="dxa"/>
            <w:vAlign w:val="bottom"/>
          </w:tcPr>
          <w:p>
            <w:pPr>
              <w:spacing w:after="0"/>
              <w:rPr>
                <w:sz w:val="19"/>
                <w:szCs w:val="19"/>
                <w:color w:val="auto"/>
              </w:rPr>
            </w:pP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2.3</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29"/>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termination costs</w:t>
            </w:r>
          </w:p>
        </w:tc>
        <w:tc>
          <w:tcPr>
            <w:tcW w:w="7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4.9</w:t>
            </w: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3.7</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29"/>
        </w:trPr>
        <w:tc>
          <w:tcPr>
            <w:tcW w:w="6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related net costs</w:t>
            </w:r>
          </w:p>
        </w:tc>
        <w:tc>
          <w:tcPr>
            <w:tcW w:w="7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7.2</w:t>
            </w: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1.0</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30"/>
        </w:trPr>
        <w:tc>
          <w:tcPr>
            <w:tcW w:w="638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253.1</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138.9</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w:t>
            </w:r>
          </w:p>
        </w:tc>
      </w:tr>
      <w:tr>
        <w:trPr>
          <w:trHeight w:val="419"/>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charges by income statement account are shown below (in millions):</w:t>
            </w:r>
          </w:p>
        </w:tc>
        <w:tc>
          <w:tcPr>
            <w:tcW w:w="7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42"/>
        </w:trPr>
        <w:tc>
          <w:tcPr>
            <w:tcW w:w="63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r>
      <w:tr>
        <w:trPr>
          <w:trHeight w:val="196"/>
        </w:trPr>
        <w:tc>
          <w:tcPr>
            <w:tcW w:w="6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For the year ended December 31,</w:t>
            </w:r>
          </w:p>
        </w:tc>
        <w:tc>
          <w:tcPr>
            <w:tcW w:w="7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color w:val="auto"/>
              </w:rPr>
              <w:t>2025</w:t>
            </w:r>
          </w:p>
        </w:tc>
        <w:tc>
          <w:tcPr>
            <w:tcW w:w="3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color w:val="auto"/>
              </w:rPr>
              <w:t>2024</w:t>
            </w:r>
          </w:p>
        </w:tc>
        <w:tc>
          <w:tcPr>
            <w:tcW w:w="3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color w:val="auto"/>
              </w:rPr>
              <w:t>2023</w:t>
            </w:r>
          </w:p>
        </w:tc>
      </w:tr>
      <w:tr>
        <w:trPr>
          <w:trHeight w:val="230"/>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7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224.9</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133.1</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w:t>
            </w:r>
          </w:p>
        </w:tc>
      </w:tr>
      <w:tr>
        <w:trPr>
          <w:trHeight w:val="229"/>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720" w:type="dxa"/>
            <w:vAlign w:val="bottom"/>
          </w:tcPr>
          <w:p>
            <w:pPr>
              <w:spacing w:after="0"/>
              <w:rPr>
                <w:sz w:val="19"/>
                <w:szCs w:val="19"/>
                <w:color w:val="auto"/>
              </w:rPr>
            </w:pP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31.0</w:t>
            </w:r>
          </w:p>
        </w:tc>
        <w:tc>
          <w:tcPr>
            <w:tcW w:w="380" w:type="dxa"/>
            <w:vAlign w:val="bottom"/>
          </w:tcPr>
          <w:p>
            <w:pPr>
              <w:spacing w:after="0"/>
              <w:rPr>
                <w:sz w:val="19"/>
                <w:szCs w:val="19"/>
                <w:color w:val="auto"/>
              </w:rPr>
            </w:pP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19.3</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r>
      <w:tr>
        <w:trPr>
          <w:trHeight w:val="230"/>
        </w:trPr>
        <w:tc>
          <w:tcPr>
            <w:tcW w:w="6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7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3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3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r>
      <w:tr>
        <w:trPr>
          <w:trHeight w:val="230"/>
        </w:trPr>
        <w:tc>
          <w:tcPr>
            <w:tcW w:w="63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253.1</w:t>
            </w:r>
          </w:p>
        </w:tc>
        <w:tc>
          <w:tcPr>
            <w:tcW w:w="3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138.9</w:t>
            </w:r>
          </w:p>
        </w:tc>
        <w:tc>
          <w:tcPr>
            <w:tcW w:w="3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132.7</w:t>
            </w:r>
          </w:p>
        </w:tc>
      </w:tr>
      <w:tr>
        <w:trPr>
          <w:trHeight w:val="405"/>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charges by operating segment are shown below (in millions):</w:t>
            </w:r>
          </w:p>
        </w:tc>
        <w:tc>
          <w:tcPr>
            <w:tcW w:w="7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42"/>
        </w:trPr>
        <w:tc>
          <w:tcPr>
            <w:tcW w:w="63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r>
      <w:tr>
        <w:trPr>
          <w:trHeight w:val="196"/>
        </w:trPr>
        <w:tc>
          <w:tcPr>
            <w:tcW w:w="6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For the year ended December 31,</w:t>
            </w:r>
          </w:p>
        </w:tc>
        <w:tc>
          <w:tcPr>
            <w:tcW w:w="7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color w:val="auto"/>
              </w:rPr>
              <w:t>2025</w:t>
            </w:r>
          </w:p>
        </w:tc>
        <w:tc>
          <w:tcPr>
            <w:tcW w:w="3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color w:val="auto"/>
              </w:rPr>
              <w:t>2024</w:t>
            </w:r>
          </w:p>
        </w:tc>
        <w:tc>
          <w:tcPr>
            <w:tcW w:w="3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color w:val="auto"/>
              </w:rPr>
              <w:t>2023</w:t>
            </w:r>
          </w:p>
        </w:tc>
      </w:tr>
      <w:tr>
        <w:trPr>
          <w:trHeight w:val="229"/>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Seating</w:t>
            </w:r>
          </w:p>
        </w:tc>
        <w:tc>
          <w:tcPr>
            <w:tcW w:w="7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146.1</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100.8</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w:t>
            </w:r>
          </w:p>
        </w:tc>
      </w:tr>
      <w:tr>
        <w:trPr>
          <w:trHeight w:val="230"/>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E-Systems</w:t>
            </w:r>
          </w:p>
        </w:tc>
        <w:tc>
          <w:tcPr>
            <w:tcW w:w="720" w:type="dxa"/>
            <w:vAlign w:val="bottom"/>
          </w:tcPr>
          <w:p>
            <w:pPr>
              <w:spacing w:after="0"/>
              <w:rPr>
                <w:sz w:val="19"/>
                <w:szCs w:val="19"/>
                <w:color w:val="auto"/>
              </w:rPr>
            </w:pP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98.3</w:t>
            </w:r>
          </w:p>
        </w:tc>
        <w:tc>
          <w:tcPr>
            <w:tcW w:w="380" w:type="dxa"/>
            <w:vAlign w:val="bottom"/>
          </w:tcPr>
          <w:p>
            <w:pPr>
              <w:spacing w:after="0"/>
              <w:rPr>
                <w:sz w:val="19"/>
                <w:szCs w:val="19"/>
                <w:color w:val="auto"/>
              </w:rPr>
            </w:pP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30.1</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r>
      <w:tr>
        <w:trPr>
          <w:trHeight w:val="230"/>
        </w:trPr>
        <w:tc>
          <w:tcPr>
            <w:tcW w:w="6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7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8.7</w:t>
            </w:r>
          </w:p>
        </w:tc>
        <w:tc>
          <w:tcPr>
            <w:tcW w:w="3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8.0</w:t>
            </w:r>
          </w:p>
        </w:tc>
        <w:tc>
          <w:tcPr>
            <w:tcW w:w="3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30"/>
        </w:trPr>
        <w:tc>
          <w:tcPr>
            <w:tcW w:w="63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253.1</w:t>
            </w:r>
          </w:p>
        </w:tc>
        <w:tc>
          <w:tcPr>
            <w:tcW w:w="3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138.9</w:t>
            </w:r>
          </w:p>
        </w:tc>
        <w:tc>
          <w:tcPr>
            <w:tcW w:w="3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132.7</w:t>
            </w:r>
          </w:p>
        </w:tc>
      </w:tr>
    </w:tbl>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expects to incur approximately $23 million and approximately $13 million of additional restructuring charges in its Seating and E-Systems segments, respectively, related to activities initiated as of December 31, 2025, and expects that the components of such costs will be consistent with its historical experience.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changes in the Company's restructuring reserves is shown below (in millions):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160" w:type="dxa"/>
            <w:vAlign w:val="bottom"/>
            <w:tcBorders>
              <w:top w:val="single" w:sz="8" w:color="auto"/>
              <w:bottom w:val="single" w:sz="8" w:color="auto"/>
            </w:tcBorders>
          </w:tcPr>
          <w:p>
            <w:pPr>
              <w:spacing w:after="0"/>
              <w:rPr>
                <w:sz w:val="19"/>
                <w:szCs w:val="19"/>
                <w:color w:val="auto"/>
              </w:rPr>
            </w:pPr>
          </w:p>
        </w:tc>
        <w:tc>
          <w:tcPr>
            <w:tcW w:w="2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2025</w:t>
            </w:r>
          </w:p>
        </w:tc>
        <w:tc>
          <w:tcPr>
            <w:tcW w:w="60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color w:val="auto"/>
              </w:rPr>
              <w:t>2024</w:t>
            </w:r>
          </w:p>
        </w:tc>
      </w:tr>
      <w:tr>
        <w:trPr>
          <w:trHeight w:val="22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January 1,</w:t>
            </w:r>
          </w:p>
        </w:tc>
        <w:tc>
          <w:tcPr>
            <w:tcW w:w="248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100.0</w:t>
            </w:r>
          </w:p>
        </w:tc>
        <w:tc>
          <w:tcPr>
            <w:tcW w:w="4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center"/>
              <w:ind w:left="454"/>
              <w:spacing w:after="0"/>
              <w:rPr>
                <w:sz w:val="20"/>
                <w:szCs w:val="20"/>
                <w:color w:val="auto"/>
              </w:rPr>
            </w:pPr>
            <w:r>
              <w:rPr>
                <w:rFonts w:ascii="Times New Roman" w:cs="Times New Roman" w:eastAsia="Times New Roman" w:hAnsi="Times New Roman"/>
                <w:sz w:val="18"/>
                <w:szCs w:val="18"/>
                <w:color w:val="auto"/>
                <w:w w:val="98"/>
              </w:rPr>
              <w:t>121.6</w:t>
            </w:r>
          </w:p>
        </w:tc>
      </w:tr>
      <w:tr>
        <w:trPr>
          <w:trHeight w:val="230"/>
        </w:trPr>
        <w:tc>
          <w:tcPr>
            <w:tcW w:w="5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Provision for employee termination benefits</w:t>
            </w:r>
          </w:p>
        </w:tc>
        <w:tc>
          <w:tcPr>
            <w:tcW w:w="2480" w:type="dxa"/>
            <w:vAlign w:val="bottom"/>
          </w:tcPr>
          <w:p>
            <w:pPr>
              <w:spacing w:after="0"/>
              <w:rPr>
                <w:sz w:val="19"/>
                <w:szCs w:val="19"/>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194.7</w:t>
            </w:r>
          </w:p>
        </w:tc>
        <w:tc>
          <w:tcPr>
            <w:tcW w:w="400" w:type="dxa"/>
            <w:vAlign w:val="bottom"/>
          </w:tcPr>
          <w:p>
            <w:pPr>
              <w:spacing w:after="0"/>
              <w:rPr>
                <w:sz w:val="19"/>
                <w:szCs w:val="19"/>
                <w:color w:val="auto"/>
              </w:rPr>
            </w:pPr>
          </w:p>
        </w:tc>
        <w:tc>
          <w:tcPr>
            <w:tcW w:w="1100" w:type="dxa"/>
            <w:vAlign w:val="bottom"/>
          </w:tcPr>
          <w:p>
            <w:pPr>
              <w:jc w:val="center"/>
              <w:ind w:left="454"/>
              <w:spacing w:after="0"/>
              <w:rPr>
                <w:sz w:val="20"/>
                <w:szCs w:val="20"/>
                <w:color w:val="auto"/>
              </w:rPr>
            </w:pPr>
            <w:r>
              <w:rPr>
                <w:rFonts w:ascii="Times New Roman" w:cs="Times New Roman" w:eastAsia="Times New Roman" w:hAnsi="Times New Roman"/>
                <w:sz w:val="18"/>
                <w:szCs w:val="18"/>
                <w:color w:val="auto"/>
                <w:w w:val="98"/>
              </w:rPr>
              <w:t>129.0</w:t>
            </w:r>
          </w:p>
        </w:tc>
      </w:tr>
      <w:tr>
        <w:trPr>
          <w:trHeight w:val="230"/>
        </w:trPr>
        <w:tc>
          <w:tcPr>
            <w:tcW w:w="516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Payments, utilizations and foreign currency</w:t>
            </w:r>
          </w:p>
        </w:tc>
        <w:tc>
          <w:tcPr>
            <w:tcW w:w="24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(203.7)</w:t>
            </w:r>
          </w:p>
        </w:tc>
        <w:tc>
          <w:tcPr>
            <w:tcW w:w="4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center"/>
              <w:ind w:left="434"/>
              <w:spacing w:after="0"/>
              <w:rPr>
                <w:sz w:val="20"/>
                <w:szCs w:val="20"/>
                <w:color w:val="auto"/>
              </w:rPr>
            </w:pPr>
            <w:r>
              <w:rPr>
                <w:rFonts w:ascii="Times New Roman" w:cs="Times New Roman" w:eastAsia="Times New Roman" w:hAnsi="Times New Roman"/>
                <w:sz w:val="18"/>
                <w:szCs w:val="18"/>
                <w:color w:val="auto"/>
              </w:rPr>
              <w:t>(150.6)</w:t>
            </w:r>
          </w:p>
        </w:tc>
      </w:tr>
      <w:tr>
        <w:trPr>
          <w:trHeight w:val="230"/>
        </w:trPr>
        <w:tc>
          <w:tcPr>
            <w:tcW w:w="5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Balance as of December 31,</w:t>
            </w:r>
          </w:p>
        </w:tc>
        <w:tc>
          <w:tcPr>
            <w:tcW w:w="248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91.0</w:t>
            </w:r>
          </w:p>
        </w:tc>
        <w:tc>
          <w:tcPr>
            <w:tcW w:w="4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center"/>
              <w:ind w:left="454"/>
              <w:spacing w:after="0"/>
              <w:rPr>
                <w:sz w:val="20"/>
                <w:szCs w:val="20"/>
                <w:color w:val="auto"/>
              </w:rPr>
            </w:pPr>
            <w:r>
              <w:rPr>
                <w:rFonts w:ascii="Times New Roman" w:cs="Times New Roman" w:eastAsia="Times New Roman" w:hAnsi="Times New Roman"/>
                <w:sz w:val="18"/>
                <w:szCs w:val="18"/>
                <w:color w:val="auto"/>
                <w:w w:val="98"/>
              </w:rPr>
              <w:t>100.0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Lear Corporation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Investments in Affiliates and Other Related Party Transactions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beneficial ownership in affiliates accounted for under the equity method is shown below:</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2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December 31,</w:t>
            </w:r>
          </w:p>
        </w:tc>
        <w:tc>
          <w:tcPr>
            <w:tcW w:w="1960" w:type="dxa"/>
            <w:vAlign w:val="bottom"/>
            <w:tcBorders>
              <w:top w:val="single" w:sz="8" w:color="auto"/>
              <w:bottom w:val="single" w:sz="8" w:color="auto"/>
            </w:tcBorders>
          </w:tcPr>
          <w:p>
            <w:pPr>
              <w:jc w:val="center"/>
              <w:ind w:left="331"/>
              <w:spacing w:after="0"/>
              <w:rPr>
                <w:sz w:val="20"/>
                <w:szCs w:val="20"/>
                <w:color w:val="auto"/>
              </w:rPr>
            </w:pPr>
            <w:r>
              <w:rPr>
                <w:rFonts w:ascii="Times New Roman" w:cs="Times New Roman" w:eastAsia="Times New Roman" w:hAnsi="Times New Roman"/>
                <w:sz w:val="14"/>
                <w:szCs w:val="14"/>
                <w:color w:val="auto"/>
              </w:rPr>
              <w:t>2025</w:t>
            </w:r>
          </w:p>
        </w:tc>
        <w:tc>
          <w:tcPr>
            <w:tcW w:w="15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2024</w:t>
            </w:r>
          </w:p>
        </w:tc>
        <w:tc>
          <w:tcPr>
            <w:tcW w:w="14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2023</w:t>
            </w:r>
          </w:p>
        </w:tc>
      </w:tr>
      <w:tr>
        <w:trPr>
          <w:trHeight w:val="229"/>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Beijing BHAP Lear Automotive Systems Co., Ltd. (China)</w:t>
            </w:r>
          </w:p>
        </w:tc>
        <w:tc>
          <w:tcPr>
            <w:tcW w:w="1960" w:type="dxa"/>
            <w:vAlign w:val="bottom"/>
            <w:shd w:val="clear" w:color="auto" w:fill="CCEEFF"/>
          </w:tcPr>
          <w:p>
            <w:pPr>
              <w:jc w:val="center"/>
              <w:ind w:left="331"/>
              <w:spacing w:after="0"/>
              <w:rPr>
                <w:sz w:val="20"/>
                <w:szCs w:val="20"/>
                <w:color w:val="auto"/>
              </w:rPr>
            </w:pPr>
            <w:r>
              <w:rPr>
                <w:rFonts w:ascii="Times New Roman" w:cs="Times New Roman" w:eastAsia="Times New Roman" w:hAnsi="Times New Roman"/>
                <w:sz w:val="18"/>
                <w:szCs w:val="18"/>
                <w:color w:val="auto"/>
              </w:rPr>
              <w:t>50%</w:t>
            </w: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50%</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50%</w:t>
            </w:r>
          </w:p>
        </w:tc>
      </w:tr>
      <w:tr>
        <w:trPr>
          <w:trHeight w:val="230"/>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Guangzhou Lear Automotive Components Co., Ltd. (China)</w:t>
            </w:r>
          </w:p>
        </w:tc>
        <w:tc>
          <w:tcPr>
            <w:tcW w:w="1960" w:type="dxa"/>
            <w:vAlign w:val="bottom"/>
          </w:tcPr>
          <w:p>
            <w:pPr>
              <w:jc w:val="center"/>
              <w:ind w:left="331"/>
              <w:spacing w:after="0"/>
              <w:rPr>
                <w:sz w:val="20"/>
                <w:szCs w:val="20"/>
                <w:color w:val="auto"/>
              </w:rPr>
            </w:pPr>
            <w:r>
              <w:rPr>
                <w:rFonts w:ascii="Times New Roman" w:cs="Times New Roman" w:eastAsia="Times New Roman" w:hAnsi="Times New Roman"/>
                <w:sz w:val="18"/>
                <w:szCs w:val="18"/>
                <w:color w:val="auto"/>
                <w:w w:val="99"/>
              </w:rPr>
              <w:t>50</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r>
      <w:tr>
        <w:trPr>
          <w:trHeight w:val="229"/>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Jiangxi Jiangling Lear Interior Systems Co., Ltd. (China)</w:t>
            </w:r>
          </w:p>
        </w:tc>
        <w:tc>
          <w:tcPr>
            <w:tcW w:w="1960" w:type="dxa"/>
            <w:vAlign w:val="bottom"/>
            <w:shd w:val="clear" w:color="auto" w:fill="CCEEFF"/>
          </w:tcPr>
          <w:p>
            <w:pPr>
              <w:jc w:val="center"/>
              <w:ind w:left="331"/>
              <w:spacing w:after="0"/>
              <w:rPr>
                <w:sz w:val="20"/>
                <w:szCs w:val="20"/>
                <w:color w:val="auto"/>
              </w:rPr>
            </w:pPr>
            <w:r>
              <w:rPr>
                <w:rFonts w:ascii="Times New Roman" w:cs="Times New Roman" w:eastAsia="Times New Roman" w:hAnsi="Times New Roman"/>
                <w:sz w:val="18"/>
                <w:szCs w:val="18"/>
                <w:color w:val="auto"/>
                <w:w w:val="99"/>
              </w:rPr>
              <w:t>50</w:t>
            </w: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r>
      <w:tr>
        <w:trPr>
          <w:trHeight w:val="229"/>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Lear Dongfeng Automotive Seating Co., Ltd. (China)</w:t>
            </w:r>
          </w:p>
        </w:tc>
        <w:tc>
          <w:tcPr>
            <w:tcW w:w="1960" w:type="dxa"/>
            <w:vAlign w:val="bottom"/>
          </w:tcPr>
          <w:p>
            <w:pPr>
              <w:jc w:val="center"/>
              <w:ind w:left="331"/>
              <w:spacing w:after="0"/>
              <w:rPr>
                <w:sz w:val="20"/>
                <w:szCs w:val="20"/>
                <w:color w:val="auto"/>
              </w:rPr>
            </w:pPr>
            <w:r>
              <w:rPr>
                <w:rFonts w:ascii="Times New Roman" w:cs="Times New Roman" w:eastAsia="Times New Roman" w:hAnsi="Times New Roman"/>
                <w:sz w:val="18"/>
                <w:szCs w:val="18"/>
                <w:color w:val="auto"/>
                <w:w w:val="99"/>
              </w:rPr>
              <w:t>50</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r>
      <w:tr>
        <w:trPr>
          <w:trHeight w:val="257"/>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Beijing Lear Hyundai Transys Co., Ltd. (China)</w:t>
            </w:r>
          </w:p>
        </w:tc>
        <w:tc>
          <w:tcPr>
            <w:tcW w:w="1960" w:type="dxa"/>
            <w:vAlign w:val="bottom"/>
            <w:shd w:val="clear" w:color="auto" w:fill="CCEEFF"/>
          </w:tcPr>
          <w:p>
            <w:pPr>
              <w:jc w:val="center"/>
              <w:ind w:left="331"/>
              <w:spacing w:after="0"/>
              <w:rPr>
                <w:sz w:val="20"/>
                <w:szCs w:val="20"/>
                <w:color w:val="auto"/>
              </w:rPr>
            </w:pPr>
            <w:r>
              <w:rPr>
                <w:rFonts w:ascii="Times New Roman" w:cs="Times New Roman" w:eastAsia="Times New Roman" w:hAnsi="Times New Roman"/>
                <w:sz w:val="18"/>
                <w:szCs w:val="18"/>
                <w:color w:val="auto"/>
                <w:w w:val="99"/>
              </w:rPr>
              <w:t>50</w:t>
            </w: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r>
      <w:tr>
        <w:trPr>
          <w:trHeight w:val="229"/>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Changchun Lear FAWSN Automotive Seat Systems Co., Ltd. (China)</w:t>
            </w:r>
          </w:p>
        </w:tc>
        <w:tc>
          <w:tcPr>
            <w:tcW w:w="1960" w:type="dxa"/>
            <w:vAlign w:val="bottom"/>
          </w:tcPr>
          <w:p>
            <w:pPr>
              <w:jc w:val="center"/>
              <w:ind w:left="331"/>
              <w:spacing w:after="0"/>
              <w:rPr>
                <w:sz w:val="20"/>
                <w:szCs w:val="20"/>
                <w:color w:val="auto"/>
              </w:rPr>
            </w:pPr>
            <w:r>
              <w:rPr>
                <w:rFonts w:ascii="Times New Roman" w:cs="Times New Roman" w:eastAsia="Times New Roman" w:hAnsi="Times New Roman"/>
                <w:sz w:val="18"/>
                <w:szCs w:val="18"/>
                <w:color w:val="auto"/>
                <w:w w:val="99"/>
              </w:rPr>
              <w:t>49</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r>
      <w:tr>
        <w:trPr>
          <w:trHeight w:val="230"/>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Honduras Electrical Distribution Systems S. de R.L. de C.V. (Honduras)</w:t>
            </w:r>
          </w:p>
        </w:tc>
        <w:tc>
          <w:tcPr>
            <w:tcW w:w="1960" w:type="dxa"/>
            <w:vAlign w:val="bottom"/>
            <w:shd w:val="clear" w:color="auto" w:fill="CCEEFF"/>
          </w:tcPr>
          <w:p>
            <w:pPr>
              <w:jc w:val="center"/>
              <w:ind w:left="331"/>
              <w:spacing w:after="0"/>
              <w:rPr>
                <w:sz w:val="20"/>
                <w:szCs w:val="20"/>
                <w:color w:val="auto"/>
              </w:rPr>
            </w:pPr>
            <w:r>
              <w:rPr>
                <w:rFonts w:ascii="Times New Roman" w:cs="Times New Roman" w:eastAsia="Times New Roman" w:hAnsi="Times New Roman"/>
                <w:sz w:val="18"/>
                <w:szCs w:val="18"/>
                <w:color w:val="auto"/>
                <w:w w:val="99"/>
              </w:rPr>
              <w:t>49</w:t>
            </w: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r>
      <w:tr>
        <w:trPr>
          <w:trHeight w:val="229"/>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Kyungshin-Lear Sales and Engineering LLC</w:t>
            </w:r>
          </w:p>
        </w:tc>
        <w:tc>
          <w:tcPr>
            <w:tcW w:w="1960" w:type="dxa"/>
            <w:vAlign w:val="bottom"/>
          </w:tcPr>
          <w:p>
            <w:pPr>
              <w:jc w:val="center"/>
              <w:ind w:left="331"/>
              <w:spacing w:after="0"/>
              <w:rPr>
                <w:sz w:val="20"/>
                <w:szCs w:val="20"/>
                <w:color w:val="auto"/>
              </w:rPr>
            </w:pPr>
            <w:r>
              <w:rPr>
                <w:rFonts w:ascii="Times New Roman" w:cs="Times New Roman" w:eastAsia="Times New Roman" w:hAnsi="Times New Roman"/>
                <w:sz w:val="18"/>
                <w:szCs w:val="18"/>
                <w:color w:val="auto"/>
                <w:w w:val="99"/>
              </w:rPr>
              <w:t>49</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r>
      <w:tr>
        <w:trPr>
          <w:trHeight w:val="230"/>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Shenyang Jinbei Lear Automotive Seating Co. Ltd. (China)</w:t>
            </w:r>
          </w:p>
        </w:tc>
        <w:tc>
          <w:tcPr>
            <w:tcW w:w="1960" w:type="dxa"/>
            <w:vAlign w:val="bottom"/>
            <w:shd w:val="clear" w:color="auto" w:fill="CCEEFF"/>
          </w:tcPr>
          <w:p>
            <w:pPr>
              <w:jc w:val="center"/>
              <w:ind w:left="331"/>
              <w:spacing w:after="0"/>
              <w:rPr>
                <w:sz w:val="20"/>
                <w:szCs w:val="20"/>
                <w:color w:val="auto"/>
              </w:rPr>
            </w:pPr>
            <w:r>
              <w:rPr>
                <w:rFonts w:ascii="Times New Roman" w:cs="Times New Roman" w:eastAsia="Times New Roman" w:hAnsi="Times New Roman"/>
                <w:sz w:val="18"/>
                <w:szCs w:val="18"/>
                <w:color w:val="auto"/>
                <w:w w:val="99"/>
              </w:rPr>
              <w:t>49</w:t>
            </w: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r>
      <w:tr>
        <w:trPr>
          <w:trHeight w:val="229"/>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Hyundai Transys Lear Automotive India Private Limited (India)</w:t>
            </w:r>
          </w:p>
        </w:tc>
        <w:tc>
          <w:tcPr>
            <w:tcW w:w="1960" w:type="dxa"/>
            <w:vAlign w:val="bottom"/>
          </w:tcPr>
          <w:p>
            <w:pPr>
              <w:jc w:val="center"/>
              <w:ind w:left="331"/>
              <w:spacing w:after="0"/>
              <w:rPr>
                <w:sz w:val="20"/>
                <w:szCs w:val="20"/>
                <w:color w:val="auto"/>
              </w:rPr>
            </w:pPr>
            <w:r>
              <w:rPr>
                <w:rFonts w:ascii="Times New Roman" w:cs="Times New Roman" w:eastAsia="Times New Roman" w:hAnsi="Times New Roman"/>
                <w:sz w:val="18"/>
                <w:szCs w:val="18"/>
                <w:color w:val="auto"/>
                <w:w w:val="99"/>
              </w:rPr>
              <w:t>35</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35</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35</w:t>
            </w:r>
          </w:p>
        </w:tc>
      </w:tr>
      <w:tr>
        <w:trPr>
          <w:trHeight w:val="229"/>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RevoLaze, LLC</w:t>
            </w:r>
          </w:p>
        </w:tc>
        <w:tc>
          <w:tcPr>
            <w:tcW w:w="1960" w:type="dxa"/>
            <w:vAlign w:val="bottom"/>
            <w:shd w:val="clear" w:color="auto" w:fill="CCEEFF"/>
          </w:tcPr>
          <w:p>
            <w:pPr>
              <w:jc w:val="center"/>
              <w:ind w:left="331"/>
              <w:spacing w:after="0"/>
              <w:rPr>
                <w:sz w:val="20"/>
                <w:szCs w:val="20"/>
                <w:color w:val="auto"/>
              </w:rPr>
            </w:pPr>
            <w:r>
              <w:rPr>
                <w:rFonts w:ascii="Times New Roman" w:cs="Times New Roman" w:eastAsia="Times New Roman" w:hAnsi="Times New Roman"/>
                <w:sz w:val="18"/>
                <w:szCs w:val="18"/>
                <w:color w:val="auto"/>
                <w:w w:val="99"/>
              </w:rPr>
              <w:t>20</w:t>
            </w: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r>
      <w:tr>
        <w:trPr>
          <w:trHeight w:val="230"/>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Trucks Venture Fund 2, L.P.</w:t>
            </w:r>
          </w:p>
        </w:tc>
        <w:tc>
          <w:tcPr>
            <w:tcW w:w="1960" w:type="dxa"/>
            <w:vAlign w:val="bottom"/>
          </w:tcPr>
          <w:p>
            <w:pPr>
              <w:jc w:val="center"/>
              <w:ind w:left="331"/>
              <w:spacing w:after="0"/>
              <w:rPr>
                <w:sz w:val="20"/>
                <w:szCs w:val="20"/>
                <w:color w:val="auto"/>
              </w:rPr>
            </w:pPr>
            <w:r>
              <w:rPr>
                <w:rFonts w:ascii="Times New Roman" w:cs="Times New Roman" w:eastAsia="Times New Roman" w:hAnsi="Times New Roman"/>
                <w:sz w:val="18"/>
                <w:szCs w:val="18"/>
                <w:color w:val="auto"/>
              </w:rPr>
              <w:t>8</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7</w:t>
            </w:r>
          </w:p>
        </w:tc>
      </w:tr>
      <w:tr>
        <w:trPr>
          <w:trHeight w:val="229"/>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Maniv Mobility II A, L.P.</w:t>
            </w:r>
          </w:p>
        </w:tc>
        <w:tc>
          <w:tcPr>
            <w:tcW w:w="1960" w:type="dxa"/>
            <w:vAlign w:val="bottom"/>
            <w:shd w:val="clear" w:color="auto" w:fill="CCEEFF"/>
          </w:tcPr>
          <w:p>
            <w:pPr>
              <w:jc w:val="center"/>
              <w:ind w:left="331"/>
              <w:spacing w:after="0"/>
              <w:rPr>
                <w:sz w:val="20"/>
                <w:szCs w:val="20"/>
                <w:color w:val="auto"/>
              </w:rPr>
            </w:pPr>
            <w:r>
              <w:rPr>
                <w:rFonts w:ascii="Times New Roman" w:cs="Times New Roman" w:eastAsia="Times New Roman" w:hAnsi="Times New Roman"/>
                <w:sz w:val="18"/>
                <w:szCs w:val="18"/>
                <w:color w:val="auto"/>
              </w:rPr>
              <w:t>7</w:t>
            </w: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7</w:t>
            </w:r>
          </w:p>
        </w:tc>
      </w:tr>
      <w:tr>
        <w:trPr>
          <w:trHeight w:val="229"/>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Autotech Fund II, L.P.</w:t>
            </w:r>
          </w:p>
        </w:tc>
        <w:tc>
          <w:tcPr>
            <w:tcW w:w="1960" w:type="dxa"/>
            <w:vAlign w:val="bottom"/>
          </w:tcPr>
          <w:p>
            <w:pPr>
              <w:jc w:val="center"/>
              <w:ind w:left="331"/>
              <w:spacing w:after="0"/>
              <w:rPr>
                <w:sz w:val="20"/>
                <w:szCs w:val="20"/>
                <w:color w:val="auto"/>
              </w:rPr>
            </w:pPr>
            <w:r>
              <w:rPr>
                <w:rFonts w:ascii="Times New Roman" w:cs="Times New Roman" w:eastAsia="Times New Roman" w:hAnsi="Times New Roman"/>
                <w:sz w:val="18"/>
                <w:szCs w:val="18"/>
                <w:color w:val="auto"/>
              </w:rPr>
              <w:t>3</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r>
      <w:tr>
        <w:trPr>
          <w:trHeight w:val="230"/>
        </w:trPr>
        <w:tc>
          <w:tcPr>
            <w:tcW w:w="6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Shenzhen Shinry Lear Electric Control Technology Co., Ltd. (China)</w:t>
            </w:r>
          </w:p>
        </w:tc>
        <w:tc>
          <w:tcPr>
            <w:tcW w:w="1960" w:type="dxa"/>
            <w:vAlign w:val="bottom"/>
            <w:tcBorders>
              <w:bottom w:val="single" w:sz="8" w:color="auto"/>
            </w:tcBorders>
            <w:shd w:val="clear" w:color="auto" w:fill="CCEEFF"/>
          </w:tcPr>
          <w:p>
            <w:pPr>
              <w:jc w:val="center"/>
              <w:ind w:left="331"/>
              <w:spacing w:after="0"/>
              <w:rPr>
                <w:sz w:val="20"/>
                <w:szCs w:val="20"/>
                <w:color w:val="auto"/>
              </w:rPr>
            </w:pPr>
            <w:r>
              <w:rPr>
                <w:rFonts w:ascii="Times New Roman" w:cs="Times New Roman" w:eastAsia="Times New Roman" w:hAnsi="Times New Roman"/>
                <w:sz w:val="18"/>
                <w:szCs w:val="18"/>
                <w:color w:val="auto"/>
                <w:w w:val="99"/>
              </w:rPr>
              <w:t>—</w:t>
            </w:r>
          </w:p>
        </w:tc>
        <w:tc>
          <w:tcPr>
            <w:tcW w:w="15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Summarized group financial information for affiliates accounted for under the equity method as of December 31, 2025 and 2024, and for the years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 2024 and 2023, is shown below (unaudited; in millions):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0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December 31,</w:t>
            </w:r>
          </w:p>
        </w:tc>
        <w:tc>
          <w:tcPr>
            <w:tcW w:w="20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color w:val="auto"/>
              </w:rPr>
              <w:t>2025</w:t>
            </w:r>
          </w:p>
        </w:tc>
        <w:tc>
          <w:tcPr>
            <w:tcW w:w="4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color w:val="auto"/>
              </w:rPr>
              <w:t>2024</w:t>
            </w:r>
          </w:p>
        </w:tc>
      </w:tr>
      <w:tr>
        <w:trPr>
          <w:trHeight w:val="23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sheet data:</w:t>
            </w:r>
          </w:p>
        </w:tc>
        <w:tc>
          <w:tcPr>
            <w:tcW w:w="20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5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assets</w:t>
            </w:r>
          </w:p>
        </w:tc>
        <w:tc>
          <w:tcPr>
            <w:tcW w:w="20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1,985.4</w:t>
            </w:r>
          </w:p>
        </w:tc>
        <w:tc>
          <w:tcPr>
            <w:tcW w:w="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1,673.8</w:t>
            </w:r>
          </w:p>
        </w:tc>
      </w:tr>
      <w:tr>
        <w:trPr>
          <w:trHeight w:val="230"/>
        </w:trPr>
        <w:tc>
          <w:tcPr>
            <w:tcW w:w="5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Non-current assets</w:t>
            </w:r>
          </w:p>
        </w:tc>
        <w:tc>
          <w:tcPr>
            <w:tcW w:w="20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292.7</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263.6</w:t>
            </w:r>
          </w:p>
        </w:tc>
      </w:tr>
      <w:tr>
        <w:trPr>
          <w:trHeight w:val="230"/>
        </w:trPr>
        <w:tc>
          <w:tcPr>
            <w:tcW w:w="5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liabilities</w:t>
            </w:r>
          </w:p>
        </w:tc>
        <w:tc>
          <w:tcPr>
            <w:tcW w:w="20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1,541.4</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1,280.1</w:t>
            </w:r>
          </w:p>
        </w:tc>
      </w:tr>
      <w:tr>
        <w:trPr>
          <w:trHeight w:val="236"/>
        </w:trPr>
        <w:tc>
          <w:tcPr>
            <w:tcW w:w="504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Non-current liabilities</w:t>
            </w:r>
          </w:p>
        </w:tc>
        <w:tc>
          <w:tcPr>
            <w:tcW w:w="20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25.7</w:t>
            </w:r>
          </w:p>
        </w:tc>
        <w:tc>
          <w:tcPr>
            <w:tcW w:w="4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331"/>
        </w:trPr>
        <w:tc>
          <w:tcPr>
            <w:tcW w:w="504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r>
        <w:trPr>
          <w:trHeight w:val="196"/>
        </w:trPr>
        <w:tc>
          <w:tcPr>
            <w:tcW w:w="5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For the year ended December 31,</w:t>
            </w:r>
          </w:p>
        </w:tc>
        <w:tc>
          <w:tcPr>
            <w:tcW w:w="20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color w:val="auto"/>
              </w:rPr>
              <w:t>2025</w:t>
            </w:r>
          </w:p>
        </w:tc>
        <w:tc>
          <w:tcPr>
            <w:tcW w:w="4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color w:val="auto"/>
              </w:rPr>
              <w:t>2024</w:t>
            </w:r>
          </w:p>
        </w:tc>
        <w:tc>
          <w:tcPr>
            <w:tcW w:w="4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color w:val="auto"/>
              </w:rPr>
              <w:t>2023</w:t>
            </w:r>
          </w:p>
        </w:tc>
      </w:tr>
      <w:tr>
        <w:trPr>
          <w:trHeight w:val="23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statement data:</w:t>
            </w:r>
          </w:p>
        </w:tc>
        <w:tc>
          <w:tcPr>
            <w:tcW w:w="20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5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sales</w:t>
            </w:r>
          </w:p>
        </w:tc>
        <w:tc>
          <w:tcPr>
            <w:tcW w:w="20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3,007.0</w:t>
            </w:r>
          </w:p>
        </w:tc>
        <w:tc>
          <w:tcPr>
            <w:tcW w:w="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2,980.3</w:t>
            </w:r>
          </w:p>
        </w:tc>
        <w:tc>
          <w:tcPr>
            <w:tcW w:w="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2,676.9</w:t>
            </w:r>
          </w:p>
        </w:tc>
      </w:tr>
      <w:tr>
        <w:trPr>
          <w:trHeight w:val="230"/>
        </w:trPr>
        <w:tc>
          <w:tcPr>
            <w:tcW w:w="5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profit</w:t>
            </w:r>
          </w:p>
        </w:tc>
        <w:tc>
          <w:tcPr>
            <w:tcW w:w="20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145.6</w:t>
            </w: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163.9</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149.7</w:t>
            </w:r>
          </w:p>
        </w:tc>
      </w:tr>
      <w:tr>
        <w:trPr>
          <w:trHeight w:val="230"/>
        </w:trPr>
        <w:tc>
          <w:tcPr>
            <w:tcW w:w="5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20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152.9</w:t>
            </w:r>
          </w:p>
        </w:tc>
        <w:tc>
          <w:tcPr>
            <w:tcW w:w="420" w:type="dxa"/>
            <w:vAlign w:val="bottom"/>
          </w:tcPr>
          <w:p>
            <w:pPr>
              <w:spacing w:after="0"/>
              <w:rPr>
                <w:sz w:val="19"/>
                <w:szCs w:val="19"/>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152.0</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116.7</w:t>
            </w:r>
          </w:p>
        </w:tc>
      </w:tr>
      <w:tr>
        <w:trPr>
          <w:trHeight w:val="236"/>
        </w:trPr>
        <w:tc>
          <w:tcPr>
            <w:tcW w:w="504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 attributable to affiliates</w:t>
            </w:r>
          </w:p>
        </w:tc>
        <w:tc>
          <w:tcPr>
            <w:tcW w:w="20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w:t>
            </w:r>
          </w:p>
        </w:tc>
        <w:tc>
          <w:tcPr>
            <w:tcW w:w="4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116.8</w:t>
            </w:r>
          </w:p>
        </w:tc>
        <w:tc>
          <w:tcPr>
            <w:tcW w:w="4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w:t>
            </w:r>
          </w:p>
        </w:tc>
      </w:tr>
      <w:tr>
        <w:trPr>
          <w:trHeight w:val="419"/>
        </w:trPr>
        <w:tc>
          <w:tcPr>
            <w:tcW w:w="97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 summary of amounts recorded in the Company's consolidated balance sheets related to its affiliates is shown below (in millions):</w:t>
            </w: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42"/>
        </w:trPr>
        <w:tc>
          <w:tcPr>
            <w:tcW w:w="5040" w:type="dxa"/>
            <w:vAlign w:val="bottom"/>
            <w:tcBorders>
              <w:bottom w:val="single" w:sz="8" w:color="auto"/>
            </w:tcBorders>
          </w:tcPr>
          <w:p>
            <w:pPr>
              <w:spacing w:after="0"/>
              <w:rPr>
                <w:sz w:val="12"/>
                <w:szCs w:val="12"/>
                <w:color w:val="auto"/>
              </w:rPr>
            </w:pPr>
          </w:p>
        </w:tc>
        <w:tc>
          <w:tcPr>
            <w:tcW w:w="20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r>
      <w:tr>
        <w:trPr>
          <w:trHeight w:val="196"/>
        </w:trPr>
        <w:tc>
          <w:tcPr>
            <w:tcW w:w="5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December 31,</w:t>
            </w:r>
          </w:p>
        </w:tc>
        <w:tc>
          <w:tcPr>
            <w:tcW w:w="20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color w:val="auto"/>
              </w:rPr>
              <w:t>2025</w:t>
            </w:r>
          </w:p>
        </w:tc>
        <w:tc>
          <w:tcPr>
            <w:tcW w:w="4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color w:val="auto"/>
              </w:rPr>
              <w:t>2024</w:t>
            </w:r>
          </w:p>
        </w:tc>
      </w:tr>
      <w:tr>
        <w:trPr>
          <w:trHeight w:val="23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Aggregate investment in affiliates</w:t>
            </w:r>
          </w:p>
        </w:tc>
        <w:tc>
          <w:tcPr>
            <w:tcW w:w="20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232.4</w:t>
            </w:r>
          </w:p>
        </w:tc>
        <w:tc>
          <w:tcPr>
            <w:tcW w:w="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220.5</w:t>
            </w:r>
          </w:p>
        </w:tc>
      </w:tr>
      <w:tr>
        <w:trPr>
          <w:trHeight w:val="229"/>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Receivables due from affiliates (including notes and advances)</w:t>
            </w:r>
          </w:p>
        </w:tc>
        <w:tc>
          <w:tcPr>
            <w:tcW w:w="20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199.1</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210.2</w:t>
            </w:r>
          </w:p>
        </w:tc>
      </w:tr>
      <w:tr>
        <w:trPr>
          <w:trHeight w:val="237"/>
        </w:trPr>
        <w:tc>
          <w:tcPr>
            <w:tcW w:w="50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Payables due to affiliates</w:t>
            </w:r>
          </w:p>
        </w:tc>
        <w:tc>
          <w:tcPr>
            <w:tcW w:w="20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3.7</w:t>
            </w:r>
          </w:p>
        </w:tc>
        <w:tc>
          <w:tcPr>
            <w:tcW w:w="4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904"/>
        </w:trPr>
        <w:tc>
          <w:tcPr>
            <w:tcW w:w="5040" w:type="dxa"/>
            <w:vAlign w:val="bottom"/>
          </w:tcPr>
          <w:p>
            <w:pPr>
              <w:spacing w:after="0"/>
              <w:rPr>
                <w:sz w:val="24"/>
                <w:szCs w:val="24"/>
                <w:color w:val="auto"/>
              </w:rPr>
            </w:pPr>
          </w:p>
        </w:tc>
        <w:tc>
          <w:tcPr>
            <w:tcW w:w="2040" w:type="dxa"/>
            <w:vAlign w:val="bottom"/>
          </w:tcPr>
          <w:p>
            <w:pPr>
              <w:jc w:val="right"/>
              <w:ind w:right="1270"/>
              <w:spacing w:after="0"/>
              <w:rPr>
                <w:sz w:val="20"/>
                <w:szCs w:val="20"/>
                <w:color w:val="auto"/>
              </w:rPr>
            </w:pPr>
            <w:r>
              <w:rPr>
                <w:rFonts w:ascii="Times New Roman" w:cs="Times New Roman" w:eastAsia="Times New Roman" w:hAnsi="Times New Roman"/>
                <w:sz w:val="18"/>
                <w:szCs w:val="18"/>
                <w:color w:val="auto"/>
              </w:rPr>
              <w:t>76</w:t>
            </w: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15"/>
        </w:trPr>
        <w:tc>
          <w:tcPr>
            <w:tcW w:w="5040" w:type="dxa"/>
            <w:vAlign w:val="bottom"/>
            <w:tcBorders>
              <w:bottom w:val="single" w:sz="8" w:color="9A9A9A"/>
            </w:tcBorders>
          </w:tcPr>
          <w:p>
            <w:pPr>
              <w:spacing w:after="0"/>
              <w:rPr>
                <w:sz w:val="10"/>
                <w:szCs w:val="10"/>
                <w:color w:val="auto"/>
              </w:rPr>
            </w:pPr>
          </w:p>
        </w:tc>
        <w:tc>
          <w:tcPr>
            <w:tcW w:w="20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Lear Corporation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transactions with affiliates accounted for under the equity method and other related parties is shown below (in millions):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6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For the year ended December 31,</w:t>
            </w:r>
          </w:p>
        </w:tc>
        <w:tc>
          <w:tcPr>
            <w:tcW w:w="148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color w:val="auto"/>
              </w:rPr>
              <w:t>2025</w:t>
            </w:r>
          </w:p>
        </w:tc>
        <w:tc>
          <w:tcPr>
            <w:tcW w:w="4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color w:val="auto"/>
              </w:rPr>
              <w:t>2024</w:t>
            </w:r>
          </w:p>
        </w:tc>
        <w:tc>
          <w:tcPr>
            <w:tcW w:w="4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color w:val="auto"/>
              </w:rPr>
              <w:t>2023</w:t>
            </w:r>
          </w:p>
        </w:tc>
      </w:tr>
      <w:tr>
        <w:trPr>
          <w:trHeight w:val="229"/>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to affiliates</w:t>
            </w:r>
          </w:p>
        </w:tc>
        <w:tc>
          <w:tcPr>
            <w:tcW w:w="14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660.9</w:t>
            </w:r>
          </w:p>
        </w:tc>
        <w:tc>
          <w:tcPr>
            <w:tcW w:w="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744.6</w:t>
            </w:r>
          </w:p>
        </w:tc>
        <w:tc>
          <w:tcPr>
            <w:tcW w:w="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654.6</w:t>
            </w:r>
          </w:p>
        </w:tc>
      </w:tr>
      <w:tr>
        <w:trPr>
          <w:trHeight w:val="230"/>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 from affiliates</w:t>
            </w:r>
          </w:p>
        </w:tc>
        <w:tc>
          <w:tcPr>
            <w:tcW w:w="14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420" w:type="dxa"/>
            <w:vAlign w:val="bottom"/>
          </w:tcPr>
          <w:p>
            <w:pPr>
              <w:spacing w:after="0"/>
              <w:rPr>
                <w:sz w:val="19"/>
                <w:szCs w:val="19"/>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12.5</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9"/>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Management and other fees for services provided to affiliates</w:t>
            </w:r>
          </w:p>
        </w:tc>
        <w:tc>
          <w:tcPr>
            <w:tcW w:w="14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28.9</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r>
      <w:tr>
        <w:trPr>
          <w:trHeight w:val="237"/>
        </w:trPr>
        <w:tc>
          <w:tcPr>
            <w:tcW w:w="5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Dividends received from affiliates</w:t>
            </w:r>
          </w:p>
        </w:tc>
        <w:tc>
          <w:tcPr>
            <w:tcW w:w="14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4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44.5</w:t>
            </w:r>
          </w:p>
        </w:tc>
        <w:tc>
          <w:tcPr>
            <w:tcW w:w="4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w:t>
            </w:r>
          </w:p>
        </w:tc>
      </w:tr>
    </w:tbl>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certain investments with beneficial ownership interests of less than 20% that are accounted for under the equity method as the Company's beneficial ownership interests in these entities are similar to partnership interests.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Debt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Short-Term Borrowings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utilizes uncommitted lines of credit as needed for its short-term working capital fluctuations. As of December 31, 2025 and 2024, the Company had lines of credit from banks totaling $382.5 million and $342.5 million, respectively. As of December 31, 2025 and 2024, the Company had short-term debt balances outstanding related to draws on its lines of credit of $27.9 million and $26.7 million, respectively.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Long-Term Debt</w:t>
      </w:r>
    </w:p>
    <w:p>
      <w:pPr>
        <w:spacing w:after="0" w:line="1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summary of long-term debt, net of unamortized debt issuance costs and unamortized original issue premium (discount) and the related weighted average interest rates is shown below (in millions):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7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December 31,</w:t>
            </w:r>
          </w:p>
        </w:tc>
        <w:tc>
          <w:tcPr>
            <w:tcW w:w="84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4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4"/>
                <w:szCs w:val="14"/>
                <w:color w:val="auto"/>
              </w:rPr>
              <w:t>Unamortized</w:t>
            </w: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40" w:type="dxa"/>
            <w:vAlign w:val="bottom"/>
          </w:tcPr>
          <w:p>
            <w:pPr>
              <w:jc w:val="center"/>
              <w:ind w:left="16"/>
              <w:spacing w:after="0" w:line="135" w:lineRule="exact"/>
              <w:rPr>
                <w:sz w:val="20"/>
                <w:szCs w:val="20"/>
                <w:color w:val="auto"/>
              </w:rPr>
            </w:pPr>
            <w:r>
              <w:rPr>
                <w:rFonts w:ascii="Times New Roman" w:cs="Times New Roman" w:eastAsia="Times New Roman" w:hAnsi="Times New Roman"/>
                <w:sz w:val="14"/>
                <w:szCs w:val="14"/>
                <w:color w:val="auto"/>
              </w:rPr>
              <w:t>Weighted</w:t>
            </w:r>
          </w:p>
        </w:tc>
        <w:tc>
          <w:tcPr>
            <w:tcW w:w="0" w:type="dxa"/>
            <w:vAlign w:val="bottom"/>
          </w:tcPr>
          <w:p>
            <w:pPr>
              <w:spacing w:after="0"/>
              <w:rPr>
                <w:sz w:val="1"/>
                <w:szCs w:val="1"/>
                <w:color w:val="auto"/>
              </w:rPr>
            </w:pPr>
          </w:p>
        </w:tc>
      </w:tr>
      <w:tr>
        <w:trPr>
          <w:trHeight w:val="139"/>
        </w:trPr>
        <w:tc>
          <w:tcPr>
            <w:tcW w:w="47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center"/>
              <w:ind w:right="220"/>
              <w:spacing w:after="0" w:line="139" w:lineRule="exact"/>
              <w:rPr>
                <w:sz w:val="20"/>
                <w:szCs w:val="20"/>
                <w:color w:val="auto"/>
              </w:rPr>
            </w:pPr>
            <w:r>
              <w:rPr>
                <w:rFonts w:ascii="Times New Roman" w:cs="Times New Roman" w:eastAsia="Times New Roman" w:hAnsi="Times New Roman"/>
                <w:sz w:val="14"/>
                <w:szCs w:val="14"/>
                <w:color w:val="auto"/>
              </w:rPr>
              <w:t>Original Issue</w:t>
            </w: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40" w:type="dxa"/>
            <w:vAlign w:val="bottom"/>
          </w:tcPr>
          <w:p>
            <w:pPr>
              <w:jc w:val="center"/>
              <w:ind w:left="16"/>
              <w:spacing w:after="0" w:line="139" w:lineRule="exact"/>
              <w:rPr>
                <w:sz w:val="20"/>
                <w:szCs w:val="20"/>
                <w:color w:val="auto"/>
              </w:rPr>
            </w:pPr>
            <w:r>
              <w:rPr>
                <w:rFonts w:ascii="Times New Roman" w:cs="Times New Roman" w:eastAsia="Times New Roman" w:hAnsi="Times New Roman"/>
                <w:sz w:val="14"/>
                <w:szCs w:val="14"/>
                <w:color w:val="auto"/>
              </w:rPr>
              <w:t>Average</w:t>
            </w:r>
          </w:p>
        </w:tc>
        <w:tc>
          <w:tcPr>
            <w:tcW w:w="0" w:type="dxa"/>
            <w:vAlign w:val="bottom"/>
          </w:tcPr>
          <w:p>
            <w:pPr>
              <w:spacing w:after="0"/>
              <w:rPr>
                <w:sz w:val="1"/>
                <w:szCs w:val="1"/>
                <w:color w:val="auto"/>
              </w:rPr>
            </w:pPr>
          </w:p>
        </w:tc>
      </w:tr>
      <w:tr>
        <w:trPr>
          <w:trHeight w:val="158"/>
        </w:trPr>
        <w:tc>
          <w:tcPr>
            <w:tcW w:w="4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Debt Instrument</w:t>
            </w:r>
          </w:p>
        </w:tc>
        <w:tc>
          <w:tcPr>
            <w:tcW w:w="840" w:type="dxa"/>
            <w:vAlign w:val="bottom"/>
          </w:tcPr>
          <w:p>
            <w:pPr>
              <w:spacing w:after="0"/>
              <w:rPr>
                <w:sz w:val="13"/>
                <w:szCs w:val="13"/>
                <w:color w:val="auto"/>
              </w:rPr>
            </w:pPr>
          </w:p>
        </w:tc>
        <w:tc>
          <w:tcPr>
            <w:tcW w:w="114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rPr>
              <w:t>Long-Term Debt</w:t>
            </w:r>
          </w:p>
        </w:tc>
        <w:tc>
          <w:tcPr>
            <w:tcW w:w="1240" w:type="dxa"/>
            <w:vAlign w:val="bottom"/>
            <w:gridSpan w:val="2"/>
          </w:tcPr>
          <w:p>
            <w:pPr>
              <w:ind w:left="100"/>
              <w:spacing w:after="0" w:line="158" w:lineRule="exact"/>
              <w:rPr>
                <w:sz w:val="20"/>
                <w:szCs w:val="20"/>
                <w:color w:val="auto"/>
              </w:rPr>
            </w:pPr>
            <w:r>
              <w:rPr>
                <w:rFonts w:ascii="Times New Roman" w:cs="Times New Roman" w:eastAsia="Times New Roman" w:hAnsi="Times New Roman"/>
                <w:sz w:val="14"/>
                <w:szCs w:val="14"/>
                <w:color w:val="auto"/>
              </w:rPr>
              <w:t>Unamortized Debt</w:t>
            </w:r>
          </w:p>
        </w:tc>
        <w:tc>
          <w:tcPr>
            <w:tcW w:w="180" w:type="dxa"/>
            <w:vAlign w:val="bottom"/>
          </w:tcPr>
          <w:p>
            <w:pPr>
              <w:spacing w:after="0"/>
              <w:rPr>
                <w:sz w:val="13"/>
                <w:szCs w:val="13"/>
                <w:color w:val="auto"/>
              </w:rPr>
            </w:pPr>
          </w:p>
        </w:tc>
        <w:tc>
          <w:tcPr>
            <w:tcW w:w="108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4"/>
                <w:szCs w:val="14"/>
                <w:color w:val="auto"/>
              </w:rPr>
              <w:t>Premium</w:t>
            </w:r>
          </w:p>
        </w:tc>
        <w:tc>
          <w:tcPr>
            <w:tcW w:w="180" w:type="dxa"/>
            <w:vAlign w:val="bottom"/>
          </w:tcPr>
          <w:p>
            <w:pPr>
              <w:spacing w:after="0"/>
              <w:rPr>
                <w:sz w:val="13"/>
                <w:szCs w:val="13"/>
                <w:color w:val="auto"/>
              </w:rPr>
            </w:pPr>
          </w:p>
        </w:tc>
        <w:tc>
          <w:tcPr>
            <w:tcW w:w="940" w:type="dxa"/>
            <w:vAlign w:val="bottom"/>
          </w:tcPr>
          <w:p>
            <w:pPr>
              <w:jc w:val="right"/>
              <w:ind w:right="153"/>
              <w:spacing w:after="0" w:line="158" w:lineRule="exact"/>
              <w:rPr>
                <w:sz w:val="20"/>
                <w:szCs w:val="20"/>
                <w:color w:val="auto"/>
              </w:rPr>
            </w:pPr>
            <w:r>
              <w:rPr>
                <w:rFonts w:ascii="Times New Roman" w:cs="Times New Roman" w:eastAsia="Times New Roman" w:hAnsi="Times New Roman"/>
                <w:sz w:val="14"/>
                <w:szCs w:val="14"/>
                <w:color w:val="auto"/>
              </w:rPr>
              <w:t>Long-Term</w:t>
            </w:r>
          </w:p>
        </w:tc>
        <w:tc>
          <w:tcPr>
            <w:tcW w:w="940" w:type="dxa"/>
            <w:vAlign w:val="bottom"/>
          </w:tcPr>
          <w:p>
            <w:pPr>
              <w:jc w:val="center"/>
              <w:ind w:left="16"/>
              <w:spacing w:after="0" w:line="158" w:lineRule="exact"/>
              <w:rPr>
                <w:sz w:val="20"/>
                <w:szCs w:val="20"/>
                <w:color w:val="auto"/>
              </w:rPr>
            </w:pPr>
            <w:r>
              <w:rPr>
                <w:rFonts w:ascii="Times New Roman" w:cs="Times New Roman" w:eastAsia="Times New Roman" w:hAnsi="Times New Roman"/>
                <w:sz w:val="14"/>
                <w:szCs w:val="14"/>
                <w:color w:val="auto"/>
              </w:rPr>
              <w:t>Interest</w:t>
            </w:r>
          </w:p>
        </w:tc>
        <w:tc>
          <w:tcPr>
            <w:tcW w:w="0" w:type="dxa"/>
            <w:vAlign w:val="bottom"/>
          </w:tcPr>
          <w:p>
            <w:pPr>
              <w:spacing w:after="0"/>
              <w:rPr>
                <w:sz w:val="1"/>
                <w:szCs w:val="1"/>
                <w:color w:val="auto"/>
              </w:rPr>
            </w:pPr>
          </w:p>
        </w:tc>
      </w:tr>
      <w:tr>
        <w:trPr>
          <w:trHeight w:val="196"/>
        </w:trPr>
        <w:tc>
          <w:tcPr>
            <w:tcW w:w="4700" w:type="dxa"/>
            <w:vAlign w:val="bottom"/>
            <w:tcBorders>
              <w:bottom w:val="single" w:sz="8" w:color="CCEEFF"/>
            </w:tcBorders>
            <w:vMerge w:val="continue"/>
          </w:tcPr>
          <w:p>
            <w:pPr>
              <w:spacing w:after="0"/>
              <w:rPr>
                <w:sz w:val="17"/>
                <w:szCs w:val="17"/>
                <w:color w:val="auto"/>
              </w:rPr>
            </w:pPr>
          </w:p>
        </w:tc>
        <w:tc>
          <w:tcPr>
            <w:tcW w:w="84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gridSpan w:val="2"/>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color w:val="auto"/>
              </w:rPr>
              <w:t>Issuance Costs</w:t>
            </w: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(Discount)</w:t>
            </w: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color w:val="auto"/>
              </w:rPr>
              <w:t>Debt, Net</w:t>
            </w:r>
          </w:p>
        </w:tc>
        <w:tc>
          <w:tcPr>
            <w:tcW w:w="940" w:type="dxa"/>
            <w:vAlign w:val="bottom"/>
            <w:tcBorders>
              <w:bottom w:val="single" w:sz="8" w:color="auto"/>
            </w:tcBorders>
          </w:tcPr>
          <w:p>
            <w:pPr>
              <w:jc w:val="center"/>
              <w:ind w:left="16"/>
              <w:spacing w:after="0"/>
              <w:rPr>
                <w:sz w:val="20"/>
                <w:szCs w:val="20"/>
                <w:color w:val="auto"/>
              </w:rPr>
            </w:pPr>
            <w:r>
              <w:rPr>
                <w:rFonts w:ascii="Times New Roman" w:cs="Times New Roman" w:eastAsia="Times New Roman" w:hAnsi="Times New Roman"/>
                <w:sz w:val="14"/>
                <w:szCs w:val="14"/>
                <w:color w:val="auto"/>
              </w:rPr>
              <w:t>Rate</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Delayed-Draw Term Loan Facility (the "Term Loan")</w:t>
            </w:r>
          </w:p>
        </w:tc>
        <w:tc>
          <w:tcPr>
            <w:tcW w:w="840" w:type="dxa"/>
            <w:vAlign w:val="bottom"/>
            <w:shd w:val="clear" w:color="auto" w:fill="CCEEFF"/>
          </w:tcPr>
          <w:p>
            <w:pPr>
              <w:spacing w:after="0"/>
              <w:rPr>
                <w:sz w:val="19"/>
                <w:szCs w:val="19"/>
                <w:color w:val="auto"/>
              </w:rPr>
            </w:pPr>
          </w:p>
        </w:tc>
        <w:tc>
          <w:tcPr>
            <w:tcW w:w="340" w:type="dxa"/>
            <w:vAlign w:val="bottom"/>
            <w:shd w:val="clear" w:color="auto" w:fill="CCEEFF"/>
          </w:tcPr>
          <w:p>
            <w:pPr>
              <w:jc w:val="center"/>
              <w:ind w:right="11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50.0</w:t>
            </w:r>
          </w:p>
        </w:tc>
        <w:tc>
          <w:tcPr>
            <w:tcW w:w="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940" w:type="dxa"/>
            <w:vAlign w:val="bottom"/>
            <w:shd w:val="clear" w:color="auto" w:fill="CCEEFF"/>
          </w:tcPr>
          <w:p>
            <w:pPr>
              <w:jc w:val="center"/>
              <w:ind w:left="16"/>
              <w:spacing w:after="0"/>
              <w:rPr>
                <w:sz w:val="20"/>
                <w:szCs w:val="20"/>
                <w:color w:val="auto"/>
              </w:rPr>
            </w:pPr>
            <w:r>
              <w:rPr>
                <w:rFonts w:ascii="Times New Roman" w:cs="Times New Roman" w:eastAsia="Times New Roman" w:hAnsi="Times New Roman"/>
                <w:sz w:val="18"/>
                <w:szCs w:val="18"/>
                <w:color w:val="auto"/>
              </w:rPr>
              <w:t>4.772%</w:t>
            </w: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3.8% Senior Notes due 2027 (the "2027 Notes")</w:t>
            </w:r>
          </w:p>
        </w:tc>
        <w:tc>
          <w:tcPr>
            <w:tcW w:w="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550.0</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548.6</w:t>
            </w:r>
          </w:p>
        </w:tc>
        <w:tc>
          <w:tcPr>
            <w:tcW w:w="940" w:type="dxa"/>
            <w:vAlign w:val="bottom"/>
          </w:tcPr>
          <w:p>
            <w:pPr>
              <w:jc w:val="center"/>
              <w:ind w:left="16"/>
              <w:spacing w:after="0"/>
              <w:rPr>
                <w:sz w:val="20"/>
                <w:szCs w:val="20"/>
                <w:color w:val="auto"/>
              </w:rPr>
            </w:pPr>
            <w:r>
              <w:rPr>
                <w:rFonts w:ascii="Times New Roman" w:cs="Times New Roman" w:eastAsia="Times New Roman" w:hAnsi="Times New Roman"/>
                <w:sz w:val="18"/>
                <w:szCs w:val="18"/>
                <w:color w:val="auto"/>
              </w:rPr>
              <w:t>3.885%</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4.25% Senior Notes due 2029 (the "2029 Notes")</w:t>
            </w:r>
          </w:p>
        </w:tc>
        <w:tc>
          <w:tcPr>
            <w:tcW w:w="8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375.0</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373.5</w:t>
            </w:r>
          </w:p>
        </w:tc>
        <w:tc>
          <w:tcPr>
            <w:tcW w:w="940" w:type="dxa"/>
            <w:vAlign w:val="bottom"/>
            <w:shd w:val="clear" w:color="auto" w:fill="CCEEFF"/>
          </w:tcPr>
          <w:p>
            <w:pPr>
              <w:jc w:val="center"/>
              <w:ind w:left="16"/>
              <w:spacing w:after="0"/>
              <w:rPr>
                <w:sz w:val="20"/>
                <w:szCs w:val="20"/>
                <w:color w:val="auto"/>
              </w:rPr>
            </w:pPr>
            <w:r>
              <w:rPr>
                <w:rFonts w:ascii="Times New Roman" w:cs="Times New Roman" w:eastAsia="Times New Roman" w:hAnsi="Times New Roman"/>
                <w:sz w:val="18"/>
                <w:szCs w:val="18"/>
                <w:color w:val="auto"/>
              </w:rPr>
              <w:t>4.288%</w:t>
            </w: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3.5% Senior Notes due 2030 (the "2030 Notes")</w:t>
            </w:r>
          </w:p>
        </w:tc>
        <w:tc>
          <w:tcPr>
            <w:tcW w:w="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350.0</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348.5</w:t>
            </w:r>
          </w:p>
        </w:tc>
        <w:tc>
          <w:tcPr>
            <w:tcW w:w="940" w:type="dxa"/>
            <w:vAlign w:val="bottom"/>
          </w:tcPr>
          <w:p>
            <w:pPr>
              <w:jc w:val="center"/>
              <w:ind w:left="16"/>
              <w:spacing w:after="0"/>
              <w:rPr>
                <w:sz w:val="20"/>
                <w:szCs w:val="20"/>
                <w:color w:val="auto"/>
              </w:rPr>
            </w:pPr>
            <w:r>
              <w:rPr>
                <w:rFonts w:ascii="Times New Roman" w:cs="Times New Roman" w:eastAsia="Times New Roman" w:hAnsi="Times New Roman"/>
                <w:sz w:val="18"/>
                <w:szCs w:val="18"/>
                <w:color w:val="auto"/>
              </w:rPr>
              <w:t>3.525%</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2.6% Senior Notes due 2032 (the "2032 Notes")</w:t>
            </w:r>
          </w:p>
        </w:tc>
        <w:tc>
          <w:tcPr>
            <w:tcW w:w="8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350.0</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347.6</w:t>
            </w:r>
          </w:p>
        </w:tc>
        <w:tc>
          <w:tcPr>
            <w:tcW w:w="940" w:type="dxa"/>
            <w:vAlign w:val="bottom"/>
            <w:shd w:val="clear" w:color="auto" w:fill="CCEEFF"/>
          </w:tcPr>
          <w:p>
            <w:pPr>
              <w:jc w:val="center"/>
              <w:ind w:left="16"/>
              <w:spacing w:after="0"/>
              <w:rPr>
                <w:sz w:val="20"/>
                <w:szCs w:val="20"/>
                <w:color w:val="auto"/>
              </w:rPr>
            </w:pPr>
            <w:r>
              <w:rPr>
                <w:rFonts w:ascii="Times New Roman" w:cs="Times New Roman" w:eastAsia="Times New Roman" w:hAnsi="Times New Roman"/>
                <w:sz w:val="18"/>
                <w:szCs w:val="18"/>
                <w:color w:val="auto"/>
              </w:rPr>
              <w:t>2.624%</w:t>
            </w: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5.25% Senior Notes due 2049 (the "2049 Notes")</w:t>
            </w:r>
          </w:p>
        </w:tc>
        <w:tc>
          <w:tcPr>
            <w:tcW w:w="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625.0</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631.5</w:t>
            </w:r>
          </w:p>
        </w:tc>
        <w:tc>
          <w:tcPr>
            <w:tcW w:w="940" w:type="dxa"/>
            <w:vAlign w:val="bottom"/>
          </w:tcPr>
          <w:p>
            <w:pPr>
              <w:jc w:val="center"/>
              <w:ind w:left="16"/>
              <w:spacing w:after="0"/>
              <w:rPr>
                <w:sz w:val="20"/>
                <w:szCs w:val="20"/>
                <w:color w:val="auto"/>
              </w:rPr>
            </w:pPr>
            <w:r>
              <w:rPr>
                <w:rFonts w:ascii="Times New Roman" w:cs="Times New Roman" w:eastAsia="Times New Roman" w:hAnsi="Times New Roman"/>
                <w:sz w:val="18"/>
                <w:szCs w:val="18"/>
                <w:color w:val="auto"/>
              </w:rPr>
              <w:t>5.103%</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3.55% Senior Notes due 2052 (the "2052 Notes")</w:t>
            </w:r>
          </w:p>
        </w:tc>
        <w:tc>
          <w:tcPr>
            <w:tcW w:w="8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350.0</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346.1</w:t>
            </w:r>
          </w:p>
        </w:tc>
        <w:tc>
          <w:tcPr>
            <w:tcW w:w="940" w:type="dxa"/>
            <w:vAlign w:val="bottom"/>
            <w:shd w:val="clear" w:color="auto" w:fill="CCEEFF"/>
          </w:tcPr>
          <w:p>
            <w:pPr>
              <w:jc w:val="center"/>
              <w:ind w:left="16"/>
              <w:spacing w:after="0"/>
              <w:rPr>
                <w:sz w:val="20"/>
                <w:szCs w:val="20"/>
                <w:color w:val="auto"/>
              </w:rPr>
            </w:pPr>
            <w:r>
              <w:rPr>
                <w:rFonts w:ascii="Times New Roman" w:cs="Times New Roman" w:eastAsia="Times New Roman" w:hAnsi="Times New Roman"/>
                <w:sz w:val="18"/>
                <w:szCs w:val="18"/>
                <w:color w:val="auto"/>
              </w:rPr>
              <w:t>3.558%</w:t>
            </w:r>
          </w:p>
        </w:tc>
        <w:tc>
          <w:tcPr>
            <w:tcW w:w="0" w:type="dxa"/>
            <w:vAlign w:val="bottom"/>
          </w:tcPr>
          <w:p>
            <w:pPr>
              <w:spacing w:after="0"/>
              <w:rPr>
                <w:sz w:val="1"/>
                <w:szCs w:val="1"/>
                <w:color w:val="auto"/>
              </w:rPr>
            </w:pPr>
          </w:p>
        </w:tc>
      </w:tr>
      <w:tr>
        <w:trPr>
          <w:trHeight w:val="230"/>
        </w:trPr>
        <w:tc>
          <w:tcPr>
            <w:tcW w:w="4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8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69.4</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940" w:type="dxa"/>
            <w:vAlign w:val="bottom"/>
            <w:tcBorders>
              <w:bottom w:val="single" w:sz="8" w:color="CCEEFF"/>
            </w:tcBorders>
          </w:tcPr>
          <w:p>
            <w:pPr>
              <w:jc w:val="center"/>
              <w:ind w:left="16"/>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3"/>
        </w:trPr>
        <w:tc>
          <w:tcPr>
            <w:tcW w:w="47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center"/>
              <w:ind w:right="11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2,719.4</w:t>
            </w:r>
          </w:p>
        </w:tc>
        <w:tc>
          <w:tcPr>
            <w:tcW w:w="20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2,715.2</w:t>
            </w: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 Current portion</w:t>
            </w:r>
          </w:p>
        </w:tc>
        <w:tc>
          <w:tcPr>
            <w:tcW w:w="84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9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84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2,711.5</w:t>
            </w:r>
          </w:p>
        </w:tc>
        <w:tc>
          <w:tcPr>
            <w:tcW w:w="94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891"/>
        </w:trPr>
        <w:tc>
          <w:tcPr>
            <w:tcW w:w="4700" w:type="dxa"/>
            <w:vAlign w:val="bottom"/>
          </w:tcPr>
          <w:p>
            <w:pPr>
              <w:spacing w:after="0"/>
              <w:rPr>
                <w:sz w:val="24"/>
                <w:szCs w:val="24"/>
                <w:color w:val="auto"/>
              </w:rPr>
            </w:pPr>
          </w:p>
        </w:tc>
        <w:tc>
          <w:tcPr>
            <w:tcW w:w="1180" w:type="dxa"/>
            <w:vAlign w:val="bottom"/>
            <w:gridSpan w:val="2"/>
          </w:tcPr>
          <w:p>
            <w:pPr>
              <w:jc w:val="center"/>
              <w:ind w:left="590"/>
              <w:spacing w:after="0"/>
              <w:rPr>
                <w:sz w:val="20"/>
                <w:szCs w:val="20"/>
                <w:color w:val="auto"/>
              </w:rPr>
            </w:pPr>
            <w:r>
              <w:rPr>
                <w:rFonts w:ascii="Times New Roman" w:cs="Times New Roman" w:eastAsia="Times New Roman" w:hAnsi="Times New Roman"/>
                <w:sz w:val="18"/>
                <w:szCs w:val="18"/>
                <w:color w:val="auto"/>
                <w:w w:val="99"/>
              </w:rPr>
              <w:t>77</w:t>
            </w: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7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Lear Corporation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5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December 31,</w:t>
            </w:r>
          </w:p>
        </w:tc>
        <w:tc>
          <w:tcPr>
            <w:tcW w:w="3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39"/>
        </w:trPr>
        <w:tc>
          <w:tcPr>
            <w:tcW w:w="5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center"/>
              <w:ind w:right="220"/>
              <w:spacing w:after="0" w:line="139" w:lineRule="exact"/>
              <w:rPr>
                <w:sz w:val="20"/>
                <w:szCs w:val="20"/>
                <w:color w:val="auto"/>
              </w:rPr>
            </w:pPr>
            <w:r>
              <w:rPr>
                <w:rFonts w:ascii="Times New Roman" w:cs="Times New Roman" w:eastAsia="Times New Roman" w:hAnsi="Times New Roman"/>
                <w:sz w:val="14"/>
                <w:szCs w:val="14"/>
                <w:color w:val="auto"/>
              </w:rPr>
              <w:t>Unamortized</w:t>
            </w: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40" w:type="dxa"/>
            <w:vAlign w:val="bottom"/>
          </w:tcPr>
          <w:p>
            <w:pPr>
              <w:jc w:val="center"/>
              <w:ind w:left="16"/>
              <w:spacing w:after="0" w:line="139" w:lineRule="exact"/>
              <w:rPr>
                <w:sz w:val="20"/>
                <w:szCs w:val="20"/>
                <w:color w:val="auto"/>
              </w:rPr>
            </w:pPr>
            <w:r>
              <w:rPr>
                <w:rFonts w:ascii="Times New Roman" w:cs="Times New Roman" w:eastAsia="Times New Roman" w:hAnsi="Times New Roman"/>
                <w:sz w:val="14"/>
                <w:szCs w:val="14"/>
                <w:color w:val="auto"/>
              </w:rPr>
              <w:t>Weighted</w:t>
            </w:r>
          </w:p>
        </w:tc>
        <w:tc>
          <w:tcPr>
            <w:tcW w:w="0" w:type="dxa"/>
            <w:vAlign w:val="bottom"/>
          </w:tcPr>
          <w:p>
            <w:pPr>
              <w:spacing w:after="0"/>
              <w:rPr>
                <w:sz w:val="1"/>
                <w:szCs w:val="1"/>
                <w:color w:val="auto"/>
              </w:rPr>
            </w:pPr>
          </w:p>
        </w:tc>
      </w:tr>
      <w:tr>
        <w:trPr>
          <w:trHeight w:val="144"/>
        </w:trPr>
        <w:tc>
          <w:tcPr>
            <w:tcW w:w="5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Unamortized Debt</w:t>
            </w:r>
          </w:p>
        </w:tc>
        <w:tc>
          <w:tcPr>
            <w:tcW w:w="180" w:type="dxa"/>
            <w:vAlign w:val="bottom"/>
          </w:tcPr>
          <w:p>
            <w:pPr>
              <w:spacing w:after="0"/>
              <w:rPr>
                <w:sz w:val="12"/>
                <w:szCs w:val="12"/>
                <w:color w:val="auto"/>
              </w:rPr>
            </w:pPr>
          </w:p>
        </w:tc>
        <w:tc>
          <w:tcPr>
            <w:tcW w:w="1080" w:type="dxa"/>
            <w:vAlign w:val="bottom"/>
            <w:gridSpan w:val="2"/>
          </w:tcPr>
          <w:p>
            <w:pPr>
              <w:jc w:val="center"/>
              <w:ind w:right="220"/>
              <w:spacing w:after="0" w:line="145" w:lineRule="exact"/>
              <w:rPr>
                <w:sz w:val="20"/>
                <w:szCs w:val="20"/>
                <w:color w:val="auto"/>
              </w:rPr>
            </w:pPr>
            <w:r>
              <w:rPr>
                <w:rFonts w:ascii="Times New Roman" w:cs="Times New Roman" w:eastAsia="Times New Roman" w:hAnsi="Times New Roman"/>
                <w:sz w:val="14"/>
                <w:szCs w:val="14"/>
                <w:color w:val="auto"/>
              </w:rPr>
              <w:t>Original Issue</w:t>
            </w:r>
          </w:p>
        </w:tc>
        <w:tc>
          <w:tcPr>
            <w:tcW w:w="180" w:type="dxa"/>
            <w:vAlign w:val="bottom"/>
          </w:tcPr>
          <w:p>
            <w:pPr>
              <w:spacing w:after="0"/>
              <w:rPr>
                <w:sz w:val="12"/>
                <w:szCs w:val="12"/>
                <w:color w:val="auto"/>
              </w:rPr>
            </w:pPr>
          </w:p>
        </w:tc>
        <w:tc>
          <w:tcPr>
            <w:tcW w:w="940" w:type="dxa"/>
            <w:vAlign w:val="bottom"/>
            <w:vMerge w:val="restart"/>
          </w:tcPr>
          <w:p>
            <w:pPr>
              <w:jc w:val="right"/>
              <w:ind w:right="153"/>
              <w:spacing w:after="0"/>
              <w:rPr>
                <w:sz w:val="20"/>
                <w:szCs w:val="20"/>
                <w:color w:val="auto"/>
              </w:rPr>
            </w:pPr>
            <w:r>
              <w:rPr>
                <w:rFonts w:ascii="Times New Roman" w:cs="Times New Roman" w:eastAsia="Times New Roman" w:hAnsi="Times New Roman"/>
                <w:sz w:val="14"/>
                <w:szCs w:val="14"/>
                <w:color w:val="auto"/>
              </w:rPr>
              <w:t>Long-Term</w:t>
            </w:r>
          </w:p>
        </w:tc>
        <w:tc>
          <w:tcPr>
            <w:tcW w:w="940" w:type="dxa"/>
            <w:vAlign w:val="bottom"/>
          </w:tcPr>
          <w:p>
            <w:pPr>
              <w:jc w:val="center"/>
              <w:ind w:left="16"/>
              <w:spacing w:after="0" w:line="145" w:lineRule="exact"/>
              <w:rPr>
                <w:sz w:val="20"/>
                <w:szCs w:val="20"/>
                <w:color w:val="auto"/>
              </w:rPr>
            </w:pPr>
            <w:r>
              <w:rPr>
                <w:rFonts w:ascii="Times New Roman" w:cs="Times New Roman" w:eastAsia="Times New Roman" w:hAnsi="Times New Roman"/>
                <w:sz w:val="14"/>
                <w:szCs w:val="14"/>
                <w:color w:val="auto"/>
              </w:rPr>
              <w:t>Average</w:t>
            </w:r>
          </w:p>
        </w:tc>
        <w:tc>
          <w:tcPr>
            <w:tcW w:w="0" w:type="dxa"/>
            <w:vAlign w:val="bottom"/>
          </w:tcPr>
          <w:p>
            <w:pPr>
              <w:spacing w:after="0"/>
              <w:rPr>
                <w:sz w:val="1"/>
                <w:szCs w:val="1"/>
                <w:color w:val="auto"/>
              </w:rPr>
            </w:pPr>
          </w:p>
        </w:tc>
      </w:tr>
      <w:tr>
        <w:trPr>
          <w:trHeight w:val="148"/>
        </w:trPr>
        <w:tc>
          <w:tcPr>
            <w:tcW w:w="55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Debt Instrument</w:t>
            </w:r>
          </w:p>
        </w:tc>
        <w:tc>
          <w:tcPr>
            <w:tcW w:w="114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rPr>
              <w:t>Long-Term Debt</w:t>
            </w:r>
          </w:p>
        </w:tc>
        <w:tc>
          <w:tcPr>
            <w:tcW w:w="12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rPr>
              <w:t>Premium</w:t>
            </w:r>
          </w:p>
        </w:tc>
        <w:tc>
          <w:tcPr>
            <w:tcW w:w="1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940" w:type="dxa"/>
            <w:vAlign w:val="bottom"/>
          </w:tcPr>
          <w:p>
            <w:pPr>
              <w:jc w:val="center"/>
              <w:ind w:left="16"/>
              <w:spacing w:after="0" w:line="149" w:lineRule="exact"/>
              <w:rPr>
                <w:sz w:val="20"/>
                <w:szCs w:val="20"/>
                <w:color w:val="auto"/>
              </w:rPr>
            </w:pPr>
            <w:r>
              <w:rPr>
                <w:rFonts w:ascii="Times New Roman" w:cs="Times New Roman" w:eastAsia="Times New Roman" w:hAnsi="Times New Roman"/>
                <w:sz w:val="14"/>
                <w:szCs w:val="14"/>
                <w:color w:val="auto"/>
              </w:rPr>
              <w:t>Interest</w:t>
            </w:r>
          </w:p>
        </w:tc>
        <w:tc>
          <w:tcPr>
            <w:tcW w:w="0" w:type="dxa"/>
            <w:vAlign w:val="bottom"/>
          </w:tcPr>
          <w:p>
            <w:pPr>
              <w:spacing w:after="0"/>
              <w:rPr>
                <w:sz w:val="1"/>
                <w:szCs w:val="1"/>
                <w:color w:val="auto"/>
              </w:rPr>
            </w:pPr>
          </w:p>
        </w:tc>
      </w:tr>
      <w:tr>
        <w:trPr>
          <w:trHeight w:val="198"/>
        </w:trPr>
        <w:tc>
          <w:tcPr>
            <w:tcW w:w="5540" w:type="dxa"/>
            <w:vAlign w:val="bottom"/>
            <w:tcBorders>
              <w:bottom w:val="single" w:sz="8" w:color="auto"/>
            </w:tcBorders>
            <w:vMerge w:val="continue"/>
          </w:tcPr>
          <w:p>
            <w:pPr>
              <w:spacing w:after="0"/>
              <w:rPr>
                <w:sz w:val="17"/>
                <w:szCs w:val="17"/>
                <w:color w:val="auto"/>
              </w:rPr>
            </w:pPr>
          </w:p>
        </w:tc>
        <w:tc>
          <w:tcPr>
            <w:tcW w:w="1140" w:type="dxa"/>
            <w:vAlign w:val="bottom"/>
            <w:tcBorders>
              <w:bottom w:val="single" w:sz="8" w:color="auto"/>
            </w:tcBorders>
            <w:gridSpan w:val="2"/>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color w:val="auto"/>
              </w:rPr>
              <w:t>Issuance Costs</w:t>
            </w: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(Discount)</w:t>
            </w: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color w:val="auto"/>
              </w:rPr>
              <w:t>Debt, Net</w:t>
            </w:r>
          </w:p>
        </w:tc>
        <w:tc>
          <w:tcPr>
            <w:tcW w:w="940" w:type="dxa"/>
            <w:vAlign w:val="bottom"/>
            <w:tcBorders>
              <w:bottom w:val="single" w:sz="8" w:color="auto"/>
            </w:tcBorders>
          </w:tcPr>
          <w:p>
            <w:pPr>
              <w:jc w:val="center"/>
              <w:ind w:left="16"/>
              <w:spacing w:after="0"/>
              <w:rPr>
                <w:sz w:val="20"/>
                <w:szCs w:val="20"/>
                <w:color w:val="auto"/>
              </w:rPr>
            </w:pPr>
            <w:r>
              <w:rPr>
                <w:rFonts w:ascii="Times New Roman" w:cs="Times New Roman" w:eastAsia="Times New Roman" w:hAnsi="Times New Roman"/>
                <w:sz w:val="14"/>
                <w:szCs w:val="14"/>
                <w:color w:val="auto"/>
              </w:rPr>
              <w:t>Rate</w:t>
            </w:r>
          </w:p>
        </w:tc>
        <w:tc>
          <w:tcPr>
            <w:tcW w:w="0" w:type="dxa"/>
            <w:vAlign w:val="bottom"/>
          </w:tcPr>
          <w:p>
            <w:pPr>
              <w:spacing w:after="0"/>
              <w:rPr>
                <w:sz w:val="1"/>
                <w:szCs w:val="1"/>
                <w:color w:val="auto"/>
              </w:rPr>
            </w:pPr>
          </w:p>
        </w:tc>
      </w:tr>
      <w:tr>
        <w:trPr>
          <w:trHeight w:val="228"/>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w:t>
            </w:r>
          </w:p>
        </w:tc>
        <w:tc>
          <w:tcPr>
            <w:tcW w:w="3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940" w:type="dxa"/>
            <w:vAlign w:val="bottom"/>
            <w:shd w:val="clear" w:color="auto" w:fill="CCEEFF"/>
          </w:tcPr>
          <w:p>
            <w:pPr>
              <w:jc w:val="center"/>
              <w:ind w:left="16"/>
              <w:spacing w:after="0"/>
              <w:rPr>
                <w:sz w:val="20"/>
                <w:szCs w:val="20"/>
                <w:color w:val="auto"/>
              </w:rPr>
            </w:pPr>
            <w:r>
              <w:rPr>
                <w:rFonts w:ascii="Times New Roman" w:cs="Times New Roman" w:eastAsia="Times New Roman" w:hAnsi="Times New Roman"/>
                <w:sz w:val="18"/>
                <w:szCs w:val="18"/>
                <w:color w:val="auto"/>
              </w:rPr>
              <w:t>5.835%</w:t>
            </w:r>
          </w:p>
        </w:tc>
        <w:tc>
          <w:tcPr>
            <w:tcW w:w="0" w:type="dxa"/>
            <w:vAlign w:val="bottom"/>
          </w:tcPr>
          <w:p>
            <w:pPr>
              <w:spacing w:after="0"/>
              <w:rPr>
                <w:sz w:val="1"/>
                <w:szCs w:val="1"/>
                <w:color w:val="auto"/>
              </w:rPr>
            </w:pPr>
          </w:p>
        </w:tc>
      </w:tr>
      <w:tr>
        <w:trPr>
          <w:trHeight w:val="229"/>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 Notes</w:t>
            </w:r>
          </w:p>
        </w:tc>
        <w:tc>
          <w:tcPr>
            <w:tcW w:w="300" w:type="dxa"/>
            <w:vAlign w:val="bottom"/>
          </w:tcPr>
          <w:p>
            <w:pPr>
              <w:spacing w:after="0"/>
              <w:rPr>
                <w:sz w:val="19"/>
                <w:szCs w:val="19"/>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550.0</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547.7</w:t>
            </w:r>
          </w:p>
        </w:tc>
        <w:tc>
          <w:tcPr>
            <w:tcW w:w="940" w:type="dxa"/>
            <w:vAlign w:val="bottom"/>
          </w:tcPr>
          <w:p>
            <w:pPr>
              <w:jc w:val="center"/>
              <w:ind w:left="16"/>
              <w:spacing w:after="0"/>
              <w:rPr>
                <w:sz w:val="20"/>
                <w:szCs w:val="20"/>
                <w:color w:val="auto"/>
              </w:rPr>
            </w:pPr>
            <w:r>
              <w:rPr>
                <w:rFonts w:ascii="Times New Roman" w:cs="Times New Roman" w:eastAsia="Times New Roman" w:hAnsi="Times New Roman"/>
                <w:sz w:val="18"/>
                <w:szCs w:val="18"/>
                <w:color w:val="auto"/>
              </w:rPr>
              <w:t>3.885%</w:t>
            </w: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 Notes</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375.0</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373.1</w:t>
            </w:r>
          </w:p>
        </w:tc>
        <w:tc>
          <w:tcPr>
            <w:tcW w:w="940" w:type="dxa"/>
            <w:vAlign w:val="bottom"/>
            <w:shd w:val="clear" w:color="auto" w:fill="CCEEFF"/>
          </w:tcPr>
          <w:p>
            <w:pPr>
              <w:jc w:val="center"/>
              <w:ind w:left="16"/>
              <w:spacing w:after="0"/>
              <w:rPr>
                <w:sz w:val="20"/>
                <w:szCs w:val="20"/>
                <w:color w:val="auto"/>
              </w:rPr>
            </w:pPr>
            <w:r>
              <w:rPr>
                <w:rFonts w:ascii="Times New Roman" w:cs="Times New Roman" w:eastAsia="Times New Roman" w:hAnsi="Times New Roman"/>
                <w:sz w:val="18"/>
                <w:szCs w:val="18"/>
                <w:color w:val="auto"/>
              </w:rPr>
              <w:t>4.288%</w:t>
            </w:r>
          </w:p>
        </w:tc>
        <w:tc>
          <w:tcPr>
            <w:tcW w:w="0" w:type="dxa"/>
            <w:vAlign w:val="bottom"/>
          </w:tcPr>
          <w:p>
            <w:pPr>
              <w:spacing w:after="0"/>
              <w:rPr>
                <w:sz w:val="1"/>
                <w:szCs w:val="1"/>
                <w:color w:val="auto"/>
              </w:rPr>
            </w:pPr>
          </w:p>
        </w:tc>
      </w:tr>
      <w:tr>
        <w:trPr>
          <w:trHeight w:val="230"/>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2030 Notes</w:t>
            </w:r>
          </w:p>
        </w:tc>
        <w:tc>
          <w:tcPr>
            <w:tcW w:w="300" w:type="dxa"/>
            <w:vAlign w:val="bottom"/>
          </w:tcPr>
          <w:p>
            <w:pPr>
              <w:spacing w:after="0"/>
              <w:rPr>
                <w:sz w:val="19"/>
                <w:szCs w:val="19"/>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350.0</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348.1</w:t>
            </w:r>
          </w:p>
        </w:tc>
        <w:tc>
          <w:tcPr>
            <w:tcW w:w="940" w:type="dxa"/>
            <w:vAlign w:val="bottom"/>
          </w:tcPr>
          <w:p>
            <w:pPr>
              <w:jc w:val="center"/>
              <w:ind w:left="16"/>
              <w:spacing w:after="0"/>
              <w:rPr>
                <w:sz w:val="20"/>
                <w:szCs w:val="20"/>
                <w:color w:val="auto"/>
              </w:rPr>
            </w:pPr>
            <w:r>
              <w:rPr>
                <w:rFonts w:ascii="Times New Roman" w:cs="Times New Roman" w:eastAsia="Times New Roman" w:hAnsi="Times New Roman"/>
                <w:sz w:val="18"/>
                <w:szCs w:val="18"/>
                <w:color w:val="auto"/>
              </w:rPr>
              <w:t>3.525%</w:t>
            </w: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2032 Notes</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350.0</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347.2</w:t>
            </w:r>
          </w:p>
        </w:tc>
        <w:tc>
          <w:tcPr>
            <w:tcW w:w="940" w:type="dxa"/>
            <w:vAlign w:val="bottom"/>
            <w:shd w:val="clear" w:color="auto" w:fill="CCEEFF"/>
          </w:tcPr>
          <w:p>
            <w:pPr>
              <w:jc w:val="center"/>
              <w:ind w:left="16"/>
              <w:spacing w:after="0"/>
              <w:rPr>
                <w:sz w:val="20"/>
                <w:szCs w:val="20"/>
                <w:color w:val="auto"/>
              </w:rPr>
            </w:pPr>
            <w:r>
              <w:rPr>
                <w:rFonts w:ascii="Times New Roman" w:cs="Times New Roman" w:eastAsia="Times New Roman" w:hAnsi="Times New Roman"/>
                <w:sz w:val="18"/>
                <w:szCs w:val="18"/>
                <w:color w:val="auto"/>
              </w:rPr>
              <w:t>2.624%</w:t>
            </w:r>
          </w:p>
        </w:tc>
        <w:tc>
          <w:tcPr>
            <w:tcW w:w="0" w:type="dxa"/>
            <w:vAlign w:val="bottom"/>
          </w:tcPr>
          <w:p>
            <w:pPr>
              <w:spacing w:after="0"/>
              <w:rPr>
                <w:sz w:val="1"/>
                <w:szCs w:val="1"/>
                <w:color w:val="auto"/>
              </w:rPr>
            </w:pPr>
          </w:p>
        </w:tc>
      </w:tr>
      <w:tr>
        <w:trPr>
          <w:trHeight w:val="230"/>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2049 Notes</w:t>
            </w:r>
          </w:p>
        </w:tc>
        <w:tc>
          <w:tcPr>
            <w:tcW w:w="300" w:type="dxa"/>
            <w:vAlign w:val="bottom"/>
          </w:tcPr>
          <w:p>
            <w:pPr>
              <w:spacing w:after="0"/>
              <w:rPr>
                <w:sz w:val="19"/>
                <w:szCs w:val="19"/>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625.0</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631.8</w:t>
            </w:r>
          </w:p>
        </w:tc>
        <w:tc>
          <w:tcPr>
            <w:tcW w:w="940" w:type="dxa"/>
            <w:vAlign w:val="bottom"/>
          </w:tcPr>
          <w:p>
            <w:pPr>
              <w:jc w:val="center"/>
              <w:ind w:left="16"/>
              <w:spacing w:after="0"/>
              <w:rPr>
                <w:sz w:val="20"/>
                <w:szCs w:val="20"/>
                <w:color w:val="auto"/>
              </w:rPr>
            </w:pPr>
            <w:r>
              <w:rPr>
                <w:rFonts w:ascii="Times New Roman" w:cs="Times New Roman" w:eastAsia="Times New Roman" w:hAnsi="Times New Roman"/>
                <w:sz w:val="18"/>
                <w:szCs w:val="18"/>
                <w:color w:val="auto"/>
              </w:rPr>
              <w:t>5.103%</w:t>
            </w: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2052 Notes</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350.0</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346.0</w:t>
            </w:r>
          </w:p>
        </w:tc>
        <w:tc>
          <w:tcPr>
            <w:tcW w:w="940" w:type="dxa"/>
            <w:vAlign w:val="bottom"/>
            <w:shd w:val="clear" w:color="auto" w:fill="CCEEFF"/>
          </w:tcPr>
          <w:p>
            <w:pPr>
              <w:jc w:val="center"/>
              <w:ind w:left="16"/>
              <w:spacing w:after="0"/>
              <w:rPr>
                <w:sz w:val="20"/>
                <w:szCs w:val="20"/>
                <w:color w:val="auto"/>
              </w:rPr>
            </w:pPr>
            <w:r>
              <w:rPr>
                <w:rFonts w:ascii="Times New Roman" w:cs="Times New Roman" w:eastAsia="Times New Roman" w:hAnsi="Times New Roman"/>
                <w:sz w:val="18"/>
                <w:szCs w:val="18"/>
                <w:color w:val="auto"/>
              </w:rPr>
              <w:t>3.558%</w:t>
            </w:r>
          </w:p>
        </w:tc>
        <w:tc>
          <w:tcPr>
            <w:tcW w:w="0" w:type="dxa"/>
            <w:vAlign w:val="bottom"/>
          </w:tcPr>
          <w:p>
            <w:pPr>
              <w:spacing w:after="0"/>
              <w:rPr>
                <w:sz w:val="1"/>
                <w:szCs w:val="1"/>
                <w:color w:val="auto"/>
              </w:rPr>
            </w:pPr>
          </w:p>
        </w:tc>
      </w:tr>
      <w:tr>
        <w:trPr>
          <w:trHeight w:val="229"/>
        </w:trPr>
        <w:tc>
          <w:tcPr>
            <w:tcW w:w="5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41.9</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940" w:type="dxa"/>
            <w:vAlign w:val="bottom"/>
            <w:tcBorders>
              <w:bottom w:val="single" w:sz="8" w:color="CCEEFF"/>
            </w:tcBorders>
          </w:tcPr>
          <w:p>
            <w:pPr>
              <w:jc w:val="center"/>
              <w:ind w:left="16"/>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3"/>
        </w:trPr>
        <w:tc>
          <w:tcPr>
            <w:tcW w:w="55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2,741.9</w:t>
            </w:r>
          </w:p>
        </w:tc>
        <w:tc>
          <w:tcPr>
            <w:tcW w:w="20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2,735.5</w:t>
            </w: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 Current portion</w:t>
            </w:r>
          </w:p>
        </w:tc>
        <w:tc>
          <w:tcPr>
            <w:tcW w:w="30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9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30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2,733.3</w:t>
            </w:r>
          </w:p>
        </w:tc>
        <w:tc>
          <w:tcPr>
            <w:tcW w:w="94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Senior Notes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issuance, maturity and interest payment dates of the Company's senior unsecured 2027 Notes, 2029 Notes, 2030 Notes, 2032 Notes, 2049 Notes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2052 Notes (collectively, the "Notes") are shown below:</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640" w:type="dxa"/>
            <w:vAlign w:val="bottom"/>
            <w:tcBorders>
              <w:top w:val="single" w:sz="8" w:color="auto"/>
              <w:bottom w:val="single" w:sz="8" w:color="auto"/>
            </w:tcBorders>
          </w:tcPr>
          <w:p>
            <w:pPr>
              <w:jc w:val="right"/>
              <w:ind w:right="713"/>
              <w:spacing w:after="0"/>
              <w:rPr>
                <w:sz w:val="20"/>
                <w:szCs w:val="20"/>
                <w:color w:val="auto"/>
              </w:rPr>
            </w:pPr>
            <w:r>
              <w:rPr>
                <w:rFonts w:ascii="Times New Roman" w:cs="Times New Roman" w:eastAsia="Times New Roman" w:hAnsi="Times New Roman"/>
                <w:sz w:val="14"/>
                <w:szCs w:val="14"/>
                <w:color w:val="auto"/>
              </w:rPr>
              <w:t>Note</w:t>
            </w:r>
          </w:p>
        </w:tc>
        <w:tc>
          <w:tcPr>
            <w:tcW w:w="3560" w:type="dxa"/>
            <w:vAlign w:val="bottom"/>
            <w:tcBorders>
              <w:top w:val="single" w:sz="8" w:color="auto"/>
              <w:bottom w:val="single" w:sz="8" w:color="auto"/>
            </w:tcBorders>
          </w:tcPr>
          <w:p>
            <w:pPr>
              <w:jc w:val="center"/>
              <w:ind w:left="33"/>
              <w:spacing w:after="0"/>
              <w:rPr>
                <w:sz w:val="20"/>
                <w:szCs w:val="20"/>
                <w:color w:val="auto"/>
              </w:rPr>
            </w:pPr>
            <w:r>
              <w:rPr>
                <w:rFonts w:ascii="Times New Roman" w:cs="Times New Roman" w:eastAsia="Times New Roman" w:hAnsi="Times New Roman"/>
                <w:sz w:val="14"/>
                <w:szCs w:val="14"/>
                <w:color w:val="auto"/>
              </w:rPr>
              <w:t>Issuance Date</w:t>
            </w:r>
          </w:p>
        </w:tc>
        <w:tc>
          <w:tcPr>
            <w:tcW w:w="2420" w:type="dxa"/>
            <w:vAlign w:val="bottom"/>
            <w:tcBorders>
              <w:top w:val="single" w:sz="8" w:color="auto"/>
              <w:bottom w:val="single" w:sz="8" w:color="auto"/>
            </w:tcBorders>
          </w:tcPr>
          <w:p>
            <w:pPr>
              <w:jc w:val="center"/>
              <w:ind w:left="193"/>
              <w:spacing w:after="0"/>
              <w:rPr>
                <w:sz w:val="20"/>
                <w:szCs w:val="20"/>
                <w:color w:val="auto"/>
              </w:rPr>
            </w:pPr>
            <w:r>
              <w:rPr>
                <w:rFonts w:ascii="Times New Roman" w:cs="Times New Roman" w:eastAsia="Times New Roman" w:hAnsi="Times New Roman"/>
                <w:sz w:val="14"/>
                <w:szCs w:val="14"/>
                <w:color w:val="auto"/>
              </w:rPr>
              <w:t>Maturity Date</w:t>
            </w:r>
          </w:p>
        </w:tc>
        <w:tc>
          <w:tcPr>
            <w:tcW w:w="27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Interest Payment Dates</w:t>
            </w:r>
          </w:p>
        </w:tc>
      </w:tr>
      <w:tr>
        <w:trPr>
          <w:trHeight w:val="230"/>
        </w:trPr>
        <w:tc>
          <w:tcPr>
            <w:tcW w:w="1640" w:type="dxa"/>
            <w:vAlign w:val="bottom"/>
            <w:shd w:val="clear" w:color="auto" w:fill="CCEEFF"/>
          </w:tcPr>
          <w:p>
            <w:pPr>
              <w:jc w:val="right"/>
              <w:ind w:right="693"/>
              <w:spacing w:after="0"/>
              <w:rPr>
                <w:sz w:val="20"/>
                <w:szCs w:val="20"/>
                <w:color w:val="auto"/>
              </w:rPr>
            </w:pPr>
            <w:r>
              <w:rPr>
                <w:rFonts w:ascii="Times New Roman" w:cs="Times New Roman" w:eastAsia="Times New Roman" w:hAnsi="Times New Roman"/>
                <w:sz w:val="18"/>
                <w:szCs w:val="18"/>
                <w:color w:val="auto"/>
              </w:rPr>
              <w:t>2027 Notes</w:t>
            </w:r>
          </w:p>
        </w:tc>
        <w:tc>
          <w:tcPr>
            <w:tcW w:w="3560" w:type="dxa"/>
            <w:vAlign w:val="bottom"/>
            <w:shd w:val="clear" w:color="auto" w:fill="CCEEFF"/>
          </w:tcPr>
          <w:p>
            <w:pPr>
              <w:jc w:val="center"/>
              <w:ind w:left="33"/>
              <w:spacing w:after="0"/>
              <w:rPr>
                <w:sz w:val="20"/>
                <w:szCs w:val="20"/>
                <w:color w:val="auto"/>
              </w:rPr>
            </w:pPr>
            <w:r>
              <w:rPr>
                <w:rFonts w:ascii="Times New Roman" w:cs="Times New Roman" w:eastAsia="Times New Roman" w:hAnsi="Times New Roman"/>
                <w:sz w:val="18"/>
                <w:szCs w:val="18"/>
                <w:color w:val="auto"/>
                <w:w w:val="99"/>
              </w:rPr>
              <w:t>August 2017</w:t>
            </w:r>
          </w:p>
        </w:tc>
        <w:tc>
          <w:tcPr>
            <w:tcW w:w="2420" w:type="dxa"/>
            <w:vAlign w:val="bottom"/>
            <w:shd w:val="clear" w:color="auto" w:fill="CCEEFF"/>
          </w:tcPr>
          <w:p>
            <w:pPr>
              <w:jc w:val="center"/>
              <w:ind w:left="193"/>
              <w:spacing w:after="0"/>
              <w:rPr>
                <w:sz w:val="20"/>
                <w:szCs w:val="20"/>
                <w:color w:val="auto"/>
              </w:rPr>
            </w:pPr>
            <w:r>
              <w:rPr>
                <w:rFonts w:ascii="Times New Roman" w:cs="Times New Roman" w:eastAsia="Times New Roman" w:hAnsi="Times New Roman"/>
                <w:sz w:val="18"/>
                <w:szCs w:val="18"/>
                <w:color w:val="auto"/>
              </w:rPr>
              <w:t>September 15, 2027</w:t>
            </w:r>
          </w:p>
        </w:tc>
        <w:tc>
          <w:tcPr>
            <w:tcW w:w="2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March 15 and September 15</w:t>
            </w:r>
          </w:p>
        </w:tc>
      </w:tr>
      <w:tr>
        <w:trPr>
          <w:trHeight w:val="229"/>
        </w:trPr>
        <w:tc>
          <w:tcPr>
            <w:tcW w:w="1640" w:type="dxa"/>
            <w:vAlign w:val="bottom"/>
          </w:tcPr>
          <w:p>
            <w:pPr>
              <w:jc w:val="right"/>
              <w:ind w:right="693"/>
              <w:spacing w:after="0"/>
              <w:rPr>
                <w:sz w:val="20"/>
                <w:szCs w:val="20"/>
                <w:color w:val="auto"/>
              </w:rPr>
            </w:pPr>
            <w:r>
              <w:rPr>
                <w:rFonts w:ascii="Times New Roman" w:cs="Times New Roman" w:eastAsia="Times New Roman" w:hAnsi="Times New Roman"/>
                <w:sz w:val="18"/>
                <w:szCs w:val="18"/>
                <w:color w:val="auto"/>
              </w:rPr>
              <w:t>2029 Notes</w:t>
            </w:r>
          </w:p>
        </w:tc>
        <w:tc>
          <w:tcPr>
            <w:tcW w:w="3560" w:type="dxa"/>
            <w:vAlign w:val="bottom"/>
          </w:tcPr>
          <w:p>
            <w:pPr>
              <w:jc w:val="center"/>
              <w:ind w:left="53"/>
              <w:spacing w:after="0"/>
              <w:rPr>
                <w:sz w:val="20"/>
                <w:szCs w:val="20"/>
                <w:color w:val="auto"/>
              </w:rPr>
            </w:pPr>
            <w:r>
              <w:rPr>
                <w:rFonts w:ascii="Times New Roman" w:cs="Times New Roman" w:eastAsia="Times New Roman" w:hAnsi="Times New Roman"/>
                <w:sz w:val="18"/>
                <w:szCs w:val="18"/>
                <w:color w:val="auto"/>
              </w:rPr>
              <w:t>May 2019</w:t>
            </w:r>
          </w:p>
        </w:tc>
        <w:tc>
          <w:tcPr>
            <w:tcW w:w="2420" w:type="dxa"/>
            <w:vAlign w:val="bottom"/>
          </w:tcPr>
          <w:p>
            <w:pPr>
              <w:jc w:val="center"/>
              <w:ind w:left="193"/>
              <w:spacing w:after="0"/>
              <w:rPr>
                <w:sz w:val="20"/>
                <w:szCs w:val="20"/>
                <w:color w:val="auto"/>
              </w:rPr>
            </w:pPr>
            <w:r>
              <w:rPr>
                <w:rFonts w:ascii="Times New Roman" w:cs="Times New Roman" w:eastAsia="Times New Roman" w:hAnsi="Times New Roman"/>
                <w:sz w:val="18"/>
                <w:szCs w:val="18"/>
                <w:color w:val="auto"/>
              </w:rPr>
              <w:t>May 15, 2029</w:t>
            </w:r>
          </w:p>
        </w:tc>
        <w:tc>
          <w:tcPr>
            <w:tcW w:w="2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May 15 and November 15</w:t>
            </w:r>
          </w:p>
        </w:tc>
      </w:tr>
      <w:tr>
        <w:trPr>
          <w:trHeight w:val="230"/>
        </w:trPr>
        <w:tc>
          <w:tcPr>
            <w:tcW w:w="1640" w:type="dxa"/>
            <w:vAlign w:val="bottom"/>
            <w:shd w:val="clear" w:color="auto" w:fill="CCEEFF"/>
          </w:tcPr>
          <w:p>
            <w:pPr>
              <w:jc w:val="right"/>
              <w:ind w:right="693"/>
              <w:spacing w:after="0"/>
              <w:rPr>
                <w:sz w:val="20"/>
                <w:szCs w:val="20"/>
                <w:color w:val="auto"/>
              </w:rPr>
            </w:pPr>
            <w:r>
              <w:rPr>
                <w:rFonts w:ascii="Times New Roman" w:cs="Times New Roman" w:eastAsia="Times New Roman" w:hAnsi="Times New Roman"/>
                <w:sz w:val="18"/>
                <w:szCs w:val="18"/>
                <w:color w:val="auto"/>
              </w:rPr>
              <w:t>2030 Notes</w:t>
            </w:r>
          </w:p>
        </w:tc>
        <w:tc>
          <w:tcPr>
            <w:tcW w:w="3560" w:type="dxa"/>
            <w:vAlign w:val="bottom"/>
            <w:shd w:val="clear" w:color="auto" w:fill="CCEEFF"/>
          </w:tcPr>
          <w:p>
            <w:pPr>
              <w:jc w:val="center"/>
              <w:ind w:left="53"/>
              <w:spacing w:after="0"/>
              <w:rPr>
                <w:sz w:val="20"/>
                <w:szCs w:val="20"/>
                <w:color w:val="auto"/>
              </w:rPr>
            </w:pPr>
            <w:r>
              <w:rPr>
                <w:rFonts w:ascii="Times New Roman" w:cs="Times New Roman" w:eastAsia="Times New Roman" w:hAnsi="Times New Roman"/>
                <w:sz w:val="18"/>
                <w:szCs w:val="18"/>
                <w:color w:val="auto"/>
              </w:rPr>
              <w:t>February 2020</w:t>
            </w:r>
          </w:p>
        </w:tc>
        <w:tc>
          <w:tcPr>
            <w:tcW w:w="2420" w:type="dxa"/>
            <w:vAlign w:val="bottom"/>
            <w:shd w:val="clear" w:color="auto" w:fill="CCEEFF"/>
          </w:tcPr>
          <w:p>
            <w:pPr>
              <w:jc w:val="center"/>
              <w:ind w:left="193"/>
              <w:spacing w:after="0"/>
              <w:rPr>
                <w:sz w:val="20"/>
                <w:szCs w:val="20"/>
                <w:color w:val="auto"/>
              </w:rPr>
            </w:pPr>
            <w:r>
              <w:rPr>
                <w:rFonts w:ascii="Times New Roman" w:cs="Times New Roman" w:eastAsia="Times New Roman" w:hAnsi="Times New Roman"/>
                <w:sz w:val="18"/>
                <w:szCs w:val="18"/>
                <w:color w:val="auto"/>
              </w:rPr>
              <w:t>May 30, 2030</w:t>
            </w:r>
          </w:p>
        </w:tc>
        <w:tc>
          <w:tcPr>
            <w:tcW w:w="2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May 30 and November 30</w:t>
            </w:r>
          </w:p>
        </w:tc>
      </w:tr>
      <w:tr>
        <w:trPr>
          <w:trHeight w:val="230"/>
        </w:trPr>
        <w:tc>
          <w:tcPr>
            <w:tcW w:w="1640" w:type="dxa"/>
            <w:vAlign w:val="bottom"/>
          </w:tcPr>
          <w:p>
            <w:pPr>
              <w:jc w:val="right"/>
              <w:ind w:right="693"/>
              <w:spacing w:after="0"/>
              <w:rPr>
                <w:sz w:val="20"/>
                <w:szCs w:val="20"/>
                <w:color w:val="auto"/>
              </w:rPr>
            </w:pPr>
            <w:r>
              <w:rPr>
                <w:rFonts w:ascii="Times New Roman" w:cs="Times New Roman" w:eastAsia="Times New Roman" w:hAnsi="Times New Roman"/>
                <w:sz w:val="18"/>
                <w:szCs w:val="18"/>
                <w:color w:val="auto"/>
              </w:rPr>
              <w:t>2032 Notes</w:t>
            </w:r>
          </w:p>
        </w:tc>
        <w:tc>
          <w:tcPr>
            <w:tcW w:w="3560" w:type="dxa"/>
            <w:vAlign w:val="bottom"/>
          </w:tcPr>
          <w:p>
            <w:pPr>
              <w:jc w:val="center"/>
              <w:ind w:left="33"/>
              <w:spacing w:after="0"/>
              <w:rPr>
                <w:sz w:val="20"/>
                <w:szCs w:val="20"/>
                <w:color w:val="auto"/>
              </w:rPr>
            </w:pPr>
            <w:r>
              <w:rPr>
                <w:rFonts w:ascii="Times New Roman" w:cs="Times New Roman" w:eastAsia="Times New Roman" w:hAnsi="Times New Roman"/>
                <w:sz w:val="18"/>
                <w:szCs w:val="18"/>
                <w:color w:val="auto"/>
                <w:w w:val="99"/>
              </w:rPr>
              <w:t>November 2021</w:t>
            </w:r>
          </w:p>
        </w:tc>
        <w:tc>
          <w:tcPr>
            <w:tcW w:w="2420" w:type="dxa"/>
            <w:vAlign w:val="bottom"/>
          </w:tcPr>
          <w:p>
            <w:pPr>
              <w:jc w:val="center"/>
              <w:ind w:left="193"/>
              <w:spacing w:after="0"/>
              <w:rPr>
                <w:sz w:val="20"/>
                <w:szCs w:val="20"/>
                <w:color w:val="auto"/>
              </w:rPr>
            </w:pPr>
            <w:r>
              <w:rPr>
                <w:rFonts w:ascii="Times New Roman" w:cs="Times New Roman" w:eastAsia="Times New Roman" w:hAnsi="Times New Roman"/>
                <w:sz w:val="18"/>
                <w:szCs w:val="18"/>
                <w:color w:val="auto"/>
                <w:w w:val="98"/>
              </w:rPr>
              <w:t>January 15, 2032</w:t>
            </w:r>
          </w:p>
        </w:tc>
        <w:tc>
          <w:tcPr>
            <w:tcW w:w="2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January 15 and July 15</w:t>
            </w:r>
          </w:p>
        </w:tc>
      </w:tr>
      <w:tr>
        <w:trPr>
          <w:trHeight w:val="230"/>
        </w:trPr>
        <w:tc>
          <w:tcPr>
            <w:tcW w:w="1640" w:type="dxa"/>
            <w:vAlign w:val="bottom"/>
            <w:shd w:val="clear" w:color="auto" w:fill="CCEEFF"/>
          </w:tcPr>
          <w:p>
            <w:pPr>
              <w:jc w:val="right"/>
              <w:ind w:right="693"/>
              <w:spacing w:after="0"/>
              <w:rPr>
                <w:sz w:val="20"/>
                <w:szCs w:val="20"/>
                <w:color w:val="auto"/>
              </w:rPr>
            </w:pPr>
            <w:r>
              <w:rPr>
                <w:rFonts w:ascii="Times New Roman" w:cs="Times New Roman" w:eastAsia="Times New Roman" w:hAnsi="Times New Roman"/>
                <w:sz w:val="18"/>
                <w:szCs w:val="18"/>
                <w:color w:val="auto"/>
              </w:rPr>
              <w:t>2049 Notes</w:t>
            </w:r>
          </w:p>
        </w:tc>
        <w:tc>
          <w:tcPr>
            <w:tcW w:w="3560" w:type="dxa"/>
            <w:vAlign w:val="bottom"/>
            <w:shd w:val="clear" w:color="auto" w:fill="CCEEFF"/>
          </w:tcPr>
          <w:p>
            <w:pPr>
              <w:jc w:val="center"/>
              <w:ind w:left="53"/>
              <w:spacing w:after="0"/>
              <w:rPr>
                <w:sz w:val="20"/>
                <w:szCs w:val="20"/>
                <w:color w:val="auto"/>
              </w:rPr>
            </w:pPr>
            <w:r>
              <w:rPr>
                <w:rFonts w:ascii="Times New Roman" w:cs="Times New Roman" w:eastAsia="Times New Roman" w:hAnsi="Times New Roman"/>
                <w:sz w:val="18"/>
                <w:szCs w:val="18"/>
                <w:color w:val="auto"/>
                <w:w w:val="99"/>
              </w:rPr>
              <w:t>May 2019 and February 2020</w:t>
            </w:r>
          </w:p>
        </w:tc>
        <w:tc>
          <w:tcPr>
            <w:tcW w:w="2420" w:type="dxa"/>
            <w:vAlign w:val="bottom"/>
            <w:shd w:val="clear" w:color="auto" w:fill="CCEEFF"/>
          </w:tcPr>
          <w:p>
            <w:pPr>
              <w:jc w:val="center"/>
              <w:ind w:left="193"/>
              <w:spacing w:after="0"/>
              <w:rPr>
                <w:sz w:val="20"/>
                <w:szCs w:val="20"/>
                <w:color w:val="auto"/>
              </w:rPr>
            </w:pPr>
            <w:r>
              <w:rPr>
                <w:rFonts w:ascii="Times New Roman" w:cs="Times New Roman" w:eastAsia="Times New Roman" w:hAnsi="Times New Roman"/>
                <w:sz w:val="18"/>
                <w:szCs w:val="18"/>
                <w:color w:val="auto"/>
              </w:rPr>
              <w:t>May 15, 2049</w:t>
            </w:r>
          </w:p>
        </w:tc>
        <w:tc>
          <w:tcPr>
            <w:tcW w:w="2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May 15 and November 15</w:t>
            </w:r>
          </w:p>
        </w:tc>
      </w:tr>
      <w:tr>
        <w:trPr>
          <w:trHeight w:val="236"/>
        </w:trPr>
        <w:tc>
          <w:tcPr>
            <w:tcW w:w="1640" w:type="dxa"/>
            <w:vAlign w:val="bottom"/>
            <w:tcBorders>
              <w:bottom w:val="single" w:sz="8" w:color="auto"/>
            </w:tcBorders>
          </w:tcPr>
          <w:p>
            <w:pPr>
              <w:jc w:val="right"/>
              <w:ind w:right="693"/>
              <w:spacing w:after="0"/>
              <w:rPr>
                <w:sz w:val="20"/>
                <w:szCs w:val="20"/>
                <w:color w:val="auto"/>
              </w:rPr>
            </w:pPr>
            <w:r>
              <w:rPr>
                <w:rFonts w:ascii="Times New Roman" w:cs="Times New Roman" w:eastAsia="Times New Roman" w:hAnsi="Times New Roman"/>
                <w:sz w:val="18"/>
                <w:szCs w:val="18"/>
                <w:color w:val="auto"/>
              </w:rPr>
              <w:t>2052 Notes</w:t>
            </w:r>
          </w:p>
        </w:tc>
        <w:tc>
          <w:tcPr>
            <w:tcW w:w="3560" w:type="dxa"/>
            <w:vAlign w:val="bottom"/>
            <w:tcBorders>
              <w:bottom w:val="single" w:sz="8" w:color="auto"/>
            </w:tcBorders>
          </w:tcPr>
          <w:p>
            <w:pPr>
              <w:jc w:val="center"/>
              <w:ind w:left="33"/>
              <w:spacing w:after="0"/>
              <w:rPr>
                <w:sz w:val="20"/>
                <w:szCs w:val="20"/>
                <w:color w:val="auto"/>
              </w:rPr>
            </w:pPr>
            <w:r>
              <w:rPr>
                <w:rFonts w:ascii="Times New Roman" w:cs="Times New Roman" w:eastAsia="Times New Roman" w:hAnsi="Times New Roman"/>
                <w:sz w:val="18"/>
                <w:szCs w:val="18"/>
                <w:color w:val="auto"/>
                <w:w w:val="99"/>
              </w:rPr>
              <w:t>November 2021</w:t>
            </w:r>
          </w:p>
        </w:tc>
        <w:tc>
          <w:tcPr>
            <w:tcW w:w="2420" w:type="dxa"/>
            <w:vAlign w:val="bottom"/>
            <w:tcBorders>
              <w:bottom w:val="single" w:sz="8" w:color="auto"/>
            </w:tcBorders>
          </w:tcPr>
          <w:p>
            <w:pPr>
              <w:jc w:val="center"/>
              <w:ind w:left="193"/>
              <w:spacing w:after="0"/>
              <w:rPr>
                <w:sz w:val="20"/>
                <w:szCs w:val="20"/>
                <w:color w:val="auto"/>
              </w:rPr>
            </w:pPr>
            <w:r>
              <w:rPr>
                <w:rFonts w:ascii="Times New Roman" w:cs="Times New Roman" w:eastAsia="Times New Roman" w:hAnsi="Times New Roman"/>
                <w:sz w:val="18"/>
                <w:szCs w:val="18"/>
                <w:color w:val="auto"/>
                <w:w w:val="98"/>
              </w:rPr>
              <w:t>January 15, 2052</w:t>
            </w:r>
          </w:p>
        </w:tc>
        <w:tc>
          <w:tcPr>
            <w:tcW w:w="2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January 15 and July 15</w:t>
            </w: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2027 Notes Issued in 2017</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Prior to June 15, 2027, the Company, at its option, may redeem the 2027 Notes, in whole or in part, at a redemption price equal to 100% of the principal amount thereof, plus a "make-whole" premium as of, and accrued and unpaid interest to, the redemption date. On or after June 15, 2027, but prior to the maturity date of September 15, 2027, the Company, at its option, may redeem the 2027 Notes, in whole or in part, at a redemption price equal to 100% of the principal amount thereof, plus accrued and unpaid interest to the redemption date.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2029 Notes Issued in 2019</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Prior to February 15, 2029, the Company, at its option, may redeem the 2029 Notes, in whole or in part, at a redemption price equal to 100% of the principal amount thereof, plus the applicable premium, if any, as of, and accrued and unpaid interest to, but not including, the redemption date. On or after February 15, 2029, the Company, at its option, may redeem the 2029 Notes, at any time, in whole or in part, on not less than 15 nor more than 60 days' prior notice, at a redemption price equal to 100% of the principal amount thereof, plus accrued and unpaid interest to, but not including, the redemption date.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2049 Notes Issued in 2019 and 2020</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Prior to November 15, 2048, the Company, at its option, may redeem the 2049 Notes, in whole or in part, at a redemption price equal to 100% of the principal amount thereof, plus the applicable premium, if any, as of, and accrued and unpaid interest to, but not including, the redemption date. On or after November 15, 2048, the Company, at its option, may redeem the 2049 Notes, at any time, in whole or in part, on not less than 15 nor more than 60 days' prior notice, at a redemption price equal to 100% of the principal amount thereof, plus accrued and unpaid interest to, but not including, the redemption date.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Lear Corporation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2030 Notes Issued in 2020</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Prior to February 28, 2030, the Company, at its option, may redeem the 2030 Notes, in whole or in part, at a redemption price equal to 100% of the principal amount thereof, plus the applicable premium, if any, as of, and accrued and unpaid interest to, but not including, the redemption date. On or after February 28, 2030, the Company, at its option, may redeem the 2030 Notes, at any time, in whole or in part, on not less than 15 nor more than 60 days' prior notice, at a redemption price equal to 100% of the principal amount thereof, plus accrued and unpaid interest to, but not including, the redemption date.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2032 Notes and 2052 Notes Issued in 2021</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Prior to October 15, 2031, the Company, at its option, may redeem the 2032 Notes, in whole or in part, at a redemption price equal to 100% of the principal amount thereof, plus the applicable premium, if any, as of, and accrued and unpaid interest to, but not including, the redemption date. On or after October 15, 2031, the Company, at its option, may redeem the 2032 Notes, at any time, in whole or in part, on not less than 15 nor more than 60 days' prior notice, at a redemption price equal to 100% of the principal amount thereof, plus accrued and unpaid interest to, but not including, the redemption date.</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Prior to July 15, 2051, the Company, at its option, may redeem the 2052 Notes, in whole or in part, at a redemption price equal to 100% of the principal amount thereof, plus the applicable premium, if any, as of, and accrued and unpaid interest to, but not including, the redemption date. On or after July 15, 2051, the Company, at its option, may redeem the 2052 Notes, at any time, in whole or in part, on not less than 15 nor more than 60 days' prior notice, at a redemption price equal to 100% of the principal amount thereof, plus accrued and unpaid interest to, but not including, the redemption date.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Subject to certain exceptions, the indentures governing the Notes contain restrictive covenants that, among other things, limit the ability of the Company to:</w:t>
      </w:r>
    </w:p>
    <w:p>
      <w:pPr>
        <w:spacing w:after="0" w:line="27" w:lineRule="exact"/>
        <w:rPr>
          <w:sz w:val="20"/>
          <w:szCs w:val="20"/>
          <w:color w:val="auto"/>
        </w:rPr>
      </w:pPr>
    </w:p>
    <w:p>
      <w:pPr>
        <w:jc w:val="both"/>
        <w:ind w:firstLine="8"/>
        <w:spacing w:after="0" w:line="255" w:lineRule="auto"/>
        <w:tabs>
          <w:tab w:leader="none" w:pos="2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or permit certain liens and (ii) consolidate, merge or sell all or substantially all of the Company's assets. The indentures governing the Notes also provide for customary events of default. As of December 31, 2025, the Company was in compliance with all covenants under the indentures governing the Notes.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Credit Agreement</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July 2025, the Company amended and restated its unsecured credit agreement (the "Credit Agreement") to extend the maturity date to July 24, 2030. The Credit Agreement consists of a $2.0 billion revolving credit facility (the "Revolving Credit Facility"). In connection with this transaction, the Company recognized a loss on the extinguishment of debt of $0.3 million, which is included in other expense, net in the accompanying consolidated statement of income for year ended December 31, 2025, and incurred related issuance costs of $3.2 million, which are included in other financing activities in the accompanying consolidated statement of cash flows for the year ended December 31, 2025.</w:t>
      </w:r>
    </w:p>
    <w:p>
      <w:pPr>
        <w:spacing w:after="0" w:line="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2025, 2024 and 2023, there were no borrowings or repayments under the Revolving Credit Facility. As of December 31, 2025 and 2024, there were no borrowings outstanding under the Revolving Credit Facility.</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Advances under the Revolving Credit Facility generally bear interest based on (i) Term Benchmark, Central Bank Rate and Risk Free Rate ("RFR") (in each case, as defined in the Credit Agreement) or (ii) Alternate Base Rate ("ABR") and Canadian Prime Rate (in each case, as defined in the Credit Agreement). As of December 31, 2025, the ranges and rates are as follows (in percentages):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640" w:type="dxa"/>
            <w:vAlign w:val="bottom"/>
            <w:tcBorders>
              <w:top w:val="single" w:sz="8" w:color="auto"/>
            </w:tcBorders>
          </w:tcPr>
          <w:p>
            <w:pPr>
              <w:spacing w:after="0"/>
              <w:rPr>
                <w:sz w:val="14"/>
                <w:szCs w:val="14"/>
                <w:color w:val="auto"/>
              </w:rPr>
            </w:pPr>
          </w:p>
        </w:tc>
        <w:tc>
          <w:tcPr>
            <w:tcW w:w="3920" w:type="dxa"/>
            <w:vAlign w:val="bottom"/>
            <w:tcBorders>
              <w:top w:val="single" w:sz="8" w:color="auto"/>
            </w:tcBorders>
            <w:gridSpan w:val="3"/>
          </w:tcPr>
          <w:p>
            <w:pPr>
              <w:jc w:val="right"/>
              <w:ind w:right="922"/>
              <w:spacing w:after="0"/>
              <w:rPr>
                <w:sz w:val="20"/>
                <w:szCs w:val="20"/>
                <w:color w:val="auto"/>
              </w:rPr>
            </w:pPr>
            <w:r>
              <w:rPr>
                <w:rFonts w:ascii="Times New Roman" w:cs="Times New Roman" w:eastAsia="Times New Roman" w:hAnsi="Times New Roman"/>
                <w:sz w:val="14"/>
                <w:szCs w:val="14"/>
                <w:color w:val="auto"/>
              </w:rPr>
              <w:t>Term Benchmark, Central Bank Rate</w:t>
            </w:r>
          </w:p>
        </w:tc>
        <w:tc>
          <w:tcPr>
            <w:tcW w:w="3680" w:type="dxa"/>
            <w:vAlign w:val="bottom"/>
            <w:tcBorders>
              <w:top w:val="single" w:sz="8" w:color="auto"/>
            </w:tcBorders>
            <w:gridSpan w:val="3"/>
            <w:vMerge w:val="restart"/>
          </w:tcPr>
          <w:p>
            <w:pPr>
              <w:jc w:val="right"/>
              <w:ind w:right="702"/>
              <w:spacing w:after="0"/>
              <w:rPr>
                <w:sz w:val="20"/>
                <w:szCs w:val="20"/>
                <w:color w:val="auto"/>
              </w:rPr>
            </w:pPr>
            <w:r>
              <w:rPr>
                <w:rFonts w:ascii="Times New Roman" w:cs="Times New Roman" w:eastAsia="Times New Roman" w:hAnsi="Times New Roman"/>
                <w:sz w:val="14"/>
                <w:szCs w:val="14"/>
                <w:color w:val="auto"/>
              </w:rPr>
              <w:t>ABR and Canadian Prime Rate Loans</w:t>
            </w:r>
          </w:p>
        </w:tc>
        <w:tc>
          <w:tcPr>
            <w:tcW w:w="0" w:type="dxa"/>
            <w:vAlign w:val="bottom"/>
          </w:tcPr>
          <w:p>
            <w:pPr>
              <w:spacing w:after="0"/>
              <w:rPr>
                <w:sz w:val="1"/>
                <w:szCs w:val="1"/>
                <w:color w:val="auto"/>
              </w:rPr>
            </w:pPr>
          </w:p>
        </w:tc>
      </w:tr>
      <w:tr>
        <w:trPr>
          <w:trHeight w:val="193"/>
        </w:trPr>
        <w:tc>
          <w:tcPr>
            <w:tcW w:w="364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and RFR Loans</w:t>
            </w:r>
          </w:p>
        </w:tc>
        <w:tc>
          <w:tcPr>
            <w:tcW w:w="1520" w:type="dxa"/>
            <w:vAlign w:val="bottom"/>
            <w:tcBorders>
              <w:bottom w:val="single" w:sz="8" w:color="auto"/>
            </w:tcBorders>
          </w:tcPr>
          <w:p>
            <w:pPr>
              <w:spacing w:after="0"/>
              <w:rPr>
                <w:sz w:val="16"/>
                <w:szCs w:val="16"/>
                <w:color w:val="auto"/>
              </w:rPr>
            </w:pPr>
          </w:p>
        </w:tc>
        <w:tc>
          <w:tcPr>
            <w:tcW w:w="368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3640" w:type="dxa"/>
            <w:vAlign w:val="bottom"/>
          </w:tcPr>
          <w:p>
            <w:pPr>
              <w:spacing w:after="0"/>
              <w:rPr>
                <w:sz w:val="11"/>
                <w:szCs w:val="11"/>
                <w:color w:val="auto"/>
              </w:rPr>
            </w:pPr>
          </w:p>
        </w:tc>
        <w:tc>
          <w:tcPr>
            <w:tcW w:w="1240" w:type="dxa"/>
            <w:vAlign w:val="bottom"/>
            <w:vMerge w:val="restart"/>
          </w:tcPr>
          <w:p>
            <w:pPr>
              <w:jc w:val="right"/>
              <w:ind w:right="342"/>
              <w:spacing w:after="0"/>
              <w:rPr>
                <w:sz w:val="20"/>
                <w:szCs w:val="20"/>
                <w:color w:val="auto"/>
              </w:rPr>
            </w:pPr>
            <w:r>
              <w:rPr>
                <w:rFonts w:ascii="Times New Roman" w:cs="Times New Roman" w:eastAsia="Times New Roman" w:hAnsi="Times New Roman"/>
                <w:sz w:val="14"/>
                <w:szCs w:val="14"/>
                <w:color w:val="auto"/>
              </w:rPr>
              <w:t>Minimum</w:t>
            </w:r>
          </w:p>
        </w:tc>
        <w:tc>
          <w:tcPr>
            <w:tcW w:w="1160" w:type="dxa"/>
            <w:vAlign w:val="bottom"/>
            <w:vMerge w:val="restart"/>
          </w:tcPr>
          <w:p>
            <w:pPr>
              <w:ind w:left="180"/>
              <w:spacing w:after="0"/>
              <w:rPr>
                <w:sz w:val="20"/>
                <w:szCs w:val="20"/>
                <w:color w:val="auto"/>
              </w:rPr>
            </w:pPr>
            <w:r>
              <w:rPr>
                <w:rFonts w:ascii="Times New Roman" w:cs="Times New Roman" w:eastAsia="Times New Roman" w:hAnsi="Times New Roman"/>
                <w:sz w:val="14"/>
                <w:szCs w:val="14"/>
                <w:color w:val="auto"/>
              </w:rPr>
              <w:t>Maximum</w:t>
            </w:r>
          </w:p>
        </w:tc>
        <w:tc>
          <w:tcPr>
            <w:tcW w:w="1520" w:type="dxa"/>
            <w:vAlign w:val="bottom"/>
          </w:tcPr>
          <w:p>
            <w:pPr>
              <w:jc w:val="center"/>
              <w:ind w:right="102"/>
              <w:spacing w:after="0" w:line="138" w:lineRule="exact"/>
              <w:rPr>
                <w:sz w:val="20"/>
                <w:szCs w:val="20"/>
                <w:color w:val="auto"/>
              </w:rPr>
            </w:pPr>
            <w:r>
              <w:rPr>
                <w:rFonts w:ascii="Times New Roman" w:cs="Times New Roman" w:eastAsia="Times New Roman" w:hAnsi="Times New Roman"/>
                <w:sz w:val="14"/>
                <w:szCs w:val="14"/>
                <w:color w:val="auto"/>
              </w:rPr>
              <w:t>Rate as of</w:t>
            </w:r>
          </w:p>
        </w:tc>
        <w:tc>
          <w:tcPr>
            <w:tcW w:w="1180" w:type="dxa"/>
            <w:vAlign w:val="bottom"/>
            <w:vMerge w:val="restart"/>
          </w:tcPr>
          <w:p>
            <w:pPr>
              <w:jc w:val="right"/>
              <w:ind w:right="342"/>
              <w:spacing w:after="0"/>
              <w:rPr>
                <w:sz w:val="20"/>
                <w:szCs w:val="20"/>
                <w:color w:val="auto"/>
              </w:rPr>
            </w:pPr>
            <w:r>
              <w:rPr>
                <w:rFonts w:ascii="Times New Roman" w:cs="Times New Roman" w:eastAsia="Times New Roman" w:hAnsi="Times New Roman"/>
                <w:sz w:val="14"/>
                <w:szCs w:val="14"/>
                <w:color w:val="auto"/>
              </w:rPr>
              <w:t>Minimum</w:t>
            </w:r>
          </w:p>
        </w:tc>
        <w:tc>
          <w:tcPr>
            <w:tcW w:w="1140" w:type="dxa"/>
            <w:vAlign w:val="bottom"/>
            <w:vMerge w:val="restart"/>
          </w:tcPr>
          <w:p>
            <w:pPr>
              <w:jc w:val="right"/>
              <w:ind w:right="279"/>
              <w:spacing w:after="0"/>
              <w:rPr>
                <w:sz w:val="20"/>
                <w:szCs w:val="20"/>
                <w:color w:val="auto"/>
              </w:rPr>
            </w:pPr>
            <w:r>
              <w:rPr>
                <w:rFonts w:ascii="Times New Roman" w:cs="Times New Roman" w:eastAsia="Times New Roman" w:hAnsi="Times New Roman"/>
                <w:sz w:val="14"/>
                <w:szCs w:val="14"/>
                <w:color w:val="auto"/>
              </w:rPr>
              <w:t>Maximum</w:t>
            </w:r>
          </w:p>
        </w:tc>
        <w:tc>
          <w:tcPr>
            <w:tcW w:w="1360" w:type="dxa"/>
            <w:vAlign w:val="bottom"/>
          </w:tcPr>
          <w:p>
            <w:pPr>
              <w:jc w:val="center"/>
              <w:spacing w:after="0" w:line="138" w:lineRule="exact"/>
              <w:rPr>
                <w:sz w:val="20"/>
                <w:szCs w:val="20"/>
                <w:color w:val="auto"/>
              </w:rPr>
            </w:pPr>
            <w:r>
              <w:rPr>
                <w:rFonts w:ascii="Times New Roman" w:cs="Times New Roman" w:eastAsia="Times New Roman" w:hAnsi="Times New Roman"/>
                <w:sz w:val="14"/>
                <w:szCs w:val="14"/>
                <w:color w:val="auto"/>
              </w:rPr>
              <w:t>Rate as of</w:t>
            </w:r>
          </w:p>
        </w:tc>
        <w:tc>
          <w:tcPr>
            <w:tcW w:w="0" w:type="dxa"/>
            <w:vAlign w:val="bottom"/>
          </w:tcPr>
          <w:p>
            <w:pPr>
              <w:spacing w:after="0"/>
              <w:rPr>
                <w:sz w:val="1"/>
                <w:szCs w:val="1"/>
                <w:color w:val="auto"/>
              </w:rPr>
            </w:pPr>
          </w:p>
        </w:tc>
      </w:tr>
      <w:tr>
        <w:trPr>
          <w:trHeight w:val="193"/>
        </w:trPr>
        <w:tc>
          <w:tcPr>
            <w:tcW w:w="364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1520" w:type="dxa"/>
            <w:vAlign w:val="bottom"/>
          </w:tcPr>
          <w:p>
            <w:pPr>
              <w:jc w:val="center"/>
              <w:ind w:right="122"/>
              <w:spacing w:after="0"/>
              <w:rPr>
                <w:sz w:val="20"/>
                <w:szCs w:val="20"/>
                <w:color w:val="auto"/>
              </w:rPr>
            </w:pPr>
            <w:r>
              <w:rPr>
                <w:rFonts w:ascii="Times New Roman" w:cs="Times New Roman" w:eastAsia="Times New Roman" w:hAnsi="Times New Roman"/>
                <w:sz w:val="14"/>
                <w:szCs w:val="14"/>
                <w:color w:val="auto"/>
              </w:rPr>
              <w:t>December 31, 2025</w:t>
            </w:r>
          </w:p>
        </w:tc>
        <w:tc>
          <w:tcPr>
            <w:tcW w:w="1180" w:type="dxa"/>
            <w:vAlign w:val="bottom"/>
            <w:vMerge w:val="continue"/>
          </w:tcPr>
          <w:p>
            <w:pPr>
              <w:spacing w:after="0"/>
              <w:rPr>
                <w:sz w:val="16"/>
                <w:szCs w:val="16"/>
                <w:color w:val="auto"/>
              </w:rPr>
            </w:pPr>
          </w:p>
        </w:tc>
        <w:tc>
          <w:tcPr>
            <w:tcW w:w="1140" w:type="dxa"/>
            <w:vAlign w:val="bottom"/>
            <w:vMerge w:val="continue"/>
          </w:tcPr>
          <w:p>
            <w:pPr>
              <w:spacing w:after="0"/>
              <w:rPr>
                <w:sz w:val="16"/>
                <w:szCs w:val="16"/>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December 31, 2025</w:t>
            </w:r>
          </w:p>
        </w:tc>
        <w:tc>
          <w:tcPr>
            <w:tcW w:w="0" w:type="dxa"/>
            <w:vAlign w:val="bottom"/>
          </w:tcPr>
          <w:p>
            <w:pPr>
              <w:spacing w:after="0"/>
              <w:rPr>
                <w:sz w:val="1"/>
                <w:szCs w:val="1"/>
                <w:color w:val="auto"/>
              </w:rPr>
            </w:pPr>
          </w:p>
        </w:tc>
      </w:tr>
      <w:tr>
        <w:trPr>
          <w:trHeight w:val="242"/>
        </w:trPr>
        <w:tc>
          <w:tcPr>
            <w:tcW w:w="36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Agreement</w:t>
            </w:r>
          </w:p>
        </w:tc>
        <w:tc>
          <w:tcPr>
            <w:tcW w:w="1240" w:type="dxa"/>
            <w:vAlign w:val="bottom"/>
            <w:tcBorders>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8"/>
                <w:szCs w:val="18"/>
                <w:color w:val="auto"/>
              </w:rPr>
              <w:t>0.925 %</w:t>
            </w:r>
          </w:p>
        </w:tc>
        <w:tc>
          <w:tcPr>
            <w:tcW w:w="116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8"/>
                <w:szCs w:val="18"/>
                <w:color w:val="auto"/>
              </w:rPr>
              <w:t>1.450 %</w:t>
            </w:r>
          </w:p>
        </w:tc>
        <w:tc>
          <w:tcPr>
            <w:tcW w:w="1520" w:type="dxa"/>
            <w:vAlign w:val="bottom"/>
            <w:tcBorders>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8"/>
                <w:szCs w:val="18"/>
                <w:color w:val="auto"/>
              </w:rPr>
              <w:t>1.125 %</w:t>
            </w:r>
          </w:p>
        </w:tc>
        <w:tc>
          <w:tcPr>
            <w:tcW w:w="1180" w:type="dxa"/>
            <w:vAlign w:val="bottom"/>
            <w:tcBorders>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8"/>
                <w:szCs w:val="18"/>
                <w:color w:val="auto"/>
              </w:rPr>
              <w:t>0.000 %</w:t>
            </w: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0.450 %</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0.125 %</w:t>
            </w:r>
          </w:p>
        </w:tc>
        <w:tc>
          <w:tcPr>
            <w:tcW w:w="0" w:type="dxa"/>
            <w:vAlign w:val="bottom"/>
          </w:tcPr>
          <w:p>
            <w:pPr>
              <w:spacing w:after="0"/>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facility fee, which ranges from 0.075% to 0.20% of the total amount committed under the Revolving Credit Facility, is payable quarterly.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w:t>
      </w:r>
      <w:r>
        <w:rPr>
          <w:rFonts w:ascii="Times New Roman" w:cs="Times New Roman" w:eastAsia="Times New Roman" w:hAnsi="Times New Roman"/>
          <w:sz w:val="18"/>
          <w:szCs w:val="18"/>
          <w:color w:val="242424"/>
        </w:rPr>
        <w:t>redit Agreement</w:t>
      </w:r>
      <w:r>
        <w:rPr>
          <w:rFonts w:ascii="Times New Roman" w:cs="Times New Roman" w:eastAsia="Times New Roman" w:hAnsi="Times New Roman"/>
          <w:sz w:val="18"/>
          <w:szCs w:val="18"/>
          <w:color w:val="auto"/>
        </w:rPr>
        <w:t xml:space="preserve"> contains various customary representations, warranties and covenants by the Company, including, without limitation, (i) covenants regarding maximum leverage, (ii) limitations on fundamental changes involving the Company or its subsidiaries and (iii) limitations on indebtedness and liens. As of December 31, 2025, the Company was in compliance with all covenants under the </w:t>
      </w:r>
      <w:r>
        <w:rPr>
          <w:rFonts w:ascii="Times New Roman" w:cs="Times New Roman" w:eastAsia="Times New Roman" w:hAnsi="Times New Roman"/>
          <w:sz w:val="18"/>
          <w:szCs w:val="18"/>
          <w:color w:val="242424"/>
        </w:rPr>
        <w:t>Credit Agreement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Lear Corporation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Term Loan</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2025 and 2024, the Company had $50.0 million and $100.0 million, respectively, outstanding under its unsecured delayed-draw term loan facility (the "Term Loan"). In June 2025, the Company amended the Term Loan to extend the maturity date to September 30, 2027, and reduce the pricing across the grid. In connection with this transaction, the Company recognized a loss on the extinguishment of debt and incurred related issuance costs totaling $0.5 million, which is included in other expense, net in the accompanying consolidated statement of income for the year ended December 31, 2025.</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both 2025 and 2024, the Company made principal payments under the Term Loan of $50.0 million.</w:t>
      </w:r>
    </w:p>
    <w:p>
      <w:pPr>
        <w:spacing w:after="0" w:line="11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Advances under the Term Loan generally bear interest based on the Daily or Term SOFR (as defined in the Term Loan agreement) plus a margin determined in accordance with a pricing grid that ranges from 0.875% to 1.375%. As of December 31, 2025, the interest rate was 4.772%.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Term Loan contains the same covenants as the Credit Agreement. As of December 31, 2025, the Company was in compliance with all covenants under the Term Loan.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2025 and 2024, other long-term debt, including the current portion, consisted of amounts outstanding under unsecured working capital loans and finance lease agreements.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Leases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operating leases for production, office and warehouse facilities, manufacturing and office equipment and vehicles. Operating lease assets and obligations included in the accompanying consolidated balance sheet are shown below (in millions):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5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December 31,</w:t>
            </w:r>
          </w:p>
        </w:tc>
        <w:tc>
          <w:tcPr>
            <w:tcW w:w="14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color w:val="auto"/>
              </w:rPr>
              <w:t>2025</w:t>
            </w:r>
          </w:p>
        </w:tc>
        <w:tc>
          <w:tcPr>
            <w:tcW w:w="3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color w:val="auto"/>
              </w:rPr>
              <w:t>2024</w:t>
            </w:r>
          </w:p>
        </w:tc>
      </w:tr>
      <w:tr>
        <w:trPr>
          <w:trHeight w:val="229"/>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assets under operating leases:</w:t>
            </w:r>
          </w:p>
        </w:tc>
        <w:tc>
          <w:tcPr>
            <w:tcW w:w="14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75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Other long-term assets</w:t>
            </w:r>
          </w:p>
        </w:tc>
        <w:tc>
          <w:tcPr>
            <w:tcW w:w="14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722.4</w:t>
            </w:r>
          </w:p>
        </w:tc>
        <w:tc>
          <w:tcPr>
            <w:tcW w:w="3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699.8</w:t>
            </w:r>
          </w:p>
        </w:tc>
      </w:tr>
      <w:tr>
        <w:trPr>
          <w:trHeight w:val="223"/>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obligations under operating leases:</w:t>
            </w:r>
          </w:p>
        </w:tc>
        <w:tc>
          <w:tcPr>
            <w:tcW w:w="14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liabilities</w:t>
            </w:r>
          </w:p>
        </w:tc>
        <w:tc>
          <w:tcPr>
            <w:tcW w:w="14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169.4</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152.6</w:t>
            </w:r>
          </w:p>
        </w:tc>
      </w:tr>
      <w:tr>
        <w:trPr>
          <w:trHeight w:val="230"/>
        </w:trPr>
        <w:tc>
          <w:tcPr>
            <w:tcW w:w="75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4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594.9</w:t>
            </w:r>
          </w:p>
        </w:tc>
        <w:tc>
          <w:tcPr>
            <w:tcW w:w="3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582.5</w:t>
            </w:r>
          </w:p>
        </w:tc>
      </w:tr>
      <w:tr>
        <w:trPr>
          <w:trHeight w:val="230"/>
        </w:trPr>
        <w:tc>
          <w:tcPr>
            <w:tcW w:w="75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764.3</w:t>
            </w:r>
          </w:p>
        </w:tc>
        <w:tc>
          <w:tcPr>
            <w:tcW w:w="3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735.1</w:t>
            </w:r>
          </w:p>
        </w:tc>
      </w:tr>
      <w:tr>
        <w:trPr>
          <w:trHeight w:val="527"/>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Maturities of lease obligations as of December 31, 2025, are shown below (in millions):</w:t>
            </w:r>
          </w:p>
        </w:tc>
        <w:tc>
          <w:tcPr>
            <w:tcW w:w="1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42"/>
        </w:trPr>
        <w:tc>
          <w:tcPr>
            <w:tcW w:w="754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r>
      <w:tr>
        <w:trPr>
          <w:trHeight w:val="230"/>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4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193.9</w:t>
            </w:r>
          </w:p>
        </w:tc>
      </w:tr>
      <w:tr>
        <w:trPr>
          <w:trHeight w:val="229"/>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4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167.3</w:t>
            </w:r>
          </w:p>
        </w:tc>
      </w:tr>
      <w:tr>
        <w:trPr>
          <w:trHeight w:val="230"/>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4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w:t>
            </w:r>
          </w:p>
        </w:tc>
      </w:tr>
      <w:tr>
        <w:trPr>
          <w:trHeight w:val="230"/>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4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w:t>
            </w:r>
          </w:p>
        </w:tc>
      </w:tr>
      <w:tr>
        <w:trPr>
          <w:trHeight w:val="230"/>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14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w:t>
            </w:r>
          </w:p>
        </w:tc>
      </w:tr>
      <w:tr>
        <w:trPr>
          <w:trHeight w:val="229"/>
        </w:trPr>
        <w:tc>
          <w:tcPr>
            <w:tcW w:w="7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183.0</w:t>
            </w:r>
          </w:p>
        </w:tc>
      </w:tr>
      <w:tr>
        <w:trPr>
          <w:trHeight w:val="223"/>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undiscounted cash flows</w:t>
            </w:r>
          </w:p>
        </w:tc>
        <w:tc>
          <w:tcPr>
            <w:tcW w:w="14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855.6</w:t>
            </w:r>
          </w:p>
        </w:tc>
      </w:tr>
      <w:tr>
        <w:trPr>
          <w:trHeight w:val="229"/>
        </w:trPr>
        <w:tc>
          <w:tcPr>
            <w:tcW w:w="75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Less: Imputed interest</w:t>
            </w:r>
          </w:p>
        </w:tc>
        <w:tc>
          <w:tcPr>
            <w:tcW w:w="1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(91.3)</w:t>
            </w:r>
          </w:p>
        </w:tc>
      </w:tr>
      <w:tr>
        <w:trPr>
          <w:trHeight w:val="230"/>
        </w:trPr>
        <w:tc>
          <w:tcPr>
            <w:tcW w:w="75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obligations under operating leases</w:t>
            </w:r>
          </w:p>
        </w:tc>
        <w:tc>
          <w:tcPr>
            <w:tcW w:w="14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764.3</w:t>
            </w:r>
          </w:p>
        </w:tc>
      </w:tr>
    </w:tbl>
    <w:p>
      <w:pPr>
        <w:spacing w:after="0" w:line="2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2025, the Company entered into an operating lease with a lease term of fifteen years that is expected to commence in the fourth quarter of 2026. The right-of-use asset and related lease obligation are expected to be approximately $11 million.</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Lear Corporation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flow information related to operating leases is shown below (in millions):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4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For the year ended December 31,</w:t>
            </w:r>
          </w:p>
        </w:tc>
        <w:tc>
          <w:tcPr>
            <w:tcW w:w="148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color w:val="auto"/>
              </w:rPr>
              <w:t>2025</w:t>
            </w:r>
          </w:p>
        </w:tc>
        <w:tc>
          <w:tcPr>
            <w:tcW w:w="3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color w:val="auto"/>
              </w:rPr>
              <w:t>2024</w:t>
            </w:r>
          </w:p>
        </w:tc>
        <w:tc>
          <w:tcPr>
            <w:tcW w:w="3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color w:val="auto"/>
              </w:rPr>
              <w:t>2023</w:t>
            </w:r>
          </w:p>
        </w:tc>
      </w:tr>
      <w:tr>
        <w:trPr>
          <w:trHeight w:val="230"/>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activity:</w:t>
            </w:r>
          </w:p>
        </w:tc>
        <w:tc>
          <w:tcPr>
            <w:tcW w:w="14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64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Right-of-use assets obtained in exchange for operating lease obligations</w:t>
            </w:r>
          </w:p>
        </w:tc>
        <w:tc>
          <w:tcPr>
            <w:tcW w:w="14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172.6</w:t>
            </w:r>
          </w:p>
        </w:tc>
        <w:tc>
          <w:tcPr>
            <w:tcW w:w="3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171.1</w:t>
            </w:r>
          </w:p>
        </w:tc>
        <w:tc>
          <w:tcPr>
            <w:tcW w:w="3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181.6</w:t>
            </w:r>
          </w:p>
        </w:tc>
      </w:tr>
      <w:tr>
        <w:trPr>
          <w:trHeight w:val="223"/>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cash flows:</w:t>
            </w:r>
          </w:p>
        </w:tc>
        <w:tc>
          <w:tcPr>
            <w:tcW w:w="14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7"/>
        </w:trPr>
        <w:tc>
          <w:tcPr>
            <w:tcW w:w="64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Cash paid related to operating lease obligations</w:t>
            </w:r>
          </w:p>
        </w:tc>
        <w:tc>
          <w:tcPr>
            <w:tcW w:w="14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199.9</w:t>
            </w:r>
          </w:p>
        </w:tc>
        <w:tc>
          <w:tcPr>
            <w:tcW w:w="3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195.4</w:t>
            </w:r>
          </w:p>
        </w:tc>
        <w:tc>
          <w:tcPr>
            <w:tcW w:w="3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183.2</w:t>
            </w:r>
          </w:p>
        </w:tc>
      </w:tr>
      <w:tr>
        <w:trPr>
          <w:trHeight w:val="527"/>
        </w:trPr>
        <w:tc>
          <w:tcPr>
            <w:tcW w:w="78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Lease expense included in the accompanying consolidated statement of income is shown below (in millions):</w:t>
            </w: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42"/>
        </w:trPr>
        <w:tc>
          <w:tcPr>
            <w:tcW w:w="640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r>
      <w:tr>
        <w:trPr>
          <w:trHeight w:val="196"/>
        </w:trPr>
        <w:tc>
          <w:tcPr>
            <w:tcW w:w="6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For the year ended December 31,</w:t>
            </w:r>
          </w:p>
        </w:tc>
        <w:tc>
          <w:tcPr>
            <w:tcW w:w="14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color w:val="auto"/>
              </w:rPr>
              <w:t>2025</w:t>
            </w:r>
          </w:p>
        </w:tc>
        <w:tc>
          <w:tcPr>
            <w:tcW w:w="3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color w:val="auto"/>
              </w:rPr>
              <w:t>2024</w:t>
            </w:r>
          </w:p>
        </w:tc>
        <w:tc>
          <w:tcPr>
            <w:tcW w:w="3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color w:val="auto"/>
              </w:rPr>
              <w:t>2023</w:t>
            </w:r>
          </w:p>
        </w:tc>
      </w:tr>
      <w:tr>
        <w:trPr>
          <w:trHeight w:val="229"/>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expense</w:t>
            </w:r>
          </w:p>
        </w:tc>
        <w:tc>
          <w:tcPr>
            <w:tcW w:w="14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196.1</w:t>
            </w:r>
          </w:p>
        </w:tc>
        <w:tc>
          <w:tcPr>
            <w:tcW w:w="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190.7</w:t>
            </w:r>
          </w:p>
        </w:tc>
        <w:tc>
          <w:tcPr>
            <w:tcW w:w="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182.9</w:t>
            </w:r>
          </w:p>
        </w:tc>
      </w:tr>
      <w:tr>
        <w:trPr>
          <w:trHeight w:val="229"/>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lease expense</w:t>
            </w:r>
          </w:p>
        </w:tc>
        <w:tc>
          <w:tcPr>
            <w:tcW w:w="1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r>
      <w:tr>
        <w:trPr>
          <w:trHeight w:val="230"/>
        </w:trPr>
        <w:tc>
          <w:tcPr>
            <w:tcW w:w="6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Variable lease expense</w:t>
            </w:r>
          </w:p>
        </w:tc>
        <w:tc>
          <w:tcPr>
            <w:tcW w:w="14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3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3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30"/>
        </w:trPr>
        <w:tc>
          <w:tcPr>
            <w:tcW w:w="6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lease expense</w:t>
            </w:r>
          </w:p>
        </w:tc>
        <w:tc>
          <w:tcPr>
            <w:tcW w:w="14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229.0</w:t>
            </w:r>
          </w:p>
        </w:tc>
        <w:tc>
          <w:tcPr>
            <w:tcW w:w="3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218.7</w:t>
            </w:r>
          </w:p>
        </w:tc>
        <w:tc>
          <w:tcPr>
            <w:tcW w:w="3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213.3</w:t>
            </w: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 ended December 31, 2025, the Company incurred $42.7 million related to usage-based employee transportation costs.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short-term lease expense excludes leases with a duration of one month or less.</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Variable lease expense includes payments based on performance or usage, as well as changes to index and rate-based lease payments. Additionally, the Company evaluated its supply contracts with its customers and concluded that variable lease expense in these arrangements is not material.</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years ended December 31, 2025, 2024 and 2023, the Company recognized impairment charges of $7.6 million, $2.3 million and $10.9 million, respectively, related to its right-of-use assets in conjunction with its restructuring actions (Note 3, "Restructuring"). For the year ended December 31, 2024, the Company recognized additional right-of-use asset impairment charges of $0.9 million. The impairment charges are included in cost of sales in the accompanying consolidated statements of income.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 average lease term and discount rate for operating leases as of December 31, 2025, are shown below:</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67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w:t>
            </w:r>
          </w:p>
        </w:tc>
        <w:tc>
          <w:tcPr>
            <w:tcW w:w="4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Six years</w:t>
            </w:r>
          </w:p>
        </w:tc>
      </w:tr>
      <w:tr>
        <w:trPr>
          <w:trHeight w:val="236"/>
        </w:trPr>
        <w:tc>
          <w:tcPr>
            <w:tcW w:w="6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4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3.9 %</w:t>
            </w:r>
          </w:p>
        </w:tc>
      </w:tr>
    </w:tbl>
    <w:p>
      <w:pPr>
        <w:spacing w:after="0" w:line="18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2023, the Company recognized net gains of $11.3 million on the sale of facilities that were subsequently leased back under short-term leases. The gains are included in other expense, net in the accompanying consolidated statement of income.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party to finance lease agreements, which are not material to the accompanying consolidated financial statements (Note 5, "Debt").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Lear Corporation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Income Taxes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summary of consolidated income before provision for income taxes and equity in net income of affiliates and the components of provision for income taxes is shown below (in millions):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7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For the year ended December 31,</w:t>
            </w: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color w:val="auto"/>
              </w:rPr>
              <w:t>2025</w:t>
            </w:r>
          </w:p>
        </w:tc>
        <w:tc>
          <w:tcPr>
            <w:tcW w:w="38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color w:val="auto"/>
              </w:rPr>
              <w:t>2024</w:t>
            </w:r>
          </w:p>
        </w:tc>
        <w:tc>
          <w:tcPr>
            <w:tcW w:w="38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color w:val="auto"/>
              </w:rPr>
              <w:t>2023</w:t>
            </w:r>
          </w:p>
        </w:tc>
      </w:tr>
      <w:tr>
        <w:trPr>
          <w:trHeight w:val="176"/>
        </w:trPr>
        <w:tc>
          <w:tcPr>
            <w:tcW w:w="67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Consolidated income before provision for income taxes and equity in net income of</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4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affiliates:</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r>
      <w:tr>
        <w:trPr>
          <w:trHeight w:val="230"/>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Domestic</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w:t>
            </w:r>
          </w:p>
        </w:tc>
      </w:tr>
      <w:tr>
        <w:trPr>
          <w:trHeight w:val="229"/>
        </w:trPr>
        <w:tc>
          <w:tcPr>
            <w:tcW w:w="674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731.0</w:t>
            </w: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764.6</w:t>
            </w:r>
          </w:p>
        </w:tc>
        <w:tc>
          <w:tcPr>
            <w:tcW w:w="3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717.3</w:t>
            </w:r>
          </w:p>
        </w:tc>
      </w:tr>
      <w:tr>
        <w:trPr>
          <w:trHeight w:val="230"/>
        </w:trPr>
        <w:tc>
          <w:tcPr>
            <w:tcW w:w="67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625.1</w:t>
            </w:r>
          </w:p>
        </w:tc>
        <w:tc>
          <w:tcPr>
            <w:tcW w:w="3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732.9</w:t>
            </w:r>
          </w:p>
        </w:tc>
        <w:tc>
          <w:tcPr>
            <w:tcW w:w="3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777.2</w:t>
            </w: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income tax expense: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U.S. federal</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50.8</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37.6</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w:t>
            </w:r>
          </w:p>
        </w:tc>
      </w:tr>
      <w:tr>
        <w:trPr>
          <w:trHeight w:val="229"/>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U.S. state and local</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8.1</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2.4</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30"/>
        </w:trPr>
        <w:tc>
          <w:tcPr>
            <w:tcW w:w="67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Foreign</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208.1</w:t>
            </w: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208.0</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196.6</w:t>
            </w:r>
          </w:p>
        </w:tc>
      </w:tr>
      <w:tr>
        <w:trPr>
          <w:trHeight w:val="230"/>
        </w:trPr>
        <w:tc>
          <w:tcPr>
            <w:tcW w:w="674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income tax expense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267.0</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248.0</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239.6</w:t>
            </w: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 expense (benefit):</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U.S. federal</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r>
      <w:tr>
        <w:trPr>
          <w:trHeight w:val="230"/>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U.S. state and local</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29"/>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13.7</w:t>
            </w:r>
          </w:p>
        </w:tc>
        <w:tc>
          <w:tcPr>
            <w:tcW w:w="3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r>
      <w:tr>
        <w:trPr>
          <w:trHeight w:val="230"/>
        </w:trPr>
        <w:tc>
          <w:tcPr>
            <w:tcW w:w="67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Total deferred income tax benefit:</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(117.0)</w:t>
            </w:r>
          </w:p>
        </w:tc>
        <w:tc>
          <w:tcPr>
            <w:tcW w:w="3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3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w:t>
            </w:r>
          </w:p>
        </w:tc>
      </w:tr>
      <w:tr>
        <w:trPr>
          <w:trHeight w:val="237"/>
        </w:trPr>
        <w:tc>
          <w:tcPr>
            <w:tcW w:w="67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150.0</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191.1</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180.8</w:t>
            </w:r>
          </w:p>
        </w:tc>
      </w:tr>
    </w:tbl>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U.S. federal current income tax expense includes foreign withholding taxes related to dividends and royalties paid by the Company's foreign subsidiaries. In 2025, 2024 and 2023, the provision for income taxes includes the benefit of prior unrecognized net operating loss carryforwards of $3.3 million, $5.1 million and $8.0 million, respectively.</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Lear Corporation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Effective January 1, 2025, the Company adopted ASU 2023-09, "Improvements to Income Tax Disclosures," on a prospective basis. In accordance with the categories required by the update, the reconciliation between the provision for income taxes calculated at the United States federal statutory income tax rate of 21% and the consolidated provision for income taxes is shown below (in millions and as a percentage of pretax income):</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For the year ended December 31,</w:t>
            </w:r>
          </w:p>
        </w:tc>
        <w:tc>
          <w:tcPr>
            <w:tcW w:w="214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871"/>
              <w:spacing w:after="0"/>
              <w:rPr>
                <w:sz w:val="20"/>
                <w:szCs w:val="20"/>
                <w:color w:val="auto"/>
              </w:rPr>
            </w:pPr>
            <w:r>
              <w:rPr>
                <w:rFonts w:ascii="Times New Roman" w:cs="Times New Roman" w:eastAsia="Times New Roman" w:hAnsi="Times New Roman"/>
                <w:sz w:val="14"/>
                <w:szCs w:val="14"/>
                <w:color w:val="auto"/>
                <w:w w:val="99"/>
              </w:rPr>
              <w:t>2025</w:t>
            </w:r>
          </w:p>
        </w:tc>
      </w:tr>
      <w:tr>
        <w:trPr>
          <w:trHeight w:val="229"/>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Provision for income taxes at U.S. federal statutory income tax rate</w:t>
            </w:r>
          </w:p>
        </w:tc>
        <w:tc>
          <w:tcPr>
            <w:tcW w:w="21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30"/>
        </w:trPr>
        <w:tc>
          <w:tcPr>
            <w:tcW w:w="72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Domestic federal tax effects -</w:t>
            </w:r>
          </w:p>
        </w:tc>
        <w:tc>
          <w:tcPr>
            <w:tcW w:w="2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9"/>
        </w:trPr>
        <w:tc>
          <w:tcPr>
            <w:tcW w:w="7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i w:val="1"/>
                <w:iCs w:val="1"/>
                <w:color w:val="auto"/>
              </w:rPr>
              <w:t>Effect of cross-border tax laws</w:t>
            </w:r>
          </w:p>
        </w:tc>
        <w:tc>
          <w:tcPr>
            <w:tcW w:w="2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0"/>
        </w:trPr>
        <w:tc>
          <w:tcPr>
            <w:tcW w:w="7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Global intangible low-taxed income, net of foreign tax credit</w:t>
            </w:r>
          </w:p>
        </w:tc>
        <w:tc>
          <w:tcPr>
            <w:tcW w:w="2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0.3</w:t>
            </w:r>
          </w:p>
        </w:tc>
      </w:tr>
      <w:tr>
        <w:trPr>
          <w:trHeight w:val="229"/>
        </w:trPr>
        <w:tc>
          <w:tcPr>
            <w:tcW w:w="7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Foreign-derived intangible income</w:t>
            </w:r>
          </w:p>
        </w:tc>
        <w:tc>
          <w:tcPr>
            <w:tcW w:w="2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2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(5.2)</w:t>
            </w:r>
          </w:p>
        </w:tc>
      </w:tr>
      <w:tr>
        <w:trPr>
          <w:trHeight w:val="229"/>
        </w:trPr>
        <w:tc>
          <w:tcPr>
            <w:tcW w:w="7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Impact of foreign branches, net of tax credits</w:t>
            </w:r>
          </w:p>
        </w:tc>
        <w:tc>
          <w:tcPr>
            <w:tcW w:w="2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0.4</w:t>
            </w:r>
          </w:p>
        </w:tc>
      </w:tr>
      <w:tr>
        <w:trPr>
          <w:trHeight w:val="230"/>
        </w:trPr>
        <w:tc>
          <w:tcPr>
            <w:tcW w:w="7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tax credits - other</w:t>
            </w:r>
          </w:p>
        </w:tc>
        <w:tc>
          <w:tcPr>
            <w:tcW w:w="2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2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(5.7)</w:t>
            </w:r>
          </w:p>
        </w:tc>
      </w:tr>
      <w:tr>
        <w:trPr>
          <w:trHeight w:val="229"/>
        </w:trPr>
        <w:tc>
          <w:tcPr>
            <w:tcW w:w="7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2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(0.1)</w:t>
            </w:r>
          </w:p>
        </w:tc>
      </w:tr>
      <w:tr>
        <w:trPr>
          <w:trHeight w:val="229"/>
        </w:trPr>
        <w:tc>
          <w:tcPr>
            <w:tcW w:w="7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i w:val="1"/>
                <w:iCs w:val="1"/>
                <w:color w:val="auto"/>
              </w:rPr>
              <w:t>Tax credits</w:t>
            </w:r>
          </w:p>
        </w:tc>
        <w:tc>
          <w:tcPr>
            <w:tcW w:w="2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0"/>
        </w:trPr>
        <w:tc>
          <w:tcPr>
            <w:tcW w:w="7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 tax credits</w:t>
            </w:r>
          </w:p>
        </w:tc>
        <w:tc>
          <w:tcPr>
            <w:tcW w:w="2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2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(1.9)</w:t>
            </w:r>
          </w:p>
        </w:tc>
      </w:tr>
      <w:tr>
        <w:trPr>
          <w:trHeight w:val="229"/>
        </w:trPr>
        <w:tc>
          <w:tcPr>
            <w:tcW w:w="7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i w:val="1"/>
                <w:iCs w:val="1"/>
                <w:color w:val="auto"/>
              </w:rPr>
              <w:t>Changes in valuation allowances</w:t>
            </w:r>
          </w:p>
        </w:tc>
        <w:tc>
          <w:tcPr>
            <w:tcW w:w="2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0.3</w:t>
            </w:r>
          </w:p>
        </w:tc>
      </w:tr>
      <w:tr>
        <w:trPr>
          <w:trHeight w:val="230"/>
        </w:trPr>
        <w:tc>
          <w:tcPr>
            <w:tcW w:w="7200" w:type="dxa"/>
            <w:vAlign w:val="bottom"/>
          </w:tcPr>
          <w:p>
            <w:pPr>
              <w:ind w:left="240"/>
              <w:spacing w:after="0"/>
              <w:rPr>
                <w:sz w:val="20"/>
                <w:szCs w:val="20"/>
                <w:color w:val="auto"/>
              </w:rPr>
            </w:pPr>
            <w:r>
              <w:rPr>
                <w:rFonts w:ascii="Times New Roman" w:cs="Times New Roman" w:eastAsia="Times New Roman" w:hAnsi="Times New Roman"/>
                <w:sz w:val="18"/>
                <w:szCs w:val="18"/>
                <w:i w:val="1"/>
                <w:iCs w:val="1"/>
                <w:color w:val="auto"/>
              </w:rPr>
              <w:t>Nondeductible compensation</w:t>
            </w:r>
          </w:p>
        </w:tc>
        <w:tc>
          <w:tcPr>
            <w:tcW w:w="2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2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1.5</w:t>
            </w:r>
          </w:p>
        </w:tc>
      </w:tr>
      <w:tr>
        <w:trPr>
          <w:trHeight w:val="229"/>
        </w:trPr>
        <w:tc>
          <w:tcPr>
            <w:tcW w:w="720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i w:val="1"/>
                <w:iCs w:val="1"/>
                <w:color w:val="auto"/>
              </w:rPr>
              <w:t xml:space="preserve">Domestic state and local income tax, net of federal income tax effect </w:t>
            </w:r>
            <w:r>
              <w:rPr>
                <w:rFonts w:ascii="Times New Roman" w:cs="Times New Roman" w:eastAsia="Times New Roman" w:hAnsi="Times New Roman"/>
                <w:sz w:val="23"/>
                <w:szCs w:val="23"/>
                <w:i w:val="1"/>
                <w:iCs w:val="1"/>
                <w:color w:val="auto"/>
                <w:vertAlign w:val="superscript"/>
              </w:rPr>
              <w:t>(1)</w:t>
            </w:r>
          </w:p>
        </w:tc>
        <w:tc>
          <w:tcPr>
            <w:tcW w:w="2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(0.4)</w:t>
            </w:r>
          </w:p>
        </w:tc>
      </w:tr>
      <w:tr>
        <w:trPr>
          <w:trHeight w:val="229"/>
        </w:trPr>
        <w:tc>
          <w:tcPr>
            <w:tcW w:w="7200" w:type="dxa"/>
            <w:vAlign w:val="bottom"/>
          </w:tcPr>
          <w:p>
            <w:pPr>
              <w:ind w:left="240"/>
              <w:spacing w:after="0"/>
              <w:rPr>
                <w:sz w:val="20"/>
                <w:szCs w:val="20"/>
                <w:color w:val="auto"/>
              </w:rPr>
            </w:pPr>
            <w:r>
              <w:rPr>
                <w:rFonts w:ascii="Times New Roman" w:cs="Times New Roman" w:eastAsia="Times New Roman" w:hAnsi="Times New Roman"/>
                <w:sz w:val="18"/>
                <w:szCs w:val="18"/>
                <w:i w:val="1"/>
                <w:iCs w:val="1"/>
                <w:color w:val="auto"/>
              </w:rPr>
              <w:t>Other reconciling items</w:t>
            </w:r>
          </w:p>
        </w:tc>
        <w:tc>
          <w:tcPr>
            <w:tcW w:w="2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(0.7)</w:t>
            </w:r>
          </w:p>
        </w:tc>
      </w:tr>
      <w:tr>
        <w:trPr>
          <w:trHeight w:val="230"/>
        </w:trPr>
        <w:tc>
          <w:tcPr>
            <w:tcW w:w="7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Foreign tax effects -</w:t>
            </w:r>
          </w:p>
        </w:tc>
        <w:tc>
          <w:tcPr>
            <w:tcW w:w="2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9"/>
        </w:trPr>
        <w:tc>
          <w:tcPr>
            <w:tcW w:w="7200" w:type="dxa"/>
            <w:vAlign w:val="bottom"/>
          </w:tcPr>
          <w:p>
            <w:pPr>
              <w:ind w:left="240"/>
              <w:spacing w:after="0"/>
              <w:rPr>
                <w:sz w:val="20"/>
                <w:szCs w:val="20"/>
                <w:color w:val="auto"/>
              </w:rPr>
            </w:pPr>
            <w:r>
              <w:rPr>
                <w:rFonts w:ascii="Times New Roman" w:cs="Times New Roman" w:eastAsia="Times New Roman" w:hAnsi="Times New Roman"/>
                <w:sz w:val="18"/>
                <w:szCs w:val="18"/>
                <w:i w:val="1"/>
                <w:iCs w:val="1"/>
                <w:color w:val="auto"/>
              </w:rPr>
              <w:t>China</w:t>
            </w:r>
          </w:p>
        </w:tc>
        <w:tc>
          <w:tcPr>
            <w:tcW w:w="2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9"/>
        </w:trPr>
        <w:tc>
          <w:tcPr>
            <w:tcW w:w="7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Withholding taxes</w:t>
            </w:r>
          </w:p>
        </w:tc>
        <w:tc>
          <w:tcPr>
            <w:tcW w:w="2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2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5.1</w:t>
            </w:r>
          </w:p>
        </w:tc>
      </w:tr>
      <w:tr>
        <w:trPr>
          <w:trHeight w:val="230"/>
        </w:trPr>
        <w:tc>
          <w:tcPr>
            <w:tcW w:w="7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2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(0.1)</w:t>
            </w:r>
          </w:p>
        </w:tc>
      </w:tr>
      <w:tr>
        <w:trPr>
          <w:trHeight w:val="229"/>
        </w:trPr>
        <w:tc>
          <w:tcPr>
            <w:tcW w:w="7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i w:val="1"/>
                <w:iCs w:val="1"/>
                <w:color w:val="auto"/>
              </w:rPr>
              <w:t>Germany</w:t>
            </w:r>
          </w:p>
        </w:tc>
        <w:tc>
          <w:tcPr>
            <w:tcW w:w="2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0"/>
        </w:trPr>
        <w:tc>
          <w:tcPr>
            <w:tcW w:w="7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Effect of changes in tax laws or rates enacted in the current period</w:t>
            </w:r>
          </w:p>
        </w:tc>
        <w:tc>
          <w:tcPr>
            <w:tcW w:w="2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2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1.6</w:t>
            </w:r>
          </w:p>
        </w:tc>
      </w:tr>
      <w:tr>
        <w:trPr>
          <w:trHeight w:val="230"/>
        </w:trPr>
        <w:tc>
          <w:tcPr>
            <w:tcW w:w="7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2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2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1.1</w:t>
            </w:r>
          </w:p>
        </w:tc>
      </w:tr>
      <w:tr>
        <w:trPr>
          <w:trHeight w:val="230"/>
        </w:trPr>
        <w:tc>
          <w:tcPr>
            <w:tcW w:w="7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2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(0.7)</w:t>
            </w:r>
          </w:p>
        </w:tc>
      </w:tr>
      <w:tr>
        <w:trPr>
          <w:trHeight w:val="229"/>
        </w:trPr>
        <w:tc>
          <w:tcPr>
            <w:tcW w:w="7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i w:val="1"/>
                <w:iCs w:val="1"/>
                <w:color w:val="auto"/>
              </w:rPr>
              <w:t>Mexico</w:t>
            </w:r>
          </w:p>
        </w:tc>
        <w:tc>
          <w:tcPr>
            <w:tcW w:w="2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0"/>
        </w:trPr>
        <w:tc>
          <w:tcPr>
            <w:tcW w:w="7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Statutory tax rate difference</w:t>
            </w:r>
          </w:p>
        </w:tc>
        <w:tc>
          <w:tcPr>
            <w:tcW w:w="2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2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2.2</w:t>
            </w:r>
          </w:p>
        </w:tc>
      </w:tr>
      <w:tr>
        <w:trPr>
          <w:trHeight w:val="230"/>
        </w:trPr>
        <w:tc>
          <w:tcPr>
            <w:tcW w:w="7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2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2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1.1</w:t>
            </w:r>
          </w:p>
        </w:tc>
      </w:tr>
      <w:tr>
        <w:trPr>
          <w:trHeight w:val="230"/>
        </w:trPr>
        <w:tc>
          <w:tcPr>
            <w:tcW w:w="7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2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(0.4)</w:t>
            </w:r>
          </w:p>
        </w:tc>
      </w:tr>
      <w:tr>
        <w:trPr>
          <w:trHeight w:val="229"/>
        </w:trPr>
        <w:tc>
          <w:tcPr>
            <w:tcW w:w="7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i w:val="1"/>
                <w:iCs w:val="1"/>
                <w:color w:val="auto"/>
              </w:rPr>
              <w:t>Other jurisdictions</w:t>
            </w:r>
          </w:p>
        </w:tc>
        <w:tc>
          <w:tcPr>
            <w:tcW w:w="2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0"/>
        </w:trPr>
        <w:tc>
          <w:tcPr>
            <w:tcW w:w="7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Withholding taxes</w:t>
            </w:r>
          </w:p>
        </w:tc>
        <w:tc>
          <w:tcPr>
            <w:tcW w:w="2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2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5.6</w:t>
            </w:r>
          </w:p>
        </w:tc>
      </w:tr>
      <w:tr>
        <w:trPr>
          <w:trHeight w:val="230"/>
        </w:trPr>
        <w:tc>
          <w:tcPr>
            <w:tcW w:w="7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2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2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(1.2)</w:t>
            </w:r>
          </w:p>
        </w:tc>
      </w:tr>
      <w:tr>
        <w:trPr>
          <w:trHeight w:val="230"/>
        </w:trPr>
        <w:tc>
          <w:tcPr>
            <w:tcW w:w="72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Global changes in unrecognized tax benefits</w:t>
            </w:r>
          </w:p>
        </w:tc>
        <w:tc>
          <w:tcPr>
            <w:tcW w:w="2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0.2</w:t>
            </w:r>
          </w:p>
        </w:tc>
      </w:tr>
      <w:tr>
        <w:trPr>
          <w:trHeight w:val="230"/>
        </w:trPr>
        <w:tc>
          <w:tcPr>
            <w:tcW w:w="7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provision for income taxes</w:t>
            </w:r>
          </w:p>
        </w:tc>
        <w:tc>
          <w:tcPr>
            <w:tcW w:w="21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24.0 %</w:t>
            </w:r>
          </w:p>
        </w:tc>
      </w:tr>
    </w:tbl>
    <w:p>
      <w:pPr>
        <w:spacing w:after="0" w:line="79" w:lineRule="exact"/>
        <w:rPr>
          <w:sz w:val="20"/>
          <w:szCs w:val="20"/>
          <w:color w:val="auto"/>
        </w:rPr>
      </w:pPr>
    </w:p>
    <w:p>
      <w:pPr>
        <w:spacing w:after="0"/>
        <w:tabs>
          <w:tab w:leader="none" w:pos="220" w:val="left"/>
        </w:tabs>
        <w:rPr>
          <w:sz w:val="20"/>
          <w:szCs w:val="20"/>
          <w:color w:val="auto"/>
        </w:rPr>
      </w:pPr>
      <w:r>
        <w:rPr>
          <w:rFonts w:ascii="Times New Roman" w:cs="Times New Roman" w:eastAsia="Times New Roman" w:hAnsi="Times New Roman"/>
          <w:sz w:val="19"/>
          <w:szCs w:val="19"/>
          <w:color w:val="auto"/>
          <w:vertAlign w:val="superscript"/>
        </w:rPr>
        <w:t>(1)</w:t>
      </w:r>
      <w:r>
        <w:rPr>
          <w:sz w:val="20"/>
          <w:szCs w:val="20"/>
          <w:color w:val="auto"/>
        </w:rPr>
        <w:tab/>
      </w:r>
      <w:r>
        <w:rPr>
          <w:rFonts w:ascii="Times New Roman" w:cs="Times New Roman" w:eastAsia="Times New Roman" w:hAnsi="Times New Roman"/>
          <w:sz w:val="14"/>
          <w:szCs w:val="14"/>
          <w:color w:val="auto"/>
        </w:rPr>
        <w:t>Michigan and Illinois contribute the majority of this tax effect.</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Lear Corporation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8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summary of the differences between the provision for income taxes calculated at the United States federal statutory income tax rate of 21% and the consolidated provision for income taxes is shown below (in millions):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For the year ended December 31,</w:t>
            </w:r>
          </w:p>
        </w:tc>
        <w:tc>
          <w:tcPr>
            <w:tcW w:w="4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color w:val="auto"/>
              </w:rPr>
              <w:t>2024</w:t>
            </w:r>
          </w:p>
        </w:tc>
        <w:tc>
          <w:tcPr>
            <w:tcW w:w="38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color w:val="auto"/>
              </w:rPr>
              <w:t>2023</w:t>
            </w:r>
          </w:p>
        </w:tc>
      </w:tr>
      <w:tr>
        <w:trPr>
          <w:trHeight w:val="175"/>
        </w:trPr>
        <w:tc>
          <w:tcPr>
            <w:tcW w:w="81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Consolidated income before provision for income taxes and equity in net income of affiliates multiplied by the</w:t>
            </w:r>
          </w:p>
        </w:tc>
        <w:tc>
          <w:tcPr>
            <w:tcW w:w="4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43"/>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 federal statutory income tax rate</w:t>
            </w:r>
          </w:p>
        </w:tc>
        <w:tc>
          <w:tcPr>
            <w:tcW w:w="4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153.9</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163.2</w:t>
            </w:r>
          </w:p>
        </w:tc>
      </w:tr>
      <w:tr>
        <w:trPr>
          <w:trHeight w:val="229"/>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Differences in income taxes on foreign earnings, losses and remittances</w:t>
            </w:r>
          </w:p>
        </w:tc>
        <w:tc>
          <w:tcPr>
            <w:tcW w:w="460" w:type="dxa"/>
            <w:vAlign w:val="bottom"/>
          </w:tcPr>
          <w:p>
            <w:pPr>
              <w:spacing w:after="0"/>
              <w:rPr>
                <w:sz w:val="19"/>
                <w:szCs w:val="19"/>
                <w:color w:val="auto"/>
              </w:rPr>
            </w:pPr>
          </w:p>
        </w:tc>
        <w:tc>
          <w:tcPr>
            <w:tcW w:w="11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54.3</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w:t>
            </w:r>
          </w:p>
        </w:tc>
      </w:tr>
      <w:tr>
        <w:trPr>
          <w:trHeight w:val="230"/>
        </w:trPr>
        <w:tc>
          <w:tcPr>
            <w:tcW w:w="81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Valuation allowance adjustments </w:t>
            </w:r>
            <w:r>
              <w:rPr>
                <w:rFonts w:ascii="Times New Roman" w:cs="Times New Roman" w:eastAsia="Times New Roman" w:hAnsi="Times New Roman"/>
                <w:sz w:val="23"/>
                <w:szCs w:val="23"/>
                <w:color w:val="auto"/>
                <w:vertAlign w:val="superscript"/>
              </w:rPr>
              <w:t>(1)</w:t>
            </w:r>
          </w:p>
        </w:tc>
        <w:tc>
          <w:tcPr>
            <w:tcW w:w="4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29"/>
        </w:trPr>
        <w:tc>
          <w:tcPr>
            <w:tcW w:w="81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Research and development and other tax credits </w:t>
            </w:r>
            <w:r>
              <w:rPr>
                <w:rFonts w:ascii="Times New Roman" w:cs="Times New Roman" w:eastAsia="Times New Roman" w:hAnsi="Times New Roman"/>
                <w:sz w:val="23"/>
                <w:szCs w:val="23"/>
                <w:color w:val="auto"/>
                <w:vertAlign w:val="superscript"/>
              </w:rPr>
              <w:t>(2)</w:t>
            </w:r>
          </w:p>
        </w:tc>
        <w:tc>
          <w:tcPr>
            <w:tcW w:w="460" w:type="dxa"/>
            <w:vAlign w:val="bottom"/>
          </w:tcPr>
          <w:p>
            <w:pPr>
              <w:spacing w:after="0"/>
              <w:rPr>
                <w:sz w:val="19"/>
                <w:szCs w:val="19"/>
                <w:color w:val="auto"/>
              </w:rPr>
            </w:pPr>
          </w:p>
        </w:tc>
        <w:tc>
          <w:tcPr>
            <w:tcW w:w="11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4.7</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FDII deduction</w:t>
            </w:r>
          </w:p>
        </w:tc>
        <w:tc>
          <w:tcPr>
            <w:tcW w:w="4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r>
      <w:tr>
        <w:trPr>
          <w:trHeight w:val="229"/>
        </w:trPr>
        <w:tc>
          <w:tcPr>
            <w:tcW w:w="81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U.S. tax impact of foreign earnings </w:t>
            </w:r>
            <w:r>
              <w:rPr>
                <w:rFonts w:ascii="Times New Roman" w:cs="Times New Roman" w:eastAsia="Times New Roman" w:hAnsi="Times New Roman"/>
                <w:sz w:val="23"/>
                <w:szCs w:val="23"/>
                <w:color w:val="auto"/>
                <w:vertAlign w:val="superscript"/>
              </w:rPr>
              <w:t>(3)</w:t>
            </w:r>
          </w:p>
        </w:tc>
        <w:tc>
          <w:tcPr>
            <w:tcW w:w="4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2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audits and assessments</w:t>
            </w:r>
          </w:p>
        </w:tc>
        <w:tc>
          <w:tcPr>
            <w:tcW w:w="4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1.1</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0"/>
        </w:trPr>
        <w:tc>
          <w:tcPr>
            <w:tcW w:w="8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12.0</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30"/>
        </w:trPr>
        <w:tc>
          <w:tcPr>
            <w:tcW w:w="8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4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191.1</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180.8</w:t>
            </w:r>
          </w:p>
        </w:tc>
      </w:tr>
    </w:tbl>
    <w:p>
      <w:pPr>
        <w:spacing w:after="0" w:line="85" w:lineRule="exact"/>
        <w:rPr>
          <w:sz w:val="20"/>
          <w:szCs w:val="20"/>
          <w:color w:val="auto"/>
        </w:rPr>
      </w:pPr>
    </w:p>
    <w:p>
      <w:pPr>
        <w:ind w:left="240" w:hanging="232"/>
        <w:spacing w:after="0"/>
        <w:tabs>
          <w:tab w:leader="none" w:pos="240" w:val="left"/>
        </w:tabs>
        <w:numPr>
          <w:ilvl w:val="0"/>
          <w:numId w:val="3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Primarily reflects changes in valuation allowances on the deferred tax assets of foreign subsidiaries.</w:t>
      </w:r>
    </w:p>
    <w:p>
      <w:pPr>
        <w:ind w:left="220" w:hanging="212"/>
        <w:spacing w:after="0"/>
        <w:tabs>
          <w:tab w:leader="none" w:pos="220" w:val="left"/>
        </w:tabs>
        <w:numPr>
          <w:ilvl w:val="0"/>
          <w:numId w:val="36"/>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2024 includes $22.1 million of tax expense related to the write-off of a deferred tax asset in a foreign subsidiary that was fully offset by a valuation allowance.</w:t>
      </w:r>
    </w:p>
    <w:p>
      <w:pPr>
        <w:spacing w:after="0" w:line="11" w:lineRule="exact"/>
        <w:rPr>
          <w:rFonts w:ascii="Times New Roman" w:cs="Times New Roman" w:eastAsia="Times New Roman" w:hAnsi="Times New Roman"/>
          <w:sz w:val="9"/>
          <w:szCs w:val="9"/>
          <w:color w:val="auto"/>
        </w:rPr>
      </w:pPr>
    </w:p>
    <w:p>
      <w:pPr>
        <w:jc w:val="both"/>
        <w:ind w:left="260" w:hanging="252"/>
        <w:spacing w:after="0" w:line="272" w:lineRule="auto"/>
        <w:tabs>
          <w:tab w:leader="none" w:pos="260" w:val="left"/>
        </w:tabs>
        <w:numPr>
          <w:ilvl w:val="0"/>
          <w:numId w:val="36"/>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Reflects the impact on the domestic provision for income taxes related to foreign source income, including foreign branch earnings net of the applicable foreign tax credits in the general, foreign branch, GILTI and passive separate limitation categories. This amount includes the U.S. tax impact of apportioning U.S. expenses against the GILTI basket in calculating the foreign tax credit limitation resulting in no tax benefit for these expenses due to the Company's excess foreign tax credit position in the GILTI basket for 2024 and 2023.</w:t>
      </w:r>
    </w:p>
    <w:p>
      <w:pPr>
        <w:spacing w:after="0" w:line="18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2025, 2024 and 2023, income in foreign jurisdictions with tax holidays was $53.3 million, $64.5 million and $48.4 million, respectively. Such tax holidays generally expire from 2025 through 2036.</w:t>
      </w:r>
    </w:p>
    <w:p>
      <w:pPr>
        <w:spacing w:after="0" w:line="5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Deferred income taxes represent temporary differences in the recognition of certain items for financial reporting and income tax purposes. A summary of the components of the net deferred income tax asset is shown below (in millions):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December 31,</w:t>
            </w:r>
          </w:p>
        </w:tc>
        <w:tc>
          <w:tcPr>
            <w:tcW w:w="238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color w:val="auto"/>
              </w:rPr>
              <w:t>2025</w:t>
            </w:r>
          </w:p>
        </w:tc>
        <w:tc>
          <w:tcPr>
            <w:tcW w:w="38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color w:val="auto"/>
              </w:rPr>
              <w:t>2024</w:t>
            </w:r>
          </w:p>
        </w:tc>
      </w:tr>
      <w:tr>
        <w:trPr>
          <w:trHeight w:val="230"/>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 assets (liabilities):</w:t>
            </w:r>
          </w:p>
        </w:tc>
        <w:tc>
          <w:tcPr>
            <w:tcW w:w="2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6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Tax loss carryforwards</w:t>
            </w:r>
          </w:p>
        </w:tc>
        <w:tc>
          <w:tcPr>
            <w:tcW w:w="2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424.2</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385.2</w:t>
            </w:r>
          </w:p>
        </w:tc>
      </w:tr>
      <w:tr>
        <w:trPr>
          <w:trHeight w:val="229"/>
        </w:trPr>
        <w:tc>
          <w:tcPr>
            <w:tcW w:w="6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Tax credit carryforwards</w:t>
            </w:r>
          </w:p>
        </w:tc>
        <w:tc>
          <w:tcPr>
            <w:tcW w:w="2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156.2</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225.8</w:t>
            </w:r>
          </w:p>
        </w:tc>
      </w:tr>
      <w:tr>
        <w:trPr>
          <w:trHeight w:val="230"/>
        </w:trPr>
        <w:tc>
          <w:tcPr>
            <w:tcW w:w="6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Retirement benefit plans</w:t>
            </w:r>
          </w:p>
        </w:tc>
        <w:tc>
          <w:tcPr>
            <w:tcW w:w="2380" w:type="dxa"/>
            <w:vAlign w:val="bottom"/>
          </w:tcPr>
          <w:p>
            <w:pPr>
              <w:spacing w:after="0"/>
              <w:rPr>
                <w:sz w:val="19"/>
                <w:szCs w:val="19"/>
                <w:color w:val="auto"/>
              </w:rPr>
            </w:pPr>
          </w:p>
        </w:tc>
        <w:tc>
          <w:tcPr>
            <w:tcW w:w="11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22.6</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r>
      <w:tr>
        <w:trPr>
          <w:trHeight w:val="230"/>
        </w:trPr>
        <w:tc>
          <w:tcPr>
            <w:tcW w:w="6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liabilities</w:t>
            </w:r>
          </w:p>
        </w:tc>
        <w:tc>
          <w:tcPr>
            <w:tcW w:w="2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299.2</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257.1</w:t>
            </w:r>
          </w:p>
        </w:tc>
      </w:tr>
      <w:tr>
        <w:trPr>
          <w:trHeight w:val="230"/>
        </w:trPr>
        <w:tc>
          <w:tcPr>
            <w:tcW w:w="6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asset basis differences</w:t>
            </w:r>
          </w:p>
        </w:tc>
        <w:tc>
          <w:tcPr>
            <w:tcW w:w="2380" w:type="dxa"/>
            <w:vAlign w:val="bottom"/>
          </w:tcPr>
          <w:p>
            <w:pPr>
              <w:spacing w:after="0"/>
              <w:rPr>
                <w:sz w:val="19"/>
                <w:szCs w:val="19"/>
                <w:color w:val="auto"/>
              </w:rPr>
            </w:pPr>
          </w:p>
        </w:tc>
        <w:tc>
          <w:tcPr>
            <w:tcW w:w="11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59.7</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w:t>
            </w:r>
          </w:p>
        </w:tc>
      </w:tr>
      <w:tr>
        <w:trPr>
          <w:trHeight w:val="229"/>
        </w:trPr>
        <w:tc>
          <w:tcPr>
            <w:tcW w:w="6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xml:space="preserve">Long-term asset basis differences </w:t>
            </w:r>
            <w:r>
              <w:rPr>
                <w:rFonts w:ascii="Times New Roman" w:cs="Times New Roman" w:eastAsia="Times New Roman" w:hAnsi="Times New Roman"/>
                <w:sz w:val="9"/>
                <w:szCs w:val="9"/>
                <w:color w:val="auto"/>
              </w:rPr>
              <w:t>(1)</w:t>
            </w:r>
          </w:p>
        </w:tc>
        <w:tc>
          <w:tcPr>
            <w:tcW w:w="2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43.3</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r>
      <w:tr>
        <w:trPr>
          <w:trHeight w:val="230"/>
        </w:trPr>
        <w:tc>
          <w:tcPr>
            <w:tcW w:w="6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compensation</w:t>
            </w:r>
          </w:p>
        </w:tc>
        <w:tc>
          <w:tcPr>
            <w:tcW w:w="2380" w:type="dxa"/>
            <w:vAlign w:val="bottom"/>
          </w:tcPr>
          <w:p>
            <w:pPr>
              <w:spacing w:after="0"/>
              <w:rPr>
                <w:sz w:val="19"/>
                <w:szCs w:val="19"/>
                <w:color w:val="auto"/>
              </w:rPr>
            </w:pPr>
          </w:p>
        </w:tc>
        <w:tc>
          <w:tcPr>
            <w:tcW w:w="11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30.8</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r>
      <w:tr>
        <w:trPr>
          <w:trHeight w:val="230"/>
        </w:trPr>
        <w:tc>
          <w:tcPr>
            <w:tcW w:w="6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Capitalized engineering, research and development</w:t>
            </w:r>
          </w:p>
        </w:tc>
        <w:tc>
          <w:tcPr>
            <w:tcW w:w="2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402.1</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251.7</w:t>
            </w:r>
          </w:p>
        </w:tc>
      </w:tr>
      <w:tr>
        <w:trPr>
          <w:trHeight w:val="230"/>
        </w:trPr>
        <w:tc>
          <w:tcPr>
            <w:tcW w:w="6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Undistributed earnings of foreign subsidiaries</w:t>
            </w:r>
          </w:p>
        </w:tc>
        <w:tc>
          <w:tcPr>
            <w:tcW w:w="2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w:t>
            </w:r>
          </w:p>
        </w:tc>
      </w:tr>
      <w:tr>
        <w:trPr>
          <w:trHeight w:val="230"/>
        </w:trPr>
        <w:tc>
          <w:tcPr>
            <w:tcW w:w="6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Derivative instruments and hedging activities</w:t>
            </w:r>
          </w:p>
        </w:tc>
        <w:tc>
          <w:tcPr>
            <w:tcW w:w="2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r>
      <w:tr>
        <w:trPr>
          <w:trHeight w:val="229"/>
        </w:trPr>
        <w:tc>
          <w:tcPr>
            <w:tcW w:w="62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2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2.3</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deferred income tax asset before valuation allowance</w:t>
            </w:r>
          </w:p>
        </w:tc>
        <w:tc>
          <w:tcPr>
            <w:tcW w:w="2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1,305.7</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1,188.1</w:t>
            </w:r>
          </w:p>
        </w:tc>
      </w:tr>
      <w:tr>
        <w:trPr>
          <w:trHeight w:val="230"/>
        </w:trPr>
        <w:tc>
          <w:tcPr>
            <w:tcW w:w="6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2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(451.7)</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(399.4)</w:t>
            </w:r>
          </w:p>
        </w:tc>
      </w:tr>
      <w:tr>
        <w:trPr>
          <w:trHeight w:val="230"/>
        </w:trPr>
        <w:tc>
          <w:tcPr>
            <w:tcW w:w="6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deferred income tax asset</w:t>
            </w:r>
          </w:p>
        </w:tc>
        <w:tc>
          <w:tcPr>
            <w:tcW w:w="23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854.0</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788.7</w:t>
            </w:r>
          </w:p>
        </w:tc>
      </w:tr>
    </w:tbl>
    <w:p>
      <w:pPr>
        <w:spacing w:after="0" w:line="112" w:lineRule="exact"/>
        <w:rPr>
          <w:sz w:val="20"/>
          <w:szCs w:val="20"/>
          <w:color w:val="auto"/>
        </w:rPr>
      </w:pPr>
    </w:p>
    <w:p>
      <w:pPr>
        <w:ind w:left="260" w:hanging="252"/>
        <w:spacing w:after="0" w:line="302" w:lineRule="auto"/>
        <w:tabs>
          <w:tab w:leader="none" w:pos="233" w:val="left"/>
        </w:tabs>
        <w:numPr>
          <w:ilvl w:val="0"/>
          <w:numId w:val="37"/>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Included in the long-term asset basis differences for the years ended December 31, 2025 and 2024, are deferred tax assets of $133.0 million and $132.0 million, respectively, related to lease obligations and deferred tax liabilities of $133.0 million and $132.0 million, respectively, related to right-of-use assets.</w:t>
      </w:r>
    </w:p>
    <w:p>
      <w:pPr>
        <w:spacing w:after="0" w:line="16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2025 and 2024, the valuation allowance with respect to the Company's deferred tax assets was $451.7 million and $399.4 million, respectively, a net increase of $52.3 million.</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Valuation allowances are determined separately for each tax-paying component (i.e., individual entity or group of entities that are consolidated for tax purposes) in each tax jurisdiction. A valuation allowance is established to reduce a deferred tax asset to the amount expected to be realized when management considers it more likely than not that all, or a portion of, a deferred tax asset will not be realized. The determination as to whether a deferred tax asset will be realized is based on an evaluation of</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Lear Corporation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positive and negative evidence, such as cumulative losses in recent years. When measuring cumulative losses in recent years, the Company uses a rolling three-year period of pretax book income, adjusted for permanent differences between book and taxable income and certain other items. As of December 31, 2025, the Company continues to maintain a U.S. valuation allowance of $38.0 million, primarily related to U.S. state and local deferred tax assets that, due to their nature, are not likely to be realized. In addition, the Company continues to maintain a valuation allowance of $413.7 million with respect to its deferred tax assets in several international jurisdictions.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classification of the net deferred income tax asset is shown below (in millions):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6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December 31,</w:t>
            </w:r>
          </w:p>
        </w:tc>
        <w:tc>
          <w:tcPr>
            <w:tcW w:w="29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color w:val="auto"/>
              </w:rPr>
              <w:t>2025</w:t>
            </w:r>
          </w:p>
        </w:tc>
        <w:tc>
          <w:tcPr>
            <w:tcW w:w="38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color w:val="auto"/>
              </w:rPr>
              <w:t>2024</w:t>
            </w:r>
          </w:p>
        </w:tc>
      </w:tr>
      <w:tr>
        <w:trPr>
          <w:trHeight w:val="230"/>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deferred income tax assets</w:t>
            </w:r>
          </w:p>
        </w:tc>
        <w:tc>
          <w:tcPr>
            <w:tcW w:w="29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center"/>
              <w:ind w:left="395"/>
              <w:spacing w:after="0"/>
              <w:rPr>
                <w:sz w:val="20"/>
                <w:szCs w:val="20"/>
                <w:color w:val="auto"/>
              </w:rPr>
            </w:pPr>
            <w:r>
              <w:rPr>
                <w:rFonts w:ascii="Times New Roman" w:cs="Times New Roman" w:eastAsia="Times New Roman" w:hAnsi="Times New Roman"/>
                <w:sz w:val="18"/>
                <w:szCs w:val="18"/>
                <w:color w:val="auto"/>
                <w:w w:val="98"/>
              </w:rPr>
              <w:t>964.7</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center"/>
              <w:ind w:left="455"/>
              <w:spacing w:after="0"/>
              <w:rPr>
                <w:sz w:val="20"/>
                <w:szCs w:val="20"/>
                <w:color w:val="auto"/>
              </w:rPr>
            </w:pPr>
            <w:r>
              <w:rPr>
                <w:rFonts w:ascii="Times New Roman" w:cs="Times New Roman" w:eastAsia="Times New Roman" w:hAnsi="Times New Roman"/>
                <w:sz w:val="18"/>
                <w:szCs w:val="18"/>
                <w:color w:val="auto"/>
                <w:w w:val="98"/>
              </w:rPr>
              <w:t>896.4</w:t>
            </w:r>
          </w:p>
        </w:tc>
      </w:tr>
      <w:tr>
        <w:trPr>
          <w:trHeight w:val="229"/>
        </w:trPr>
        <w:tc>
          <w:tcPr>
            <w:tcW w:w="5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Long-term deferred income tax liabilities</w:t>
            </w:r>
          </w:p>
        </w:tc>
        <w:tc>
          <w:tcPr>
            <w:tcW w:w="29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left="395"/>
              <w:spacing w:after="0"/>
              <w:rPr>
                <w:sz w:val="20"/>
                <w:szCs w:val="20"/>
                <w:color w:val="auto"/>
              </w:rPr>
            </w:pPr>
            <w:r>
              <w:rPr>
                <w:rFonts w:ascii="Times New Roman" w:cs="Times New Roman" w:eastAsia="Times New Roman" w:hAnsi="Times New Roman"/>
                <w:sz w:val="18"/>
                <w:szCs w:val="18"/>
                <w:color w:val="auto"/>
                <w:w w:val="98"/>
              </w:rPr>
              <w:t>(110.7)</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left="435"/>
              <w:spacing w:after="0"/>
              <w:rPr>
                <w:sz w:val="20"/>
                <w:szCs w:val="20"/>
                <w:color w:val="auto"/>
              </w:rPr>
            </w:pPr>
            <w:r>
              <w:rPr>
                <w:rFonts w:ascii="Times New Roman" w:cs="Times New Roman" w:eastAsia="Times New Roman" w:hAnsi="Times New Roman"/>
                <w:sz w:val="18"/>
                <w:szCs w:val="18"/>
                <w:color w:val="auto"/>
              </w:rPr>
              <w:t>(107.7)</w:t>
            </w:r>
          </w:p>
        </w:tc>
      </w:tr>
      <w:tr>
        <w:trPr>
          <w:trHeight w:val="230"/>
        </w:trPr>
        <w:tc>
          <w:tcPr>
            <w:tcW w:w="56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deferred income tax asset</w:t>
            </w:r>
          </w:p>
        </w:tc>
        <w:tc>
          <w:tcPr>
            <w:tcW w:w="29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center"/>
              <w:ind w:left="395"/>
              <w:spacing w:after="0"/>
              <w:rPr>
                <w:sz w:val="20"/>
                <w:szCs w:val="20"/>
                <w:color w:val="auto"/>
              </w:rPr>
            </w:pPr>
            <w:r>
              <w:rPr>
                <w:rFonts w:ascii="Times New Roman" w:cs="Times New Roman" w:eastAsia="Times New Roman" w:hAnsi="Times New Roman"/>
                <w:sz w:val="18"/>
                <w:szCs w:val="18"/>
                <w:color w:val="auto"/>
                <w:w w:val="98"/>
              </w:rPr>
              <w:t>854.0</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center"/>
              <w:ind w:left="455"/>
              <w:spacing w:after="0"/>
              <w:rPr>
                <w:sz w:val="20"/>
                <w:szCs w:val="20"/>
                <w:color w:val="auto"/>
              </w:rPr>
            </w:pPr>
            <w:r>
              <w:rPr>
                <w:rFonts w:ascii="Times New Roman" w:cs="Times New Roman" w:eastAsia="Times New Roman" w:hAnsi="Times New Roman"/>
                <w:sz w:val="18"/>
                <w:szCs w:val="18"/>
                <w:color w:val="auto"/>
                <w:w w:val="98"/>
              </w:rPr>
              <w:t>788.7</w:t>
            </w:r>
          </w:p>
        </w:tc>
      </w:tr>
    </w:tbl>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2025, deferred income taxes have not been provided on the undistributed earnings of the Company's foreign subsidiaries since these earnings will not be taxable upon repatriation to the United States. These earnings will be primarily treated as previously taxed income from either the one-time transition tax or GILTI, or they will be offset with a 100% dividend received deduction. However, the Company continues to provide a deferred tax liability for foreign withholding tax that will be incurred with respect to the undistributed foreign earnings that are not permanently reinvested.</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2025, the Company had tax loss carryforwards of $1.8 billion. Of the total tax loss carryforwards, $1.6 billion have no expiration date, and $213.6 million expire between 2026 and 2042. In addition, the Company had tax credit carryforwards of $156.2 million, comprised principally of U.S. research and development credits of $143.2 million that expire between 2029 and 2045 and other tax credits primarily in international jurisdictions of $13.0 million that generally expire between 2026 and 2043.</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2025, 2024 and 2023, the Company's gross unrecognized tax benefits were $36.9 million, $34.0 million and $33.1 million (excluding interest and penalties), respectively, which are recorded in other long-term liabilities in the accompanying consolidated balance sheets. All of the Company's gross unrecognized tax benefits, if recognized, would affect the Company's effective tax rate.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changes in gross unrecognized tax benefits is shown below (in millions):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5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For the year ended December 31,</w:t>
            </w:r>
          </w:p>
        </w:tc>
        <w:tc>
          <w:tcPr>
            <w:tcW w:w="15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color w:val="auto"/>
              </w:rPr>
              <w:t>2025</w:t>
            </w:r>
          </w:p>
        </w:tc>
        <w:tc>
          <w:tcPr>
            <w:tcW w:w="38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color w:val="auto"/>
              </w:rPr>
              <w:t>2024</w:t>
            </w:r>
          </w:p>
        </w:tc>
        <w:tc>
          <w:tcPr>
            <w:tcW w:w="38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color w:val="auto"/>
              </w:rPr>
              <w:t>2023</w:t>
            </w:r>
          </w:p>
        </w:tc>
      </w:tr>
      <w:tr>
        <w:trPr>
          <w:trHeight w:val="230"/>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5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34.0</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33.1</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r>
      <w:tr>
        <w:trPr>
          <w:trHeight w:val="229"/>
        </w:trPr>
        <w:tc>
          <w:tcPr>
            <w:tcW w:w="5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Additions based on tax positions related to current year</w:t>
            </w:r>
          </w:p>
        </w:tc>
        <w:tc>
          <w:tcPr>
            <w:tcW w:w="1540" w:type="dxa"/>
            <w:vAlign w:val="bottom"/>
          </w:tcPr>
          <w:p>
            <w:pPr>
              <w:spacing w:after="0"/>
              <w:rPr>
                <w:sz w:val="19"/>
                <w:szCs w:val="19"/>
                <w:color w:val="auto"/>
              </w:rPr>
            </w:pP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6.3</w:t>
            </w:r>
          </w:p>
        </w:tc>
        <w:tc>
          <w:tcPr>
            <w:tcW w:w="380" w:type="dxa"/>
            <w:vAlign w:val="bottom"/>
          </w:tcPr>
          <w:p>
            <w:pPr>
              <w:spacing w:after="0"/>
              <w:rPr>
                <w:sz w:val="19"/>
                <w:szCs w:val="19"/>
                <w:color w:val="auto"/>
              </w:rPr>
            </w:pPr>
          </w:p>
        </w:tc>
        <w:tc>
          <w:tcPr>
            <w:tcW w:w="11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6.6</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30"/>
        </w:trPr>
        <w:tc>
          <w:tcPr>
            <w:tcW w:w="5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Statute expirations</w:t>
            </w:r>
          </w:p>
        </w:tc>
        <w:tc>
          <w:tcPr>
            <w:tcW w:w="15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30"/>
        </w:trPr>
        <w:tc>
          <w:tcPr>
            <w:tcW w:w="55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5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1.3</w:t>
            </w: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30"/>
        </w:trPr>
        <w:tc>
          <w:tcPr>
            <w:tcW w:w="55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15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36.9</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34.0</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r>
    </w:tbl>
    <w:p>
      <w:pPr>
        <w:spacing w:after="0" w:line="17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recognizes interest and penalties with respect to unrecognized tax benefits as income tax expense. As of December 31, 2025, 2024 and 2023, the Company had recorded gross reserves of $11.9 million, $10.9 million and $11.6 million, respectively, related to interest and penalties, all of which, if recognized, would affect the Company's effective tax rate.</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considers its significant tax jurisdictions to include China, Germany, Mexico, Morocco, Spain, the United Kingdom and the United States. The Company or its subsidiaries generally remain subject to income tax examination in certain U.S. state and local jurisdictions for years after 2020. Further, the Company or its subsidiaries remain subject to income tax examinations in Spain for years after 2007, in Mexico for years after 2017, in Germany for years after 2018, in China and Morocco for years after 2019, in the United Kingdom for years after 2021, and in the United States generally for years after 2023.</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0" w:type="dxa"/>
            <w:vAlign w:val="bottom"/>
          </w:tcPr>
          <w:p>
            <w:pPr>
              <w:ind w:left="4280"/>
              <w:spacing w:after="0"/>
              <w:rPr>
                <w:sz w:val="20"/>
                <w:szCs w:val="20"/>
                <w:color w:val="auto"/>
              </w:rPr>
            </w:pPr>
            <w:r>
              <w:rPr>
                <w:rFonts w:ascii="Times New Roman" w:cs="Times New Roman" w:eastAsia="Times New Roman" w:hAnsi="Times New Roman"/>
                <w:sz w:val="18"/>
                <w:szCs w:val="18"/>
                <w:b w:val="1"/>
                <w:bCs w:val="1"/>
                <w:color w:val="auto"/>
              </w:rPr>
              <w:t>Lear Corporation and Subsidiaries</w:t>
            </w:r>
          </w:p>
        </w:tc>
        <w:tc>
          <w:tcPr>
            <w:tcW w:w="1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8"/>
        </w:trPr>
        <w:tc>
          <w:tcPr>
            <w:tcW w:w="8800" w:type="dxa"/>
            <w:vAlign w:val="bottom"/>
          </w:tcPr>
          <w:p>
            <w:pPr>
              <w:ind w:left="35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tc>
        <w:tc>
          <w:tcPr>
            <w:tcW w:w="13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810"/>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A summary of income taxes paid, net of refunds, is shown below (in millions):</w:t>
            </w:r>
          </w:p>
        </w:tc>
        <w:tc>
          <w:tcPr>
            <w:tcW w:w="13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42"/>
        </w:trPr>
        <w:tc>
          <w:tcPr>
            <w:tcW w:w="880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r>
      <w:tr>
        <w:trPr>
          <w:trHeight w:val="196"/>
        </w:trPr>
        <w:tc>
          <w:tcPr>
            <w:tcW w:w="8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For the year ended December 31,</w:t>
            </w:r>
          </w:p>
        </w:tc>
        <w:tc>
          <w:tcPr>
            <w:tcW w:w="1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color w:val="auto"/>
              </w:rPr>
              <w:t>2025</w:t>
            </w:r>
          </w:p>
        </w:tc>
      </w:tr>
      <w:tr>
        <w:trPr>
          <w:trHeight w:val="229"/>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w:t>
            </w:r>
          </w:p>
        </w:tc>
        <w:tc>
          <w:tcPr>
            <w:tcW w:w="1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29"/>
        </w:trPr>
        <w:tc>
          <w:tcPr>
            <w:tcW w:w="8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w:t>
            </w:r>
          </w:p>
        </w:tc>
        <w:tc>
          <w:tcPr>
            <w:tcW w:w="1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30"/>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1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8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Canada</w:t>
            </w:r>
          </w:p>
        </w:tc>
        <w:tc>
          <w:tcPr>
            <w:tcW w:w="1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r>
      <w:tr>
        <w:trPr>
          <w:trHeight w:val="230"/>
        </w:trPr>
        <w:tc>
          <w:tcPr>
            <w:tcW w:w="8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China</w:t>
            </w:r>
          </w:p>
        </w:tc>
        <w:tc>
          <w:tcPr>
            <w:tcW w:w="1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w:t>
            </w:r>
          </w:p>
        </w:tc>
      </w:tr>
      <w:tr>
        <w:trPr>
          <w:trHeight w:val="229"/>
        </w:trPr>
        <w:tc>
          <w:tcPr>
            <w:tcW w:w="8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Czech Republic</w:t>
            </w:r>
          </w:p>
        </w:tc>
        <w:tc>
          <w:tcPr>
            <w:tcW w:w="1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229"/>
        </w:trPr>
        <w:tc>
          <w:tcPr>
            <w:tcW w:w="8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India</w:t>
            </w:r>
          </w:p>
        </w:tc>
        <w:tc>
          <w:tcPr>
            <w:tcW w:w="1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30"/>
        </w:trPr>
        <w:tc>
          <w:tcPr>
            <w:tcW w:w="8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Mexico</w:t>
            </w:r>
          </w:p>
        </w:tc>
        <w:tc>
          <w:tcPr>
            <w:tcW w:w="1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w:t>
            </w:r>
          </w:p>
        </w:tc>
      </w:tr>
      <w:tr>
        <w:trPr>
          <w:trHeight w:val="229"/>
        </w:trPr>
        <w:tc>
          <w:tcPr>
            <w:tcW w:w="88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All other foreign</w:t>
            </w:r>
          </w:p>
        </w:tc>
        <w:tc>
          <w:tcPr>
            <w:tcW w:w="1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w:t>
            </w:r>
          </w:p>
        </w:tc>
      </w:tr>
      <w:tr>
        <w:trPr>
          <w:trHeight w:val="230"/>
        </w:trPr>
        <w:tc>
          <w:tcPr>
            <w:tcW w:w="88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276.8</w:t>
            </w: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2025 Budget Reconciliation Bill</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July 2025, the 2025 Budget Reconciliation Act or H.R. 1 (the "Act") was signed into law. The Act includes a broad range of tax reform provisions, including extending and modifying various provisions of the Tax Cuts and Jobs Act and expanding certain incentives in the Inflation Reduction Act while accelerating the phase-out of other incentives. The legislation has multiple effective dates, with certain provisions effective in 2025 and other provisions effective in 2026 and subsequent years. The Act did not have a significant impact on the Company's 2025 consolidated financial statements. Further, the Act is not expected to have a significant impact on the Company's 2026 consolidated financial statements, based on the guidance issued to date.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Excise Taxes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2025, 2024 and 2023, the Company incurred $3.1 million, $3.8 million and $2.9 million, respectively, of excise taxes on its share repurchases, which is included in repurchases of shares of common stock in the accompanying consolidated statements of equity.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Pension and Other Postretirement Benefit Plans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noncontributory defined benefit pension plans covering certain domestic employees and certain employees in foreign countries, principally Canada.</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domestic salaried pension plans provide benefits based on final average earnings formulas. The Company's domestic hourly pension plans provide benefits under flat benefit and cash balance formulas. The Company also has contractual arrangements with certain employees which provide for supplemental retirement benefits. In general, the Company's policy is to fund its pension benefit obligation based on legal requirements, tax and liquidity considerations and local practices.</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postretirement benefit plans covering certain domestic and Canadian retirees. The Company's postretirement benefit plans generally provide for the continuation of medical benefits for eligible retirees. The Company does not fund its postretirement benefit obligation. Rather, payments are made as costs are incurred by covered retirees.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Lear Corporation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Obligation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change in benefit obligation for the years ended December 31, 2025 and 2024, is shown below (in millions):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18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Pension</w:t>
            </w:r>
          </w:p>
        </w:tc>
        <w:tc>
          <w:tcPr>
            <w:tcW w:w="70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right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780" w:type="dxa"/>
            <w:vAlign w:val="bottom"/>
            <w:tcBorders>
              <w:top w:val="single" w:sz="8" w:color="auto"/>
              <w:bottom w:val="single" w:sz="8" w:color="auto"/>
            </w:tcBorders>
            <w:gridSpan w:val="3"/>
          </w:tcPr>
          <w:p>
            <w:pPr>
              <w:jc w:val="right"/>
              <w:ind w:right="313"/>
              <w:spacing w:after="0"/>
              <w:rPr>
                <w:sz w:val="20"/>
                <w:szCs w:val="20"/>
                <w:color w:val="auto"/>
              </w:rPr>
            </w:pPr>
            <w:r>
              <w:rPr>
                <w:rFonts w:ascii="Times New Roman" w:cs="Times New Roman" w:eastAsia="Times New Roman" w:hAnsi="Times New Roman"/>
                <w:sz w:val="14"/>
                <w:szCs w:val="14"/>
                <w:color w:val="auto"/>
              </w:rPr>
              <w:t>Other Postretirement</w:t>
            </w:r>
          </w:p>
        </w:tc>
        <w:tc>
          <w:tcPr>
            <w:tcW w:w="22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spacing w:after="0"/>
              <w:rPr>
                <w:sz w:val="19"/>
                <w:szCs w:val="19"/>
                <w:color w:val="auto"/>
              </w:rPr>
            </w:pPr>
          </w:p>
        </w:tc>
      </w:tr>
      <w:tr>
        <w:trPr>
          <w:trHeight w:val="196"/>
        </w:trPr>
        <w:tc>
          <w:tcPr>
            <w:tcW w:w="31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3"/>
          </w:tcPr>
          <w:p>
            <w:pPr>
              <w:jc w:val="right"/>
              <w:ind w:right="333"/>
              <w:spacing w:after="0"/>
              <w:rPr>
                <w:sz w:val="20"/>
                <w:szCs w:val="20"/>
                <w:color w:val="auto"/>
              </w:rPr>
            </w:pPr>
            <w:r>
              <w:rPr>
                <w:rFonts w:ascii="Times New Roman" w:cs="Times New Roman" w:eastAsia="Times New Roman" w:hAnsi="Times New Roman"/>
                <w:sz w:val="14"/>
                <w:szCs w:val="14"/>
                <w:color w:val="auto"/>
              </w:rPr>
              <w:t>December 31, 2025</w:t>
            </w:r>
          </w:p>
        </w:tc>
        <w:tc>
          <w:tcPr>
            <w:tcW w:w="300" w:type="dxa"/>
            <w:vAlign w:val="bottom"/>
            <w:tcBorders>
              <w:bottom w:val="single" w:sz="8" w:color="auto"/>
            </w:tcBorders>
          </w:tcPr>
          <w:p>
            <w:pPr>
              <w:spacing w:after="0"/>
              <w:rPr>
                <w:sz w:val="17"/>
                <w:szCs w:val="17"/>
                <w:color w:val="auto"/>
              </w:rPr>
            </w:pPr>
          </w:p>
        </w:tc>
        <w:tc>
          <w:tcPr>
            <w:tcW w:w="1780" w:type="dxa"/>
            <w:vAlign w:val="bottom"/>
            <w:tcBorders>
              <w:bottom w:val="single" w:sz="8" w:color="auto"/>
              <w:right w:val="single" w:sz="8" w:color="auto"/>
            </w:tcBorders>
            <w:gridSpan w:val="3"/>
          </w:tcPr>
          <w:p>
            <w:pPr>
              <w:jc w:val="right"/>
              <w:ind w:right="432"/>
              <w:spacing w:after="0"/>
              <w:rPr>
                <w:sz w:val="20"/>
                <w:szCs w:val="20"/>
                <w:color w:val="auto"/>
              </w:rPr>
            </w:pPr>
            <w:r>
              <w:rPr>
                <w:rFonts w:ascii="Times New Roman" w:cs="Times New Roman" w:eastAsia="Times New Roman" w:hAnsi="Times New Roman"/>
                <w:sz w:val="14"/>
                <w:szCs w:val="14"/>
                <w:color w:val="auto"/>
              </w:rPr>
              <w:t>December 31, 2024</w:t>
            </w:r>
          </w:p>
        </w:tc>
        <w:tc>
          <w:tcPr>
            <w:tcW w:w="3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3"/>
          </w:tcPr>
          <w:p>
            <w:pPr>
              <w:jc w:val="right"/>
              <w:ind w:right="333"/>
              <w:spacing w:after="0"/>
              <w:rPr>
                <w:sz w:val="20"/>
                <w:szCs w:val="20"/>
                <w:color w:val="auto"/>
              </w:rPr>
            </w:pPr>
            <w:r>
              <w:rPr>
                <w:rFonts w:ascii="Times New Roman" w:cs="Times New Roman" w:eastAsia="Times New Roman" w:hAnsi="Times New Roman"/>
                <w:sz w:val="14"/>
                <w:szCs w:val="14"/>
                <w:color w:val="auto"/>
              </w:rPr>
              <w:t>December 31, 2025</w:t>
            </w:r>
          </w:p>
        </w:tc>
        <w:tc>
          <w:tcPr>
            <w:tcW w:w="28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3"/>
          </w:tcPr>
          <w:p>
            <w:pPr>
              <w:jc w:val="right"/>
              <w:ind w:right="292"/>
              <w:spacing w:after="0"/>
              <w:rPr>
                <w:sz w:val="20"/>
                <w:szCs w:val="20"/>
                <w:color w:val="auto"/>
              </w:rPr>
            </w:pPr>
            <w:r>
              <w:rPr>
                <w:rFonts w:ascii="Times New Roman" w:cs="Times New Roman" w:eastAsia="Times New Roman" w:hAnsi="Times New Roman"/>
                <w:sz w:val="14"/>
                <w:szCs w:val="14"/>
                <w:color w:val="auto"/>
              </w:rPr>
              <w:t>December 31, 2024</w:t>
            </w:r>
          </w:p>
        </w:tc>
      </w:tr>
      <w:tr>
        <w:trPr>
          <w:trHeight w:val="196"/>
        </w:trPr>
        <w:tc>
          <w:tcPr>
            <w:tcW w:w="31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color w:val="auto"/>
              </w:rPr>
              <w:t>U.S.</w:t>
            </w: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color w:val="auto"/>
              </w:rPr>
              <w:t>Foreign</w:t>
            </w:r>
          </w:p>
        </w:tc>
        <w:tc>
          <w:tcPr>
            <w:tcW w:w="3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color w:val="auto"/>
              </w:rPr>
              <w:t>U.S.</w:t>
            </w: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color w:val="auto"/>
              </w:rPr>
              <w:t>Foreign</w:t>
            </w:r>
          </w:p>
        </w:tc>
        <w:tc>
          <w:tcPr>
            <w:tcW w:w="3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color w:val="auto"/>
              </w:rPr>
              <w:t>U.S.</w:t>
            </w: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color w:val="auto"/>
              </w:rPr>
              <w:t>Foreign</w:t>
            </w:r>
          </w:p>
        </w:tc>
        <w:tc>
          <w:tcPr>
            <w:tcW w:w="2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color w:val="auto"/>
              </w:rPr>
              <w:t>U.S.</w:t>
            </w: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color w:val="auto"/>
              </w:rPr>
              <w:t>Foreign</w:t>
            </w:r>
          </w:p>
        </w:tc>
      </w:tr>
      <w:tr>
        <w:trPr>
          <w:trHeight w:val="230"/>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benefit obligation:</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tcBorders>
              <w:right w:val="single" w:sz="8" w:color="auto"/>
            </w:tcBorders>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29"/>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Benefit obligation at beginning of period</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328.1</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341.0</w:t>
            </w:r>
          </w:p>
        </w:tc>
        <w:tc>
          <w:tcPr>
            <w:tcW w:w="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405.3</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right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373.8</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27.9</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14.7</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29.1</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230"/>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4.2</w:t>
            </w: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60" w:type="dxa"/>
            <w:vAlign w:val="bottom"/>
            <w:tcBorders>
              <w:right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4.1</w:t>
            </w: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220" w:type="dxa"/>
            <w:vAlign w:val="bottom"/>
          </w:tcPr>
          <w:p>
            <w:pPr>
              <w:spacing w:after="0"/>
              <w:rPr>
                <w:sz w:val="19"/>
                <w:szCs w:val="19"/>
                <w:color w:val="auto"/>
              </w:rPr>
            </w:pPr>
          </w:p>
        </w:tc>
        <w:tc>
          <w:tcPr>
            <w:tcW w:w="7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17.9</w:t>
            </w:r>
          </w:p>
        </w:tc>
        <w:tc>
          <w:tcPr>
            <w:tcW w:w="220" w:type="dxa"/>
            <w:vAlign w:val="bottom"/>
          </w:tcPr>
          <w:p>
            <w:pPr>
              <w:spacing w:after="0"/>
              <w:rPr>
                <w:sz w:val="19"/>
                <w:szCs w:val="19"/>
                <w:color w:val="auto"/>
              </w:rPr>
            </w:pPr>
          </w:p>
        </w:tc>
        <w:tc>
          <w:tcPr>
            <w:tcW w:w="7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15.4</w:t>
            </w:r>
          </w:p>
        </w:tc>
        <w:tc>
          <w:tcPr>
            <w:tcW w:w="300" w:type="dxa"/>
            <w:vAlign w:val="bottom"/>
          </w:tcPr>
          <w:p>
            <w:pPr>
              <w:spacing w:after="0"/>
              <w:rPr>
                <w:sz w:val="19"/>
                <w:szCs w:val="19"/>
                <w:color w:val="auto"/>
              </w:rPr>
            </w:pPr>
          </w:p>
        </w:tc>
        <w:tc>
          <w:tcPr>
            <w:tcW w:w="7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20.4</w:t>
            </w:r>
          </w:p>
        </w:tc>
        <w:tc>
          <w:tcPr>
            <w:tcW w:w="220" w:type="dxa"/>
            <w:vAlign w:val="bottom"/>
          </w:tcPr>
          <w:p>
            <w:pPr>
              <w:spacing w:after="0"/>
              <w:rPr>
                <w:sz w:val="19"/>
                <w:szCs w:val="19"/>
                <w:color w:val="auto"/>
              </w:rPr>
            </w:pPr>
          </w:p>
        </w:tc>
        <w:tc>
          <w:tcPr>
            <w:tcW w:w="860" w:type="dxa"/>
            <w:vAlign w:val="bottom"/>
            <w:tcBorders>
              <w:right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15.4</w:t>
            </w:r>
          </w:p>
        </w:tc>
        <w:tc>
          <w:tcPr>
            <w:tcW w:w="300" w:type="dxa"/>
            <w:vAlign w:val="bottom"/>
          </w:tcPr>
          <w:p>
            <w:pPr>
              <w:spacing w:after="0"/>
              <w:rPr>
                <w:sz w:val="19"/>
                <w:szCs w:val="19"/>
                <w:color w:val="auto"/>
              </w:rPr>
            </w:pPr>
          </w:p>
        </w:tc>
        <w:tc>
          <w:tcPr>
            <w:tcW w:w="7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tcPr>
          <w:p>
            <w:pPr>
              <w:spacing w:after="0"/>
              <w:rPr>
                <w:sz w:val="19"/>
                <w:szCs w:val="19"/>
                <w:color w:val="auto"/>
              </w:rPr>
            </w:pPr>
          </w:p>
        </w:tc>
        <w:tc>
          <w:tcPr>
            <w:tcW w:w="7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0.7</w:t>
            </w:r>
          </w:p>
        </w:tc>
        <w:tc>
          <w:tcPr>
            <w:tcW w:w="280" w:type="dxa"/>
            <w:vAlign w:val="bottom"/>
          </w:tcPr>
          <w:p>
            <w:pPr>
              <w:spacing w:after="0"/>
              <w:rPr>
                <w:sz w:val="19"/>
                <w:szCs w:val="19"/>
                <w:color w:val="auto"/>
              </w:rPr>
            </w:pPr>
          </w:p>
        </w:tc>
        <w:tc>
          <w:tcPr>
            <w:tcW w:w="7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29"/>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Actuarial (gains) losses</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12.7</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220" w:type="dxa"/>
            <w:vAlign w:val="bottom"/>
            <w:shd w:val="clear" w:color="auto" w:fill="CCEEFF"/>
          </w:tcPr>
          <w:p>
            <w:pPr>
              <w:spacing w:after="0"/>
              <w:rPr>
                <w:sz w:val="19"/>
                <w:szCs w:val="19"/>
                <w:color w:val="auto"/>
              </w:rPr>
            </w:pPr>
          </w:p>
        </w:tc>
        <w:tc>
          <w:tcPr>
            <w:tcW w:w="860" w:type="dxa"/>
            <w:vAlign w:val="bottom"/>
            <w:tcBorders>
              <w:right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(4.1)</w:t>
            </w: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1.6</w:t>
            </w: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0"/>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Benefits paid</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220" w:type="dxa"/>
            <w:vAlign w:val="bottom"/>
          </w:tcPr>
          <w:p>
            <w:pPr>
              <w:spacing w:after="0"/>
              <w:rPr>
                <w:sz w:val="19"/>
                <w:szCs w:val="19"/>
                <w:color w:val="auto"/>
              </w:rPr>
            </w:pPr>
          </w:p>
        </w:tc>
        <w:tc>
          <w:tcPr>
            <w:tcW w:w="860" w:type="dxa"/>
            <w:vAlign w:val="bottom"/>
            <w:tcBorders>
              <w:right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(23.4)</w:t>
            </w: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9"/>
        </w:trPr>
        <w:tc>
          <w:tcPr>
            <w:tcW w:w="31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Benefits paid - lump-sum payout </w:t>
            </w:r>
            <w:r>
              <w:rPr>
                <w:rFonts w:ascii="Times New Roman" w:cs="Times New Roman" w:eastAsia="Times New Roman" w:hAnsi="Times New Roman"/>
                <w:sz w:val="23"/>
                <w:szCs w:val="23"/>
                <w:color w:val="auto"/>
                <w:vertAlign w:val="superscript"/>
              </w:rPr>
              <w:t>(1)</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220" w:type="dxa"/>
            <w:vAlign w:val="bottom"/>
            <w:shd w:val="clear" w:color="auto" w:fill="CCEEFF"/>
          </w:tcPr>
          <w:p>
            <w:pPr>
              <w:spacing w:after="0"/>
              <w:rPr>
                <w:sz w:val="19"/>
                <w:szCs w:val="19"/>
                <w:color w:val="auto"/>
              </w:rPr>
            </w:pPr>
          </w:p>
        </w:tc>
        <w:tc>
          <w:tcPr>
            <w:tcW w:w="860" w:type="dxa"/>
            <w:vAlign w:val="bottom"/>
            <w:tcBorders>
              <w:right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Curtailment</w:t>
            </w:r>
          </w:p>
        </w:tc>
        <w:tc>
          <w:tcPr>
            <w:tcW w:w="220" w:type="dxa"/>
            <w:vAlign w:val="bottom"/>
          </w:tcPr>
          <w:p>
            <w:pPr>
              <w:spacing w:after="0"/>
              <w:rPr>
                <w:sz w:val="19"/>
                <w:szCs w:val="19"/>
                <w:color w:val="auto"/>
              </w:rPr>
            </w:pPr>
          </w:p>
        </w:tc>
        <w:tc>
          <w:tcPr>
            <w:tcW w:w="7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7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60" w:type="dxa"/>
            <w:vAlign w:val="bottom"/>
            <w:tcBorders>
              <w:right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(0.6)</w:t>
            </w:r>
          </w:p>
        </w:tc>
        <w:tc>
          <w:tcPr>
            <w:tcW w:w="300" w:type="dxa"/>
            <w:vAlign w:val="bottom"/>
          </w:tcPr>
          <w:p>
            <w:pPr>
              <w:spacing w:after="0"/>
              <w:rPr>
                <w:sz w:val="19"/>
                <w:szCs w:val="19"/>
                <w:color w:val="auto"/>
              </w:rPr>
            </w:pPr>
          </w:p>
        </w:tc>
        <w:tc>
          <w:tcPr>
            <w:tcW w:w="7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7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Translation adjustment</w:t>
            </w:r>
          </w:p>
        </w:tc>
        <w:tc>
          <w:tcPr>
            <w:tcW w:w="2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23.1</w:t>
            </w:r>
          </w:p>
        </w:tc>
        <w:tc>
          <w:tcPr>
            <w:tcW w:w="3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right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(24.2)</w:t>
            </w:r>
          </w:p>
        </w:tc>
        <w:tc>
          <w:tcPr>
            <w:tcW w:w="3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0.6</w:t>
            </w:r>
          </w:p>
        </w:tc>
        <w:tc>
          <w:tcPr>
            <w:tcW w:w="2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30"/>
        </w:trPr>
        <w:tc>
          <w:tcPr>
            <w:tcW w:w="3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Benefit obligation at end of period</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336.4</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347.3</w:t>
            </w:r>
          </w:p>
        </w:tc>
        <w:tc>
          <w:tcPr>
            <w:tcW w:w="3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328.1</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right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341.0</w:t>
            </w:r>
          </w:p>
        </w:tc>
        <w:tc>
          <w:tcPr>
            <w:tcW w:w="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28.0</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16.4</w:t>
            </w:r>
          </w:p>
        </w:tc>
        <w:tc>
          <w:tcPr>
            <w:tcW w:w="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27.9</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w:t>
            </w:r>
          </w:p>
        </w:tc>
      </w:tr>
    </w:tbl>
    <w:p>
      <w:pPr>
        <w:spacing w:after="0" w:line="92" w:lineRule="exact"/>
        <w:rPr>
          <w:sz w:val="20"/>
          <w:szCs w:val="20"/>
          <w:color w:val="auto"/>
        </w:rPr>
      </w:pPr>
    </w:p>
    <w:p>
      <w:pPr>
        <w:spacing w:after="0"/>
        <w:tabs>
          <w:tab w:leader="none" w:pos="220" w:val="left"/>
        </w:tabs>
        <w:rPr>
          <w:sz w:val="20"/>
          <w:szCs w:val="20"/>
          <w:color w:val="auto"/>
        </w:rPr>
      </w:pPr>
      <w:r>
        <w:rPr>
          <w:rFonts w:ascii="Times New Roman" w:cs="Times New Roman" w:eastAsia="Times New Roman" w:hAnsi="Times New Roman"/>
          <w:sz w:val="19"/>
          <w:szCs w:val="19"/>
          <w:color w:val="auto"/>
          <w:vertAlign w:val="superscript"/>
        </w:rPr>
        <w:t>(1)</w:t>
      </w:r>
      <w:r>
        <w:rPr>
          <w:sz w:val="20"/>
          <w:szCs w:val="20"/>
          <w:color w:val="auto"/>
        </w:rPr>
        <w:tab/>
      </w:r>
      <w:r>
        <w:rPr>
          <w:rFonts w:ascii="Times New Roman" w:cs="Times New Roman" w:eastAsia="Times New Roman" w:hAnsi="Times New Roman"/>
          <w:sz w:val="14"/>
          <w:szCs w:val="14"/>
          <w:color w:val="auto"/>
        </w:rPr>
        <w:t>See lump-sum payout below.</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Actuarial (gains) losses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December 31, 2025, the increase in the U.S. pension benefit obligation attributable to actuarial losses primarily relates to a decrease in the discount rate, and to a lesser extent, changes in mortality assumptions. The decrease in the foreign pension benefit obligation attributable to actuarial gains primarily relates to increases in discount rates. As of December 31, 2025, the increase in the U.S. other postretirement benefit obligation attributable to actuarial losses primarily relates to a decrease in the discount rate, and to a lesser extent, changes in mortality assumptions. The increase in the foreign other postretirement benefit obligation attributable to actuarial losses primarily relates to demographic and claims cost updates, partially offset by an increase in the discount rate.</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2024, the decrease in the U.S. pension benefit obligation attributable to actuarial gains primarily relates to an increase in the discount rate. The decrease in the foreign pension benefit obligation attributable to actuarial gains primarily relates to increases in discount rates and changes in demographics, partially offset by changes in mortality assumptions. As of December 31, 2024, the increase in the U.S. other postretirement benefit obligation attributable to actuarial losses primarily relates to the plans' biennial valuation update, offset by an increase in the discount rate. The increase in the foreign other postretirement benefit obligation attributable to actuarial losses primarily relates to changes in mortality assumptions.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Lear Corporation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Plan Assets and Funded Status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reconciliation of the change in plan assets for the years ended December 31, 2025 and 2024, and the funded status as of December 31, 2025 and 2024, are shown below (in millions):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18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Pension</w:t>
            </w:r>
          </w:p>
        </w:tc>
        <w:tc>
          <w:tcPr>
            <w:tcW w:w="70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right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780" w:type="dxa"/>
            <w:vAlign w:val="bottom"/>
            <w:tcBorders>
              <w:top w:val="single" w:sz="8" w:color="auto"/>
              <w:bottom w:val="single" w:sz="8" w:color="auto"/>
            </w:tcBorders>
            <w:gridSpan w:val="3"/>
          </w:tcPr>
          <w:p>
            <w:pPr>
              <w:jc w:val="right"/>
              <w:ind w:right="314"/>
              <w:spacing w:after="0"/>
              <w:rPr>
                <w:sz w:val="20"/>
                <w:szCs w:val="20"/>
                <w:color w:val="auto"/>
              </w:rPr>
            </w:pPr>
            <w:r>
              <w:rPr>
                <w:rFonts w:ascii="Times New Roman" w:cs="Times New Roman" w:eastAsia="Times New Roman" w:hAnsi="Times New Roman"/>
                <w:sz w:val="14"/>
                <w:szCs w:val="14"/>
                <w:color w:val="auto"/>
              </w:rPr>
              <w:t>Other Postretirement</w:t>
            </w:r>
          </w:p>
        </w:tc>
        <w:tc>
          <w:tcPr>
            <w:tcW w:w="22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spacing w:after="0"/>
              <w:rPr>
                <w:sz w:val="19"/>
                <w:szCs w:val="19"/>
                <w:color w:val="auto"/>
              </w:rPr>
            </w:pPr>
          </w:p>
        </w:tc>
      </w:tr>
      <w:tr>
        <w:trPr>
          <w:trHeight w:val="196"/>
        </w:trPr>
        <w:tc>
          <w:tcPr>
            <w:tcW w:w="31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3"/>
          </w:tcPr>
          <w:p>
            <w:pPr>
              <w:jc w:val="right"/>
              <w:ind w:right="334"/>
              <w:spacing w:after="0"/>
              <w:rPr>
                <w:sz w:val="20"/>
                <w:szCs w:val="20"/>
                <w:color w:val="auto"/>
              </w:rPr>
            </w:pPr>
            <w:r>
              <w:rPr>
                <w:rFonts w:ascii="Times New Roman" w:cs="Times New Roman" w:eastAsia="Times New Roman" w:hAnsi="Times New Roman"/>
                <w:sz w:val="14"/>
                <w:szCs w:val="14"/>
                <w:color w:val="auto"/>
              </w:rPr>
              <w:t>December 31, 2025</w:t>
            </w:r>
          </w:p>
        </w:tc>
        <w:tc>
          <w:tcPr>
            <w:tcW w:w="300" w:type="dxa"/>
            <w:vAlign w:val="bottom"/>
            <w:tcBorders>
              <w:bottom w:val="single" w:sz="8" w:color="auto"/>
            </w:tcBorders>
          </w:tcPr>
          <w:p>
            <w:pPr>
              <w:spacing w:after="0"/>
              <w:rPr>
                <w:sz w:val="17"/>
                <w:szCs w:val="17"/>
                <w:color w:val="auto"/>
              </w:rPr>
            </w:pPr>
          </w:p>
        </w:tc>
        <w:tc>
          <w:tcPr>
            <w:tcW w:w="1780" w:type="dxa"/>
            <w:vAlign w:val="bottom"/>
            <w:tcBorders>
              <w:bottom w:val="single" w:sz="8" w:color="auto"/>
              <w:right w:val="single" w:sz="8" w:color="auto"/>
            </w:tcBorders>
            <w:gridSpan w:val="3"/>
          </w:tcPr>
          <w:p>
            <w:pPr>
              <w:jc w:val="right"/>
              <w:ind w:right="432"/>
              <w:spacing w:after="0"/>
              <w:rPr>
                <w:sz w:val="20"/>
                <w:szCs w:val="20"/>
                <w:color w:val="auto"/>
              </w:rPr>
            </w:pPr>
            <w:r>
              <w:rPr>
                <w:rFonts w:ascii="Times New Roman" w:cs="Times New Roman" w:eastAsia="Times New Roman" w:hAnsi="Times New Roman"/>
                <w:sz w:val="14"/>
                <w:szCs w:val="14"/>
                <w:color w:val="auto"/>
              </w:rPr>
              <w:t>December 31, 2024</w:t>
            </w:r>
          </w:p>
        </w:tc>
        <w:tc>
          <w:tcPr>
            <w:tcW w:w="3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3"/>
          </w:tcPr>
          <w:p>
            <w:pPr>
              <w:jc w:val="right"/>
              <w:ind w:right="334"/>
              <w:spacing w:after="0"/>
              <w:rPr>
                <w:sz w:val="20"/>
                <w:szCs w:val="20"/>
                <w:color w:val="auto"/>
              </w:rPr>
            </w:pPr>
            <w:r>
              <w:rPr>
                <w:rFonts w:ascii="Times New Roman" w:cs="Times New Roman" w:eastAsia="Times New Roman" w:hAnsi="Times New Roman"/>
                <w:sz w:val="14"/>
                <w:szCs w:val="14"/>
                <w:color w:val="auto"/>
              </w:rPr>
              <w:t>December 31, 2025</w:t>
            </w:r>
          </w:p>
        </w:tc>
        <w:tc>
          <w:tcPr>
            <w:tcW w:w="28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3"/>
          </w:tcPr>
          <w:p>
            <w:pPr>
              <w:jc w:val="right"/>
              <w:ind w:right="292"/>
              <w:spacing w:after="0"/>
              <w:rPr>
                <w:sz w:val="20"/>
                <w:szCs w:val="20"/>
                <w:color w:val="auto"/>
              </w:rPr>
            </w:pPr>
            <w:r>
              <w:rPr>
                <w:rFonts w:ascii="Times New Roman" w:cs="Times New Roman" w:eastAsia="Times New Roman" w:hAnsi="Times New Roman"/>
                <w:sz w:val="14"/>
                <w:szCs w:val="14"/>
                <w:color w:val="auto"/>
              </w:rPr>
              <w:t>December 31, 2024</w:t>
            </w:r>
          </w:p>
        </w:tc>
      </w:tr>
      <w:tr>
        <w:trPr>
          <w:trHeight w:val="196"/>
        </w:trPr>
        <w:tc>
          <w:tcPr>
            <w:tcW w:w="31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color w:val="auto"/>
              </w:rPr>
              <w:t>U.S.</w:t>
            </w: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color w:val="auto"/>
              </w:rPr>
              <w:t>Foreign</w:t>
            </w:r>
          </w:p>
        </w:tc>
        <w:tc>
          <w:tcPr>
            <w:tcW w:w="3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color w:val="auto"/>
              </w:rPr>
              <w:t>U.S.</w:t>
            </w: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color w:val="auto"/>
              </w:rPr>
              <w:t>Foreign</w:t>
            </w:r>
          </w:p>
        </w:tc>
        <w:tc>
          <w:tcPr>
            <w:tcW w:w="3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color w:val="auto"/>
              </w:rPr>
              <w:t>U.S.</w:t>
            </w: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color w:val="auto"/>
              </w:rPr>
              <w:t>Foreign</w:t>
            </w:r>
          </w:p>
        </w:tc>
        <w:tc>
          <w:tcPr>
            <w:tcW w:w="2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color w:val="auto"/>
              </w:rPr>
              <w:t>U.S.</w:t>
            </w: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color w:val="auto"/>
              </w:rPr>
              <w:t>Foreign</w:t>
            </w:r>
          </w:p>
        </w:tc>
      </w:tr>
      <w:tr>
        <w:trPr>
          <w:trHeight w:val="229"/>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plan assets:</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tcBorders>
              <w:right w:val="single" w:sz="8" w:color="auto"/>
            </w:tcBorders>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176"/>
        </w:trPr>
        <w:tc>
          <w:tcPr>
            <w:tcW w:w="31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Fair value of plan assets at beginning of</w:t>
            </w: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Borders>
              <w:right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243"/>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period</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305.1</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304.0</w:t>
            </w:r>
          </w:p>
        </w:tc>
        <w:tc>
          <w:tcPr>
            <w:tcW w:w="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368.2</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right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331.0</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19.7</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8.6</w:t>
            </w: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9.7</w:t>
            </w:r>
          </w:p>
        </w:tc>
        <w:tc>
          <w:tcPr>
            <w:tcW w:w="220" w:type="dxa"/>
            <w:vAlign w:val="bottom"/>
            <w:shd w:val="clear" w:color="auto" w:fill="CCEEFF"/>
          </w:tcPr>
          <w:p>
            <w:pPr>
              <w:spacing w:after="0"/>
              <w:rPr>
                <w:sz w:val="19"/>
                <w:szCs w:val="19"/>
                <w:color w:val="auto"/>
              </w:rPr>
            </w:pPr>
          </w:p>
        </w:tc>
        <w:tc>
          <w:tcPr>
            <w:tcW w:w="860" w:type="dxa"/>
            <w:vAlign w:val="bottom"/>
            <w:tcBorders>
              <w:right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14.5</w:t>
            </w: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Employer contributions</w:t>
            </w:r>
          </w:p>
        </w:tc>
        <w:tc>
          <w:tcPr>
            <w:tcW w:w="220" w:type="dxa"/>
            <w:vAlign w:val="bottom"/>
          </w:tcPr>
          <w:p>
            <w:pPr>
              <w:spacing w:after="0"/>
              <w:rPr>
                <w:sz w:val="19"/>
                <w:szCs w:val="19"/>
                <w:color w:val="auto"/>
              </w:rPr>
            </w:pPr>
          </w:p>
        </w:tc>
        <w:tc>
          <w:tcPr>
            <w:tcW w:w="7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5.6</w:t>
            </w:r>
          </w:p>
        </w:tc>
        <w:tc>
          <w:tcPr>
            <w:tcW w:w="220" w:type="dxa"/>
            <w:vAlign w:val="bottom"/>
          </w:tcPr>
          <w:p>
            <w:pPr>
              <w:spacing w:after="0"/>
              <w:rPr>
                <w:sz w:val="19"/>
                <w:szCs w:val="19"/>
                <w:color w:val="auto"/>
              </w:rPr>
            </w:pPr>
          </w:p>
        </w:tc>
        <w:tc>
          <w:tcPr>
            <w:tcW w:w="7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6.6</w:t>
            </w:r>
          </w:p>
        </w:tc>
        <w:tc>
          <w:tcPr>
            <w:tcW w:w="300" w:type="dxa"/>
            <w:vAlign w:val="bottom"/>
          </w:tcPr>
          <w:p>
            <w:pPr>
              <w:spacing w:after="0"/>
              <w:rPr>
                <w:sz w:val="19"/>
                <w:szCs w:val="19"/>
                <w:color w:val="auto"/>
              </w:rPr>
            </w:pPr>
          </w:p>
        </w:tc>
        <w:tc>
          <w:tcPr>
            <w:tcW w:w="7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tcPr>
          <w:p>
            <w:pPr>
              <w:spacing w:after="0"/>
              <w:rPr>
                <w:sz w:val="19"/>
                <w:szCs w:val="19"/>
                <w:color w:val="auto"/>
              </w:rPr>
            </w:pPr>
          </w:p>
        </w:tc>
        <w:tc>
          <w:tcPr>
            <w:tcW w:w="860" w:type="dxa"/>
            <w:vAlign w:val="bottom"/>
            <w:tcBorders>
              <w:right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4.6</w:t>
            </w:r>
          </w:p>
        </w:tc>
        <w:tc>
          <w:tcPr>
            <w:tcW w:w="300" w:type="dxa"/>
            <w:vAlign w:val="bottom"/>
          </w:tcPr>
          <w:p>
            <w:pPr>
              <w:spacing w:after="0"/>
              <w:rPr>
                <w:sz w:val="19"/>
                <w:szCs w:val="19"/>
                <w:color w:val="auto"/>
              </w:rPr>
            </w:pPr>
          </w:p>
        </w:tc>
        <w:tc>
          <w:tcPr>
            <w:tcW w:w="7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3.0</w:t>
            </w:r>
          </w:p>
        </w:tc>
        <w:tc>
          <w:tcPr>
            <w:tcW w:w="220" w:type="dxa"/>
            <w:vAlign w:val="bottom"/>
          </w:tcPr>
          <w:p>
            <w:pPr>
              <w:spacing w:after="0"/>
              <w:rPr>
                <w:sz w:val="19"/>
                <w:szCs w:val="19"/>
                <w:color w:val="auto"/>
              </w:rPr>
            </w:pPr>
          </w:p>
        </w:tc>
        <w:tc>
          <w:tcPr>
            <w:tcW w:w="7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1.2</w:t>
            </w:r>
          </w:p>
        </w:tc>
        <w:tc>
          <w:tcPr>
            <w:tcW w:w="280" w:type="dxa"/>
            <w:vAlign w:val="bottom"/>
          </w:tcPr>
          <w:p>
            <w:pPr>
              <w:spacing w:after="0"/>
              <w:rPr>
                <w:sz w:val="19"/>
                <w:szCs w:val="19"/>
                <w:color w:val="auto"/>
              </w:rPr>
            </w:pPr>
          </w:p>
        </w:tc>
        <w:tc>
          <w:tcPr>
            <w:tcW w:w="7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2.7</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9"/>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Benefits paid</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220" w:type="dxa"/>
            <w:vAlign w:val="bottom"/>
            <w:shd w:val="clear" w:color="auto" w:fill="CCEEFF"/>
          </w:tcPr>
          <w:p>
            <w:pPr>
              <w:spacing w:after="0"/>
              <w:rPr>
                <w:sz w:val="19"/>
                <w:szCs w:val="19"/>
                <w:color w:val="auto"/>
              </w:rPr>
            </w:pPr>
          </w:p>
        </w:tc>
        <w:tc>
          <w:tcPr>
            <w:tcW w:w="860" w:type="dxa"/>
            <w:vAlign w:val="bottom"/>
            <w:tcBorders>
              <w:right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(23.4)</w:t>
            </w: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30"/>
        </w:trPr>
        <w:tc>
          <w:tcPr>
            <w:tcW w:w="31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Benefits paid - lump-sum payout </w:t>
            </w:r>
            <w:r>
              <w:rPr>
                <w:rFonts w:ascii="Times New Roman" w:cs="Times New Roman" w:eastAsia="Times New Roman" w:hAnsi="Times New Roman"/>
                <w:sz w:val="23"/>
                <w:szCs w:val="23"/>
                <w:color w:val="auto"/>
                <w:vertAlign w:val="superscript"/>
              </w:rPr>
              <w:t>(1)</w:t>
            </w:r>
          </w:p>
        </w:tc>
        <w:tc>
          <w:tcPr>
            <w:tcW w:w="220" w:type="dxa"/>
            <w:vAlign w:val="bottom"/>
          </w:tcPr>
          <w:p>
            <w:pPr>
              <w:spacing w:after="0"/>
              <w:rPr>
                <w:sz w:val="19"/>
                <w:szCs w:val="19"/>
                <w:color w:val="auto"/>
              </w:rPr>
            </w:pPr>
          </w:p>
        </w:tc>
        <w:tc>
          <w:tcPr>
            <w:tcW w:w="7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220" w:type="dxa"/>
            <w:vAlign w:val="bottom"/>
          </w:tcPr>
          <w:p>
            <w:pPr>
              <w:spacing w:after="0"/>
              <w:rPr>
                <w:sz w:val="19"/>
                <w:szCs w:val="19"/>
                <w:color w:val="auto"/>
              </w:rPr>
            </w:pPr>
          </w:p>
        </w:tc>
        <w:tc>
          <w:tcPr>
            <w:tcW w:w="860" w:type="dxa"/>
            <w:vAlign w:val="bottom"/>
            <w:tcBorders>
              <w:right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7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7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Translation adjustment</w:t>
            </w:r>
          </w:p>
        </w:tc>
        <w:tc>
          <w:tcPr>
            <w:tcW w:w="2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15.9</w:t>
            </w:r>
          </w:p>
        </w:tc>
        <w:tc>
          <w:tcPr>
            <w:tcW w:w="3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right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(22.7)</w:t>
            </w:r>
          </w:p>
        </w:tc>
        <w:tc>
          <w:tcPr>
            <w:tcW w:w="3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Fair value of plan assets at end of period</w:t>
            </w:r>
          </w:p>
        </w:tc>
        <w:tc>
          <w:tcPr>
            <w:tcW w:w="2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308.1</w:t>
            </w: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310.9</w:t>
            </w:r>
          </w:p>
        </w:tc>
        <w:tc>
          <w:tcPr>
            <w:tcW w:w="3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305.1</w:t>
            </w: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304.0</w:t>
            </w:r>
          </w:p>
        </w:tc>
        <w:tc>
          <w:tcPr>
            <w:tcW w:w="3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1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60" w:type="dxa"/>
            <w:vAlign w:val="bottom"/>
            <w:tcBorders>
              <w:right w:val="single" w:sz="8" w:color="auto"/>
            </w:tcBorders>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r>
      <w:tr>
        <w:trPr>
          <w:trHeight w:val="236"/>
        </w:trPr>
        <w:tc>
          <w:tcPr>
            <w:tcW w:w="3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Funded status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3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right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(37.0)</w:t>
            </w:r>
          </w:p>
        </w:tc>
        <w:tc>
          <w:tcPr>
            <w:tcW w:w="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369"/>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 xml:space="preserve">   See lump-sum payout below.</w:t>
            </w: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amounts recognized in the consolidated balance sheets as of December 31, 2025 and 2024, is shown below (in millions):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18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Pension</w:t>
            </w:r>
          </w:p>
        </w:tc>
        <w:tc>
          <w:tcPr>
            <w:tcW w:w="70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right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780" w:type="dxa"/>
            <w:vAlign w:val="bottom"/>
            <w:tcBorders>
              <w:top w:val="single" w:sz="8" w:color="auto"/>
              <w:bottom w:val="single" w:sz="8" w:color="auto"/>
            </w:tcBorders>
            <w:gridSpan w:val="3"/>
          </w:tcPr>
          <w:p>
            <w:pPr>
              <w:jc w:val="right"/>
              <w:ind w:right="316"/>
              <w:spacing w:after="0"/>
              <w:rPr>
                <w:sz w:val="20"/>
                <w:szCs w:val="20"/>
                <w:color w:val="auto"/>
              </w:rPr>
            </w:pPr>
            <w:r>
              <w:rPr>
                <w:rFonts w:ascii="Times New Roman" w:cs="Times New Roman" w:eastAsia="Times New Roman" w:hAnsi="Times New Roman"/>
                <w:sz w:val="14"/>
                <w:szCs w:val="14"/>
                <w:color w:val="auto"/>
              </w:rPr>
              <w:t>Other Postretirement</w:t>
            </w:r>
          </w:p>
        </w:tc>
        <w:tc>
          <w:tcPr>
            <w:tcW w:w="22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spacing w:after="0"/>
              <w:rPr>
                <w:sz w:val="19"/>
                <w:szCs w:val="19"/>
                <w:color w:val="auto"/>
              </w:rPr>
            </w:pPr>
          </w:p>
        </w:tc>
      </w:tr>
      <w:tr>
        <w:trPr>
          <w:trHeight w:val="196"/>
        </w:trPr>
        <w:tc>
          <w:tcPr>
            <w:tcW w:w="31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3"/>
          </w:tcPr>
          <w:p>
            <w:pPr>
              <w:jc w:val="right"/>
              <w:ind w:right="336"/>
              <w:spacing w:after="0"/>
              <w:rPr>
                <w:sz w:val="20"/>
                <w:szCs w:val="20"/>
                <w:color w:val="auto"/>
              </w:rPr>
            </w:pPr>
            <w:r>
              <w:rPr>
                <w:rFonts w:ascii="Times New Roman" w:cs="Times New Roman" w:eastAsia="Times New Roman" w:hAnsi="Times New Roman"/>
                <w:sz w:val="14"/>
                <w:szCs w:val="14"/>
                <w:color w:val="auto"/>
              </w:rPr>
              <w:t>December 31, 2025</w:t>
            </w:r>
          </w:p>
        </w:tc>
        <w:tc>
          <w:tcPr>
            <w:tcW w:w="300" w:type="dxa"/>
            <w:vAlign w:val="bottom"/>
            <w:tcBorders>
              <w:bottom w:val="single" w:sz="8" w:color="auto"/>
            </w:tcBorders>
          </w:tcPr>
          <w:p>
            <w:pPr>
              <w:spacing w:after="0"/>
              <w:rPr>
                <w:sz w:val="17"/>
                <w:szCs w:val="17"/>
                <w:color w:val="auto"/>
              </w:rPr>
            </w:pPr>
          </w:p>
        </w:tc>
        <w:tc>
          <w:tcPr>
            <w:tcW w:w="1780" w:type="dxa"/>
            <w:vAlign w:val="bottom"/>
            <w:tcBorders>
              <w:bottom w:val="single" w:sz="8" w:color="auto"/>
              <w:right w:val="single" w:sz="8" w:color="auto"/>
            </w:tcBorders>
            <w:gridSpan w:val="3"/>
          </w:tcPr>
          <w:p>
            <w:pPr>
              <w:jc w:val="right"/>
              <w:ind w:right="434"/>
              <w:spacing w:after="0"/>
              <w:rPr>
                <w:sz w:val="20"/>
                <w:szCs w:val="20"/>
                <w:color w:val="auto"/>
              </w:rPr>
            </w:pPr>
            <w:r>
              <w:rPr>
                <w:rFonts w:ascii="Times New Roman" w:cs="Times New Roman" w:eastAsia="Times New Roman" w:hAnsi="Times New Roman"/>
                <w:sz w:val="14"/>
                <w:szCs w:val="14"/>
                <w:color w:val="auto"/>
              </w:rPr>
              <w:t>December 31, 2024</w:t>
            </w:r>
          </w:p>
        </w:tc>
        <w:tc>
          <w:tcPr>
            <w:tcW w:w="3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3"/>
          </w:tcPr>
          <w:p>
            <w:pPr>
              <w:jc w:val="right"/>
              <w:ind w:right="336"/>
              <w:spacing w:after="0"/>
              <w:rPr>
                <w:sz w:val="20"/>
                <w:szCs w:val="20"/>
                <w:color w:val="auto"/>
              </w:rPr>
            </w:pPr>
            <w:r>
              <w:rPr>
                <w:rFonts w:ascii="Times New Roman" w:cs="Times New Roman" w:eastAsia="Times New Roman" w:hAnsi="Times New Roman"/>
                <w:sz w:val="14"/>
                <w:szCs w:val="14"/>
                <w:color w:val="auto"/>
              </w:rPr>
              <w:t>December 31, 2025</w:t>
            </w:r>
          </w:p>
        </w:tc>
        <w:tc>
          <w:tcPr>
            <w:tcW w:w="28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3"/>
          </w:tcPr>
          <w:p>
            <w:pPr>
              <w:jc w:val="right"/>
              <w:ind w:right="294"/>
              <w:spacing w:after="0"/>
              <w:rPr>
                <w:sz w:val="20"/>
                <w:szCs w:val="20"/>
                <w:color w:val="auto"/>
              </w:rPr>
            </w:pPr>
            <w:r>
              <w:rPr>
                <w:rFonts w:ascii="Times New Roman" w:cs="Times New Roman" w:eastAsia="Times New Roman" w:hAnsi="Times New Roman"/>
                <w:sz w:val="14"/>
                <w:szCs w:val="14"/>
                <w:color w:val="auto"/>
              </w:rPr>
              <w:t>December 31, 2024</w:t>
            </w:r>
          </w:p>
        </w:tc>
      </w:tr>
      <w:tr>
        <w:trPr>
          <w:trHeight w:val="196"/>
        </w:trPr>
        <w:tc>
          <w:tcPr>
            <w:tcW w:w="31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4"/>
                <w:szCs w:val="14"/>
                <w:color w:val="auto"/>
              </w:rPr>
              <w:t>U.S.</w:t>
            </w: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color w:val="auto"/>
              </w:rPr>
              <w:t>Foreign</w:t>
            </w:r>
          </w:p>
        </w:tc>
        <w:tc>
          <w:tcPr>
            <w:tcW w:w="3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4"/>
                <w:szCs w:val="14"/>
                <w:color w:val="auto"/>
              </w:rPr>
              <w:t>U.S.</w:t>
            </w: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color w:val="auto"/>
              </w:rPr>
              <w:t>Foreign</w:t>
            </w:r>
          </w:p>
        </w:tc>
        <w:tc>
          <w:tcPr>
            <w:tcW w:w="3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4"/>
                <w:szCs w:val="14"/>
                <w:color w:val="auto"/>
              </w:rPr>
              <w:t>U.S.</w:t>
            </w: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color w:val="auto"/>
              </w:rPr>
              <w:t>Foreign</w:t>
            </w:r>
          </w:p>
        </w:tc>
        <w:tc>
          <w:tcPr>
            <w:tcW w:w="2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4"/>
                <w:szCs w:val="14"/>
                <w:color w:val="auto"/>
              </w:rPr>
              <w:t>U.S.</w:t>
            </w: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color w:val="auto"/>
              </w:rPr>
              <w:t>Foreign</w:t>
            </w:r>
          </w:p>
        </w:tc>
      </w:tr>
      <w:tr>
        <w:trPr>
          <w:trHeight w:val="229"/>
        </w:trPr>
        <w:tc>
          <w:tcPr>
            <w:tcW w:w="41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recognized in the consolidated balance sheet:</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tcBorders>
              <w:right w:val="single" w:sz="8" w:color="auto"/>
            </w:tcBorders>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30"/>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long-term assets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0.4</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73.4</w:t>
            </w:r>
          </w:p>
        </w:tc>
        <w:tc>
          <w:tcPr>
            <w:tcW w:w="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3.0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right w:val="single" w:sz="8" w:color="auto"/>
            </w:tcBorders>
          </w:tcPr>
          <w:p>
            <w:pPr>
              <w:jc w:val="right"/>
              <w:ind w:right="114"/>
              <w:spacing w:after="0"/>
              <w:rPr>
                <w:sz w:val="20"/>
                <w:szCs w:val="20"/>
                <w:color w:val="auto"/>
              </w:rPr>
            </w:pPr>
            <w:r>
              <w:rPr>
                <w:rFonts w:ascii="Times New Roman" w:cs="Times New Roman" w:eastAsia="Times New Roman" w:hAnsi="Times New Roman"/>
                <w:sz w:val="18"/>
                <w:szCs w:val="18"/>
                <w:color w:val="auto"/>
              </w:rPr>
              <w:t>65.5</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shd w:val="clear" w:color="auto" w:fill="CCEEFF"/>
          </w:tcPr>
          <w:p>
            <w:pPr>
              <w:spacing w:after="0"/>
              <w:rPr>
                <w:sz w:val="19"/>
                <w:szCs w:val="19"/>
                <w:color w:val="auto"/>
              </w:rPr>
            </w:pPr>
          </w:p>
        </w:tc>
        <w:tc>
          <w:tcPr>
            <w:tcW w:w="860" w:type="dxa"/>
            <w:vAlign w:val="bottom"/>
            <w:tcBorders>
              <w:right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(3.6)</w:t>
            </w: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30"/>
        </w:trPr>
        <w:tc>
          <w:tcPr>
            <w:tcW w:w="3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(105.5)</w:t>
            </w:r>
          </w:p>
        </w:tc>
        <w:tc>
          <w:tcPr>
            <w:tcW w:w="3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right w:val="single" w:sz="8" w:color="auto"/>
            </w:tcBorders>
          </w:tcPr>
          <w:p>
            <w:pPr>
              <w:jc w:val="right"/>
              <w:ind w:right="74"/>
              <w:spacing w:after="0"/>
              <w:rPr>
                <w:sz w:val="20"/>
                <w:szCs w:val="20"/>
                <w:color w:val="auto"/>
              </w:rPr>
            </w:pPr>
            <w:r>
              <w:rPr>
                <w:rFonts w:ascii="Times New Roman" w:cs="Times New Roman" w:eastAsia="Times New Roman" w:hAnsi="Times New Roman"/>
                <w:sz w:val="18"/>
                <w:szCs w:val="18"/>
                <w:color w:val="auto"/>
              </w:rPr>
              <w:t>(98.9)</w:t>
            </w:r>
          </w:p>
        </w:tc>
        <w:tc>
          <w:tcPr>
            <w:tcW w:w="3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2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50"/>
        </w:trPr>
        <w:tc>
          <w:tcPr>
            <w:tcW w:w="31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60" w:type="dxa"/>
            <w:vAlign w:val="bottom"/>
            <w:tcBorders>
              <w:right w:val="single" w:sz="8" w:color="auto"/>
            </w:tcBorders>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r>
      <w:tr>
        <w:trPr>
          <w:trHeight w:val="236"/>
        </w:trPr>
        <w:tc>
          <w:tcPr>
            <w:tcW w:w="3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Funded status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3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right w:val="single" w:sz="8" w:color="auto"/>
            </w:tcBorders>
          </w:tcPr>
          <w:p>
            <w:pPr>
              <w:jc w:val="right"/>
              <w:ind w:right="74"/>
              <w:spacing w:after="0"/>
              <w:rPr>
                <w:sz w:val="20"/>
                <w:szCs w:val="20"/>
                <w:color w:val="auto"/>
              </w:rPr>
            </w:pPr>
            <w:r>
              <w:rPr>
                <w:rFonts w:ascii="Times New Roman" w:cs="Times New Roman" w:eastAsia="Times New Roman" w:hAnsi="Times New Roman"/>
                <w:sz w:val="18"/>
                <w:szCs w:val="18"/>
                <w:color w:val="auto"/>
              </w:rPr>
              <w:t>(37.0)</w:t>
            </w:r>
          </w:p>
        </w:tc>
        <w:tc>
          <w:tcPr>
            <w:tcW w:w="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w:t>
            </w: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Lump-Sum Payout</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2024, the Company initiated a limited lump-sum payout offer ("Lump-Sum Payout") to certain terminated vested plan participants of its U.S. qualified defined benefit pension plans. Under the Lump-Sum Payout, eligible plan participants were able to voluntarily elect an early payout of their pension benefits in the form of a lump-sum payment equal to the present value of the participant's pension benefits in satisfaction of all benefits payable to the participant under the plans. In connection with the Lump-Sum Payout, payments of $52.7 million were distributed from existing defined benefit pension plan assets, and the Company recognized a $6.6 million non-cash settlement charge, which is included in other expense, net in the consolidated statement of income. Payments under the Lump-Sum Payout are reflected as benefits paid in the reconciliation of the change in benefit obligation and the change in plan assets for the year ended December 31, 2024.</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Accumulated Benefit Obligation</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2025 and 2024, the accumulated benefit obligation for all of the Company's pension plans was $678.9 million and $661.5 million, respectively.</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Lear Corporation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2025 and 2024, information related to defined benefit pension plans with accumulated benefit obligations in excess of plan assets is shown below (in millions):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5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December 31,</w:t>
            </w:r>
          </w:p>
        </w:tc>
        <w:tc>
          <w:tcPr>
            <w:tcW w:w="34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color w:val="auto"/>
              </w:rPr>
              <w:t>2025</w:t>
            </w:r>
          </w:p>
        </w:tc>
        <w:tc>
          <w:tcPr>
            <w:tcW w:w="3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color w:val="auto"/>
              </w:rPr>
              <w:t>2024</w:t>
            </w:r>
          </w:p>
        </w:tc>
      </w:tr>
      <w:tr>
        <w:trPr>
          <w:trHeight w:val="229"/>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Projected benefit obligation</w:t>
            </w:r>
          </w:p>
        </w:tc>
        <w:tc>
          <w:tcPr>
            <w:tcW w:w="34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330.2</w:t>
            </w:r>
          </w:p>
        </w:tc>
        <w:tc>
          <w:tcPr>
            <w:tcW w:w="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316.0</w:t>
            </w:r>
          </w:p>
        </w:tc>
      </w:tr>
      <w:tr>
        <w:trPr>
          <w:trHeight w:val="230"/>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benefit obligation</w:t>
            </w:r>
          </w:p>
        </w:tc>
        <w:tc>
          <w:tcPr>
            <w:tcW w:w="3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325.4</w:t>
            </w: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308.5</w:t>
            </w:r>
          </w:p>
        </w:tc>
      </w:tr>
      <w:tr>
        <w:trPr>
          <w:trHeight w:val="237"/>
        </w:trPr>
        <w:tc>
          <w:tcPr>
            <w:tcW w:w="55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plan assets</w:t>
            </w:r>
          </w:p>
        </w:tc>
        <w:tc>
          <w:tcPr>
            <w:tcW w:w="34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191.6</w:t>
            </w:r>
          </w:p>
        </w:tc>
        <w:tc>
          <w:tcPr>
            <w:tcW w:w="36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187.4</w:t>
            </w: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Comprehensive Income (Loss) ("OCIL") and Accumulated Other Comprehensive Loss ("AOCL")</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Pretax amounts recognized in other comprehensive income (loss) for the years ended December 31, 2025 and 2024, is shown below (in millions):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18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Pension</w:t>
            </w:r>
          </w:p>
        </w:tc>
        <w:tc>
          <w:tcPr>
            <w:tcW w:w="70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right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780" w:type="dxa"/>
            <w:vAlign w:val="bottom"/>
            <w:tcBorders>
              <w:top w:val="single" w:sz="8" w:color="auto"/>
              <w:bottom w:val="single" w:sz="8" w:color="auto"/>
            </w:tcBorders>
            <w:gridSpan w:val="3"/>
          </w:tcPr>
          <w:p>
            <w:pPr>
              <w:jc w:val="right"/>
              <w:ind w:right="314"/>
              <w:spacing w:after="0"/>
              <w:rPr>
                <w:sz w:val="20"/>
                <w:szCs w:val="20"/>
                <w:color w:val="auto"/>
              </w:rPr>
            </w:pPr>
            <w:r>
              <w:rPr>
                <w:rFonts w:ascii="Times New Roman" w:cs="Times New Roman" w:eastAsia="Times New Roman" w:hAnsi="Times New Roman"/>
                <w:sz w:val="14"/>
                <w:szCs w:val="14"/>
                <w:color w:val="auto"/>
              </w:rPr>
              <w:t>Other Postretirement</w:t>
            </w:r>
          </w:p>
        </w:tc>
        <w:tc>
          <w:tcPr>
            <w:tcW w:w="22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spacing w:after="0"/>
              <w:rPr>
                <w:sz w:val="19"/>
                <w:szCs w:val="19"/>
                <w:color w:val="auto"/>
              </w:rPr>
            </w:pPr>
          </w:p>
        </w:tc>
      </w:tr>
      <w:tr>
        <w:trPr>
          <w:trHeight w:val="196"/>
        </w:trPr>
        <w:tc>
          <w:tcPr>
            <w:tcW w:w="31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3"/>
          </w:tcPr>
          <w:p>
            <w:pPr>
              <w:jc w:val="right"/>
              <w:ind w:right="334"/>
              <w:spacing w:after="0"/>
              <w:rPr>
                <w:sz w:val="20"/>
                <w:szCs w:val="20"/>
                <w:color w:val="auto"/>
              </w:rPr>
            </w:pPr>
            <w:r>
              <w:rPr>
                <w:rFonts w:ascii="Times New Roman" w:cs="Times New Roman" w:eastAsia="Times New Roman" w:hAnsi="Times New Roman"/>
                <w:sz w:val="14"/>
                <w:szCs w:val="14"/>
                <w:color w:val="auto"/>
              </w:rPr>
              <w:t>December 31, 2025</w:t>
            </w:r>
          </w:p>
        </w:tc>
        <w:tc>
          <w:tcPr>
            <w:tcW w:w="300" w:type="dxa"/>
            <w:vAlign w:val="bottom"/>
            <w:tcBorders>
              <w:bottom w:val="single" w:sz="8" w:color="auto"/>
            </w:tcBorders>
          </w:tcPr>
          <w:p>
            <w:pPr>
              <w:spacing w:after="0"/>
              <w:rPr>
                <w:sz w:val="17"/>
                <w:szCs w:val="17"/>
                <w:color w:val="auto"/>
              </w:rPr>
            </w:pPr>
          </w:p>
        </w:tc>
        <w:tc>
          <w:tcPr>
            <w:tcW w:w="1780" w:type="dxa"/>
            <w:vAlign w:val="bottom"/>
            <w:tcBorders>
              <w:bottom w:val="single" w:sz="8" w:color="auto"/>
              <w:right w:val="single" w:sz="8" w:color="auto"/>
            </w:tcBorders>
            <w:gridSpan w:val="3"/>
          </w:tcPr>
          <w:p>
            <w:pPr>
              <w:jc w:val="right"/>
              <w:ind w:right="432"/>
              <w:spacing w:after="0"/>
              <w:rPr>
                <w:sz w:val="20"/>
                <w:szCs w:val="20"/>
                <w:color w:val="auto"/>
              </w:rPr>
            </w:pPr>
            <w:r>
              <w:rPr>
                <w:rFonts w:ascii="Times New Roman" w:cs="Times New Roman" w:eastAsia="Times New Roman" w:hAnsi="Times New Roman"/>
                <w:sz w:val="14"/>
                <w:szCs w:val="14"/>
                <w:color w:val="auto"/>
              </w:rPr>
              <w:t>December 31, 2024</w:t>
            </w:r>
          </w:p>
        </w:tc>
        <w:tc>
          <w:tcPr>
            <w:tcW w:w="3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3"/>
          </w:tcPr>
          <w:p>
            <w:pPr>
              <w:jc w:val="right"/>
              <w:ind w:right="334"/>
              <w:spacing w:after="0"/>
              <w:rPr>
                <w:sz w:val="20"/>
                <w:szCs w:val="20"/>
                <w:color w:val="auto"/>
              </w:rPr>
            </w:pPr>
            <w:r>
              <w:rPr>
                <w:rFonts w:ascii="Times New Roman" w:cs="Times New Roman" w:eastAsia="Times New Roman" w:hAnsi="Times New Roman"/>
                <w:sz w:val="14"/>
                <w:szCs w:val="14"/>
                <w:color w:val="auto"/>
              </w:rPr>
              <w:t>December 31, 2025</w:t>
            </w:r>
          </w:p>
        </w:tc>
        <w:tc>
          <w:tcPr>
            <w:tcW w:w="28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3"/>
          </w:tcPr>
          <w:p>
            <w:pPr>
              <w:jc w:val="right"/>
              <w:ind w:right="292"/>
              <w:spacing w:after="0"/>
              <w:rPr>
                <w:sz w:val="20"/>
                <w:szCs w:val="20"/>
                <w:color w:val="auto"/>
              </w:rPr>
            </w:pPr>
            <w:r>
              <w:rPr>
                <w:rFonts w:ascii="Times New Roman" w:cs="Times New Roman" w:eastAsia="Times New Roman" w:hAnsi="Times New Roman"/>
                <w:sz w:val="14"/>
                <w:szCs w:val="14"/>
                <w:color w:val="auto"/>
              </w:rPr>
              <w:t>December 31, 2024</w:t>
            </w:r>
          </w:p>
        </w:tc>
      </w:tr>
      <w:tr>
        <w:trPr>
          <w:trHeight w:val="196"/>
        </w:trPr>
        <w:tc>
          <w:tcPr>
            <w:tcW w:w="31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color w:val="auto"/>
              </w:rPr>
              <w:t>U.S.</w:t>
            </w: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color w:val="auto"/>
              </w:rPr>
              <w:t>Foreign</w:t>
            </w:r>
          </w:p>
        </w:tc>
        <w:tc>
          <w:tcPr>
            <w:tcW w:w="3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color w:val="auto"/>
              </w:rPr>
              <w:t>U.S.</w:t>
            </w: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color w:val="auto"/>
              </w:rPr>
              <w:t>Foreign</w:t>
            </w:r>
          </w:p>
        </w:tc>
        <w:tc>
          <w:tcPr>
            <w:tcW w:w="3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color w:val="auto"/>
              </w:rPr>
              <w:t>U.S.</w:t>
            </w: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color w:val="auto"/>
              </w:rPr>
              <w:t>Foreign</w:t>
            </w:r>
          </w:p>
        </w:tc>
        <w:tc>
          <w:tcPr>
            <w:tcW w:w="2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color w:val="auto"/>
              </w:rPr>
              <w:t>U.S.</w:t>
            </w: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color w:val="auto"/>
              </w:rPr>
              <w:t>Foreign</w:t>
            </w:r>
          </w:p>
        </w:tc>
      </w:tr>
      <w:tr>
        <w:trPr>
          <w:trHeight w:val="176"/>
        </w:trPr>
        <w:tc>
          <w:tcPr>
            <w:tcW w:w="31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Unrecognized income (loss) in AOCL at</w:t>
            </w: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tcBorders>
              <w:right w:val="single" w:sz="8" w:color="auto"/>
            </w:tcBorders>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r>
      <w:tr>
        <w:trPr>
          <w:trHeight w:val="243"/>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of period</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right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(72.1)</w:t>
            </w:r>
          </w:p>
        </w:tc>
        <w:tc>
          <w:tcPr>
            <w:tcW w:w="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30.7</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4.1</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35.1</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30"/>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Actuarial gains (losses) recognized:</w:t>
            </w: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Borders>
              <w:right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29"/>
        </w:trPr>
        <w:tc>
          <w:tcPr>
            <w:tcW w:w="3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Reclassification adjustments</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0.5</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1.6</w:t>
            </w: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shd w:val="clear" w:color="auto" w:fill="CCEEFF"/>
          </w:tcPr>
          <w:p>
            <w:pPr>
              <w:spacing w:after="0"/>
              <w:rPr>
                <w:sz w:val="19"/>
                <w:szCs w:val="19"/>
                <w:color w:val="auto"/>
              </w:rPr>
            </w:pPr>
          </w:p>
        </w:tc>
        <w:tc>
          <w:tcPr>
            <w:tcW w:w="860" w:type="dxa"/>
            <w:vAlign w:val="bottom"/>
            <w:tcBorders>
              <w:right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1.9</w:t>
            </w: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176"/>
        </w:trPr>
        <w:tc>
          <w:tcPr>
            <w:tcW w:w="318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Actuarial gains (losses) arising during</w:t>
            </w: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Borders>
              <w:right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243"/>
        </w:trPr>
        <w:tc>
          <w:tcPr>
            <w:tcW w:w="3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the period</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20" w:type="dxa"/>
            <w:vAlign w:val="bottom"/>
          </w:tcPr>
          <w:p>
            <w:pPr>
              <w:spacing w:after="0"/>
              <w:rPr>
                <w:sz w:val="21"/>
                <w:szCs w:val="21"/>
                <w:color w:val="auto"/>
              </w:rPr>
            </w:pPr>
          </w:p>
        </w:tc>
        <w:tc>
          <w:tcPr>
            <w:tcW w:w="7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5.3</w:t>
            </w:r>
          </w:p>
        </w:tc>
        <w:tc>
          <w:tcPr>
            <w:tcW w:w="300" w:type="dxa"/>
            <w:vAlign w:val="bottom"/>
          </w:tcPr>
          <w:p>
            <w:pPr>
              <w:spacing w:after="0"/>
              <w:rPr>
                <w:sz w:val="21"/>
                <w:szCs w:val="21"/>
                <w:color w:val="auto"/>
              </w:rPr>
            </w:pPr>
          </w:p>
        </w:tc>
        <w:tc>
          <w:tcPr>
            <w:tcW w:w="7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10.7</w:t>
            </w:r>
          </w:p>
        </w:tc>
        <w:tc>
          <w:tcPr>
            <w:tcW w:w="220" w:type="dxa"/>
            <w:vAlign w:val="bottom"/>
          </w:tcPr>
          <w:p>
            <w:pPr>
              <w:spacing w:after="0"/>
              <w:rPr>
                <w:sz w:val="21"/>
                <w:szCs w:val="21"/>
                <w:color w:val="auto"/>
              </w:rPr>
            </w:pPr>
          </w:p>
        </w:tc>
        <w:tc>
          <w:tcPr>
            <w:tcW w:w="860" w:type="dxa"/>
            <w:vAlign w:val="bottom"/>
            <w:tcBorders>
              <w:right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3.0</w:t>
            </w:r>
          </w:p>
        </w:tc>
        <w:tc>
          <w:tcPr>
            <w:tcW w:w="3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9"/>
        </w:trPr>
        <w:tc>
          <w:tcPr>
            <w:tcW w:w="3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Effect of settlements</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6.5</w:t>
            </w:r>
          </w:p>
        </w:tc>
        <w:tc>
          <w:tcPr>
            <w:tcW w:w="220" w:type="dxa"/>
            <w:vAlign w:val="bottom"/>
            <w:shd w:val="clear" w:color="auto" w:fill="CCEEFF"/>
          </w:tcPr>
          <w:p>
            <w:pPr>
              <w:spacing w:after="0"/>
              <w:rPr>
                <w:sz w:val="19"/>
                <w:szCs w:val="19"/>
                <w:color w:val="auto"/>
              </w:rPr>
            </w:pPr>
          </w:p>
        </w:tc>
        <w:tc>
          <w:tcPr>
            <w:tcW w:w="860" w:type="dxa"/>
            <w:vAlign w:val="bottom"/>
            <w:tcBorders>
              <w:right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(0.1)</w:t>
            </w: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Prior service credit recognized:</w:t>
            </w: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Borders>
              <w:right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29"/>
        </w:trPr>
        <w:tc>
          <w:tcPr>
            <w:tcW w:w="3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Reclassification adjustments</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60" w:type="dxa"/>
            <w:vAlign w:val="bottom"/>
            <w:tcBorders>
              <w:right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Translation adjustment</w:t>
            </w: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3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right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5.8</w:t>
            </w:r>
          </w:p>
        </w:tc>
        <w:tc>
          <w:tcPr>
            <w:tcW w:w="3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0.1</w:t>
            </w:r>
          </w:p>
        </w:tc>
        <w:tc>
          <w:tcPr>
            <w:tcW w:w="2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169"/>
        </w:trPr>
        <w:tc>
          <w:tcPr>
            <w:tcW w:w="3180" w:type="dxa"/>
            <w:vAlign w:val="bottom"/>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Amounts recognized in OCIL during the</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tcBorders>
              <w:right w:val="single" w:sz="8" w:color="auto"/>
            </w:tcBorders>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r>
      <w:tr>
        <w:trPr>
          <w:trHeight w:val="243"/>
        </w:trPr>
        <w:tc>
          <w:tcPr>
            <w:tcW w:w="3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period</w:t>
            </w:r>
          </w:p>
        </w:tc>
        <w:tc>
          <w:tcPr>
            <w:tcW w:w="22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2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3.1</w:t>
            </w:r>
          </w:p>
        </w:tc>
        <w:tc>
          <w:tcPr>
            <w:tcW w:w="3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18.2</w:t>
            </w:r>
          </w:p>
        </w:tc>
        <w:tc>
          <w:tcPr>
            <w:tcW w:w="22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right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10.6</w:t>
            </w:r>
          </w:p>
        </w:tc>
        <w:tc>
          <w:tcPr>
            <w:tcW w:w="3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2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8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2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169"/>
        </w:trPr>
        <w:tc>
          <w:tcPr>
            <w:tcW w:w="318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Unrecognized income (loss) in AOCL at</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Borders>
              <w:right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250"/>
        </w:trPr>
        <w:tc>
          <w:tcPr>
            <w:tcW w:w="3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end of period</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3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right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(61.5)</w:t>
            </w:r>
          </w:p>
        </w:tc>
        <w:tc>
          <w:tcPr>
            <w:tcW w:w="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26.3</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2.4</w:t>
            </w:r>
          </w:p>
        </w:tc>
        <w:tc>
          <w:tcPr>
            <w:tcW w:w="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30.7</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r>
    </w:tbl>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Pretax amounts recorded in accumulated other comprehensive loss not yet recognized in net periodic benefit cost (credit) as of December 31, 2025 and 2024, are shown below (in millions):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18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Pension</w:t>
            </w:r>
          </w:p>
        </w:tc>
        <w:tc>
          <w:tcPr>
            <w:tcW w:w="70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right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760" w:type="dxa"/>
            <w:vAlign w:val="bottom"/>
            <w:tcBorders>
              <w:top w:val="single" w:sz="8" w:color="auto"/>
              <w:bottom w:val="single" w:sz="8" w:color="auto"/>
            </w:tcBorders>
            <w:gridSpan w:val="3"/>
          </w:tcPr>
          <w:p>
            <w:pPr>
              <w:jc w:val="right"/>
              <w:ind w:right="297"/>
              <w:spacing w:after="0"/>
              <w:rPr>
                <w:sz w:val="20"/>
                <w:szCs w:val="20"/>
                <w:color w:val="auto"/>
              </w:rPr>
            </w:pPr>
            <w:r>
              <w:rPr>
                <w:rFonts w:ascii="Times New Roman" w:cs="Times New Roman" w:eastAsia="Times New Roman" w:hAnsi="Times New Roman"/>
                <w:sz w:val="14"/>
                <w:szCs w:val="14"/>
                <w:color w:val="auto"/>
              </w:rPr>
              <w:t>Other Postretirement</w:t>
            </w:r>
          </w:p>
        </w:tc>
        <w:tc>
          <w:tcPr>
            <w:tcW w:w="24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spacing w:after="0"/>
              <w:rPr>
                <w:sz w:val="19"/>
                <w:szCs w:val="19"/>
                <w:color w:val="auto"/>
              </w:rPr>
            </w:pPr>
          </w:p>
        </w:tc>
      </w:tr>
      <w:tr>
        <w:trPr>
          <w:trHeight w:val="196"/>
        </w:trPr>
        <w:tc>
          <w:tcPr>
            <w:tcW w:w="31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3"/>
          </w:tcPr>
          <w:p>
            <w:pPr>
              <w:jc w:val="right"/>
              <w:ind w:right="337"/>
              <w:spacing w:after="0"/>
              <w:rPr>
                <w:sz w:val="20"/>
                <w:szCs w:val="20"/>
                <w:color w:val="auto"/>
              </w:rPr>
            </w:pPr>
            <w:r>
              <w:rPr>
                <w:rFonts w:ascii="Times New Roman" w:cs="Times New Roman" w:eastAsia="Times New Roman" w:hAnsi="Times New Roman"/>
                <w:sz w:val="14"/>
                <w:szCs w:val="14"/>
                <w:color w:val="auto"/>
              </w:rPr>
              <w:t>December 31, 2025</w:t>
            </w:r>
          </w:p>
        </w:tc>
        <w:tc>
          <w:tcPr>
            <w:tcW w:w="300" w:type="dxa"/>
            <w:vAlign w:val="bottom"/>
            <w:tcBorders>
              <w:bottom w:val="single" w:sz="8" w:color="auto"/>
            </w:tcBorders>
          </w:tcPr>
          <w:p>
            <w:pPr>
              <w:spacing w:after="0"/>
              <w:rPr>
                <w:sz w:val="17"/>
                <w:szCs w:val="17"/>
                <w:color w:val="auto"/>
              </w:rPr>
            </w:pPr>
          </w:p>
        </w:tc>
        <w:tc>
          <w:tcPr>
            <w:tcW w:w="1780" w:type="dxa"/>
            <w:vAlign w:val="bottom"/>
            <w:tcBorders>
              <w:bottom w:val="single" w:sz="8" w:color="auto"/>
              <w:right w:val="single" w:sz="8" w:color="auto"/>
            </w:tcBorders>
            <w:gridSpan w:val="3"/>
          </w:tcPr>
          <w:p>
            <w:pPr>
              <w:jc w:val="right"/>
              <w:ind w:right="435"/>
              <w:spacing w:after="0"/>
              <w:rPr>
                <w:sz w:val="20"/>
                <w:szCs w:val="20"/>
                <w:color w:val="auto"/>
              </w:rPr>
            </w:pPr>
            <w:r>
              <w:rPr>
                <w:rFonts w:ascii="Times New Roman" w:cs="Times New Roman" w:eastAsia="Times New Roman" w:hAnsi="Times New Roman"/>
                <w:sz w:val="14"/>
                <w:szCs w:val="14"/>
                <w:color w:val="auto"/>
              </w:rPr>
              <w:t>December 31, 2024</w:t>
            </w:r>
          </w:p>
        </w:tc>
        <w:tc>
          <w:tcPr>
            <w:tcW w:w="30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3"/>
          </w:tcPr>
          <w:p>
            <w:pPr>
              <w:jc w:val="right"/>
              <w:ind w:right="317"/>
              <w:spacing w:after="0"/>
              <w:rPr>
                <w:sz w:val="20"/>
                <w:szCs w:val="20"/>
                <w:color w:val="auto"/>
              </w:rPr>
            </w:pPr>
            <w:r>
              <w:rPr>
                <w:rFonts w:ascii="Times New Roman" w:cs="Times New Roman" w:eastAsia="Times New Roman" w:hAnsi="Times New Roman"/>
                <w:sz w:val="14"/>
                <w:szCs w:val="14"/>
                <w:color w:val="auto"/>
              </w:rPr>
              <w:t>December 31, 2025</w:t>
            </w:r>
          </w:p>
        </w:tc>
        <w:tc>
          <w:tcPr>
            <w:tcW w:w="30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3"/>
          </w:tcPr>
          <w:p>
            <w:pPr>
              <w:jc w:val="right"/>
              <w:ind w:right="295"/>
              <w:spacing w:after="0"/>
              <w:rPr>
                <w:sz w:val="20"/>
                <w:szCs w:val="20"/>
                <w:color w:val="auto"/>
              </w:rPr>
            </w:pPr>
            <w:r>
              <w:rPr>
                <w:rFonts w:ascii="Times New Roman" w:cs="Times New Roman" w:eastAsia="Times New Roman" w:hAnsi="Times New Roman"/>
                <w:sz w:val="14"/>
                <w:szCs w:val="14"/>
                <w:color w:val="auto"/>
              </w:rPr>
              <w:t>December 31, 2024</w:t>
            </w:r>
          </w:p>
        </w:tc>
      </w:tr>
      <w:tr>
        <w:trPr>
          <w:trHeight w:val="196"/>
        </w:trPr>
        <w:tc>
          <w:tcPr>
            <w:tcW w:w="31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4"/>
                <w:szCs w:val="14"/>
                <w:color w:val="auto"/>
              </w:rPr>
              <w:t>U.S.</w:t>
            </w: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4"/>
                <w:szCs w:val="14"/>
                <w:color w:val="auto"/>
              </w:rPr>
              <w:t>Foreign</w:t>
            </w:r>
          </w:p>
        </w:tc>
        <w:tc>
          <w:tcPr>
            <w:tcW w:w="3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4"/>
                <w:szCs w:val="14"/>
                <w:color w:val="auto"/>
              </w:rPr>
              <w:t>U.S.</w:t>
            </w: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color w:val="auto"/>
              </w:rPr>
              <w:t>Foreign</w:t>
            </w:r>
          </w:p>
        </w:tc>
        <w:tc>
          <w:tcPr>
            <w:tcW w:w="3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4"/>
                <w:szCs w:val="14"/>
                <w:color w:val="auto"/>
              </w:rPr>
              <w:t>U.S.</w:t>
            </w: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4"/>
                <w:szCs w:val="14"/>
                <w:color w:val="auto"/>
              </w:rPr>
              <w:t>Foreign</w:t>
            </w:r>
          </w:p>
        </w:tc>
        <w:tc>
          <w:tcPr>
            <w:tcW w:w="3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4"/>
                <w:szCs w:val="14"/>
                <w:color w:val="auto"/>
              </w:rPr>
              <w:t>U.S.</w:t>
            </w: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color w:val="auto"/>
              </w:rPr>
              <w:t>Foreign</w:t>
            </w:r>
          </w:p>
        </w:tc>
      </w:tr>
      <w:tr>
        <w:trPr>
          <w:trHeight w:val="229"/>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unrecognized actuarial gains (losses)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right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(61.0)</w:t>
            </w:r>
          </w:p>
        </w:tc>
        <w:tc>
          <w:tcPr>
            <w:tcW w:w="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25.7</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2.4</w:t>
            </w:r>
          </w:p>
        </w:tc>
        <w:tc>
          <w:tcPr>
            <w:tcW w:w="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30.0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30"/>
        </w:trPr>
        <w:tc>
          <w:tcPr>
            <w:tcW w:w="3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Prior service credit (cost)</w:t>
            </w: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3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right w:val="single" w:sz="8" w:color="auto"/>
            </w:tcBorders>
          </w:tcPr>
          <w:p>
            <w:pPr>
              <w:jc w:val="right"/>
              <w:ind w:right="75"/>
              <w:spacing w:after="0"/>
              <w:rPr>
                <w:sz w:val="20"/>
                <w:szCs w:val="20"/>
                <w:color w:val="auto"/>
              </w:rPr>
            </w:pPr>
            <w:r>
              <w:rPr>
                <w:rFonts w:ascii="Times New Roman" w:cs="Times New Roman" w:eastAsia="Times New Roman" w:hAnsi="Times New Roman"/>
                <w:sz w:val="18"/>
                <w:szCs w:val="18"/>
                <w:color w:val="auto"/>
              </w:rPr>
              <w:t>(0.5)</w:t>
            </w:r>
          </w:p>
        </w:tc>
        <w:tc>
          <w:tcPr>
            <w:tcW w:w="3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0.6</w:t>
            </w: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0.7</w:t>
            </w: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178"/>
        </w:trPr>
        <w:tc>
          <w:tcPr>
            <w:tcW w:w="3180" w:type="dxa"/>
            <w:vAlign w:val="bottom"/>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Unrecognized income (loss) in AOCL at</w:t>
            </w: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tcBorders>
              <w:right w:val="single" w:sz="8" w:color="auto"/>
            </w:tcBorders>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r>
      <w:tr>
        <w:trPr>
          <w:trHeight w:val="241"/>
        </w:trPr>
        <w:tc>
          <w:tcPr>
            <w:tcW w:w="3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 of period</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3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right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(61.5)</w:t>
            </w: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26.3</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2.4</w:t>
            </w: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30.7</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r>
    </w:tbl>
    <w:p>
      <w:pPr>
        <w:spacing w:after="0" w:line="18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addition, the Company recognized tax benefit (expense) in other comprehensive income (loss) related to its defined benefit plans of $5.0 million, ($4.5) million and $2.2 million for the years ended December 31, 2025, 2024 and 2023, respectively.</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uses the corridor approach when amortizing actuarial gains and losses. Under the corridor approach, net unrecognized actuarial gains and losses in excess of 10% of the greater of i) the projected benefit obligation or ii) the fair value of plan assets are amortized over future periods. For plans with little to no active participants, the amortization period is the remaining average life expectancy of the participants. For plans with active participants, the amortization period is the remaining average service period of the active participants. The amortization periods range from 3 to 33 years for the Company's defined benefit pension plans and from 6 to 16 years for the Company's other postretirement benefit plans.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Lear Corporation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Periodic Pension and Other Postretirement Benefit Cost (Credit)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the Company's net periodic pension benefit cost are shown below (in millions):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76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920" w:type="dxa"/>
            <w:vAlign w:val="bottom"/>
            <w:tcBorders>
              <w:top w:val="single" w:sz="8" w:color="auto"/>
              <w:bottom w:val="single" w:sz="8" w:color="auto"/>
            </w:tcBorders>
            <w:gridSpan w:val="3"/>
          </w:tcPr>
          <w:p>
            <w:pPr>
              <w:jc w:val="right"/>
              <w:ind w:right="232"/>
              <w:spacing w:after="0"/>
              <w:rPr>
                <w:sz w:val="20"/>
                <w:szCs w:val="20"/>
                <w:color w:val="auto"/>
              </w:rPr>
            </w:pPr>
            <w:r>
              <w:rPr>
                <w:rFonts w:ascii="Times New Roman" w:cs="Times New Roman" w:eastAsia="Times New Roman" w:hAnsi="Times New Roman"/>
                <w:sz w:val="14"/>
                <w:szCs w:val="14"/>
                <w:color w:val="auto"/>
              </w:rPr>
              <w:t>Year Ended December 31,</w:t>
            </w:r>
          </w:p>
        </w:tc>
        <w:tc>
          <w:tcPr>
            <w:tcW w:w="3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spacing w:after="0"/>
              <w:rPr>
                <w:sz w:val="19"/>
                <w:szCs w:val="19"/>
                <w:color w:val="auto"/>
              </w:rPr>
            </w:pPr>
          </w:p>
        </w:tc>
      </w:tr>
      <w:tr>
        <w:trPr>
          <w:trHeight w:val="196"/>
        </w:trPr>
        <w:tc>
          <w:tcPr>
            <w:tcW w:w="47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2025</w:t>
            </w:r>
          </w:p>
        </w:tc>
        <w:tc>
          <w:tcPr>
            <w:tcW w:w="8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4"/>
                <w:szCs w:val="14"/>
                <w:color w:val="auto"/>
              </w:rPr>
              <w:t>2024</w:t>
            </w:r>
          </w:p>
        </w:tc>
        <w:tc>
          <w:tcPr>
            <w:tcW w:w="8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4"/>
                <w:szCs w:val="14"/>
                <w:color w:val="auto"/>
              </w:rPr>
              <w:t>2023</w:t>
            </w:r>
          </w:p>
        </w:tc>
        <w:tc>
          <w:tcPr>
            <w:tcW w:w="800" w:type="dxa"/>
            <w:vAlign w:val="bottom"/>
            <w:tcBorders>
              <w:bottom w:val="single" w:sz="8" w:color="auto"/>
            </w:tcBorders>
          </w:tcPr>
          <w:p>
            <w:pPr>
              <w:spacing w:after="0"/>
              <w:rPr>
                <w:sz w:val="17"/>
                <w:szCs w:val="17"/>
                <w:color w:val="auto"/>
              </w:rPr>
            </w:pPr>
          </w:p>
        </w:tc>
      </w:tr>
      <w:tr>
        <w:trPr>
          <w:trHeight w:val="196"/>
        </w:trPr>
        <w:tc>
          <w:tcPr>
            <w:tcW w:w="4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Pension</w:t>
            </w: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color w:val="auto"/>
              </w:rPr>
              <w:t>U.S.</w:t>
            </w: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color w:val="auto"/>
              </w:rPr>
              <w:t>Foreign</w:t>
            </w: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color w:val="auto"/>
              </w:rPr>
              <w:t>U.S.</w:t>
            </w: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color w:val="auto"/>
              </w:rPr>
              <w:t>Foreign</w:t>
            </w:r>
          </w:p>
        </w:tc>
        <w:tc>
          <w:tcPr>
            <w:tcW w:w="3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color w:val="auto"/>
              </w:rPr>
              <w:t>U.S.</w:t>
            </w: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color w:val="auto"/>
              </w:rPr>
              <w:t>Foreign</w:t>
            </w:r>
          </w:p>
        </w:tc>
      </w:tr>
      <w:tr>
        <w:trPr>
          <w:trHeight w:val="229"/>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4.2</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4.1</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29"/>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240" w:type="dxa"/>
            <w:vAlign w:val="bottom"/>
          </w:tcPr>
          <w:p>
            <w:pPr>
              <w:spacing w:after="0"/>
              <w:rPr>
                <w:sz w:val="19"/>
                <w:szCs w:val="19"/>
                <w:color w:val="auto"/>
              </w:rPr>
            </w:pPr>
          </w:p>
        </w:tc>
        <w:tc>
          <w:tcPr>
            <w:tcW w:w="7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17.9</w:t>
            </w:r>
          </w:p>
        </w:tc>
        <w:tc>
          <w:tcPr>
            <w:tcW w:w="240" w:type="dxa"/>
            <w:vAlign w:val="bottom"/>
          </w:tcPr>
          <w:p>
            <w:pPr>
              <w:spacing w:after="0"/>
              <w:rPr>
                <w:sz w:val="19"/>
                <w:szCs w:val="19"/>
                <w:color w:val="auto"/>
              </w:rPr>
            </w:pP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15.4</w:t>
            </w:r>
          </w:p>
        </w:tc>
        <w:tc>
          <w:tcPr>
            <w:tcW w:w="260" w:type="dxa"/>
            <w:vAlign w:val="bottom"/>
          </w:tcPr>
          <w:p>
            <w:pPr>
              <w:spacing w:after="0"/>
              <w:rPr>
                <w:sz w:val="19"/>
                <w:szCs w:val="19"/>
                <w:color w:val="auto"/>
              </w:rPr>
            </w:pPr>
          </w:p>
        </w:tc>
        <w:tc>
          <w:tcPr>
            <w:tcW w:w="8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20.4</w:t>
            </w:r>
          </w:p>
        </w:tc>
        <w:tc>
          <w:tcPr>
            <w:tcW w:w="260" w:type="dxa"/>
            <w:vAlign w:val="bottom"/>
          </w:tcPr>
          <w:p>
            <w:pPr>
              <w:spacing w:after="0"/>
              <w:rPr>
                <w:sz w:val="19"/>
                <w:szCs w:val="19"/>
                <w:color w:val="auto"/>
              </w:rPr>
            </w:pP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15.4</w:t>
            </w:r>
          </w:p>
        </w:tc>
        <w:tc>
          <w:tcPr>
            <w:tcW w:w="300" w:type="dxa"/>
            <w:vAlign w:val="bottom"/>
          </w:tcPr>
          <w:p>
            <w:pPr>
              <w:spacing w:after="0"/>
              <w:rPr>
                <w:sz w:val="19"/>
                <w:szCs w:val="19"/>
                <w:color w:val="auto"/>
              </w:rPr>
            </w:pPr>
          </w:p>
        </w:tc>
        <w:tc>
          <w:tcPr>
            <w:tcW w:w="8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20.7</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r>
      <w:tr>
        <w:trPr>
          <w:trHeight w:val="230"/>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r>
      <w:tr>
        <w:trPr>
          <w:trHeight w:val="229"/>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actuarial loss</w:t>
            </w:r>
          </w:p>
        </w:tc>
        <w:tc>
          <w:tcPr>
            <w:tcW w:w="240" w:type="dxa"/>
            <w:vAlign w:val="bottom"/>
          </w:tcPr>
          <w:p>
            <w:pPr>
              <w:spacing w:after="0"/>
              <w:rPr>
                <w:sz w:val="19"/>
                <w:szCs w:val="19"/>
                <w:color w:val="auto"/>
              </w:rPr>
            </w:pPr>
          </w:p>
        </w:tc>
        <w:tc>
          <w:tcPr>
            <w:tcW w:w="7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0.5</w:t>
            </w:r>
          </w:p>
        </w:tc>
        <w:tc>
          <w:tcPr>
            <w:tcW w:w="240" w:type="dxa"/>
            <w:vAlign w:val="bottom"/>
          </w:tcPr>
          <w:p>
            <w:pPr>
              <w:spacing w:after="0"/>
              <w:rPr>
                <w:sz w:val="19"/>
                <w:szCs w:val="19"/>
                <w:color w:val="auto"/>
              </w:rPr>
            </w:pP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1.6</w:t>
            </w:r>
          </w:p>
        </w:tc>
        <w:tc>
          <w:tcPr>
            <w:tcW w:w="260" w:type="dxa"/>
            <w:vAlign w:val="bottom"/>
          </w:tcPr>
          <w:p>
            <w:pPr>
              <w:spacing w:after="0"/>
              <w:rPr>
                <w:sz w:val="19"/>
                <w:szCs w:val="19"/>
                <w:color w:val="auto"/>
              </w:rPr>
            </w:pPr>
          </w:p>
        </w:tc>
        <w:tc>
          <w:tcPr>
            <w:tcW w:w="8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tcPr>
          <w:p>
            <w:pPr>
              <w:spacing w:after="0"/>
              <w:rPr>
                <w:sz w:val="19"/>
                <w:szCs w:val="19"/>
                <w:color w:val="auto"/>
              </w:rPr>
            </w:pP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1.9</w:t>
            </w:r>
          </w:p>
        </w:tc>
        <w:tc>
          <w:tcPr>
            <w:tcW w:w="300" w:type="dxa"/>
            <w:vAlign w:val="bottom"/>
          </w:tcPr>
          <w:p>
            <w:pPr>
              <w:spacing w:after="0"/>
              <w:rPr>
                <w:sz w:val="19"/>
                <w:szCs w:val="19"/>
                <w:color w:val="auto"/>
              </w:rPr>
            </w:pPr>
          </w:p>
        </w:tc>
        <w:tc>
          <w:tcPr>
            <w:tcW w:w="8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9"/>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Curtailment gain</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Settlement (gains) losses</w:t>
            </w: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6.5</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30"/>
        </w:trPr>
        <w:tc>
          <w:tcPr>
            <w:tcW w:w="47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periodic benefit cost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2.1</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5.7</w:t>
            </w:r>
          </w:p>
        </w:tc>
        <w:tc>
          <w:tcPr>
            <w:tcW w:w="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6.3</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6.0</w:t>
            </w:r>
          </w:p>
        </w:tc>
        <w:tc>
          <w:tcPr>
            <w:tcW w:w="3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the Company's net periodic other postretirement benefit cost (credit) are shown below (in millions):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76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920" w:type="dxa"/>
            <w:vAlign w:val="bottom"/>
            <w:tcBorders>
              <w:top w:val="single" w:sz="8" w:color="auto"/>
              <w:bottom w:val="single" w:sz="8" w:color="auto"/>
            </w:tcBorders>
            <w:gridSpan w:val="3"/>
          </w:tcPr>
          <w:p>
            <w:pPr>
              <w:jc w:val="right"/>
              <w:ind w:right="234"/>
              <w:spacing w:after="0"/>
              <w:rPr>
                <w:sz w:val="20"/>
                <w:szCs w:val="20"/>
                <w:color w:val="auto"/>
              </w:rPr>
            </w:pPr>
            <w:r>
              <w:rPr>
                <w:rFonts w:ascii="Times New Roman" w:cs="Times New Roman" w:eastAsia="Times New Roman" w:hAnsi="Times New Roman"/>
                <w:sz w:val="14"/>
                <w:szCs w:val="14"/>
                <w:color w:val="auto"/>
              </w:rPr>
              <w:t>Year Ended December 31,</w:t>
            </w:r>
          </w:p>
        </w:tc>
        <w:tc>
          <w:tcPr>
            <w:tcW w:w="3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spacing w:after="0"/>
              <w:rPr>
                <w:sz w:val="19"/>
                <w:szCs w:val="19"/>
                <w:color w:val="auto"/>
              </w:rPr>
            </w:pPr>
          </w:p>
        </w:tc>
      </w:tr>
      <w:tr>
        <w:trPr>
          <w:trHeight w:val="196"/>
        </w:trPr>
        <w:tc>
          <w:tcPr>
            <w:tcW w:w="47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2025</w:t>
            </w:r>
          </w:p>
        </w:tc>
        <w:tc>
          <w:tcPr>
            <w:tcW w:w="8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4"/>
                <w:szCs w:val="14"/>
                <w:color w:val="auto"/>
              </w:rPr>
              <w:t>2024</w:t>
            </w:r>
          </w:p>
        </w:tc>
        <w:tc>
          <w:tcPr>
            <w:tcW w:w="8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4"/>
                <w:szCs w:val="14"/>
                <w:color w:val="auto"/>
              </w:rPr>
              <w:t>2023</w:t>
            </w:r>
          </w:p>
        </w:tc>
        <w:tc>
          <w:tcPr>
            <w:tcW w:w="800" w:type="dxa"/>
            <w:vAlign w:val="bottom"/>
            <w:tcBorders>
              <w:bottom w:val="single" w:sz="8" w:color="auto"/>
            </w:tcBorders>
          </w:tcPr>
          <w:p>
            <w:pPr>
              <w:spacing w:after="0"/>
              <w:rPr>
                <w:sz w:val="17"/>
                <w:szCs w:val="17"/>
                <w:color w:val="auto"/>
              </w:rPr>
            </w:pPr>
          </w:p>
        </w:tc>
      </w:tr>
      <w:tr>
        <w:trPr>
          <w:trHeight w:val="196"/>
        </w:trPr>
        <w:tc>
          <w:tcPr>
            <w:tcW w:w="4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Other Postretirement</w:t>
            </w: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U.S.</w:t>
            </w: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color w:val="auto"/>
              </w:rPr>
              <w:t>Foreign</w:t>
            </w: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U.S.</w:t>
            </w: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color w:val="auto"/>
              </w:rPr>
              <w:t>Foreign</w:t>
            </w:r>
          </w:p>
        </w:tc>
        <w:tc>
          <w:tcPr>
            <w:tcW w:w="3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U.S.</w:t>
            </w: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color w:val="auto"/>
              </w:rPr>
              <w:t>Foreign</w:t>
            </w:r>
          </w:p>
        </w:tc>
      </w:tr>
      <w:tr>
        <w:trPr>
          <w:trHeight w:val="229"/>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center"/>
              <w:ind w:left="236"/>
              <w:spacing w:after="0"/>
              <w:rPr>
                <w:sz w:val="20"/>
                <w:szCs w:val="20"/>
                <w:color w:val="auto"/>
              </w:rPr>
            </w:pPr>
            <w:r>
              <w:rPr>
                <w:rFonts w:ascii="Times New Roman" w:cs="Times New Roman" w:eastAsia="Times New Roman" w:hAnsi="Times New Roman"/>
                <w:sz w:val="18"/>
                <w:szCs w:val="18"/>
                <w:color w:val="auto"/>
                <w:w w:val="97"/>
              </w:rPr>
              <w:t>1.5</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0.7</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center"/>
              <w:ind w:left="278"/>
              <w:spacing w:after="0"/>
              <w:rPr>
                <w:sz w:val="20"/>
                <w:szCs w:val="20"/>
                <w:color w:val="auto"/>
              </w:rPr>
            </w:pPr>
            <w:r>
              <w:rPr>
                <w:rFonts w:ascii="Times New Roman" w:cs="Times New Roman" w:eastAsia="Times New Roman" w:hAnsi="Times New Roman"/>
                <w:sz w:val="18"/>
                <w:szCs w:val="18"/>
                <w:color w:val="auto"/>
                <w:w w:val="97"/>
              </w:rPr>
              <w:t>1.4</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0.7</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center"/>
              <w:ind w:left="236"/>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30"/>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actuarial gains</w:t>
            </w:r>
          </w:p>
        </w:tc>
        <w:tc>
          <w:tcPr>
            <w:tcW w:w="240" w:type="dxa"/>
            <w:vAlign w:val="bottom"/>
          </w:tcPr>
          <w:p>
            <w:pPr>
              <w:spacing w:after="0"/>
              <w:rPr>
                <w:sz w:val="19"/>
                <w:szCs w:val="19"/>
                <w:color w:val="auto"/>
              </w:rPr>
            </w:pPr>
          </w:p>
        </w:tc>
        <w:tc>
          <w:tcPr>
            <w:tcW w:w="780" w:type="dxa"/>
            <w:vAlign w:val="bottom"/>
          </w:tcPr>
          <w:p>
            <w:pPr>
              <w:jc w:val="center"/>
              <w:ind w:left="196"/>
              <w:spacing w:after="0"/>
              <w:rPr>
                <w:sz w:val="20"/>
                <w:szCs w:val="20"/>
                <w:color w:val="auto"/>
              </w:rPr>
            </w:pPr>
            <w:r>
              <w:rPr>
                <w:rFonts w:ascii="Times New Roman" w:cs="Times New Roman" w:eastAsia="Times New Roman" w:hAnsi="Times New Roman"/>
                <w:sz w:val="18"/>
                <w:szCs w:val="18"/>
                <w:color w:val="auto"/>
                <w:w w:val="98"/>
              </w:rPr>
              <w:t>(2.8)</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60" w:type="dxa"/>
            <w:vAlign w:val="bottom"/>
          </w:tcPr>
          <w:p>
            <w:pPr>
              <w:spacing w:after="0"/>
              <w:rPr>
                <w:sz w:val="19"/>
                <w:szCs w:val="19"/>
                <w:color w:val="auto"/>
              </w:rPr>
            </w:pPr>
          </w:p>
        </w:tc>
        <w:tc>
          <w:tcPr>
            <w:tcW w:w="820" w:type="dxa"/>
            <w:vAlign w:val="bottom"/>
          </w:tcPr>
          <w:p>
            <w:pPr>
              <w:jc w:val="center"/>
              <w:ind w:left="258"/>
              <w:spacing w:after="0"/>
              <w:rPr>
                <w:sz w:val="20"/>
                <w:szCs w:val="20"/>
                <w:color w:val="auto"/>
              </w:rPr>
            </w:pPr>
            <w:r>
              <w:rPr>
                <w:rFonts w:ascii="Times New Roman" w:cs="Times New Roman" w:eastAsia="Times New Roman" w:hAnsi="Times New Roman"/>
                <w:sz w:val="18"/>
                <w:szCs w:val="18"/>
                <w:color w:val="auto"/>
              </w:rPr>
              <w:t>(3.0)</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300" w:type="dxa"/>
            <w:vAlign w:val="bottom"/>
          </w:tcPr>
          <w:p>
            <w:pPr>
              <w:spacing w:after="0"/>
              <w:rPr>
                <w:sz w:val="19"/>
                <w:szCs w:val="19"/>
                <w:color w:val="auto"/>
              </w:rPr>
            </w:pPr>
          </w:p>
        </w:tc>
        <w:tc>
          <w:tcPr>
            <w:tcW w:w="800" w:type="dxa"/>
            <w:vAlign w:val="bottom"/>
          </w:tcPr>
          <w:p>
            <w:pPr>
              <w:jc w:val="center"/>
              <w:ind w:left="216"/>
              <w:spacing w:after="0"/>
              <w:rPr>
                <w:sz w:val="20"/>
                <w:szCs w:val="20"/>
                <w:color w:val="auto"/>
              </w:rPr>
            </w:pPr>
            <w:r>
              <w:rPr>
                <w:rFonts w:ascii="Times New Roman" w:cs="Times New Roman" w:eastAsia="Times New Roman" w:hAnsi="Times New Roman"/>
                <w:sz w:val="18"/>
                <w:szCs w:val="18"/>
                <w:color w:val="auto"/>
                <w:w w:val="98"/>
              </w:rPr>
              <w:t>(3.3)</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9"/>
        </w:trPr>
        <w:tc>
          <w:tcPr>
            <w:tcW w:w="47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credit</w:t>
            </w: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center"/>
              <w:ind w:left="196"/>
              <w:spacing w:after="0"/>
              <w:rPr>
                <w:sz w:val="20"/>
                <w:szCs w:val="20"/>
                <w:color w:val="auto"/>
              </w:rPr>
            </w:pPr>
            <w:r>
              <w:rPr>
                <w:rFonts w:ascii="Times New Roman" w:cs="Times New Roman" w:eastAsia="Times New Roman" w:hAnsi="Times New Roman"/>
                <w:sz w:val="18"/>
                <w:szCs w:val="18"/>
                <w:color w:val="auto"/>
                <w:w w:val="98"/>
              </w:rPr>
              <w:t>(0.1)</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center"/>
              <w:ind w:left="258"/>
              <w:spacing w:after="0"/>
              <w:rPr>
                <w:sz w:val="20"/>
                <w:szCs w:val="20"/>
                <w:color w:val="auto"/>
              </w:rPr>
            </w:pPr>
            <w:r>
              <w:rPr>
                <w:rFonts w:ascii="Times New Roman" w:cs="Times New Roman" w:eastAsia="Times New Roman" w:hAnsi="Times New Roman"/>
                <w:sz w:val="18"/>
                <w:szCs w:val="18"/>
                <w:color w:val="auto"/>
              </w:rPr>
              <w:t>(0.1)</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center"/>
              <w:ind w:left="216"/>
              <w:spacing w:after="0"/>
              <w:rPr>
                <w:sz w:val="20"/>
                <w:szCs w:val="20"/>
                <w:color w:val="auto"/>
              </w:rPr>
            </w:pPr>
            <w:r>
              <w:rPr>
                <w:rFonts w:ascii="Times New Roman" w:cs="Times New Roman" w:eastAsia="Times New Roman" w:hAnsi="Times New Roman"/>
                <w:sz w:val="18"/>
                <w:szCs w:val="18"/>
                <w:color w:val="auto"/>
                <w:w w:val="98"/>
              </w:rPr>
              <w:t>(0.1)</w:t>
            </w: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periodic benefit cost (credit)</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center"/>
              <w:ind w:left="196"/>
              <w:spacing w:after="0"/>
              <w:rPr>
                <w:sz w:val="20"/>
                <w:szCs w:val="20"/>
                <w:color w:val="auto"/>
              </w:rPr>
            </w:pPr>
            <w:r>
              <w:rPr>
                <w:rFonts w:ascii="Times New Roman" w:cs="Times New Roman" w:eastAsia="Times New Roman" w:hAnsi="Times New Roman"/>
                <w:sz w:val="18"/>
                <w:szCs w:val="18"/>
                <w:color w:val="auto"/>
                <w:w w:val="98"/>
              </w:rPr>
              <w:t>(1.4)</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0.5</w:t>
            </w:r>
          </w:p>
        </w:tc>
        <w:tc>
          <w:tcPr>
            <w:tcW w:w="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center"/>
              <w:ind w:left="258"/>
              <w:spacing w:after="0"/>
              <w:rPr>
                <w:sz w:val="20"/>
                <w:szCs w:val="20"/>
                <w:color w:val="auto"/>
              </w:rPr>
            </w:pPr>
            <w:r>
              <w:rPr>
                <w:rFonts w:ascii="Times New Roman" w:cs="Times New Roman" w:eastAsia="Times New Roman" w:hAnsi="Times New Roman"/>
                <w:sz w:val="18"/>
                <w:szCs w:val="18"/>
                <w:color w:val="auto"/>
              </w:rPr>
              <w:t>(1.7)</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0.4</w:t>
            </w:r>
          </w:p>
        </w:tc>
        <w:tc>
          <w:tcPr>
            <w:tcW w:w="3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center"/>
              <w:ind w:left="216"/>
              <w:spacing w:after="0"/>
              <w:rPr>
                <w:sz w:val="20"/>
                <w:szCs w:val="20"/>
                <w:color w:val="auto"/>
              </w:rPr>
            </w:pPr>
            <w:r>
              <w:rPr>
                <w:rFonts w:ascii="Times New Roman" w:cs="Times New Roman" w:eastAsia="Times New Roman" w:hAnsi="Times New Roman"/>
                <w:sz w:val="18"/>
                <w:szCs w:val="18"/>
                <w:color w:val="auto"/>
                <w:w w:val="98"/>
              </w:rPr>
              <w:t>(1.9)</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r>
    </w:tbl>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Assumptions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 average actuarial assumptions used in determining the benefit obligations are shown below:</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900" w:type="dxa"/>
            <w:vAlign w:val="bottom"/>
            <w:tcBorders>
              <w:top w:val="single" w:sz="8" w:color="auto"/>
            </w:tcBorders>
          </w:tcPr>
          <w:p>
            <w:pPr>
              <w:spacing w:after="0"/>
              <w:rPr>
                <w:sz w:val="19"/>
                <w:szCs w:val="19"/>
                <w:color w:val="auto"/>
              </w:rPr>
            </w:pPr>
          </w:p>
        </w:tc>
        <w:tc>
          <w:tcPr>
            <w:tcW w:w="3040" w:type="dxa"/>
            <w:vAlign w:val="bottom"/>
            <w:tcBorders>
              <w:top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Pension</w:t>
            </w:r>
          </w:p>
        </w:tc>
        <w:tc>
          <w:tcPr>
            <w:tcW w:w="2140" w:type="dxa"/>
            <w:vAlign w:val="bottom"/>
            <w:tcBorders>
              <w:top w:val="single" w:sz="8" w:color="auto"/>
              <w:bottom w:val="single" w:sz="8" w:color="auto"/>
            </w:tcBorders>
            <w:gridSpan w:val="2"/>
          </w:tcPr>
          <w:p>
            <w:pPr>
              <w:ind w:left="500"/>
              <w:spacing w:after="0"/>
              <w:rPr>
                <w:sz w:val="20"/>
                <w:szCs w:val="20"/>
                <w:color w:val="auto"/>
              </w:rPr>
            </w:pPr>
            <w:r>
              <w:rPr>
                <w:rFonts w:ascii="Times New Roman" w:cs="Times New Roman" w:eastAsia="Times New Roman" w:hAnsi="Times New Roman"/>
                <w:sz w:val="14"/>
                <w:szCs w:val="14"/>
                <w:color w:val="auto"/>
              </w:rPr>
              <w:t>Other Postretirement</w:t>
            </w:r>
          </w:p>
        </w:tc>
        <w:tc>
          <w:tcPr>
            <w:tcW w:w="20" w:type="dxa"/>
            <w:vAlign w:val="bottom"/>
          </w:tcPr>
          <w:p>
            <w:pPr>
              <w:spacing w:after="0"/>
              <w:rPr>
                <w:sz w:val="19"/>
                <w:szCs w:val="19"/>
                <w:color w:val="auto"/>
              </w:rPr>
            </w:pPr>
          </w:p>
        </w:tc>
      </w:tr>
      <w:tr>
        <w:trPr>
          <w:trHeight w:val="196"/>
        </w:trPr>
        <w:tc>
          <w:tcPr>
            <w:tcW w:w="3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December 31,</w:t>
            </w:r>
          </w:p>
        </w:tc>
        <w:tc>
          <w:tcPr>
            <w:tcW w:w="30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center"/>
              <w:ind w:left="168"/>
              <w:spacing w:after="0"/>
              <w:rPr>
                <w:sz w:val="20"/>
                <w:szCs w:val="20"/>
                <w:color w:val="auto"/>
              </w:rPr>
            </w:pPr>
            <w:r>
              <w:rPr>
                <w:rFonts w:ascii="Times New Roman" w:cs="Times New Roman" w:eastAsia="Times New Roman" w:hAnsi="Times New Roman"/>
                <w:sz w:val="14"/>
                <w:szCs w:val="14"/>
                <w:color w:val="auto"/>
                <w:w w:val="99"/>
              </w:rPr>
              <w:t>2025</w:t>
            </w:r>
          </w:p>
        </w:tc>
        <w:tc>
          <w:tcPr>
            <w:tcW w:w="1380" w:type="dxa"/>
            <w:vAlign w:val="bottom"/>
            <w:tcBorders>
              <w:bottom w:val="single" w:sz="8" w:color="auto"/>
            </w:tcBorders>
          </w:tcPr>
          <w:p>
            <w:pPr>
              <w:jc w:val="center"/>
              <w:ind w:left="197"/>
              <w:spacing w:after="0"/>
              <w:rPr>
                <w:sz w:val="20"/>
                <w:szCs w:val="20"/>
                <w:color w:val="auto"/>
              </w:rPr>
            </w:pPr>
            <w:r>
              <w:rPr>
                <w:rFonts w:ascii="Times New Roman" w:cs="Times New Roman" w:eastAsia="Times New Roman" w:hAnsi="Times New Roman"/>
                <w:sz w:val="14"/>
                <w:szCs w:val="14"/>
                <w:color w:val="auto"/>
              </w:rPr>
              <w:t>2024</w:t>
            </w: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2025</w:t>
            </w: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2024</w:t>
            </w:r>
          </w:p>
        </w:tc>
        <w:tc>
          <w:tcPr>
            <w:tcW w:w="20" w:type="dxa"/>
            <w:vAlign w:val="bottom"/>
          </w:tcPr>
          <w:p>
            <w:pPr>
              <w:spacing w:after="0"/>
              <w:rPr>
                <w:sz w:val="17"/>
                <w:szCs w:val="17"/>
                <w:color w:val="auto"/>
              </w:rPr>
            </w:pPr>
          </w:p>
        </w:tc>
      </w:tr>
      <w:tr>
        <w:trPr>
          <w:trHeight w:val="230"/>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30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Domestic plans</w:t>
            </w:r>
          </w:p>
        </w:tc>
        <w:tc>
          <w:tcPr>
            <w:tcW w:w="3800" w:type="dxa"/>
            <w:vAlign w:val="bottom"/>
            <w:gridSpan w:val="2"/>
          </w:tcPr>
          <w:p>
            <w:pPr>
              <w:jc w:val="center"/>
              <w:ind w:left="3190"/>
              <w:spacing w:after="0"/>
              <w:rPr>
                <w:sz w:val="20"/>
                <w:szCs w:val="20"/>
                <w:color w:val="auto"/>
              </w:rPr>
            </w:pPr>
            <w:r>
              <w:rPr>
                <w:rFonts w:ascii="Times New Roman" w:cs="Times New Roman" w:eastAsia="Times New Roman" w:hAnsi="Times New Roman"/>
                <w:sz w:val="18"/>
                <w:szCs w:val="18"/>
                <w:color w:val="auto"/>
                <w:w w:val="95"/>
              </w:rPr>
              <w:t>5.4%</w:t>
            </w:r>
          </w:p>
        </w:tc>
        <w:tc>
          <w:tcPr>
            <w:tcW w:w="1380" w:type="dxa"/>
            <w:vAlign w:val="bottom"/>
          </w:tcPr>
          <w:p>
            <w:pPr>
              <w:jc w:val="center"/>
              <w:ind w:left="197"/>
              <w:spacing w:after="0"/>
              <w:rPr>
                <w:sz w:val="20"/>
                <w:szCs w:val="20"/>
                <w:color w:val="auto"/>
              </w:rPr>
            </w:pPr>
            <w:r>
              <w:rPr>
                <w:rFonts w:ascii="Times New Roman" w:cs="Times New Roman" w:eastAsia="Times New Roman" w:hAnsi="Times New Roman"/>
                <w:sz w:val="18"/>
                <w:szCs w:val="18"/>
                <w:color w:val="auto"/>
              </w:rPr>
              <w:t>5.7%</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5.2%</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5.5%</w:t>
            </w:r>
          </w:p>
        </w:tc>
        <w:tc>
          <w:tcPr>
            <w:tcW w:w="20" w:type="dxa"/>
            <w:vAlign w:val="bottom"/>
          </w:tcPr>
          <w:p>
            <w:pPr>
              <w:spacing w:after="0"/>
              <w:rPr>
                <w:sz w:val="19"/>
                <w:szCs w:val="19"/>
                <w:color w:val="auto"/>
              </w:rPr>
            </w:pPr>
          </w:p>
        </w:tc>
      </w:tr>
      <w:tr>
        <w:trPr>
          <w:trHeight w:val="229"/>
        </w:trPr>
        <w:tc>
          <w:tcPr>
            <w:tcW w:w="3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plans</w:t>
            </w:r>
          </w:p>
        </w:tc>
        <w:tc>
          <w:tcPr>
            <w:tcW w:w="3800" w:type="dxa"/>
            <w:vAlign w:val="bottom"/>
            <w:gridSpan w:val="2"/>
            <w:shd w:val="clear" w:color="auto" w:fill="CCEEFF"/>
          </w:tcPr>
          <w:p>
            <w:pPr>
              <w:jc w:val="center"/>
              <w:ind w:left="3190"/>
              <w:spacing w:after="0"/>
              <w:rPr>
                <w:sz w:val="20"/>
                <w:szCs w:val="20"/>
                <w:color w:val="auto"/>
              </w:rPr>
            </w:pPr>
            <w:r>
              <w:rPr>
                <w:rFonts w:ascii="Times New Roman" w:cs="Times New Roman" w:eastAsia="Times New Roman" w:hAnsi="Times New Roman"/>
                <w:sz w:val="18"/>
                <w:szCs w:val="18"/>
                <w:color w:val="auto"/>
                <w:w w:val="95"/>
              </w:rPr>
              <w:t>4.8%</w:t>
            </w:r>
          </w:p>
        </w:tc>
        <w:tc>
          <w:tcPr>
            <w:tcW w:w="1380" w:type="dxa"/>
            <w:vAlign w:val="bottom"/>
            <w:shd w:val="clear" w:color="auto" w:fill="CCEEFF"/>
          </w:tcPr>
          <w:p>
            <w:pPr>
              <w:jc w:val="center"/>
              <w:ind w:left="197"/>
              <w:spacing w:after="0"/>
              <w:rPr>
                <w:sz w:val="20"/>
                <w:szCs w:val="20"/>
                <w:color w:val="auto"/>
              </w:rPr>
            </w:pPr>
            <w:r>
              <w:rPr>
                <w:rFonts w:ascii="Times New Roman" w:cs="Times New Roman" w:eastAsia="Times New Roman" w:hAnsi="Times New Roman"/>
                <w:sz w:val="18"/>
                <w:szCs w:val="18"/>
                <w:color w:val="auto"/>
              </w:rPr>
              <w:t>4.5%</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4.8%</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4.6%</w:t>
            </w:r>
          </w:p>
        </w:tc>
        <w:tc>
          <w:tcPr>
            <w:tcW w:w="20" w:type="dxa"/>
            <w:vAlign w:val="bottom"/>
          </w:tcPr>
          <w:p>
            <w:pPr>
              <w:spacing w:after="0"/>
              <w:rPr>
                <w:sz w:val="19"/>
                <w:szCs w:val="19"/>
                <w:color w:val="auto"/>
              </w:rPr>
            </w:pPr>
          </w:p>
        </w:tc>
      </w:tr>
      <w:tr>
        <w:trPr>
          <w:trHeight w:val="230"/>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Rate of compensation increase:</w:t>
            </w:r>
          </w:p>
        </w:tc>
        <w:tc>
          <w:tcPr>
            <w:tcW w:w="30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7"/>
        </w:trPr>
        <w:tc>
          <w:tcPr>
            <w:tcW w:w="390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plans</w:t>
            </w:r>
          </w:p>
        </w:tc>
        <w:tc>
          <w:tcPr>
            <w:tcW w:w="3800" w:type="dxa"/>
            <w:vAlign w:val="bottom"/>
            <w:tcBorders>
              <w:bottom w:val="single" w:sz="8" w:color="auto"/>
            </w:tcBorders>
            <w:gridSpan w:val="2"/>
            <w:shd w:val="clear" w:color="auto" w:fill="CCEEFF"/>
          </w:tcPr>
          <w:p>
            <w:pPr>
              <w:jc w:val="center"/>
              <w:ind w:left="3190"/>
              <w:spacing w:after="0"/>
              <w:rPr>
                <w:sz w:val="20"/>
                <w:szCs w:val="20"/>
                <w:color w:val="auto"/>
              </w:rPr>
            </w:pPr>
            <w:r>
              <w:rPr>
                <w:rFonts w:ascii="Times New Roman" w:cs="Times New Roman" w:eastAsia="Times New Roman" w:hAnsi="Times New Roman"/>
                <w:sz w:val="18"/>
                <w:szCs w:val="18"/>
                <w:color w:val="auto"/>
                <w:w w:val="95"/>
              </w:rPr>
              <w:t>2.4%</w:t>
            </w:r>
          </w:p>
        </w:tc>
        <w:tc>
          <w:tcPr>
            <w:tcW w:w="1380" w:type="dxa"/>
            <w:vAlign w:val="bottom"/>
            <w:tcBorders>
              <w:bottom w:val="single" w:sz="8" w:color="auto"/>
            </w:tcBorders>
            <w:shd w:val="clear" w:color="auto" w:fill="CCEEFF"/>
          </w:tcPr>
          <w:p>
            <w:pPr>
              <w:jc w:val="center"/>
              <w:ind w:left="197"/>
              <w:spacing w:after="0"/>
              <w:rPr>
                <w:sz w:val="20"/>
                <w:szCs w:val="20"/>
                <w:color w:val="auto"/>
              </w:rPr>
            </w:pPr>
            <w:r>
              <w:rPr>
                <w:rFonts w:ascii="Times New Roman" w:cs="Times New Roman" w:eastAsia="Times New Roman" w:hAnsi="Times New Roman"/>
                <w:sz w:val="18"/>
                <w:szCs w:val="18"/>
                <w:color w:val="auto"/>
              </w:rPr>
              <w:t>2.6%</w:t>
            </w:r>
          </w:p>
        </w:tc>
        <w:tc>
          <w:tcPr>
            <w:tcW w:w="1100" w:type="dxa"/>
            <w:vAlign w:val="bottom"/>
            <w:tcBorders>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N/A</w:t>
            </w:r>
          </w:p>
        </w:tc>
        <w:tc>
          <w:tcPr>
            <w:tcW w:w="1040" w:type="dxa"/>
            <w:vAlign w:val="bottom"/>
            <w:tcBorders>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N/A</w:t>
            </w:r>
          </w:p>
        </w:tc>
        <w:tc>
          <w:tcPr>
            <w:tcW w:w="20" w:type="dxa"/>
            <w:vAlign w:val="bottom"/>
          </w:tcPr>
          <w:p>
            <w:pPr>
              <w:spacing w:after="0"/>
              <w:rPr>
                <w:sz w:val="20"/>
                <w:szCs w:val="20"/>
                <w:color w:val="auto"/>
              </w:rPr>
            </w:pPr>
          </w:p>
        </w:tc>
      </w:tr>
      <w:tr>
        <w:trPr>
          <w:trHeight w:val="905"/>
        </w:trPr>
        <w:tc>
          <w:tcPr>
            <w:tcW w:w="3900" w:type="dxa"/>
            <w:vAlign w:val="bottom"/>
          </w:tcPr>
          <w:p>
            <w:pPr>
              <w:spacing w:after="0"/>
              <w:rPr>
                <w:sz w:val="24"/>
                <w:szCs w:val="24"/>
                <w:color w:val="auto"/>
              </w:rPr>
            </w:pPr>
          </w:p>
        </w:tc>
        <w:tc>
          <w:tcPr>
            <w:tcW w:w="3040" w:type="dxa"/>
            <w:vAlign w:val="bottom"/>
          </w:tcPr>
          <w:p>
            <w:pPr>
              <w:jc w:val="right"/>
              <w:ind w:right="1130"/>
              <w:spacing w:after="0"/>
              <w:rPr>
                <w:sz w:val="20"/>
                <w:szCs w:val="20"/>
                <w:color w:val="auto"/>
              </w:rPr>
            </w:pPr>
            <w:r>
              <w:rPr>
                <w:rFonts w:ascii="Times New Roman" w:cs="Times New Roman" w:eastAsia="Times New Roman" w:hAnsi="Times New Roman"/>
                <w:sz w:val="18"/>
                <w:szCs w:val="18"/>
                <w:color w:val="auto"/>
              </w:rPr>
              <w:t>90</w:t>
            </w:r>
          </w:p>
        </w:tc>
        <w:tc>
          <w:tcPr>
            <w:tcW w:w="7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3900" w:type="dxa"/>
            <w:vAlign w:val="bottom"/>
            <w:tcBorders>
              <w:bottom w:val="single" w:sz="8" w:color="9A9A9A"/>
            </w:tcBorders>
          </w:tcPr>
          <w:p>
            <w:pPr>
              <w:spacing w:after="0"/>
              <w:rPr>
                <w:sz w:val="10"/>
                <w:szCs w:val="10"/>
                <w:color w:val="auto"/>
              </w:rPr>
            </w:pPr>
          </w:p>
        </w:tc>
        <w:tc>
          <w:tcPr>
            <w:tcW w:w="30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Lear Corporation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 average actuarial assumptions used in determining the net periodic benefit cost (credit) are shown below:</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9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For the year ended December 31,</w:t>
            </w:r>
          </w:p>
        </w:tc>
        <w:tc>
          <w:tcPr>
            <w:tcW w:w="2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2025</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8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color w:val="auto"/>
              </w:rPr>
              <w:t>2023</w:t>
            </w:r>
          </w:p>
        </w:tc>
      </w:tr>
      <w:tr>
        <w:trPr>
          <w:trHeight w:val="230"/>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Pension</w:t>
            </w:r>
          </w:p>
        </w:tc>
        <w:tc>
          <w:tcPr>
            <w:tcW w:w="26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9"/>
        </w:trPr>
        <w:tc>
          <w:tcPr>
            <w:tcW w:w="4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Discount rate:</w:t>
            </w:r>
          </w:p>
        </w:tc>
        <w:tc>
          <w:tcPr>
            <w:tcW w:w="26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49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Domestic plans</w:t>
            </w:r>
          </w:p>
        </w:tc>
        <w:tc>
          <w:tcPr>
            <w:tcW w:w="268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952"/>
              <w:spacing w:after="0"/>
              <w:rPr>
                <w:sz w:val="20"/>
                <w:szCs w:val="20"/>
                <w:color w:val="auto"/>
              </w:rPr>
            </w:pPr>
            <w:r>
              <w:rPr>
                <w:rFonts w:ascii="Times New Roman" w:cs="Times New Roman" w:eastAsia="Times New Roman" w:hAnsi="Times New Roman"/>
                <w:sz w:val="18"/>
                <w:szCs w:val="18"/>
                <w:color w:val="auto"/>
              </w:rPr>
              <w:t>5.7 %</w:t>
            </w:r>
          </w:p>
        </w:tc>
        <w:tc>
          <w:tcPr>
            <w:tcW w:w="8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5.2 %</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5.5 %</w:t>
            </w:r>
          </w:p>
        </w:tc>
      </w:tr>
      <w:tr>
        <w:trPr>
          <w:trHeight w:val="229"/>
        </w:trPr>
        <w:tc>
          <w:tcPr>
            <w:tcW w:w="49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Foreign plans</w:t>
            </w:r>
          </w:p>
        </w:tc>
        <w:tc>
          <w:tcPr>
            <w:tcW w:w="2680" w:type="dxa"/>
            <w:vAlign w:val="bottom"/>
          </w:tcPr>
          <w:p>
            <w:pPr>
              <w:spacing w:after="0"/>
              <w:rPr>
                <w:sz w:val="19"/>
                <w:szCs w:val="19"/>
                <w:color w:val="auto"/>
              </w:rPr>
            </w:pPr>
          </w:p>
        </w:tc>
        <w:tc>
          <w:tcPr>
            <w:tcW w:w="1540" w:type="dxa"/>
            <w:vAlign w:val="bottom"/>
          </w:tcPr>
          <w:p>
            <w:pPr>
              <w:jc w:val="right"/>
              <w:ind w:right="952"/>
              <w:spacing w:after="0"/>
              <w:rPr>
                <w:sz w:val="20"/>
                <w:szCs w:val="20"/>
                <w:color w:val="auto"/>
              </w:rPr>
            </w:pPr>
            <w:r>
              <w:rPr>
                <w:rFonts w:ascii="Times New Roman" w:cs="Times New Roman" w:eastAsia="Times New Roman" w:hAnsi="Times New Roman"/>
                <w:sz w:val="18"/>
                <w:szCs w:val="18"/>
                <w:color w:val="auto"/>
              </w:rPr>
              <w:t>4.5 %</w:t>
            </w:r>
          </w:p>
        </w:tc>
        <w:tc>
          <w:tcPr>
            <w:tcW w:w="8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4.4 %</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5.0 %</w:t>
            </w:r>
          </w:p>
        </w:tc>
      </w:tr>
      <w:tr>
        <w:trPr>
          <w:trHeight w:val="229"/>
        </w:trPr>
        <w:tc>
          <w:tcPr>
            <w:tcW w:w="4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6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49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Domestic plans</w:t>
            </w:r>
          </w:p>
        </w:tc>
        <w:tc>
          <w:tcPr>
            <w:tcW w:w="2680" w:type="dxa"/>
            <w:vAlign w:val="bottom"/>
          </w:tcPr>
          <w:p>
            <w:pPr>
              <w:spacing w:after="0"/>
              <w:rPr>
                <w:sz w:val="19"/>
                <w:szCs w:val="19"/>
                <w:color w:val="auto"/>
              </w:rPr>
            </w:pPr>
          </w:p>
        </w:tc>
        <w:tc>
          <w:tcPr>
            <w:tcW w:w="1540" w:type="dxa"/>
            <w:vAlign w:val="bottom"/>
          </w:tcPr>
          <w:p>
            <w:pPr>
              <w:jc w:val="right"/>
              <w:ind w:right="952"/>
              <w:spacing w:after="0"/>
              <w:rPr>
                <w:sz w:val="20"/>
                <w:szCs w:val="20"/>
                <w:color w:val="auto"/>
              </w:rPr>
            </w:pPr>
            <w:r>
              <w:rPr>
                <w:rFonts w:ascii="Times New Roman" w:cs="Times New Roman" w:eastAsia="Times New Roman" w:hAnsi="Times New Roman"/>
                <w:sz w:val="18"/>
                <w:szCs w:val="18"/>
                <w:color w:val="auto"/>
              </w:rPr>
              <w:t>5.5 %</w:t>
            </w:r>
          </w:p>
        </w:tc>
        <w:tc>
          <w:tcPr>
            <w:tcW w:w="8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6.0 %</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6.0 %</w:t>
            </w:r>
          </w:p>
        </w:tc>
      </w:tr>
      <w:tr>
        <w:trPr>
          <w:trHeight w:val="229"/>
        </w:trPr>
        <w:tc>
          <w:tcPr>
            <w:tcW w:w="49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Foreign plans</w:t>
            </w:r>
          </w:p>
        </w:tc>
        <w:tc>
          <w:tcPr>
            <w:tcW w:w="268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952"/>
              <w:spacing w:after="0"/>
              <w:rPr>
                <w:sz w:val="20"/>
                <w:szCs w:val="20"/>
                <w:color w:val="auto"/>
              </w:rPr>
            </w:pPr>
            <w:r>
              <w:rPr>
                <w:rFonts w:ascii="Times New Roman" w:cs="Times New Roman" w:eastAsia="Times New Roman" w:hAnsi="Times New Roman"/>
                <w:sz w:val="18"/>
                <w:szCs w:val="18"/>
                <w:color w:val="auto"/>
              </w:rPr>
              <w:t>5.1 %</w:t>
            </w:r>
          </w:p>
        </w:tc>
        <w:tc>
          <w:tcPr>
            <w:tcW w:w="8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4.7 %</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5.4 %</w:t>
            </w:r>
          </w:p>
        </w:tc>
      </w:tr>
      <w:tr>
        <w:trPr>
          <w:trHeight w:val="230"/>
        </w:trPr>
        <w:tc>
          <w:tcPr>
            <w:tcW w:w="4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Rate of compensation increase:</w:t>
            </w:r>
          </w:p>
        </w:tc>
        <w:tc>
          <w:tcPr>
            <w:tcW w:w="26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492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Foreign plans</w:t>
            </w:r>
          </w:p>
        </w:tc>
        <w:tc>
          <w:tcPr>
            <w:tcW w:w="26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952"/>
              <w:spacing w:after="0"/>
              <w:rPr>
                <w:sz w:val="20"/>
                <w:szCs w:val="20"/>
                <w:color w:val="auto"/>
              </w:rPr>
            </w:pPr>
            <w:r>
              <w:rPr>
                <w:rFonts w:ascii="Times New Roman" w:cs="Times New Roman" w:eastAsia="Times New Roman" w:hAnsi="Times New Roman"/>
                <w:sz w:val="18"/>
                <w:szCs w:val="18"/>
                <w:color w:val="auto"/>
              </w:rPr>
              <w:t>2.6 %</w:t>
            </w:r>
          </w:p>
        </w:tc>
        <w:tc>
          <w:tcPr>
            <w:tcW w:w="84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2.6 %</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r>
      <w:tr>
        <w:trPr>
          <w:trHeight w:val="223"/>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postretirement</w:t>
            </w:r>
          </w:p>
        </w:tc>
        <w:tc>
          <w:tcPr>
            <w:tcW w:w="26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4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Discount rate:</w:t>
            </w:r>
          </w:p>
        </w:tc>
        <w:tc>
          <w:tcPr>
            <w:tcW w:w="26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9"/>
        </w:trPr>
        <w:tc>
          <w:tcPr>
            <w:tcW w:w="49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Domestic plans</w:t>
            </w:r>
          </w:p>
        </w:tc>
        <w:tc>
          <w:tcPr>
            <w:tcW w:w="2680" w:type="dxa"/>
            <w:vAlign w:val="bottom"/>
          </w:tcPr>
          <w:p>
            <w:pPr>
              <w:spacing w:after="0"/>
              <w:rPr>
                <w:sz w:val="19"/>
                <w:szCs w:val="19"/>
                <w:color w:val="auto"/>
              </w:rPr>
            </w:pPr>
          </w:p>
        </w:tc>
        <w:tc>
          <w:tcPr>
            <w:tcW w:w="1540" w:type="dxa"/>
            <w:vAlign w:val="bottom"/>
          </w:tcPr>
          <w:p>
            <w:pPr>
              <w:jc w:val="right"/>
              <w:ind w:right="952"/>
              <w:spacing w:after="0"/>
              <w:rPr>
                <w:sz w:val="20"/>
                <w:szCs w:val="20"/>
                <w:color w:val="auto"/>
              </w:rPr>
            </w:pPr>
            <w:r>
              <w:rPr>
                <w:rFonts w:ascii="Times New Roman" w:cs="Times New Roman" w:eastAsia="Times New Roman" w:hAnsi="Times New Roman"/>
                <w:sz w:val="18"/>
                <w:szCs w:val="18"/>
                <w:color w:val="auto"/>
              </w:rPr>
              <w:t>5.5 %</w:t>
            </w:r>
          </w:p>
        </w:tc>
        <w:tc>
          <w:tcPr>
            <w:tcW w:w="8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5.1 %</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5.5 %</w:t>
            </w:r>
          </w:p>
        </w:tc>
      </w:tr>
      <w:tr>
        <w:trPr>
          <w:trHeight w:val="237"/>
        </w:trPr>
        <w:tc>
          <w:tcPr>
            <w:tcW w:w="492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Foreign plans</w:t>
            </w:r>
          </w:p>
        </w:tc>
        <w:tc>
          <w:tcPr>
            <w:tcW w:w="2680" w:type="dxa"/>
            <w:vAlign w:val="bottom"/>
            <w:tcBorders>
              <w:bottom w:val="single" w:sz="8" w:color="auto"/>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ind w:right="952"/>
              <w:spacing w:after="0"/>
              <w:rPr>
                <w:sz w:val="20"/>
                <w:szCs w:val="20"/>
                <w:color w:val="auto"/>
              </w:rPr>
            </w:pPr>
            <w:r>
              <w:rPr>
                <w:rFonts w:ascii="Times New Roman" w:cs="Times New Roman" w:eastAsia="Times New Roman" w:hAnsi="Times New Roman"/>
                <w:sz w:val="18"/>
                <w:szCs w:val="18"/>
                <w:color w:val="auto"/>
              </w:rPr>
              <w:t>4.6 %</w:t>
            </w:r>
          </w:p>
        </w:tc>
        <w:tc>
          <w:tcPr>
            <w:tcW w:w="84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4.6 %</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5.3 %</w:t>
            </w:r>
          </w:p>
        </w:tc>
      </w:tr>
    </w:tbl>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expected return on plan assets is determined based on several factors, including adjusted historical returns, historical risk premiums for various asset classes and target asset allocations within the portfolio. Adjustments made to the historical returns are based on recent return experience in the equity and fixed income markets and the belief that deviations from historical returns are likely over the relevant investment horizon.</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2025 and 2024, the weighted-average interest crediting rate used by one of the Company's U.S. pension plans was a minimum of 4.7% and 4.5%, respectively.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Healthcare Trend Rate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assumed healthcare cost trend rates used to measure the postretirement benefit obligation as of December 31, 2025, are shown below:</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520" w:type="dxa"/>
            <w:vAlign w:val="bottom"/>
            <w:tcBorders>
              <w:top w:val="single" w:sz="8" w:color="auto"/>
              <w:bottom w:val="single" w:sz="8" w:color="auto"/>
            </w:tcBorders>
          </w:tcPr>
          <w:p>
            <w:pPr>
              <w:spacing w:after="0"/>
              <w:rPr>
                <w:sz w:val="19"/>
                <w:szCs w:val="19"/>
                <w:color w:val="auto"/>
              </w:rPr>
            </w:pPr>
          </w:p>
        </w:tc>
        <w:tc>
          <w:tcPr>
            <w:tcW w:w="5040" w:type="dxa"/>
            <w:vAlign w:val="bottom"/>
            <w:tcBorders>
              <w:top w:val="single" w:sz="8" w:color="auto"/>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color w:val="auto"/>
              </w:rPr>
              <w:t>U.S. Plans</w:t>
            </w:r>
          </w:p>
        </w:tc>
        <w:tc>
          <w:tcPr>
            <w:tcW w:w="1680" w:type="dxa"/>
            <w:vAlign w:val="bottom"/>
            <w:tcBorders>
              <w:top w:val="single" w:sz="8" w:color="auto"/>
              <w:bottom w:val="single" w:sz="8" w:color="auto"/>
            </w:tcBorders>
          </w:tcPr>
          <w:p>
            <w:pPr>
              <w:ind w:left="500"/>
              <w:spacing w:after="0"/>
              <w:rPr>
                <w:sz w:val="20"/>
                <w:szCs w:val="20"/>
                <w:color w:val="auto"/>
              </w:rPr>
            </w:pPr>
            <w:r>
              <w:rPr>
                <w:rFonts w:ascii="Times New Roman" w:cs="Times New Roman" w:eastAsia="Times New Roman" w:hAnsi="Times New Roman"/>
                <w:sz w:val="14"/>
                <w:szCs w:val="14"/>
                <w:color w:val="auto"/>
              </w:rPr>
              <w:t>Foreign Plans</w:t>
            </w:r>
          </w:p>
        </w:tc>
      </w:tr>
      <w:tr>
        <w:trPr>
          <w:trHeight w:val="230"/>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Initial healthcare cost trend rate</w:t>
            </w:r>
          </w:p>
        </w:tc>
        <w:tc>
          <w:tcPr>
            <w:tcW w:w="5040" w:type="dxa"/>
            <w:vAlign w:val="bottom"/>
            <w:shd w:val="clear" w:color="auto" w:fill="CCEEFF"/>
          </w:tcPr>
          <w:p>
            <w:pPr>
              <w:jc w:val="center"/>
              <w:ind w:left="3374"/>
              <w:spacing w:after="0"/>
              <w:rPr>
                <w:sz w:val="20"/>
                <w:szCs w:val="20"/>
                <w:color w:val="auto"/>
              </w:rPr>
            </w:pPr>
            <w:r>
              <w:rPr>
                <w:rFonts w:ascii="Times New Roman" w:cs="Times New Roman" w:eastAsia="Times New Roman" w:hAnsi="Times New Roman"/>
                <w:sz w:val="18"/>
                <w:szCs w:val="18"/>
                <w:color w:val="auto"/>
              </w:rPr>
              <w:t>6.8%</w:t>
            </w:r>
          </w:p>
        </w:tc>
        <w:tc>
          <w:tcPr>
            <w:tcW w:w="1680" w:type="dxa"/>
            <w:vAlign w:val="bottom"/>
            <w:shd w:val="clear" w:color="auto" w:fill="CCEEFF"/>
          </w:tcPr>
          <w:p>
            <w:pPr>
              <w:jc w:val="center"/>
              <w:ind w:left="15"/>
              <w:spacing w:after="0"/>
              <w:rPr>
                <w:sz w:val="20"/>
                <w:szCs w:val="20"/>
                <w:color w:val="auto"/>
              </w:rPr>
            </w:pPr>
            <w:r>
              <w:rPr>
                <w:rFonts w:ascii="Times New Roman" w:cs="Times New Roman" w:eastAsia="Times New Roman" w:hAnsi="Times New Roman"/>
                <w:sz w:val="18"/>
                <w:szCs w:val="18"/>
                <w:color w:val="auto"/>
              </w:rPr>
              <w:t>4.4%</w:t>
            </w:r>
          </w:p>
        </w:tc>
      </w:tr>
      <w:tr>
        <w:trPr>
          <w:trHeight w:val="230"/>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Ultimate healthcare cost trend rate</w:t>
            </w:r>
          </w:p>
        </w:tc>
        <w:tc>
          <w:tcPr>
            <w:tcW w:w="5040" w:type="dxa"/>
            <w:vAlign w:val="bottom"/>
          </w:tcPr>
          <w:p>
            <w:pPr>
              <w:jc w:val="center"/>
              <w:ind w:left="3374"/>
              <w:spacing w:after="0"/>
              <w:rPr>
                <w:sz w:val="20"/>
                <w:szCs w:val="20"/>
                <w:color w:val="auto"/>
              </w:rPr>
            </w:pPr>
            <w:r>
              <w:rPr>
                <w:rFonts w:ascii="Times New Roman" w:cs="Times New Roman" w:eastAsia="Times New Roman" w:hAnsi="Times New Roman"/>
                <w:sz w:val="18"/>
                <w:szCs w:val="18"/>
                <w:color w:val="auto"/>
              </w:rPr>
              <w:t>5.0%</w:t>
            </w:r>
          </w:p>
        </w:tc>
        <w:tc>
          <w:tcPr>
            <w:tcW w:w="1680" w:type="dxa"/>
            <w:vAlign w:val="bottom"/>
          </w:tcPr>
          <w:p>
            <w:pPr>
              <w:jc w:val="center"/>
              <w:ind w:left="15"/>
              <w:spacing w:after="0"/>
              <w:rPr>
                <w:sz w:val="20"/>
                <w:szCs w:val="20"/>
                <w:color w:val="auto"/>
              </w:rPr>
            </w:pPr>
            <w:r>
              <w:rPr>
                <w:rFonts w:ascii="Times New Roman" w:cs="Times New Roman" w:eastAsia="Times New Roman" w:hAnsi="Times New Roman"/>
                <w:sz w:val="18"/>
                <w:szCs w:val="18"/>
                <w:color w:val="auto"/>
              </w:rPr>
              <w:t>4.0%</w:t>
            </w:r>
          </w:p>
        </w:tc>
      </w:tr>
      <w:tr>
        <w:trPr>
          <w:trHeight w:val="236"/>
        </w:trPr>
        <w:tc>
          <w:tcPr>
            <w:tcW w:w="45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ultimate healthcare cost trend rate achieved</w:t>
            </w:r>
          </w:p>
        </w:tc>
        <w:tc>
          <w:tcPr>
            <w:tcW w:w="5040" w:type="dxa"/>
            <w:vAlign w:val="bottom"/>
            <w:tcBorders>
              <w:bottom w:val="single" w:sz="8" w:color="auto"/>
            </w:tcBorders>
            <w:shd w:val="clear" w:color="auto" w:fill="CCEEFF"/>
          </w:tcPr>
          <w:p>
            <w:pPr>
              <w:jc w:val="center"/>
              <w:ind w:left="3354"/>
              <w:spacing w:after="0"/>
              <w:rPr>
                <w:sz w:val="20"/>
                <w:szCs w:val="20"/>
                <w:color w:val="auto"/>
              </w:rPr>
            </w:pPr>
            <w:r>
              <w:rPr>
                <w:rFonts w:ascii="Times New Roman" w:cs="Times New Roman" w:eastAsia="Times New Roman" w:hAnsi="Times New Roman"/>
                <w:sz w:val="18"/>
                <w:szCs w:val="18"/>
                <w:color w:val="auto"/>
                <w:w w:val="99"/>
              </w:rPr>
              <w:t>2032</w:t>
            </w:r>
          </w:p>
        </w:tc>
        <w:tc>
          <w:tcPr>
            <w:tcW w:w="1680" w:type="dxa"/>
            <w:vAlign w:val="bottom"/>
            <w:tcBorders>
              <w:bottom w:val="single" w:sz="8" w:color="auto"/>
            </w:tcBorders>
            <w:shd w:val="clear" w:color="auto" w:fill="CCEEFF"/>
          </w:tcPr>
          <w:p>
            <w:pPr>
              <w:jc w:val="center"/>
              <w:ind w:left="35"/>
              <w:spacing w:after="0"/>
              <w:rPr>
                <w:sz w:val="20"/>
                <w:szCs w:val="20"/>
                <w:color w:val="auto"/>
              </w:rPr>
            </w:pPr>
            <w:r>
              <w:rPr>
                <w:rFonts w:ascii="Times New Roman" w:cs="Times New Roman" w:eastAsia="Times New Roman" w:hAnsi="Times New Roman"/>
                <w:sz w:val="18"/>
                <w:szCs w:val="18"/>
                <w:color w:val="auto"/>
                <w:w w:val="99"/>
              </w:rPr>
              <w:t>2040</w:t>
            </w:r>
          </w:p>
        </w:tc>
      </w:tr>
      <w:tr>
        <w:trPr>
          <w:trHeight w:val="891"/>
        </w:trPr>
        <w:tc>
          <w:tcPr>
            <w:tcW w:w="4520" w:type="dxa"/>
            <w:vAlign w:val="bottom"/>
          </w:tcPr>
          <w:p>
            <w:pPr>
              <w:spacing w:after="0"/>
              <w:rPr>
                <w:sz w:val="24"/>
                <w:szCs w:val="24"/>
                <w:color w:val="auto"/>
              </w:rPr>
            </w:pPr>
          </w:p>
        </w:tc>
        <w:tc>
          <w:tcPr>
            <w:tcW w:w="5040" w:type="dxa"/>
            <w:vAlign w:val="bottom"/>
          </w:tcPr>
          <w:p>
            <w:pPr>
              <w:jc w:val="right"/>
              <w:ind w:right="3754"/>
              <w:spacing w:after="0"/>
              <w:rPr>
                <w:sz w:val="20"/>
                <w:szCs w:val="20"/>
                <w:color w:val="auto"/>
              </w:rPr>
            </w:pPr>
            <w:r>
              <w:rPr>
                <w:rFonts w:ascii="Times New Roman" w:cs="Times New Roman" w:eastAsia="Times New Roman" w:hAnsi="Times New Roman"/>
                <w:sz w:val="18"/>
                <w:szCs w:val="18"/>
                <w:color w:val="auto"/>
              </w:rPr>
              <w:t>91</w:t>
            </w:r>
          </w:p>
        </w:tc>
        <w:tc>
          <w:tcPr>
            <w:tcW w:w="1680" w:type="dxa"/>
            <w:vAlign w:val="bottom"/>
          </w:tcPr>
          <w:p>
            <w:pPr>
              <w:spacing w:after="0"/>
              <w:rPr>
                <w:sz w:val="24"/>
                <w:szCs w:val="24"/>
                <w:color w:val="auto"/>
              </w:rPr>
            </w:pPr>
          </w:p>
        </w:tc>
      </w:tr>
      <w:tr>
        <w:trPr>
          <w:trHeight w:val="115"/>
        </w:trPr>
        <w:tc>
          <w:tcPr>
            <w:tcW w:w="4520" w:type="dxa"/>
            <w:vAlign w:val="bottom"/>
            <w:tcBorders>
              <w:bottom w:val="single" w:sz="8" w:color="9A9A9A"/>
            </w:tcBorders>
          </w:tcPr>
          <w:p>
            <w:pPr>
              <w:spacing w:after="0"/>
              <w:rPr>
                <w:sz w:val="10"/>
                <w:szCs w:val="10"/>
                <w:color w:val="auto"/>
              </w:rPr>
            </w:pPr>
          </w:p>
        </w:tc>
        <w:tc>
          <w:tcPr>
            <w:tcW w:w="504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Lear Corporation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Plan Assets</w:t>
      </w:r>
    </w:p>
    <w:p>
      <w:pPr>
        <w:spacing w:after="0" w:line="1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Fair value measurements and the related valuation techniques and fair value hierarchy level for the Company's pension plan assets measured at fair value on a recurring basis as of December 31, 2025 and 2024, are shown below (in millions):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96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gridSpan w:val="2"/>
          </w:tcPr>
          <w:p>
            <w:pPr>
              <w:jc w:val="right"/>
              <w:ind w:right="31"/>
              <w:spacing w:after="0"/>
              <w:rPr>
                <w:sz w:val="20"/>
                <w:szCs w:val="20"/>
                <w:color w:val="auto"/>
              </w:rPr>
            </w:pPr>
            <w:r>
              <w:rPr>
                <w:rFonts w:ascii="Times New Roman" w:cs="Times New Roman" w:eastAsia="Times New Roman" w:hAnsi="Times New Roman"/>
                <w:sz w:val="14"/>
                <w:szCs w:val="14"/>
                <w:color w:val="auto"/>
              </w:rPr>
              <w:t>December 31, 2025</w:t>
            </w:r>
          </w:p>
        </w:tc>
        <w:tc>
          <w:tcPr>
            <w:tcW w:w="3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9"/>
        </w:trPr>
        <w:tc>
          <w:tcPr>
            <w:tcW w:w="4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vMerge w:val="restart"/>
          </w:tcPr>
          <w:p>
            <w:pPr>
              <w:jc w:val="right"/>
              <w:ind w:right="371"/>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vMerge w:val="restart"/>
          </w:tcPr>
          <w:p>
            <w:pPr>
              <w:jc w:val="right"/>
              <w:ind w:right="271"/>
              <w:spacing w:after="0"/>
              <w:rPr>
                <w:sz w:val="20"/>
                <w:szCs w:val="20"/>
                <w:color w:val="auto"/>
              </w:rPr>
            </w:pPr>
            <w:r>
              <w:rPr>
                <w:rFonts w:ascii="Times New Roman" w:cs="Times New Roman" w:eastAsia="Times New Roman" w:hAnsi="Times New Roman"/>
                <w:sz w:val="14"/>
                <w:szCs w:val="14"/>
                <w:color w:val="auto"/>
              </w:rPr>
              <w:t>Level 1</w:t>
            </w:r>
          </w:p>
        </w:tc>
        <w:tc>
          <w:tcPr>
            <w:tcW w:w="360" w:type="dxa"/>
            <w:vAlign w:val="bottom"/>
          </w:tcPr>
          <w:p>
            <w:pPr>
              <w:spacing w:after="0"/>
              <w:rPr>
                <w:sz w:val="12"/>
                <w:szCs w:val="12"/>
                <w:color w:val="auto"/>
              </w:rPr>
            </w:pPr>
          </w:p>
        </w:tc>
        <w:tc>
          <w:tcPr>
            <w:tcW w:w="980" w:type="dxa"/>
            <w:vAlign w:val="bottom"/>
            <w:vMerge w:val="restart"/>
          </w:tcPr>
          <w:p>
            <w:pPr>
              <w:jc w:val="right"/>
              <w:ind w:right="331"/>
              <w:spacing w:after="0"/>
              <w:rPr>
                <w:sz w:val="20"/>
                <w:szCs w:val="20"/>
                <w:color w:val="auto"/>
              </w:rPr>
            </w:pPr>
            <w:r>
              <w:rPr>
                <w:rFonts w:ascii="Times New Roman" w:cs="Times New Roman" w:eastAsia="Times New Roman" w:hAnsi="Times New Roman"/>
                <w:sz w:val="14"/>
                <w:szCs w:val="14"/>
                <w:color w:val="auto"/>
              </w:rPr>
              <w:t>Level 2</w:t>
            </w:r>
          </w:p>
        </w:tc>
        <w:tc>
          <w:tcPr>
            <w:tcW w:w="320" w:type="dxa"/>
            <w:vAlign w:val="bottom"/>
          </w:tcPr>
          <w:p>
            <w:pPr>
              <w:spacing w:after="0"/>
              <w:rPr>
                <w:sz w:val="12"/>
                <w:szCs w:val="12"/>
                <w:color w:val="auto"/>
              </w:rPr>
            </w:pPr>
          </w:p>
        </w:tc>
        <w:tc>
          <w:tcPr>
            <w:tcW w:w="940" w:type="dxa"/>
            <w:vAlign w:val="bottom"/>
            <w:vMerge w:val="restart"/>
          </w:tcPr>
          <w:p>
            <w:pPr>
              <w:ind w:left="140"/>
              <w:spacing w:after="0"/>
              <w:rPr>
                <w:sz w:val="20"/>
                <w:szCs w:val="20"/>
                <w:color w:val="auto"/>
              </w:rPr>
            </w:pPr>
            <w:r>
              <w:rPr>
                <w:rFonts w:ascii="Times New Roman" w:cs="Times New Roman" w:eastAsia="Times New Roman" w:hAnsi="Times New Roman"/>
                <w:sz w:val="14"/>
                <w:szCs w:val="14"/>
                <w:color w:val="auto"/>
              </w:rPr>
              <w:t>Level 3</w:t>
            </w:r>
          </w:p>
        </w:tc>
        <w:tc>
          <w:tcPr>
            <w:tcW w:w="1160" w:type="dxa"/>
            <w:vAlign w:val="bottom"/>
          </w:tcPr>
          <w:p>
            <w:pPr>
              <w:jc w:val="center"/>
              <w:ind w:left="13"/>
              <w:spacing w:after="0" w:line="139" w:lineRule="exact"/>
              <w:rPr>
                <w:sz w:val="20"/>
                <w:szCs w:val="20"/>
                <w:color w:val="auto"/>
              </w:rPr>
            </w:pPr>
            <w:r>
              <w:rPr>
                <w:rFonts w:ascii="Times New Roman" w:cs="Times New Roman" w:eastAsia="Times New Roman" w:hAnsi="Times New Roman"/>
                <w:sz w:val="14"/>
                <w:szCs w:val="14"/>
                <w:color w:val="auto"/>
                <w:w w:val="97"/>
              </w:rPr>
              <w:t>Valuation</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4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Technique</w:t>
            </w:r>
          </w:p>
        </w:tc>
        <w:tc>
          <w:tcPr>
            <w:tcW w:w="0" w:type="dxa"/>
            <w:vAlign w:val="bottom"/>
          </w:tcPr>
          <w:p>
            <w:pPr>
              <w:spacing w:after="0"/>
              <w:rPr>
                <w:sz w:val="1"/>
                <w:szCs w:val="1"/>
                <w:color w:val="auto"/>
              </w:rPr>
            </w:pPr>
          </w:p>
        </w:tc>
      </w:tr>
      <w:tr>
        <w:trPr>
          <w:trHeight w:val="228"/>
        </w:trPr>
        <w:tc>
          <w:tcPr>
            <w:tcW w:w="49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U.S. Plans:</w:t>
            </w:r>
          </w:p>
        </w:tc>
        <w:tc>
          <w:tcPr>
            <w:tcW w:w="28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Equity securities -</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Equity funds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3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5.4</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center"/>
              <w:ind w:left="33"/>
              <w:spacing w:after="0"/>
              <w:rPr>
                <w:sz w:val="20"/>
                <w:szCs w:val="20"/>
                <w:color w:val="auto"/>
              </w:rPr>
            </w:pPr>
            <w:r>
              <w:rPr>
                <w:rFonts w:ascii="Times New Roman" w:cs="Times New Roman" w:eastAsia="Times New Roman" w:hAnsi="Times New Roman"/>
                <w:sz w:val="18"/>
                <w:szCs w:val="18"/>
                <w:color w:val="auto"/>
                <w:w w:val="99"/>
              </w:rPr>
              <w:t>Market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Common stock</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360" w:type="dxa"/>
            <w:vAlign w:val="bottom"/>
          </w:tcPr>
          <w:p>
            <w:pPr>
              <w:spacing w:after="0"/>
              <w:rPr>
                <w:sz w:val="19"/>
                <w:szCs w:val="19"/>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3.2</w:t>
            </w:r>
          </w:p>
        </w:tc>
        <w:tc>
          <w:tcPr>
            <w:tcW w:w="320" w:type="dxa"/>
            <w:vAlign w:val="bottom"/>
          </w:tcPr>
          <w:p>
            <w:pPr>
              <w:spacing w:after="0"/>
              <w:rPr>
                <w:sz w:val="19"/>
                <w:szCs w:val="19"/>
                <w:color w:val="auto"/>
              </w:rPr>
            </w:pPr>
          </w:p>
        </w:tc>
        <w:tc>
          <w:tcPr>
            <w:tcW w:w="9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center"/>
              <w:ind w:left="33"/>
              <w:spacing w:after="0"/>
              <w:rPr>
                <w:sz w:val="20"/>
                <w:szCs w:val="20"/>
                <w:color w:val="auto"/>
              </w:rPr>
            </w:pPr>
            <w:r>
              <w:rPr>
                <w:rFonts w:ascii="Times New Roman" w:cs="Times New Roman" w:eastAsia="Times New Roman" w:hAnsi="Times New Roman"/>
                <w:sz w:val="18"/>
                <w:szCs w:val="18"/>
                <w:color w:val="auto"/>
                <w:w w:val="99"/>
              </w:rPr>
              <w:t>Market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Fixed income -</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Fixed income funds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360" w:type="dxa"/>
            <w:vAlign w:val="bottom"/>
          </w:tcPr>
          <w:p>
            <w:pPr>
              <w:spacing w:after="0"/>
              <w:rPr>
                <w:sz w:val="19"/>
                <w:szCs w:val="19"/>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9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center"/>
              <w:ind w:left="33"/>
              <w:spacing w:after="0"/>
              <w:rPr>
                <w:sz w:val="20"/>
                <w:szCs w:val="20"/>
                <w:color w:val="auto"/>
              </w:rPr>
            </w:pPr>
            <w:r>
              <w:rPr>
                <w:rFonts w:ascii="Times New Roman" w:cs="Times New Roman" w:eastAsia="Times New Roman" w:hAnsi="Times New Roman"/>
                <w:sz w:val="18"/>
                <w:szCs w:val="18"/>
                <w:color w:val="auto"/>
                <w:w w:val="99"/>
              </w:rPr>
              <w:t>Market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Corporate bonds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112.8</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center"/>
              <w:ind w:left="33"/>
              <w:spacing w:after="0"/>
              <w:rPr>
                <w:sz w:val="20"/>
                <w:szCs w:val="20"/>
                <w:color w:val="auto"/>
              </w:rPr>
            </w:pPr>
            <w:r>
              <w:rPr>
                <w:rFonts w:ascii="Times New Roman" w:cs="Times New Roman" w:eastAsia="Times New Roman" w:hAnsi="Times New Roman"/>
                <w:sz w:val="18"/>
                <w:szCs w:val="18"/>
                <w:color w:val="auto"/>
                <w:w w:val="99"/>
              </w:rPr>
              <w:t>Market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Government obligations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16.4</w:t>
            </w:r>
          </w:p>
        </w:tc>
        <w:tc>
          <w:tcPr>
            <w:tcW w:w="320" w:type="dxa"/>
            <w:vAlign w:val="bottom"/>
          </w:tcPr>
          <w:p>
            <w:pPr>
              <w:spacing w:after="0"/>
              <w:rPr>
                <w:sz w:val="19"/>
                <w:szCs w:val="19"/>
                <w:color w:val="auto"/>
              </w:rPr>
            </w:pPr>
          </w:p>
        </w:tc>
        <w:tc>
          <w:tcPr>
            <w:tcW w:w="9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center"/>
              <w:ind w:left="33"/>
              <w:spacing w:after="0"/>
              <w:rPr>
                <w:sz w:val="20"/>
                <w:szCs w:val="20"/>
                <w:color w:val="auto"/>
              </w:rPr>
            </w:pPr>
            <w:r>
              <w:rPr>
                <w:rFonts w:ascii="Times New Roman" w:cs="Times New Roman" w:eastAsia="Times New Roman" w:hAnsi="Times New Roman"/>
                <w:sz w:val="18"/>
                <w:szCs w:val="18"/>
                <w:color w:val="auto"/>
                <w:w w:val="99"/>
              </w:rPr>
              <w:t>Market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short-term investments</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w:t>
            </w:r>
          </w:p>
        </w:tc>
        <w:tc>
          <w:tcPr>
            <w:tcW w:w="3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center"/>
              <w:ind w:left="33"/>
              <w:spacing w:after="0"/>
              <w:rPr>
                <w:sz w:val="20"/>
                <w:szCs w:val="20"/>
                <w:color w:val="auto"/>
              </w:rPr>
            </w:pPr>
            <w:r>
              <w:rPr>
                <w:rFonts w:ascii="Times New Roman" w:cs="Times New Roman" w:eastAsia="Times New Roman" w:hAnsi="Times New Roman"/>
                <w:sz w:val="18"/>
                <w:szCs w:val="18"/>
                <w:color w:val="auto"/>
                <w:w w:val="99"/>
              </w:rPr>
              <w:t>Market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Assets at fair value</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276.1</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136.9</w:t>
            </w:r>
          </w:p>
        </w:tc>
        <w:tc>
          <w:tcPr>
            <w:tcW w:w="36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139.2</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96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Investments measured at net asset value -</w:t>
            </w:r>
          </w:p>
        </w:tc>
        <w:tc>
          <w:tcPr>
            <w:tcW w:w="2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CCEEFF"/>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Alternative investments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 at fair value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308.1</w:t>
            </w: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Foreign Plans:</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Equity securities -</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Equity funds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36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center"/>
              <w:ind w:left="33"/>
              <w:spacing w:after="0"/>
              <w:rPr>
                <w:sz w:val="20"/>
                <w:szCs w:val="20"/>
                <w:color w:val="auto"/>
              </w:rPr>
            </w:pPr>
            <w:r>
              <w:rPr>
                <w:rFonts w:ascii="Times New Roman" w:cs="Times New Roman" w:eastAsia="Times New Roman" w:hAnsi="Times New Roman"/>
                <w:sz w:val="18"/>
                <w:szCs w:val="18"/>
                <w:color w:val="auto"/>
                <w:w w:val="99"/>
              </w:rPr>
              <w:t>Market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Common stock</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center"/>
              <w:ind w:left="33"/>
              <w:spacing w:after="0"/>
              <w:rPr>
                <w:sz w:val="20"/>
                <w:szCs w:val="20"/>
                <w:color w:val="auto"/>
              </w:rPr>
            </w:pPr>
            <w:r>
              <w:rPr>
                <w:rFonts w:ascii="Times New Roman" w:cs="Times New Roman" w:eastAsia="Times New Roman" w:hAnsi="Times New Roman"/>
                <w:sz w:val="18"/>
                <w:szCs w:val="18"/>
                <w:color w:val="auto"/>
                <w:w w:val="99"/>
              </w:rPr>
              <w:t>Market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Fixed income -</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Fixed income funds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49.6</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center"/>
              <w:ind w:left="33"/>
              <w:spacing w:after="0"/>
              <w:rPr>
                <w:sz w:val="20"/>
                <w:szCs w:val="20"/>
                <w:color w:val="auto"/>
              </w:rPr>
            </w:pPr>
            <w:r>
              <w:rPr>
                <w:rFonts w:ascii="Times New Roman" w:cs="Times New Roman" w:eastAsia="Times New Roman" w:hAnsi="Times New Roman"/>
                <w:sz w:val="18"/>
                <w:szCs w:val="18"/>
                <w:color w:val="auto"/>
                <w:w w:val="99"/>
              </w:rPr>
              <w:t>Market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Corporate bonds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27.6</w:t>
            </w:r>
          </w:p>
        </w:tc>
        <w:tc>
          <w:tcPr>
            <w:tcW w:w="320" w:type="dxa"/>
            <w:vAlign w:val="bottom"/>
          </w:tcPr>
          <w:p>
            <w:pPr>
              <w:spacing w:after="0"/>
              <w:rPr>
                <w:sz w:val="19"/>
                <w:szCs w:val="19"/>
                <w:color w:val="auto"/>
              </w:rPr>
            </w:pPr>
          </w:p>
        </w:tc>
        <w:tc>
          <w:tcPr>
            <w:tcW w:w="9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center"/>
              <w:ind w:left="33"/>
              <w:spacing w:after="0"/>
              <w:rPr>
                <w:sz w:val="20"/>
                <w:szCs w:val="20"/>
                <w:color w:val="auto"/>
              </w:rPr>
            </w:pPr>
            <w:r>
              <w:rPr>
                <w:rFonts w:ascii="Times New Roman" w:cs="Times New Roman" w:eastAsia="Times New Roman" w:hAnsi="Times New Roman"/>
                <w:sz w:val="18"/>
                <w:szCs w:val="18"/>
                <w:color w:val="auto"/>
                <w:w w:val="99"/>
              </w:rPr>
              <w:t>Market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Government obligations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165.0</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center"/>
              <w:ind w:left="33"/>
              <w:spacing w:after="0"/>
              <w:rPr>
                <w:sz w:val="20"/>
                <w:szCs w:val="20"/>
                <w:color w:val="auto"/>
              </w:rPr>
            </w:pPr>
            <w:r>
              <w:rPr>
                <w:rFonts w:ascii="Times New Roman" w:cs="Times New Roman" w:eastAsia="Times New Roman" w:hAnsi="Times New Roman"/>
                <w:sz w:val="18"/>
                <w:szCs w:val="18"/>
                <w:color w:val="auto"/>
                <w:w w:val="99"/>
              </w:rPr>
              <w:t>Market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Cash and short-term investments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2.0</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tcPr>
          <w:p>
            <w:pPr>
              <w:jc w:val="center"/>
              <w:ind w:left="33"/>
              <w:spacing w:after="0"/>
              <w:rPr>
                <w:sz w:val="20"/>
                <w:szCs w:val="20"/>
                <w:color w:val="auto"/>
              </w:rPr>
            </w:pPr>
            <w:r>
              <w:rPr>
                <w:rFonts w:ascii="Times New Roman" w:cs="Times New Roman" w:eastAsia="Times New Roman" w:hAnsi="Times New Roman"/>
                <w:sz w:val="18"/>
                <w:szCs w:val="18"/>
                <w:color w:val="auto"/>
                <w:w w:val="99"/>
              </w:rPr>
              <w:t>Market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 at fair value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297.9</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3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244.2</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Investments measured at net asset value -</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Alternative investments</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Assets at fair value</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310.9</w:t>
            </w: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91"/>
        </w:trPr>
        <w:tc>
          <w:tcPr>
            <w:tcW w:w="4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ind w:right="351"/>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9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Lear Corporation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94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gridSpan w:val="2"/>
          </w:tcPr>
          <w:p>
            <w:pPr>
              <w:jc w:val="right"/>
              <w:ind w:right="11"/>
              <w:spacing w:after="0"/>
              <w:rPr>
                <w:sz w:val="20"/>
                <w:szCs w:val="20"/>
                <w:color w:val="auto"/>
              </w:rPr>
            </w:pPr>
            <w:r>
              <w:rPr>
                <w:rFonts w:ascii="Times New Roman" w:cs="Times New Roman" w:eastAsia="Times New Roman" w:hAnsi="Times New Roman"/>
                <w:sz w:val="14"/>
                <w:szCs w:val="14"/>
                <w:color w:val="auto"/>
              </w:rPr>
              <w:t>December 31, 2024</w:t>
            </w:r>
          </w:p>
        </w:tc>
        <w:tc>
          <w:tcPr>
            <w:tcW w:w="3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39"/>
        </w:trPr>
        <w:tc>
          <w:tcPr>
            <w:tcW w:w="4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vMerge w:val="restart"/>
          </w:tcPr>
          <w:p>
            <w:pPr>
              <w:jc w:val="right"/>
              <w:ind w:right="331"/>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vMerge w:val="restart"/>
          </w:tcPr>
          <w:p>
            <w:pPr>
              <w:jc w:val="right"/>
              <w:ind w:right="251"/>
              <w:spacing w:after="0"/>
              <w:rPr>
                <w:sz w:val="20"/>
                <w:szCs w:val="20"/>
                <w:color w:val="auto"/>
              </w:rPr>
            </w:pPr>
            <w:r>
              <w:rPr>
                <w:rFonts w:ascii="Times New Roman" w:cs="Times New Roman" w:eastAsia="Times New Roman" w:hAnsi="Times New Roman"/>
                <w:sz w:val="14"/>
                <w:szCs w:val="14"/>
                <w:color w:val="auto"/>
              </w:rPr>
              <w:t>Level 1</w:t>
            </w:r>
          </w:p>
        </w:tc>
        <w:tc>
          <w:tcPr>
            <w:tcW w:w="340" w:type="dxa"/>
            <w:vAlign w:val="bottom"/>
          </w:tcPr>
          <w:p>
            <w:pPr>
              <w:spacing w:after="0"/>
              <w:rPr>
                <w:sz w:val="12"/>
                <w:szCs w:val="12"/>
                <w:color w:val="auto"/>
              </w:rPr>
            </w:pPr>
          </w:p>
        </w:tc>
        <w:tc>
          <w:tcPr>
            <w:tcW w:w="960" w:type="dxa"/>
            <w:vAlign w:val="bottom"/>
            <w:vMerge w:val="restart"/>
          </w:tcPr>
          <w:p>
            <w:pPr>
              <w:jc w:val="right"/>
              <w:ind w:right="311"/>
              <w:spacing w:after="0"/>
              <w:rPr>
                <w:sz w:val="20"/>
                <w:szCs w:val="20"/>
                <w:color w:val="auto"/>
              </w:rPr>
            </w:pPr>
            <w:r>
              <w:rPr>
                <w:rFonts w:ascii="Times New Roman" w:cs="Times New Roman" w:eastAsia="Times New Roman" w:hAnsi="Times New Roman"/>
                <w:sz w:val="14"/>
                <w:szCs w:val="14"/>
                <w:color w:val="auto"/>
              </w:rPr>
              <w:t>Level 2</w:t>
            </w:r>
          </w:p>
        </w:tc>
        <w:tc>
          <w:tcPr>
            <w:tcW w:w="320" w:type="dxa"/>
            <w:vAlign w:val="bottom"/>
          </w:tcPr>
          <w:p>
            <w:pPr>
              <w:spacing w:after="0"/>
              <w:rPr>
                <w:sz w:val="12"/>
                <w:szCs w:val="12"/>
                <w:color w:val="auto"/>
              </w:rPr>
            </w:pPr>
          </w:p>
        </w:tc>
        <w:tc>
          <w:tcPr>
            <w:tcW w:w="92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rPr>
              <w:t>Level 3</w:t>
            </w:r>
          </w:p>
        </w:tc>
        <w:tc>
          <w:tcPr>
            <w:tcW w:w="1100" w:type="dxa"/>
            <w:vAlign w:val="bottom"/>
          </w:tcPr>
          <w:p>
            <w:pPr>
              <w:jc w:val="center"/>
              <w:ind w:left="13"/>
              <w:spacing w:after="0" w:line="139" w:lineRule="exact"/>
              <w:rPr>
                <w:sz w:val="20"/>
                <w:szCs w:val="20"/>
                <w:color w:val="auto"/>
              </w:rPr>
            </w:pPr>
            <w:r>
              <w:rPr>
                <w:rFonts w:ascii="Times New Roman" w:cs="Times New Roman" w:eastAsia="Times New Roman" w:hAnsi="Times New Roman"/>
                <w:sz w:val="14"/>
                <w:szCs w:val="14"/>
                <w:color w:val="auto"/>
              </w:rPr>
              <w:t>Valuation</w:t>
            </w:r>
          </w:p>
        </w:tc>
        <w:tc>
          <w:tcPr>
            <w:tcW w:w="0" w:type="dxa"/>
            <w:vAlign w:val="bottom"/>
          </w:tcPr>
          <w:p>
            <w:pPr>
              <w:spacing w:after="0"/>
              <w:rPr>
                <w:sz w:val="1"/>
                <w:szCs w:val="1"/>
                <w:color w:val="auto"/>
              </w:rPr>
            </w:pPr>
          </w:p>
        </w:tc>
      </w:tr>
      <w:tr>
        <w:trPr>
          <w:trHeight w:val="193"/>
        </w:trPr>
        <w:tc>
          <w:tcPr>
            <w:tcW w:w="49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100" w:type="dxa"/>
            <w:vAlign w:val="bottom"/>
            <w:tcBorders>
              <w:bottom w:val="single" w:sz="8" w:color="auto"/>
            </w:tcBorders>
          </w:tcPr>
          <w:p>
            <w:pPr>
              <w:jc w:val="center"/>
              <w:ind w:left="13"/>
              <w:spacing w:after="0"/>
              <w:rPr>
                <w:sz w:val="20"/>
                <w:szCs w:val="20"/>
                <w:color w:val="auto"/>
              </w:rPr>
            </w:pPr>
            <w:r>
              <w:rPr>
                <w:rFonts w:ascii="Times New Roman" w:cs="Times New Roman" w:eastAsia="Times New Roman" w:hAnsi="Times New Roman"/>
                <w:sz w:val="14"/>
                <w:szCs w:val="14"/>
                <w:color w:val="auto"/>
              </w:rPr>
              <w:t>Technique</w:t>
            </w:r>
          </w:p>
        </w:tc>
        <w:tc>
          <w:tcPr>
            <w:tcW w:w="0" w:type="dxa"/>
            <w:vAlign w:val="bottom"/>
          </w:tcPr>
          <w:p>
            <w:pPr>
              <w:spacing w:after="0"/>
              <w:rPr>
                <w:sz w:val="1"/>
                <w:szCs w:val="1"/>
                <w:color w:val="auto"/>
              </w:rPr>
            </w:pPr>
          </w:p>
        </w:tc>
      </w:tr>
      <w:tr>
        <w:trPr>
          <w:trHeight w:val="228"/>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U.S. Plans:</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Equity securities -</w:t>
            </w: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Equity funds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3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5.1</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center"/>
              <w:ind w:left="13"/>
              <w:spacing w:after="0"/>
              <w:rPr>
                <w:sz w:val="20"/>
                <w:szCs w:val="20"/>
                <w:color w:val="auto"/>
              </w:rPr>
            </w:pPr>
            <w:r>
              <w:rPr>
                <w:rFonts w:ascii="Times New Roman" w:cs="Times New Roman" w:eastAsia="Times New Roman" w:hAnsi="Times New Roman"/>
                <w:sz w:val="18"/>
                <w:szCs w:val="18"/>
                <w:color w:val="auto"/>
                <w:w w:val="99"/>
              </w:rPr>
              <w:t>Market</w:t>
            </w:r>
          </w:p>
        </w:tc>
        <w:tc>
          <w:tcPr>
            <w:tcW w:w="0" w:type="dxa"/>
            <w:vAlign w:val="bottom"/>
          </w:tcPr>
          <w:p>
            <w:pPr>
              <w:spacing w:after="0"/>
              <w:rPr>
                <w:sz w:val="1"/>
                <w:szCs w:val="1"/>
                <w:color w:val="auto"/>
              </w:rPr>
            </w:pPr>
          </w:p>
        </w:tc>
      </w:tr>
      <w:tr>
        <w:trPr>
          <w:trHeight w:val="229"/>
        </w:trPr>
        <w:tc>
          <w:tcPr>
            <w:tcW w:w="4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Common stock</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340" w:type="dxa"/>
            <w:vAlign w:val="bottom"/>
          </w:tcPr>
          <w:p>
            <w:pPr>
              <w:spacing w:after="0"/>
              <w:rPr>
                <w:sz w:val="19"/>
                <w:szCs w:val="19"/>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2.6</w:t>
            </w:r>
          </w:p>
        </w:tc>
        <w:tc>
          <w:tcPr>
            <w:tcW w:w="320" w:type="dxa"/>
            <w:vAlign w:val="bottom"/>
          </w:tcPr>
          <w:p>
            <w:pPr>
              <w:spacing w:after="0"/>
              <w:rPr>
                <w:sz w:val="19"/>
                <w:szCs w:val="19"/>
                <w:color w:val="auto"/>
              </w:rPr>
            </w:pPr>
          </w:p>
        </w:tc>
        <w:tc>
          <w:tcPr>
            <w:tcW w:w="9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center"/>
              <w:ind w:left="13"/>
              <w:spacing w:after="0"/>
              <w:rPr>
                <w:sz w:val="20"/>
                <w:szCs w:val="20"/>
                <w:color w:val="auto"/>
              </w:rPr>
            </w:pPr>
            <w:r>
              <w:rPr>
                <w:rFonts w:ascii="Times New Roman" w:cs="Times New Roman" w:eastAsia="Times New Roman" w:hAnsi="Times New Roman"/>
                <w:sz w:val="18"/>
                <w:szCs w:val="18"/>
                <w:color w:val="auto"/>
                <w:w w:val="99"/>
              </w:rPr>
              <w:t>Market</w:t>
            </w:r>
          </w:p>
        </w:tc>
        <w:tc>
          <w:tcPr>
            <w:tcW w:w="0" w:type="dxa"/>
            <w:vAlign w:val="bottom"/>
          </w:tcPr>
          <w:p>
            <w:pPr>
              <w:spacing w:after="0"/>
              <w:rPr>
                <w:sz w:val="1"/>
                <w:szCs w:val="1"/>
                <w:color w:val="auto"/>
              </w:rPr>
            </w:pPr>
          </w:p>
        </w:tc>
      </w:tr>
      <w:tr>
        <w:trPr>
          <w:trHeight w:val="230"/>
        </w:trPr>
        <w:tc>
          <w:tcPr>
            <w:tcW w:w="4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Fixed income -</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Fixed income funds</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340" w:type="dxa"/>
            <w:vAlign w:val="bottom"/>
          </w:tcPr>
          <w:p>
            <w:pPr>
              <w:spacing w:after="0"/>
              <w:rPr>
                <w:sz w:val="19"/>
                <w:szCs w:val="19"/>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9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center"/>
              <w:ind w:left="13"/>
              <w:spacing w:after="0"/>
              <w:rPr>
                <w:sz w:val="20"/>
                <w:szCs w:val="20"/>
                <w:color w:val="auto"/>
              </w:rPr>
            </w:pPr>
            <w:r>
              <w:rPr>
                <w:rFonts w:ascii="Times New Roman" w:cs="Times New Roman" w:eastAsia="Times New Roman" w:hAnsi="Times New Roman"/>
                <w:sz w:val="18"/>
                <w:szCs w:val="18"/>
                <w:color w:val="auto"/>
                <w:w w:val="99"/>
              </w:rPr>
              <w:t>Market</w:t>
            </w:r>
          </w:p>
        </w:tc>
        <w:tc>
          <w:tcPr>
            <w:tcW w:w="0" w:type="dxa"/>
            <w:vAlign w:val="bottom"/>
          </w:tcPr>
          <w:p>
            <w:pPr>
              <w:spacing w:after="0"/>
              <w:rPr>
                <w:sz w:val="1"/>
                <w:szCs w:val="1"/>
                <w:color w:val="auto"/>
              </w:rPr>
            </w:pPr>
          </w:p>
        </w:tc>
      </w:tr>
      <w:tr>
        <w:trPr>
          <w:trHeight w:val="230"/>
        </w:trPr>
        <w:tc>
          <w:tcPr>
            <w:tcW w:w="4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Corporate bonds</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100.0</w:t>
            </w: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center"/>
              <w:ind w:left="13"/>
              <w:spacing w:after="0"/>
              <w:rPr>
                <w:sz w:val="20"/>
                <w:szCs w:val="20"/>
                <w:color w:val="auto"/>
              </w:rPr>
            </w:pPr>
            <w:r>
              <w:rPr>
                <w:rFonts w:ascii="Times New Roman" w:cs="Times New Roman" w:eastAsia="Times New Roman" w:hAnsi="Times New Roman"/>
                <w:sz w:val="18"/>
                <w:szCs w:val="18"/>
                <w:color w:val="auto"/>
                <w:w w:val="99"/>
              </w:rPr>
              <w:t>Market</w:t>
            </w:r>
          </w:p>
        </w:tc>
        <w:tc>
          <w:tcPr>
            <w:tcW w:w="0" w:type="dxa"/>
            <w:vAlign w:val="bottom"/>
          </w:tcPr>
          <w:p>
            <w:pPr>
              <w:spacing w:after="0"/>
              <w:rPr>
                <w:sz w:val="1"/>
                <w:szCs w:val="1"/>
                <w:color w:val="auto"/>
              </w:rPr>
            </w:pPr>
          </w:p>
        </w:tc>
      </w:tr>
      <w:tr>
        <w:trPr>
          <w:trHeight w:val="229"/>
        </w:trPr>
        <w:tc>
          <w:tcPr>
            <w:tcW w:w="4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Government obligations</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32.9</w:t>
            </w:r>
          </w:p>
        </w:tc>
        <w:tc>
          <w:tcPr>
            <w:tcW w:w="320" w:type="dxa"/>
            <w:vAlign w:val="bottom"/>
          </w:tcPr>
          <w:p>
            <w:pPr>
              <w:spacing w:after="0"/>
              <w:rPr>
                <w:sz w:val="19"/>
                <w:szCs w:val="19"/>
                <w:color w:val="auto"/>
              </w:rPr>
            </w:pPr>
          </w:p>
        </w:tc>
        <w:tc>
          <w:tcPr>
            <w:tcW w:w="9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center"/>
              <w:ind w:left="13"/>
              <w:spacing w:after="0"/>
              <w:rPr>
                <w:sz w:val="20"/>
                <w:szCs w:val="20"/>
                <w:color w:val="auto"/>
              </w:rPr>
            </w:pPr>
            <w:r>
              <w:rPr>
                <w:rFonts w:ascii="Times New Roman" w:cs="Times New Roman" w:eastAsia="Times New Roman" w:hAnsi="Times New Roman"/>
                <w:sz w:val="18"/>
                <w:szCs w:val="18"/>
                <w:color w:val="auto"/>
                <w:w w:val="99"/>
              </w:rPr>
              <w:t>Market</w:t>
            </w:r>
          </w:p>
        </w:tc>
        <w:tc>
          <w:tcPr>
            <w:tcW w:w="0" w:type="dxa"/>
            <w:vAlign w:val="bottom"/>
          </w:tcPr>
          <w:p>
            <w:pPr>
              <w:spacing w:after="0"/>
              <w:rPr>
                <w:sz w:val="1"/>
                <w:szCs w:val="1"/>
                <w:color w:val="auto"/>
              </w:rPr>
            </w:pPr>
          </w:p>
        </w:tc>
      </w:tr>
      <w:tr>
        <w:trPr>
          <w:trHeight w:val="229"/>
        </w:trPr>
        <w:tc>
          <w:tcPr>
            <w:tcW w:w="4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short-term investments</w:t>
            </w: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3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w:t>
            </w:r>
          </w:p>
        </w:tc>
        <w:tc>
          <w:tcPr>
            <w:tcW w:w="3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center"/>
              <w:ind w:left="13"/>
              <w:spacing w:after="0"/>
              <w:rPr>
                <w:sz w:val="20"/>
                <w:szCs w:val="20"/>
                <w:color w:val="auto"/>
              </w:rPr>
            </w:pPr>
            <w:r>
              <w:rPr>
                <w:rFonts w:ascii="Times New Roman" w:cs="Times New Roman" w:eastAsia="Times New Roman" w:hAnsi="Times New Roman"/>
                <w:sz w:val="18"/>
                <w:szCs w:val="18"/>
                <w:color w:val="auto"/>
                <w:w w:val="99"/>
              </w:rPr>
              <w:t>Market</w:t>
            </w:r>
          </w:p>
        </w:tc>
        <w:tc>
          <w:tcPr>
            <w:tcW w:w="0" w:type="dxa"/>
            <w:vAlign w:val="bottom"/>
          </w:tcPr>
          <w:p>
            <w:pPr>
              <w:spacing w:after="0"/>
              <w:rPr>
                <w:sz w:val="1"/>
                <w:szCs w:val="1"/>
                <w:color w:val="auto"/>
              </w:rPr>
            </w:pPr>
          </w:p>
        </w:tc>
      </w:tr>
      <w:tr>
        <w:trPr>
          <w:trHeight w:val="223"/>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Assets at fair value</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263.3</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w:t>
            </w:r>
          </w:p>
        </w:tc>
        <w:tc>
          <w:tcPr>
            <w:tcW w:w="3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142.2</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94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Investments measured at net asset value -</w:t>
            </w:r>
          </w:p>
        </w:tc>
        <w:tc>
          <w:tcPr>
            <w:tcW w:w="2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Alternative investments</w:t>
            </w: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 at fair value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305.1</w:t>
            </w:r>
          </w:p>
        </w:tc>
        <w:tc>
          <w:tcPr>
            <w:tcW w:w="1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Foreign Plans:</w:t>
            </w: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Equity securities -</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Equity funds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3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center"/>
              <w:ind w:left="13"/>
              <w:spacing w:after="0"/>
              <w:rPr>
                <w:sz w:val="20"/>
                <w:szCs w:val="20"/>
                <w:color w:val="auto"/>
              </w:rPr>
            </w:pPr>
            <w:r>
              <w:rPr>
                <w:rFonts w:ascii="Times New Roman" w:cs="Times New Roman" w:eastAsia="Times New Roman" w:hAnsi="Times New Roman"/>
                <w:sz w:val="18"/>
                <w:szCs w:val="18"/>
                <w:color w:val="auto"/>
                <w:w w:val="99"/>
              </w:rPr>
              <w:t>Market</w:t>
            </w:r>
          </w:p>
        </w:tc>
        <w:tc>
          <w:tcPr>
            <w:tcW w:w="0" w:type="dxa"/>
            <w:vAlign w:val="bottom"/>
          </w:tcPr>
          <w:p>
            <w:pPr>
              <w:spacing w:after="0"/>
              <w:rPr>
                <w:sz w:val="1"/>
                <w:szCs w:val="1"/>
                <w:color w:val="auto"/>
              </w:rPr>
            </w:pPr>
          </w:p>
        </w:tc>
      </w:tr>
      <w:tr>
        <w:trPr>
          <w:trHeight w:val="229"/>
        </w:trPr>
        <w:tc>
          <w:tcPr>
            <w:tcW w:w="4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Common stock</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center"/>
              <w:ind w:left="13"/>
              <w:spacing w:after="0"/>
              <w:rPr>
                <w:sz w:val="20"/>
                <w:szCs w:val="20"/>
                <w:color w:val="auto"/>
              </w:rPr>
            </w:pPr>
            <w:r>
              <w:rPr>
                <w:rFonts w:ascii="Times New Roman" w:cs="Times New Roman" w:eastAsia="Times New Roman" w:hAnsi="Times New Roman"/>
                <w:sz w:val="18"/>
                <w:szCs w:val="18"/>
                <w:color w:val="auto"/>
                <w:w w:val="99"/>
              </w:rPr>
              <w:t>Market</w:t>
            </w:r>
          </w:p>
        </w:tc>
        <w:tc>
          <w:tcPr>
            <w:tcW w:w="0" w:type="dxa"/>
            <w:vAlign w:val="bottom"/>
          </w:tcPr>
          <w:p>
            <w:pPr>
              <w:spacing w:after="0"/>
              <w:rPr>
                <w:sz w:val="1"/>
                <w:szCs w:val="1"/>
                <w:color w:val="auto"/>
              </w:rPr>
            </w:pPr>
          </w:p>
        </w:tc>
      </w:tr>
      <w:tr>
        <w:trPr>
          <w:trHeight w:val="229"/>
        </w:trPr>
        <w:tc>
          <w:tcPr>
            <w:tcW w:w="4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Fixed income -</w:t>
            </w: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Fixed income funds</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43.8</w:t>
            </w: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center"/>
              <w:ind w:left="13"/>
              <w:spacing w:after="0"/>
              <w:rPr>
                <w:sz w:val="20"/>
                <w:szCs w:val="20"/>
                <w:color w:val="auto"/>
              </w:rPr>
            </w:pPr>
            <w:r>
              <w:rPr>
                <w:rFonts w:ascii="Times New Roman" w:cs="Times New Roman" w:eastAsia="Times New Roman" w:hAnsi="Times New Roman"/>
                <w:sz w:val="18"/>
                <w:szCs w:val="18"/>
                <w:color w:val="auto"/>
                <w:w w:val="99"/>
              </w:rPr>
              <w:t>Market</w:t>
            </w:r>
          </w:p>
        </w:tc>
        <w:tc>
          <w:tcPr>
            <w:tcW w:w="0" w:type="dxa"/>
            <w:vAlign w:val="bottom"/>
          </w:tcPr>
          <w:p>
            <w:pPr>
              <w:spacing w:after="0"/>
              <w:rPr>
                <w:sz w:val="1"/>
                <w:szCs w:val="1"/>
                <w:color w:val="auto"/>
              </w:rPr>
            </w:pPr>
          </w:p>
        </w:tc>
      </w:tr>
      <w:tr>
        <w:trPr>
          <w:trHeight w:val="229"/>
        </w:trPr>
        <w:tc>
          <w:tcPr>
            <w:tcW w:w="4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Corporate bonds</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26.4</w:t>
            </w:r>
          </w:p>
        </w:tc>
        <w:tc>
          <w:tcPr>
            <w:tcW w:w="320" w:type="dxa"/>
            <w:vAlign w:val="bottom"/>
          </w:tcPr>
          <w:p>
            <w:pPr>
              <w:spacing w:after="0"/>
              <w:rPr>
                <w:sz w:val="19"/>
                <w:szCs w:val="19"/>
                <w:color w:val="auto"/>
              </w:rPr>
            </w:pPr>
          </w:p>
        </w:tc>
        <w:tc>
          <w:tcPr>
            <w:tcW w:w="9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center"/>
              <w:ind w:left="13"/>
              <w:spacing w:after="0"/>
              <w:rPr>
                <w:sz w:val="20"/>
                <w:szCs w:val="20"/>
                <w:color w:val="auto"/>
              </w:rPr>
            </w:pPr>
            <w:r>
              <w:rPr>
                <w:rFonts w:ascii="Times New Roman" w:cs="Times New Roman" w:eastAsia="Times New Roman" w:hAnsi="Times New Roman"/>
                <w:sz w:val="18"/>
                <w:szCs w:val="18"/>
                <w:color w:val="auto"/>
                <w:w w:val="99"/>
              </w:rPr>
              <w:t>Market</w:t>
            </w:r>
          </w:p>
        </w:tc>
        <w:tc>
          <w:tcPr>
            <w:tcW w:w="0" w:type="dxa"/>
            <w:vAlign w:val="bottom"/>
          </w:tcPr>
          <w:p>
            <w:pPr>
              <w:spacing w:after="0"/>
              <w:rPr>
                <w:sz w:val="1"/>
                <w:szCs w:val="1"/>
                <w:color w:val="auto"/>
              </w:rPr>
            </w:pPr>
          </w:p>
        </w:tc>
      </w:tr>
      <w:tr>
        <w:trPr>
          <w:trHeight w:val="230"/>
        </w:trPr>
        <w:tc>
          <w:tcPr>
            <w:tcW w:w="4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Government obligations</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163.9</w:t>
            </w: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center"/>
              <w:ind w:left="13"/>
              <w:spacing w:after="0"/>
              <w:rPr>
                <w:sz w:val="20"/>
                <w:szCs w:val="20"/>
                <w:color w:val="auto"/>
              </w:rPr>
            </w:pPr>
            <w:r>
              <w:rPr>
                <w:rFonts w:ascii="Times New Roman" w:cs="Times New Roman" w:eastAsia="Times New Roman" w:hAnsi="Times New Roman"/>
                <w:sz w:val="18"/>
                <w:szCs w:val="18"/>
                <w:color w:val="auto"/>
                <w:w w:val="99"/>
              </w:rPr>
              <w:t>Market</w:t>
            </w:r>
          </w:p>
        </w:tc>
        <w:tc>
          <w:tcPr>
            <w:tcW w:w="0" w:type="dxa"/>
            <w:vAlign w:val="bottom"/>
          </w:tcPr>
          <w:p>
            <w:pPr>
              <w:spacing w:after="0"/>
              <w:rPr>
                <w:sz w:val="1"/>
                <w:szCs w:val="1"/>
                <w:color w:val="auto"/>
              </w:rPr>
            </w:pPr>
          </w:p>
        </w:tc>
      </w:tr>
      <w:tr>
        <w:trPr>
          <w:trHeight w:val="230"/>
        </w:trPr>
        <w:tc>
          <w:tcPr>
            <w:tcW w:w="49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Cash and short-term investments</w:t>
            </w: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1.9</w:t>
            </w: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tcPr>
          <w:p>
            <w:pPr>
              <w:jc w:val="center"/>
              <w:ind w:left="13"/>
              <w:spacing w:after="0"/>
              <w:rPr>
                <w:sz w:val="20"/>
                <w:szCs w:val="20"/>
                <w:color w:val="auto"/>
              </w:rPr>
            </w:pPr>
            <w:r>
              <w:rPr>
                <w:rFonts w:ascii="Times New Roman" w:cs="Times New Roman" w:eastAsia="Times New Roman" w:hAnsi="Times New Roman"/>
                <w:sz w:val="18"/>
                <w:szCs w:val="18"/>
                <w:color w:val="auto"/>
                <w:w w:val="99"/>
              </w:rPr>
              <w:t>Market</w:t>
            </w:r>
          </w:p>
        </w:tc>
        <w:tc>
          <w:tcPr>
            <w:tcW w:w="0" w:type="dxa"/>
            <w:vAlign w:val="bottom"/>
          </w:tcPr>
          <w:p>
            <w:pPr>
              <w:spacing w:after="0"/>
              <w:rPr>
                <w:sz w:val="1"/>
                <w:szCs w:val="1"/>
                <w:color w:val="auto"/>
              </w:rPr>
            </w:pPr>
          </w:p>
        </w:tc>
      </w:tr>
      <w:tr>
        <w:trPr>
          <w:trHeight w:val="223"/>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 at fair value</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287.1</w:t>
            </w: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3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236.0</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Investments measured at net asset value -</w:t>
            </w: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Alternative investments</w:t>
            </w: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Assets at fair value</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304.0</w:t>
            </w: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further information on the GAAP fair value hierarchy, see Note 14, "Financial Instruments." Pension plan assets for the foreign plans relate to the Company's pension plans primarily in Canada and the United Kingdom.</w:t>
      </w:r>
    </w:p>
    <w:p>
      <w:pPr>
        <w:spacing w:after="0" w:line="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Company's investment policies incorporate an asset allocation strategy that prioritizes reducing volatility in the plans' funded status, while generating moderate long-term growth. The Company believes that this strategy is consistent with the long-term nature of plan liabilities and ultimate cash needs of the plans. For the domestic portfolio, the Company targets a return seeking asset (e.g., equity securities, equity mutual funds, exchange traded funds ("ETFs") and alternative investments) allocation of 20% — 40% and a risk mitigating asset (e.g., fixed income securities, fixed income mutual funds and ETFs) allocation of 60% — 80%. As the funding ratio for the defined benefit pension plans covering certain domestic employees changes, the proportion of return seeking assets will be adjusted accordingly. For the foreign portfolio, the Company targets an equity allocation of 0% — 30% of plan assets, a fixed income allocation of 70% — 100%, an alternative investment allocation of 0% — 10% and a cash allocation of 0% — 10%. Differences in the target allocations of the domestic and foreign portfolios are reflective of differences in the underlying plan liabilities. Diversification within the investment portfolios is pursued by asset class and investment management style. The investment portfolios are reviewed on a quarterly basis to maintain the desired asset allocations, given the market performance of the asset classes and investment management styles. Alternative investments are redeemable in the near term, generally with 90 days' notice.</w:t>
      </w:r>
    </w:p>
    <w:p>
      <w:pPr>
        <w:spacing w:after="0" w:line="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utilizes investment management firms to manage these assets in accordance with the Company's investment policies. Excluding alternative investments, mutual funds and ETFs, retained investment managers are provided investment guidelines, which restrict the use of certain assets, including commodities contracts, futures contracts, options, venture capital, real estate and investments in the Company's own debt or equity. Derivative instruments are also prohibited without the specific approval of the Company. Investment managers are limited in the maximum size of individual security holdings and the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Lear Corporation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maximum exposure to any one industry relative to the total portfolio. Fixed income managers are provided further investment guidelines that indicate minimum credit ratings for debt securities and limitations on weighted average maturity and portfolio duration.</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evaluates investment manager performance against market indices which the Company believes are appropriate to the investment management style for which the investment manager has been retained. The Company's investment policies incorporate an investment goal of aggregate portfolio returns which exceed the returns of the appropriate market indices by a reasonable spread over the relevant investment horizon.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Contributions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2026, the Company's minimum required contributions to its domestic and foreign pension plans are expected to be approximately $7 million. The Company may elect to make contributions in excess of minimum funding requirements in response to investment performance or changes in interest rates or when the Company believes that it is financially advantageous to do so and based on its other cash requirements. After 2026, the Company's minimum funding requirements will depend on several factors, including investment performance and interest rates. The Company's minimum funding requirements may also be affected by changes in applicable legal requirements.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Benefit Payments</w:t>
      </w:r>
    </w:p>
    <w:p>
      <w:pPr>
        <w:spacing w:after="0" w:line="1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December 31, 2025, the Company's estimate of expected benefit payments in each of the five succeeding years and in the aggregate for the five years thereafter are shown below (in millions):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3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Pension</w:t>
            </w:r>
          </w:p>
        </w:tc>
        <w:tc>
          <w:tcPr>
            <w:tcW w:w="900" w:type="dxa"/>
            <w:vAlign w:val="bottom"/>
            <w:tcBorders>
              <w:top w:val="single" w:sz="8" w:color="auto"/>
              <w:bottom w:val="single" w:sz="8" w:color="auto"/>
              <w:right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900" w:type="dxa"/>
            <w:vAlign w:val="bottom"/>
            <w:tcBorders>
              <w:top w:val="single" w:sz="8" w:color="auto"/>
              <w:bottom w:val="single" w:sz="8" w:color="auto"/>
            </w:tcBorders>
            <w:gridSpan w:val="3"/>
          </w:tcPr>
          <w:p>
            <w:pPr>
              <w:jc w:val="right"/>
              <w:ind w:right="393"/>
              <w:spacing w:after="0"/>
              <w:rPr>
                <w:sz w:val="20"/>
                <w:szCs w:val="20"/>
                <w:color w:val="auto"/>
              </w:rPr>
            </w:pPr>
            <w:r>
              <w:rPr>
                <w:rFonts w:ascii="Times New Roman" w:cs="Times New Roman" w:eastAsia="Times New Roman" w:hAnsi="Times New Roman"/>
                <w:sz w:val="14"/>
                <w:szCs w:val="14"/>
                <w:color w:val="auto"/>
              </w:rPr>
              <w:t>Other Postretirement</w:t>
            </w:r>
          </w:p>
        </w:tc>
      </w:tr>
      <w:tr>
        <w:trPr>
          <w:trHeight w:val="196"/>
        </w:trPr>
        <w:tc>
          <w:tcPr>
            <w:tcW w:w="3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Year</w:t>
            </w: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color w:val="auto"/>
              </w:rPr>
              <w:t>U.S.</w:t>
            </w:r>
          </w:p>
        </w:tc>
        <w:tc>
          <w:tcPr>
            <w:tcW w:w="300" w:type="dxa"/>
            <w:vAlign w:val="bottom"/>
            <w:tcBorders>
              <w:bottom w:val="single" w:sz="8" w:color="auto"/>
            </w:tcBorders>
          </w:tcPr>
          <w:p>
            <w:pPr>
              <w:spacing w:after="0"/>
              <w:rPr>
                <w:sz w:val="17"/>
                <w:szCs w:val="17"/>
                <w:color w:val="auto"/>
              </w:rPr>
            </w:pPr>
          </w:p>
        </w:tc>
        <w:tc>
          <w:tcPr>
            <w:tcW w:w="900" w:type="dxa"/>
            <w:vAlign w:val="bottom"/>
            <w:tcBorders>
              <w:bottom w:val="single" w:sz="8" w:color="auto"/>
              <w:right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color w:val="auto"/>
              </w:rPr>
              <w:t>Foreign</w:t>
            </w:r>
          </w:p>
        </w:tc>
        <w:tc>
          <w:tcPr>
            <w:tcW w:w="3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color w:val="auto"/>
              </w:rPr>
              <w:t>U.S.</w:t>
            </w:r>
          </w:p>
        </w:tc>
        <w:tc>
          <w:tcPr>
            <w:tcW w:w="2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color w:val="auto"/>
              </w:rPr>
              <w:t>Foreign</w:t>
            </w:r>
          </w:p>
        </w:tc>
      </w:tr>
      <w:tr>
        <w:trPr>
          <w:trHeight w:val="229"/>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23.1</w:t>
            </w:r>
          </w:p>
        </w:tc>
        <w:tc>
          <w:tcPr>
            <w:tcW w:w="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right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24.0</w:t>
            </w: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2.6</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9"/>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40" w:type="dxa"/>
            <w:vAlign w:val="bottom"/>
          </w:tcPr>
          <w:p>
            <w:pPr>
              <w:spacing w:after="0"/>
              <w:rPr>
                <w:sz w:val="19"/>
                <w:szCs w:val="19"/>
                <w:color w:val="auto"/>
              </w:rPr>
            </w:pPr>
          </w:p>
        </w:tc>
        <w:tc>
          <w:tcPr>
            <w:tcW w:w="7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22.6</w:t>
            </w:r>
          </w:p>
        </w:tc>
        <w:tc>
          <w:tcPr>
            <w:tcW w:w="300" w:type="dxa"/>
            <w:vAlign w:val="bottom"/>
          </w:tcPr>
          <w:p>
            <w:pPr>
              <w:spacing w:after="0"/>
              <w:rPr>
                <w:sz w:val="19"/>
                <w:szCs w:val="19"/>
                <w:color w:val="auto"/>
              </w:rPr>
            </w:pPr>
          </w:p>
        </w:tc>
        <w:tc>
          <w:tcPr>
            <w:tcW w:w="900" w:type="dxa"/>
            <w:vAlign w:val="bottom"/>
            <w:tcBorders>
              <w:right w:val="single" w:sz="8" w:color="auto"/>
            </w:tcBorders>
          </w:tcPr>
          <w:p>
            <w:pPr>
              <w:jc w:val="right"/>
              <w:ind w:right="113"/>
              <w:spacing w:after="0"/>
              <w:rPr>
                <w:sz w:val="20"/>
                <w:szCs w:val="20"/>
                <w:color w:val="auto"/>
              </w:rPr>
            </w:pPr>
            <w:r>
              <w:rPr>
                <w:rFonts w:ascii="Times New Roman" w:cs="Times New Roman" w:eastAsia="Times New Roman" w:hAnsi="Times New Roman"/>
                <w:sz w:val="18"/>
                <w:szCs w:val="18"/>
                <w:color w:val="auto"/>
              </w:rPr>
              <w:t>24.1</w:t>
            </w:r>
          </w:p>
        </w:tc>
        <w:tc>
          <w:tcPr>
            <w:tcW w:w="340" w:type="dxa"/>
            <w:vAlign w:val="bottom"/>
          </w:tcPr>
          <w:p>
            <w:pPr>
              <w:spacing w:after="0"/>
              <w:rPr>
                <w:sz w:val="19"/>
                <w:szCs w:val="19"/>
                <w:color w:val="auto"/>
              </w:rPr>
            </w:pPr>
          </w:p>
        </w:tc>
        <w:tc>
          <w:tcPr>
            <w:tcW w:w="8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2.6</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0"/>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23.1</w:t>
            </w:r>
          </w:p>
        </w:tc>
        <w:tc>
          <w:tcPr>
            <w:tcW w:w="300" w:type="dxa"/>
            <w:vAlign w:val="bottom"/>
            <w:shd w:val="clear" w:color="auto" w:fill="CCEEFF"/>
          </w:tcPr>
          <w:p>
            <w:pPr>
              <w:spacing w:after="0"/>
              <w:rPr>
                <w:sz w:val="19"/>
                <w:szCs w:val="19"/>
                <w:color w:val="auto"/>
              </w:rPr>
            </w:pPr>
          </w:p>
        </w:tc>
        <w:tc>
          <w:tcPr>
            <w:tcW w:w="900" w:type="dxa"/>
            <w:vAlign w:val="bottom"/>
            <w:tcBorders>
              <w:right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25.1</w:t>
            </w: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2.6</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9"/>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40" w:type="dxa"/>
            <w:vAlign w:val="bottom"/>
          </w:tcPr>
          <w:p>
            <w:pPr>
              <w:spacing w:after="0"/>
              <w:rPr>
                <w:sz w:val="19"/>
                <w:szCs w:val="19"/>
                <w:color w:val="auto"/>
              </w:rPr>
            </w:pPr>
          </w:p>
        </w:tc>
        <w:tc>
          <w:tcPr>
            <w:tcW w:w="7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23.5</w:t>
            </w:r>
          </w:p>
        </w:tc>
        <w:tc>
          <w:tcPr>
            <w:tcW w:w="300" w:type="dxa"/>
            <w:vAlign w:val="bottom"/>
          </w:tcPr>
          <w:p>
            <w:pPr>
              <w:spacing w:after="0"/>
              <w:rPr>
                <w:sz w:val="19"/>
                <w:szCs w:val="19"/>
                <w:color w:val="auto"/>
              </w:rPr>
            </w:pPr>
          </w:p>
        </w:tc>
        <w:tc>
          <w:tcPr>
            <w:tcW w:w="900" w:type="dxa"/>
            <w:vAlign w:val="bottom"/>
            <w:tcBorders>
              <w:right w:val="single" w:sz="8" w:color="auto"/>
            </w:tcBorders>
          </w:tcPr>
          <w:p>
            <w:pPr>
              <w:jc w:val="right"/>
              <w:ind w:right="113"/>
              <w:spacing w:after="0"/>
              <w:rPr>
                <w:sz w:val="20"/>
                <w:szCs w:val="20"/>
                <w:color w:val="auto"/>
              </w:rPr>
            </w:pPr>
            <w:r>
              <w:rPr>
                <w:rFonts w:ascii="Times New Roman" w:cs="Times New Roman" w:eastAsia="Times New Roman" w:hAnsi="Times New Roman"/>
                <w:sz w:val="18"/>
                <w:szCs w:val="18"/>
                <w:color w:val="auto"/>
              </w:rPr>
              <w:t>25.9</w:t>
            </w:r>
          </w:p>
        </w:tc>
        <w:tc>
          <w:tcPr>
            <w:tcW w:w="340" w:type="dxa"/>
            <w:vAlign w:val="bottom"/>
          </w:tcPr>
          <w:p>
            <w:pPr>
              <w:spacing w:after="0"/>
              <w:rPr>
                <w:sz w:val="19"/>
                <w:szCs w:val="19"/>
                <w:color w:val="auto"/>
              </w:rPr>
            </w:pPr>
          </w:p>
        </w:tc>
        <w:tc>
          <w:tcPr>
            <w:tcW w:w="8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2.5</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30"/>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23.9</w:t>
            </w:r>
          </w:p>
        </w:tc>
        <w:tc>
          <w:tcPr>
            <w:tcW w:w="300" w:type="dxa"/>
            <w:vAlign w:val="bottom"/>
            <w:shd w:val="clear" w:color="auto" w:fill="CCEEFF"/>
          </w:tcPr>
          <w:p>
            <w:pPr>
              <w:spacing w:after="0"/>
              <w:rPr>
                <w:sz w:val="19"/>
                <w:szCs w:val="19"/>
                <w:color w:val="auto"/>
              </w:rPr>
            </w:pPr>
          </w:p>
        </w:tc>
        <w:tc>
          <w:tcPr>
            <w:tcW w:w="900" w:type="dxa"/>
            <w:vAlign w:val="bottom"/>
            <w:tcBorders>
              <w:right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26.0</w:t>
            </w: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2.4</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37"/>
        </w:trPr>
        <w:tc>
          <w:tcPr>
            <w:tcW w:w="3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Five years thereafter</w:t>
            </w: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122.1</w:t>
            </w:r>
          </w:p>
        </w:tc>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jc w:val="right"/>
              <w:ind w:right="113"/>
              <w:spacing w:after="0"/>
              <w:rPr>
                <w:sz w:val="20"/>
                <w:szCs w:val="20"/>
                <w:color w:val="auto"/>
              </w:rPr>
            </w:pPr>
            <w:r>
              <w:rPr>
                <w:rFonts w:ascii="Times New Roman" w:cs="Times New Roman" w:eastAsia="Times New Roman" w:hAnsi="Times New Roman"/>
                <w:sz w:val="18"/>
                <w:szCs w:val="18"/>
                <w:color w:val="auto"/>
              </w:rPr>
              <w:t>130.3</w:t>
            </w: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10.9</w:t>
            </w: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Multi-Employer Pension Plans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currently participates in two multi-employer pension plans, the U.A.W. Labor-Management Group Pension Plan (EIN 51-6099782-001) and UNITE Here National Retirement Fund (EIN 13-6130178-001), for certain of its employees. Contributions to these plans are based on four collective bargaining agreements, which expire between June 30, 2027 and April 5, 2029.</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Detailed information related to these plans is shown below (amounts in millions):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00" w:type="dxa"/>
            <w:vAlign w:val="bottom"/>
            <w:tcBorders>
              <w:top w:val="single" w:sz="8" w:color="auto"/>
            </w:tcBorders>
          </w:tcPr>
          <w:p>
            <w:pPr>
              <w:spacing w:after="0"/>
              <w:rPr>
                <w:sz w:val="14"/>
                <w:szCs w:val="14"/>
                <w:color w:val="auto"/>
              </w:rPr>
            </w:pPr>
          </w:p>
        </w:tc>
        <w:tc>
          <w:tcPr>
            <w:tcW w:w="308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auto"/>
              </w:rPr>
              <w:t>Pension Protection Act</w:t>
            </w:r>
          </w:p>
        </w:tc>
        <w:tc>
          <w:tcPr>
            <w:tcW w:w="126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3400" w:type="dxa"/>
            <w:vAlign w:val="bottom"/>
            <w:tcBorders>
              <w:top w:val="single" w:sz="8" w:color="auto"/>
            </w:tcBorders>
            <w:gridSpan w:val="5"/>
            <w:vMerge w:val="restart"/>
          </w:tcPr>
          <w:p>
            <w:pPr>
              <w:jc w:val="center"/>
              <w:ind w:right="61"/>
              <w:spacing w:after="0"/>
              <w:rPr>
                <w:sz w:val="20"/>
                <w:szCs w:val="20"/>
                <w:color w:val="auto"/>
              </w:rPr>
            </w:pPr>
            <w:r>
              <w:rPr>
                <w:rFonts w:ascii="Times New Roman" w:cs="Times New Roman" w:eastAsia="Times New Roman" w:hAnsi="Times New Roman"/>
                <w:sz w:val="14"/>
                <w:szCs w:val="14"/>
                <w:color w:val="auto"/>
              </w:rPr>
              <w:t>Contributions to Multi-Employer Pension Plans</w:t>
            </w:r>
          </w:p>
        </w:tc>
        <w:tc>
          <w:tcPr>
            <w:tcW w:w="0" w:type="dxa"/>
            <w:vAlign w:val="bottom"/>
          </w:tcPr>
          <w:p>
            <w:pPr>
              <w:spacing w:after="0"/>
              <w:rPr>
                <w:sz w:val="1"/>
                <w:szCs w:val="1"/>
                <w:color w:val="auto"/>
              </w:rPr>
            </w:pPr>
          </w:p>
        </w:tc>
      </w:tr>
      <w:tr>
        <w:trPr>
          <w:trHeight w:val="196"/>
        </w:trPr>
        <w:tc>
          <w:tcPr>
            <w:tcW w:w="2200" w:type="dxa"/>
            <w:vAlign w:val="bottom"/>
          </w:tcPr>
          <w:p>
            <w:pPr>
              <w:spacing w:after="0"/>
              <w:rPr>
                <w:sz w:val="17"/>
                <w:szCs w:val="17"/>
                <w:color w:val="auto"/>
              </w:rPr>
            </w:pPr>
          </w:p>
        </w:tc>
        <w:tc>
          <w:tcPr>
            <w:tcW w:w="30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auto"/>
              </w:rPr>
              <w:t>Zone Status</w:t>
            </w:r>
          </w:p>
        </w:tc>
        <w:tc>
          <w:tcPr>
            <w:tcW w:w="1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400" w:type="dxa"/>
            <w:vAlign w:val="bottom"/>
            <w:tcBorders>
              <w:bottom w:val="single" w:sz="8" w:color="auto"/>
            </w:tcBorders>
            <w:gridSpan w:val="5"/>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Employer Identification Number</w:t>
            </w: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December 31, 2024</w:t>
            </w: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December 31, 2023</w:t>
            </w:r>
          </w:p>
        </w:tc>
        <w:tc>
          <w:tcPr>
            <w:tcW w:w="126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color w:val="auto"/>
              </w:rPr>
              <w:t xml:space="preserve">FIP/RP </w:t>
            </w:r>
            <w:r>
              <w:rPr>
                <w:rFonts w:ascii="Times New Roman" w:cs="Times New Roman" w:eastAsia="Times New Roman" w:hAnsi="Times New Roman"/>
                <w:sz w:val="15"/>
                <w:szCs w:val="15"/>
                <w:color w:val="auto"/>
                <w:vertAlign w:val="superscript"/>
              </w:rPr>
              <w:t>(1)</w:t>
            </w:r>
          </w:p>
        </w:tc>
        <w:tc>
          <w:tcPr>
            <w:tcW w:w="1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jc w:val="center"/>
              <w:ind w:right="82"/>
              <w:spacing w:after="0" w:line="135" w:lineRule="exact"/>
              <w:rPr>
                <w:sz w:val="20"/>
                <w:szCs w:val="20"/>
                <w:color w:val="auto"/>
              </w:rPr>
            </w:pPr>
            <w:r>
              <w:rPr>
                <w:rFonts w:ascii="Times New Roman" w:cs="Times New Roman" w:eastAsia="Times New Roman" w:hAnsi="Times New Roman"/>
                <w:sz w:val="14"/>
                <w:szCs w:val="14"/>
                <w:color w:val="auto"/>
              </w:rPr>
              <w:t>Year Ended</w:t>
            </w:r>
          </w:p>
        </w:tc>
        <w:tc>
          <w:tcPr>
            <w:tcW w:w="200" w:type="dxa"/>
            <w:vAlign w:val="bottom"/>
          </w:tcPr>
          <w:p>
            <w:pPr>
              <w:spacing w:after="0"/>
              <w:rPr>
                <w:sz w:val="11"/>
                <w:szCs w:val="11"/>
                <w:color w:val="auto"/>
              </w:rPr>
            </w:pPr>
          </w:p>
        </w:tc>
        <w:tc>
          <w:tcPr>
            <w:tcW w:w="1020" w:type="dxa"/>
            <w:vAlign w:val="bottom"/>
          </w:tcPr>
          <w:p>
            <w:pPr>
              <w:jc w:val="center"/>
              <w:ind w:right="81"/>
              <w:spacing w:after="0" w:line="135" w:lineRule="exact"/>
              <w:rPr>
                <w:sz w:val="20"/>
                <w:szCs w:val="20"/>
                <w:color w:val="auto"/>
              </w:rPr>
            </w:pPr>
            <w:r>
              <w:rPr>
                <w:rFonts w:ascii="Times New Roman" w:cs="Times New Roman" w:eastAsia="Times New Roman" w:hAnsi="Times New Roman"/>
                <w:sz w:val="14"/>
                <w:szCs w:val="14"/>
                <w:color w:val="auto"/>
                <w:w w:val="99"/>
              </w:rPr>
              <w:t>Year Ended</w:t>
            </w:r>
          </w:p>
        </w:tc>
        <w:tc>
          <w:tcPr>
            <w:tcW w:w="200" w:type="dxa"/>
            <w:vAlign w:val="bottom"/>
          </w:tcPr>
          <w:p>
            <w:pPr>
              <w:spacing w:after="0"/>
              <w:rPr>
                <w:sz w:val="11"/>
                <w:szCs w:val="11"/>
                <w:color w:val="auto"/>
              </w:rPr>
            </w:pPr>
          </w:p>
        </w:tc>
        <w:tc>
          <w:tcPr>
            <w:tcW w:w="980" w:type="dxa"/>
            <w:vAlign w:val="bottom"/>
          </w:tcPr>
          <w:p>
            <w:pPr>
              <w:jc w:val="center"/>
              <w:ind w:right="41"/>
              <w:spacing w:after="0" w:line="135" w:lineRule="exact"/>
              <w:rPr>
                <w:sz w:val="20"/>
                <w:szCs w:val="20"/>
                <w:color w:val="auto"/>
              </w:rPr>
            </w:pPr>
            <w:r>
              <w:rPr>
                <w:rFonts w:ascii="Times New Roman" w:cs="Times New Roman" w:eastAsia="Times New Roman" w:hAnsi="Times New Roman"/>
                <w:sz w:val="14"/>
                <w:szCs w:val="14"/>
                <w:color w:val="auto"/>
                <w:w w:val="99"/>
              </w:rPr>
              <w:t>Year Ended</w:t>
            </w:r>
          </w:p>
        </w:tc>
        <w:tc>
          <w:tcPr>
            <w:tcW w:w="0" w:type="dxa"/>
            <w:vAlign w:val="bottom"/>
          </w:tcPr>
          <w:p>
            <w:pPr>
              <w:spacing w:after="0"/>
              <w:rPr>
                <w:sz w:val="1"/>
                <w:szCs w:val="1"/>
                <w:color w:val="auto"/>
              </w:rPr>
            </w:pPr>
          </w:p>
        </w:tc>
      </w:tr>
      <w:tr>
        <w:trPr>
          <w:trHeight w:val="148"/>
        </w:trPr>
        <w:tc>
          <w:tcPr>
            <w:tcW w:w="2200" w:type="dxa"/>
            <w:vAlign w:val="bottom"/>
            <w:vMerge w:val="continue"/>
          </w:tcPr>
          <w:p>
            <w:pPr>
              <w:spacing w:after="0"/>
              <w:rPr>
                <w:sz w:val="12"/>
                <w:szCs w:val="12"/>
                <w:color w:val="auto"/>
              </w:rPr>
            </w:pPr>
          </w:p>
        </w:tc>
        <w:tc>
          <w:tcPr>
            <w:tcW w:w="1540" w:type="dxa"/>
            <w:vAlign w:val="bottom"/>
            <w:vMerge w:val="continue"/>
          </w:tcPr>
          <w:p>
            <w:pPr>
              <w:spacing w:after="0"/>
              <w:rPr>
                <w:sz w:val="12"/>
                <w:szCs w:val="12"/>
                <w:color w:val="auto"/>
              </w:rPr>
            </w:pPr>
          </w:p>
        </w:tc>
        <w:tc>
          <w:tcPr>
            <w:tcW w:w="1540" w:type="dxa"/>
            <w:vAlign w:val="bottom"/>
            <w:vMerge w:val="continue"/>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Pending or</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Surcharge</w:t>
            </w:r>
          </w:p>
        </w:tc>
        <w:tc>
          <w:tcPr>
            <w:tcW w:w="140" w:type="dxa"/>
            <w:vAlign w:val="bottom"/>
          </w:tcPr>
          <w:p>
            <w:pPr>
              <w:spacing w:after="0"/>
              <w:rPr>
                <w:sz w:val="12"/>
                <w:szCs w:val="12"/>
                <w:color w:val="auto"/>
              </w:rPr>
            </w:pPr>
          </w:p>
        </w:tc>
        <w:tc>
          <w:tcPr>
            <w:tcW w:w="1000" w:type="dxa"/>
            <w:vAlign w:val="bottom"/>
          </w:tcPr>
          <w:p>
            <w:pPr>
              <w:jc w:val="center"/>
              <w:ind w:right="82"/>
              <w:spacing w:after="0" w:line="149" w:lineRule="exact"/>
              <w:rPr>
                <w:sz w:val="20"/>
                <w:szCs w:val="20"/>
                <w:color w:val="auto"/>
              </w:rPr>
            </w:pPr>
            <w:r>
              <w:rPr>
                <w:rFonts w:ascii="Times New Roman" w:cs="Times New Roman" w:eastAsia="Times New Roman" w:hAnsi="Times New Roman"/>
                <w:sz w:val="14"/>
                <w:szCs w:val="14"/>
                <w:color w:val="auto"/>
              </w:rPr>
              <w:t>December 31,</w:t>
            </w:r>
          </w:p>
        </w:tc>
        <w:tc>
          <w:tcPr>
            <w:tcW w:w="200" w:type="dxa"/>
            <w:vAlign w:val="bottom"/>
          </w:tcPr>
          <w:p>
            <w:pPr>
              <w:spacing w:after="0"/>
              <w:rPr>
                <w:sz w:val="12"/>
                <w:szCs w:val="12"/>
                <w:color w:val="auto"/>
              </w:rPr>
            </w:pPr>
          </w:p>
        </w:tc>
        <w:tc>
          <w:tcPr>
            <w:tcW w:w="1020" w:type="dxa"/>
            <w:vAlign w:val="bottom"/>
          </w:tcPr>
          <w:p>
            <w:pPr>
              <w:jc w:val="center"/>
              <w:ind w:right="81"/>
              <w:spacing w:after="0" w:line="149" w:lineRule="exact"/>
              <w:rPr>
                <w:sz w:val="20"/>
                <w:szCs w:val="20"/>
                <w:color w:val="auto"/>
              </w:rPr>
            </w:pPr>
            <w:r>
              <w:rPr>
                <w:rFonts w:ascii="Times New Roman" w:cs="Times New Roman" w:eastAsia="Times New Roman" w:hAnsi="Times New Roman"/>
                <w:sz w:val="14"/>
                <w:szCs w:val="14"/>
                <w:color w:val="auto"/>
              </w:rPr>
              <w:t>December 31,</w:t>
            </w:r>
          </w:p>
        </w:tc>
        <w:tc>
          <w:tcPr>
            <w:tcW w:w="200" w:type="dxa"/>
            <w:vAlign w:val="bottom"/>
          </w:tcPr>
          <w:p>
            <w:pPr>
              <w:spacing w:after="0"/>
              <w:rPr>
                <w:sz w:val="12"/>
                <w:szCs w:val="12"/>
                <w:color w:val="auto"/>
              </w:rPr>
            </w:pPr>
          </w:p>
        </w:tc>
        <w:tc>
          <w:tcPr>
            <w:tcW w:w="980" w:type="dxa"/>
            <w:vAlign w:val="bottom"/>
          </w:tcPr>
          <w:p>
            <w:pPr>
              <w:jc w:val="center"/>
              <w:ind w:right="41"/>
              <w:spacing w:after="0" w:line="149" w:lineRule="exact"/>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96"/>
        </w:trPr>
        <w:tc>
          <w:tcPr>
            <w:tcW w:w="2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("EIN")</w:t>
            </w: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Certification</w:t>
            </w: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Certification</w:t>
            </w: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Implemented</w:t>
            </w:r>
          </w:p>
        </w:tc>
        <w:tc>
          <w:tcPr>
            <w:tcW w:w="116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82"/>
              <w:spacing w:after="0"/>
              <w:rPr>
                <w:sz w:val="20"/>
                <w:szCs w:val="20"/>
                <w:color w:val="auto"/>
              </w:rPr>
            </w:pPr>
            <w:r>
              <w:rPr>
                <w:rFonts w:ascii="Times New Roman" w:cs="Times New Roman" w:eastAsia="Times New Roman" w:hAnsi="Times New Roman"/>
                <w:sz w:val="14"/>
                <w:szCs w:val="14"/>
                <w:color w:val="auto"/>
                <w:w w:val="99"/>
              </w:rPr>
              <w:t>2025</w:t>
            </w: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81"/>
              <w:spacing w:after="0"/>
              <w:rPr>
                <w:sz w:val="20"/>
                <w:szCs w:val="20"/>
                <w:color w:val="auto"/>
              </w:rPr>
            </w:pPr>
            <w:r>
              <w:rPr>
                <w:rFonts w:ascii="Times New Roman" w:cs="Times New Roman" w:eastAsia="Times New Roman" w:hAnsi="Times New Roman"/>
                <w:sz w:val="14"/>
                <w:szCs w:val="14"/>
                <w:color w:val="auto"/>
              </w:rPr>
              <w:t>2024</w:t>
            </w: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14"/>
                <w:szCs w:val="14"/>
                <w:color w:val="auto"/>
              </w:rPr>
              <w:t>2023</w:t>
            </w:r>
          </w:p>
        </w:tc>
        <w:tc>
          <w:tcPr>
            <w:tcW w:w="0" w:type="dxa"/>
            <w:vAlign w:val="bottom"/>
          </w:tcPr>
          <w:p>
            <w:pPr>
              <w:spacing w:after="0"/>
              <w:rPr>
                <w:sz w:val="1"/>
                <w:szCs w:val="1"/>
                <w:color w:val="auto"/>
              </w:rPr>
            </w:pPr>
          </w:p>
        </w:tc>
      </w:tr>
      <w:tr>
        <w:trPr>
          <w:trHeight w:val="230"/>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51-6099782-001</w:t>
            </w: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Green</w:t>
            </w: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Green</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36"/>
        </w:trPr>
        <w:tc>
          <w:tcPr>
            <w:tcW w:w="2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13-6130178-001</w:t>
            </w: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Red</w:t>
            </w: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Red</w:t>
            </w: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8"/>
                <w:szCs w:val="18"/>
                <w:color w:val="auto"/>
              </w:rPr>
              <w:t>0.4</w:t>
            </w: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8"/>
                <w:szCs w:val="18"/>
                <w:color w:val="auto"/>
              </w:rPr>
              <w:t>0.3</w:t>
            </w: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bl>
    <w:p>
      <w:pPr>
        <w:spacing w:after="0" w:line="112" w:lineRule="exact"/>
        <w:rPr>
          <w:sz w:val="20"/>
          <w:szCs w:val="20"/>
          <w:color w:val="auto"/>
        </w:rPr>
      </w:pPr>
    </w:p>
    <w:p>
      <w:pPr>
        <w:ind w:left="240" w:hanging="232"/>
        <w:spacing w:after="0"/>
        <w:tabs>
          <w:tab w:leader="none" w:pos="240" w:val="left"/>
        </w:tabs>
        <w:numPr>
          <w:ilvl w:val="0"/>
          <w:numId w:val="38"/>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Funding improvement plan or rehabilitation plan as defined by Employment Retirement Security Act of 1974.</w:t>
      </w:r>
    </w:p>
    <w:p>
      <w:pPr>
        <w:spacing w:after="0" w:line="23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its plan years 2025 and 2024, the Company's contributions to the U.A.W. Labor-Management Group Pension Plan represented more than 5% of the plan's total contributions.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Defined Contribution Plan</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also sponsors defined contribution plans and participates in government-sponsored programs in certain foreign countries. Contributions are determined as a percentage of each covered employee's salary. For the years ended December 31, 2025, 2024 and 2023, the aggregate cost of the defined contribution plans was $22.6 million, $20.0 million and $19.7 million, respectively.</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Lear Corporation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also has a defined contribution retirement program for its salaried employees. Contributions to this program are determined as a percentage of each covered employee's eligible compensation. For the years ended December 31, 2025, 2024 and 2023, the Company recorded expense of $27.5 million, $26.3 million and $27.6 million, respectively, related to this program.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Revenue Recognition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Company's revenue by reportable operating segment and geography is shown below (in millions):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8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For the year ended December 31,</w:t>
            </w:r>
          </w:p>
        </w:tc>
        <w:tc>
          <w:tcPr>
            <w:tcW w:w="31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center"/>
              <w:ind w:right="175"/>
              <w:spacing w:after="0"/>
              <w:rPr>
                <w:sz w:val="20"/>
                <w:szCs w:val="20"/>
                <w:color w:val="auto"/>
              </w:rPr>
            </w:pPr>
            <w:r>
              <w:rPr>
                <w:rFonts w:ascii="Times New Roman" w:cs="Times New Roman" w:eastAsia="Times New Roman" w:hAnsi="Times New Roman"/>
                <w:sz w:val="14"/>
                <w:szCs w:val="14"/>
                <w:color w:val="auto"/>
              </w:rPr>
              <w:t>2025</w:t>
            </w:r>
          </w:p>
        </w:tc>
        <w:tc>
          <w:tcPr>
            <w:tcW w:w="3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spacing w:after="0"/>
              <w:rPr>
                <w:sz w:val="19"/>
                <w:szCs w:val="19"/>
                <w:color w:val="auto"/>
              </w:rPr>
            </w:pPr>
          </w:p>
        </w:tc>
      </w:tr>
      <w:tr>
        <w:trPr>
          <w:trHeight w:val="196"/>
        </w:trPr>
        <w:tc>
          <w:tcPr>
            <w:tcW w:w="4860" w:type="dxa"/>
            <w:vAlign w:val="bottom"/>
            <w:tcBorders>
              <w:bottom w:val="single" w:sz="8" w:color="auto"/>
            </w:tcBorders>
          </w:tcPr>
          <w:p>
            <w:pPr>
              <w:spacing w:after="0"/>
              <w:rPr>
                <w:sz w:val="17"/>
                <w:szCs w:val="17"/>
                <w:color w:val="auto"/>
              </w:rPr>
            </w:pPr>
          </w:p>
        </w:tc>
        <w:tc>
          <w:tcPr>
            <w:tcW w:w="3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color w:val="auto"/>
              </w:rPr>
              <w:t>Seating</w:t>
            </w: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4"/>
                <w:szCs w:val="14"/>
                <w:color w:val="auto"/>
              </w:rPr>
              <w:t>E-Systems</w:t>
            </w: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color w:val="auto"/>
              </w:rPr>
              <w:t>Total</w:t>
            </w:r>
          </w:p>
        </w:tc>
      </w:tr>
      <w:tr>
        <w:trPr>
          <w:trHeight w:val="229"/>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North America</w:t>
            </w:r>
          </w:p>
        </w:tc>
        <w:tc>
          <w:tcPr>
            <w:tcW w:w="3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7,767.4</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2,042.0</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9,809.4</w:t>
            </w:r>
          </w:p>
        </w:tc>
      </w:tr>
      <w:tr>
        <w:trPr>
          <w:trHeight w:val="229"/>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 and Africa</w:t>
            </w:r>
          </w:p>
        </w:tc>
        <w:tc>
          <w:tcPr>
            <w:tcW w:w="3100" w:type="dxa"/>
            <w:vAlign w:val="bottom"/>
          </w:tcPr>
          <w:p>
            <w:pPr>
              <w:spacing w:after="0"/>
              <w:rPr>
                <w:sz w:val="19"/>
                <w:szCs w:val="19"/>
                <w:color w:val="auto"/>
              </w:rPr>
            </w:pPr>
          </w:p>
        </w:tc>
        <w:tc>
          <w:tcPr>
            <w:tcW w:w="9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5,582.3</w:t>
            </w:r>
          </w:p>
        </w:tc>
        <w:tc>
          <w:tcPr>
            <w:tcW w:w="260" w:type="dxa"/>
            <w:vAlign w:val="bottom"/>
          </w:tcPr>
          <w:p>
            <w:pPr>
              <w:spacing w:after="0"/>
              <w:rPr>
                <w:sz w:val="19"/>
                <w:szCs w:val="19"/>
                <w:color w:val="auto"/>
              </w:rPr>
            </w:pPr>
          </w:p>
        </w:tc>
        <w:tc>
          <w:tcPr>
            <w:tcW w:w="9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2,447.0</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8,029.3</w:t>
            </w:r>
          </w:p>
        </w:tc>
      </w:tr>
      <w:tr>
        <w:trPr>
          <w:trHeight w:val="230"/>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w:t>
            </w:r>
          </w:p>
        </w:tc>
        <w:tc>
          <w:tcPr>
            <w:tcW w:w="3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3,352.9</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1,203.6</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4,556.5</w:t>
            </w:r>
          </w:p>
        </w:tc>
      </w:tr>
      <w:tr>
        <w:trPr>
          <w:trHeight w:val="229"/>
        </w:trPr>
        <w:tc>
          <w:tcPr>
            <w:tcW w:w="4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South America</w:t>
            </w:r>
          </w:p>
        </w:tc>
        <w:tc>
          <w:tcPr>
            <w:tcW w:w="3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580.4</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283.5</w:t>
            </w: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863.9</w:t>
            </w:r>
          </w:p>
        </w:tc>
      </w:tr>
      <w:tr>
        <w:trPr>
          <w:trHeight w:val="230"/>
        </w:trPr>
        <w:tc>
          <w:tcPr>
            <w:tcW w:w="4860" w:type="dxa"/>
            <w:vAlign w:val="bottom"/>
            <w:tcBorders>
              <w:bottom w:val="single" w:sz="8" w:color="auto"/>
            </w:tcBorders>
            <w:shd w:val="clear" w:color="auto" w:fill="CCEEFF"/>
          </w:tcPr>
          <w:p>
            <w:pPr>
              <w:spacing w:after="0"/>
              <w:rPr>
                <w:sz w:val="20"/>
                <w:szCs w:val="20"/>
                <w:color w:val="auto"/>
              </w:rPr>
            </w:pPr>
          </w:p>
        </w:tc>
        <w:tc>
          <w:tcPr>
            <w:tcW w:w="3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17,283.0</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5,976.1</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23,259.1</w:t>
            </w:r>
          </w:p>
        </w:tc>
      </w:tr>
      <w:tr>
        <w:trPr>
          <w:trHeight w:val="237"/>
        </w:trPr>
        <w:tc>
          <w:tcPr>
            <w:tcW w:w="486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r>
      <w:tr>
        <w:trPr>
          <w:trHeight w:val="196"/>
        </w:trPr>
        <w:tc>
          <w:tcPr>
            <w:tcW w:w="4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For the year ended December 31,</w:t>
            </w:r>
          </w:p>
        </w:tc>
        <w:tc>
          <w:tcPr>
            <w:tcW w:w="3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175"/>
              <w:spacing w:after="0"/>
              <w:rPr>
                <w:sz w:val="20"/>
                <w:szCs w:val="20"/>
                <w:color w:val="auto"/>
              </w:rPr>
            </w:pPr>
            <w:r>
              <w:rPr>
                <w:rFonts w:ascii="Times New Roman" w:cs="Times New Roman" w:eastAsia="Times New Roman" w:hAnsi="Times New Roman"/>
                <w:sz w:val="14"/>
                <w:szCs w:val="14"/>
                <w:color w:val="auto"/>
              </w:rPr>
              <w:t>2024</w:t>
            </w: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r>
      <w:tr>
        <w:trPr>
          <w:trHeight w:val="196"/>
        </w:trPr>
        <w:tc>
          <w:tcPr>
            <w:tcW w:w="4860" w:type="dxa"/>
            <w:vAlign w:val="bottom"/>
            <w:tcBorders>
              <w:bottom w:val="single" w:sz="8" w:color="auto"/>
            </w:tcBorders>
          </w:tcPr>
          <w:p>
            <w:pPr>
              <w:spacing w:after="0"/>
              <w:rPr>
                <w:sz w:val="17"/>
                <w:szCs w:val="17"/>
                <w:color w:val="auto"/>
              </w:rPr>
            </w:pPr>
          </w:p>
        </w:tc>
        <w:tc>
          <w:tcPr>
            <w:tcW w:w="3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color w:val="auto"/>
              </w:rPr>
              <w:t>Seating</w:t>
            </w: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4"/>
                <w:szCs w:val="14"/>
                <w:color w:val="auto"/>
              </w:rPr>
              <w:t>E-Systems</w:t>
            </w: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color w:val="auto"/>
              </w:rPr>
              <w:t>Total</w:t>
            </w:r>
          </w:p>
        </w:tc>
      </w:tr>
      <w:tr>
        <w:trPr>
          <w:trHeight w:val="230"/>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North America</w:t>
            </w:r>
          </w:p>
        </w:tc>
        <w:tc>
          <w:tcPr>
            <w:tcW w:w="3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7,747.7</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2,001.4</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9,749.1</w:t>
            </w:r>
          </w:p>
        </w:tc>
      </w:tr>
      <w:tr>
        <w:trPr>
          <w:trHeight w:val="229"/>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 and Africa</w:t>
            </w:r>
          </w:p>
        </w:tc>
        <w:tc>
          <w:tcPr>
            <w:tcW w:w="3100" w:type="dxa"/>
            <w:vAlign w:val="bottom"/>
          </w:tcPr>
          <w:p>
            <w:pPr>
              <w:spacing w:after="0"/>
              <w:rPr>
                <w:sz w:val="19"/>
                <w:szCs w:val="19"/>
                <w:color w:val="auto"/>
              </w:rPr>
            </w:pPr>
          </w:p>
        </w:tc>
        <w:tc>
          <w:tcPr>
            <w:tcW w:w="9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5,853.9</w:t>
            </w:r>
          </w:p>
        </w:tc>
        <w:tc>
          <w:tcPr>
            <w:tcW w:w="260" w:type="dxa"/>
            <w:vAlign w:val="bottom"/>
          </w:tcPr>
          <w:p>
            <w:pPr>
              <w:spacing w:after="0"/>
              <w:rPr>
                <w:sz w:val="19"/>
                <w:szCs w:val="19"/>
                <w:color w:val="auto"/>
              </w:rPr>
            </w:pPr>
          </w:p>
        </w:tc>
        <w:tc>
          <w:tcPr>
            <w:tcW w:w="9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2,444.5</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8,298.4</w:t>
            </w:r>
          </w:p>
        </w:tc>
      </w:tr>
      <w:tr>
        <w:trPr>
          <w:trHeight w:val="229"/>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w:t>
            </w:r>
          </w:p>
        </w:tc>
        <w:tc>
          <w:tcPr>
            <w:tcW w:w="3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3,055.3</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1,337.1</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4,392.4</w:t>
            </w:r>
          </w:p>
        </w:tc>
      </w:tr>
      <w:tr>
        <w:trPr>
          <w:trHeight w:val="230"/>
        </w:trPr>
        <w:tc>
          <w:tcPr>
            <w:tcW w:w="4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South America</w:t>
            </w:r>
          </w:p>
        </w:tc>
        <w:tc>
          <w:tcPr>
            <w:tcW w:w="3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565.2</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300.9</w:t>
            </w: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866.1</w:t>
            </w:r>
          </w:p>
        </w:tc>
      </w:tr>
      <w:tr>
        <w:trPr>
          <w:trHeight w:val="230"/>
        </w:trPr>
        <w:tc>
          <w:tcPr>
            <w:tcW w:w="4860" w:type="dxa"/>
            <w:vAlign w:val="bottom"/>
            <w:tcBorders>
              <w:bottom w:val="single" w:sz="8" w:color="auto"/>
            </w:tcBorders>
            <w:shd w:val="clear" w:color="auto" w:fill="CCEEFF"/>
          </w:tcPr>
          <w:p>
            <w:pPr>
              <w:spacing w:after="0"/>
              <w:rPr>
                <w:sz w:val="20"/>
                <w:szCs w:val="20"/>
                <w:color w:val="auto"/>
              </w:rPr>
            </w:pPr>
          </w:p>
        </w:tc>
        <w:tc>
          <w:tcPr>
            <w:tcW w:w="3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17,222.1</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6,083.9</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23,306.0</w:t>
            </w:r>
          </w:p>
        </w:tc>
      </w:tr>
      <w:tr>
        <w:trPr>
          <w:trHeight w:val="223"/>
        </w:trPr>
        <w:tc>
          <w:tcPr>
            <w:tcW w:w="4860" w:type="dxa"/>
            <w:vAlign w:val="bottom"/>
            <w:tcBorders>
              <w:bottom w:val="single" w:sz="8" w:color="auto"/>
            </w:tcBorders>
          </w:tcPr>
          <w:p>
            <w:pPr>
              <w:spacing w:after="0"/>
              <w:rPr>
                <w:sz w:val="19"/>
                <w:szCs w:val="19"/>
                <w:color w:val="auto"/>
              </w:rPr>
            </w:pPr>
          </w:p>
        </w:tc>
        <w:tc>
          <w:tcPr>
            <w:tcW w:w="3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r>
      <w:tr>
        <w:trPr>
          <w:trHeight w:val="196"/>
        </w:trPr>
        <w:tc>
          <w:tcPr>
            <w:tcW w:w="4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For the year ended December 31,</w:t>
            </w:r>
          </w:p>
        </w:tc>
        <w:tc>
          <w:tcPr>
            <w:tcW w:w="3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175"/>
              <w:spacing w:after="0"/>
              <w:rPr>
                <w:sz w:val="20"/>
                <w:szCs w:val="20"/>
                <w:color w:val="auto"/>
              </w:rPr>
            </w:pPr>
            <w:r>
              <w:rPr>
                <w:rFonts w:ascii="Times New Roman" w:cs="Times New Roman" w:eastAsia="Times New Roman" w:hAnsi="Times New Roman"/>
                <w:sz w:val="14"/>
                <w:szCs w:val="14"/>
                <w:color w:val="auto"/>
              </w:rPr>
              <w:t>2023</w:t>
            </w: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r>
      <w:tr>
        <w:trPr>
          <w:trHeight w:val="196"/>
        </w:trPr>
        <w:tc>
          <w:tcPr>
            <w:tcW w:w="4860" w:type="dxa"/>
            <w:vAlign w:val="bottom"/>
            <w:tcBorders>
              <w:bottom w:val="single" w:sz="8" w:color="auto"/>
            </w:tcBorders>
          </w:tcPr>
          <w:p>
            <w:pPr>
              <w:spacing w:after="0"/>
              <w:rPr>
                <w:sz w:val="17"/>
                <w:szCs w:val="17"/>
                <w:color w:val="auto"/>
              </w:rPr>
            </w:pPr>
          </w:p>
        </w:tc>
        <w:tc>
          <w:tcPr>
            <w:tcW w:w="3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color w:val="auto"/>
              </w:rPr>
              <w:t>Seating</w:t>
            </w: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4"/>
                <w:szCs w:val="14"/>
                <w:color w:val="auto"/>
              </w:rPr>
              <w:t>E-Systems</w:t>
            </w: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color w:val="auto"/>
              </w:rPr>
              <w:t>Total</w:t>
            </w:r>
          </w:p>
        </w:tc>
      </w:tr>
      <w:tr>
        <w:trPr>
          <w:trHeight w:val="229"/>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North America</w:t>
            </w:r>
          </w:p>
        </w:tc>
        <w:tc>
          <w:tcPr>
            <w:tcW w:w="3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7,797.9</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1,705.5</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9,503.4</w:t>
            </w:r>
          </w:p>
        </w:tc>
      </w:tr>
      <w:tr>
        <w:trPr>
          <w:trHeight w:val="230"/>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 and Africa</w:t>
            </w:r>
          </w:p>
        </w:tc>
        <w:tc>
          <w:tcPr>
            <w:tcW w:w="3100" w:type="dxa"/>
            <w:vAlign w:val="bottom"/>
          </w:tcPr>
          <w:p>
            <w:pPr>
              <w:spacing w:after="0"/>
              <w:rPr>
                <w:sz w:val="19"/>
                <w:szCs w:val="19"/>
                <w:color w:val="auto"/>
              </w:rPr>
            </w:pPr>
          </w:p>
        </w:tc>
        <w:tc>
          <w:tcPr>
            <w:tcW w:w="9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6,167.9</w:t>
            </w:r>
          </w:p>
        </w:tc>
        <w:tc>
          <w:tcPr>
            <w:tcW w:w="260" w:type="dxa"/>
            <w:vAlign w:val="bottom"/>
          </w:tcPr>
          <w:p>
            <w:pPr>
              <w:spacing w:after="0"/>
              <w:rPr>
                <w:sz w:val="19"/>
                <w:szCs w:val="19"/>
                <w:color w:val="auto"/>
              </w:rPr>
            </w:pPr>
          </w:p>
        </w:tc>
        <w:tc>
          <w:tcPr>
            <w:tcW w:w="9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2,444.7</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8,612.6</w:t>
            </w:r>
          </w:p>
        </w:tc>
      </w:tr>
      <w:tr>
        <w:trPr>
          <w:trHeight w:val="230"/>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w:t>
            </w:r>
          </w:p>
        </w:tc>
        <w:tc>
          <w:tcPr>
            <w:tcW w:w="3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2,947.5</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1,497.5</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4,445.0</w:t>
            </w:r>
          </w:p>
        </w:tc>
      </w:tr>
      <w:tr>
        <w:trPr>
          <w:trHeight w:val="230"/>
        </w:trPr>
        <w:tc>
          <w:tcPr>
            <w:tcW w:w="4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South America</w:t>
            </w:r>
          </w:p>
        </w:tc>
        <w:tc>
          <w:tcPr>
            <w:tcW w:w="3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635.5</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270.4</w:t>
            </w: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905.9</w:t>
            </w:r>
          </w:p>
        </w:tc>
      </w:tr>
      <w:tr>
        <w:trPr>
          <w:trHeight w:val="230"/>
        </w:trPr>
        <w:tc>
          <w:tcPr>
            <w:tcW w:w="4860" w:type="dxa"/>
            <w:vAlign w:val="bottom"/>
            <w:tcBorders>
              <w:bottom w:val="single" w:sz="8" w:color="auto"/>
            </w:tcBorders>
            <w:shd w:val="clear" w:color="auto" w:fill="CCEEFF"/>
          </w:tcPr>
          <w:p>
            <w:pPr>
              <w:spacing w:after="0"/>
              <w:rPr>
                <w:sz w:val="20"/>
                <w:szCs w:val="20"/>
                <w:color w:val="auto"/>
              </w:rPr>
            </w:pPr>
          </w:p>
        </w:tc>
        <w:tc>
          <w:tcPr>
            <w:tcW w:w="3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17,548.8</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5,918.1</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23,466.9</w:t>
            </w: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Capital Stock, Accumulated Other Comprehensive Loss and Equity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Stock</w:t>
      </w:r>
    </w:p>
    <w:p>
      <w:pPr>
        <w:spacing w:after="0" w:line="119"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The Company is authorized to issue up to 300,000,000 shares of Common Stock. The Company's Common Stock is listed on the New York Stock Exchange under the symbol "LEA" and has the following rights and privileges:</w:t>
      </w:r>
    </w:p>
    <w:p>
      <w:pPr>
        <w:spacing w:after="0" w:line="1" w:lineRule="exact"/>
        <w:rPr>
          <w:sz w:val="20"/>
          <w:szCs w:val="20"/>
          <w:color w:val="auto"/>
        </w:rPr>
      </w:pPr>
    </w:p>
    <w:p>
      <w:pPr>
        <w:jc w:val="both"/>
        <w:ind w:left="420" w:hanging="250"/>
        <w:spacing w:after="0" w:line="267" w:lineRule="auto"/>
        <w:tabs>
          <w:tab w:leader="none" w:pos="41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Voting Rights </w:t>
      </w:r>
      <w:r>
        <w:rPr>
          <w:rFonts w:ascii="Times New Roman" w:cs="Times New Roman" w:eastAsia="Times New Roman" w:hAnsi="Times New Roman"/>
          <w:sz w:val="18"/>
          <w:szCs w:val="18"/>
          <w:color w:val="auto"/>
        </w:rPr>
        <w:t>– All shares of the Company's common stock have identical rights and privileges. With limited exceptions, holders of common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entitled to one vote for each outstanding share of common stock held of record by each shareholder on all matters properly submitted for the vote of the Company's shareholders.</w:t>
      </w:r>
    </w:p>
    <w:p>
      <w:pPr>
        <w:spacing w:after="0" w:line="11" w:lineRule="exact"/>
        <w:rPr>
          <w:rFonts w:ascii="Times New Roman" w:cs="Times New Roman" w:eastAsia="Times New Roman" w:hAnsi="Times New Roman"/>
          <w:sz w:val="18"/>
          <w:szCs w:val="18"/>
          <w:color w:val="auto"/>
        </w:rPr>
      </w:pPr>
    </w:p>
    <w:p>
      <w:pPr>
        <w:jc w:val="both"/>
        <w:ind w:left="420" w:hanging="250"/>
        <w:spacing w:after="0" w:line="267" w:lineRule="auto"/>
        <w:tabs>
          <w:tab w:leader="none" w:pos="41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Dividend Rights </w:t>
      </w:r>
      <w:r>
        <w:rPr>
          <w:rFonts w:ascii="Times New Roman" w:cs="Times New Roman" w:eastAsia="Times New Roman" w:hAnsi="Times New Roman"/>
          <w:sz w:val="18"/>
          <w:szCs w:val="18"/>
          <w:color w:val="auto"/>
        </w:rPr>
        <w:t>– Subject to applicable law, any contractual restrictions and the rights of the holders of outstanding preferred stock, if any, holders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are entitled to receive ratably such dividends and other distributions that the Company's Board of Directors (the "Board"), in its discretion, declares from time to time.</w:t>
      </w:r>
    </w:p>
    <w:p>
      <w:pPr>
        <w:spacing w:after="0" w:line="11" w:lineRule="exact"/>
        <w:rPr>
          <w:rFonts w:ascii="Times New Roman" w:cs="Times New Roman" w:eastAsia="Times New Roman" w:hAnsi="Times New Roman"/>
          <w:sz w:val="18"/>
          <w:szCs w:val="18"/>
          <w:color w:val="auto"/>
        </w:rPr>
      </w:pPr>
    </w:p>
    <w:p>
      <w:pPr>
        <w:jc w:val="both"/>
        <w:ind w:left="420" w:hanging="250"/>
        <w:spacing w:after="0" w:line="267" w:lineRule="auto"/>
        <w:tabs>
          <w:tab w:leader="none" w:pos="41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Liquidation Rights </w:t>
      </w:r>
      <w:r>
        <w:rPr>
          <w:rFonts w:ascii="Times New Roman" w:cs="Times New Roman" w:eastAsia="Times New Roman" w:hAnsi="Times New Roman"/>
          <w:sz w:val="18"/>
          <w:szCs w:val="18"/>
          <w:color w:val="auto"/>
        </w:rPr>
        <w:t>– Upon the dissolution, liquidation or winding up of the Company, subject to the rights of the holders of outstanding preferred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if any, holders of common stock are entitled to receive ratably the assets of the Company available for distribution to the Company's shareholders in proportion to the number of shares of common stock held by each shareholder.</w:t>
      </w:r>
    </w:p>
    <w:p>
      <w:pPr>
        <w:spacing w:after="0" w:line="11" w:lineRule="exact"/>
        <w:rPr>
          <w:rFonts w:ascii="Times New Roman" w:cs="Times New Roman" w:eastAsia="Times New Roman" w:hAnsi="Times New Roman"/>
          <w:sz w:val="18"/>
          <w:szCs w:val="18"/>
          <w:color w:val="auto"/>
        </w:rPr>
      </w:pPr>
    </w:p>
    <w:p>
      <w:pPr>
        <w:ind w:left="420" w:hanging="250"/>
        <w:spacing w:after="0" w:line="284" w:lineRule="auto"/>
        <w:tabs>
          <w:tab w:leader="none" w:pos="41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Conversion, Redemption and Preemptive Rights </w:t>
      </w:r>
      <w:r>
        <w:rPr>
          <w:rFonts w:ascii="Times New Roman" w:cs="Times New Roman" w:eastAsia="Times New Roman" w:hAnsi="Times New Roman"/>
          <w:sz w:val="18"/>
          <w:szCs w:val="18"/>
          <w:color w:val="auto"/>
        </w:rPr>
        <w:t>– Holders of common stock have no conversion, redemption, sinking fund, preemptive, subscription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similar rights.</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Lear Corporation 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Common Stock Share Repurchase Program</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may implement share repurchases through a variety of methods, including, but not limited to, open market purchases, accelerated stock repurchase programs and structured repurchase transactions. The extent to which the Company may repurchase its outstanding common stock and the timing of such repurchases will depend upon its financial condition, results of operations, capital requirements, prevailing market conditions, alternative uses of capital and other factors.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a common stock share repurchase program (the "Repurchase Program") which permits the discretionary repurchase of its common stock. Since the inception of the Repurchase Program in the first quarter of 2011, the Board has authorized $6.7 billion in share repurchases. As of December 31, 2025, the Company has repurchased, in aggregate, $5.9 billion of its outstanding common stock, at an average price of $95.01 per share, excluding commissions and related fees, and has a remaining repurchase authorization of $774.7 million, which expires on December 31, 2026.</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 repurchases are shown below (in millions, except for shares and per share amounts):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20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For the year ended December 31,</w:t>
            </w:r>
          </w:p>
        </w:tc>
        <w:tc>
          <w:tcPr>
            <w:tcW w:w="1720" w:type="dxa"/>
            <w:vAlign w:val="bottom"/>
            <w:tcBorders>
              <w:top w:val="single" w:sz="8" w:color="auto"/>
            </w:tcBorders>
            <w:gridSpan w:val="2"/>
          </w:tcPr>
          <w:p>
            <w:pPr>
              <w:ind w:left="280"/>
              <w:spacing w:after="0"/>
              <w:rPr>
                <w:sz w:val="20"/>
                <w:szCs w:val="20"/>
                <w:color w:val="auto"/>
              </w:rPr>
            </w:pPr>
            <w:r>
              <w:rPr>
                <w:rFonts w:ascii="Times New Roman" w:cs="Times New Roman" w:eastAsia="Times New Roman" w:hAnsi="Times New Roman"/>
                <w:sz w:val="14"/>
                <w:szCs w:val="14"/>
                <w:color w:val="auto"/>
              </w:rPr>
              <w:t>Aggregate Repurchases</w:t>
            </w:r>
          </w:p>
        </w:tc>
        <w:tc>
          <w:tcPr>
            <w:tcW w:w="22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color w:val="auto"/>
              </w:rPr>
              <w:t>Cash paid for</w:t>
            </w:r>
          </w:p>
        </w:tc>
        <w:tc>
          <w:tcPr>
            <w:tcW w:w="1460" w:type="dxa"/>
            <w:vAlign w:val="bottom"/>
            <w:tcBorders>
              <w:top w:val="single" w:sz="8" w:color="auto"/>
            </w:tcBorders>
            <w:vMerge w:val="restart"/>
          </w:tcPr>
          <w:p>
            <w:pPr>
              <w:jc w:val="right"/>
              <w:ind w:right="155"/>
              <w:spacing w:after="0"/>
              <w:rPr>
                <w:sz w:val="20"/>
                <w:szCs w:val="20"/>
                <w:color w:val="auto"/>
              </w:rPr>
            </w:pPr>
            <w:r>
              <w:rPr>
                <w:rFonts w:ascii="Times New Roman" w:cs="Times New Roman" w:eastAsia="Times New Roman" w:hAnsi="Times New Roman"/>
                <w:sz w:val="14"/>
                <w:szCs w:val="14"/>
                <w:color w:val="auto"/>
              </w:rPr>
              <w:t>Number of Shares</w:t>
            </w:r>
          </w:p>
        </w:tc>
        <w:tc>
          <w:tcPr>
            <w:tcW w:w="2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ind w:right="237"/>
              <w:spacing w:after="0"/>
              <w:rPr>
                <w:sz w:val="20"/>
                <w:szCs w:val="20"/>
                <w:color w:val="auto"/>
              </w:rPr>
            </w:pPr>
            <w:r>
              <w:rPr>
                <w:rFonts w:ascii="Times New Roman" w:cs="Times New Roman" w:eastAsia="Times New Roman" w:hAnsi="Times New Roman"/>
                <w:sz w:val="14"/>
                <w:szCs w:val="14"/>
                <w:color w:val="auto"/>
              </w:rPr>
              <w:t>Average Price</w:t>
            </w:r>
          </w:p>
        </w:tc>
        <w:tc>
          <w:tcPr>
            <w:tcW w:w="0" w:type="dxa"/>
            <w:vAlign w:val="bottom"/>
          </w:tcPr>
          <w:p>
            <w:pPr>
              <w:spacing w:after="0"/>
              <w:rPr>
                <w:sz w:val="1"/>
                <w:szCs w:val="1"/>
                <w:color w:val="auto"/>
              </w:rPr>
            </w:pPr>
          </w:p>
        </w:tc>
      </w:tr>
      <w:tr>
        <w:trPr>
          <w:trHeight w:val="162"/>
        </w:trPr>
        <w:tc>
          <w:tcPr>
            <w:tcW w:w="2200" w:type="dxa"/>
            <w:vAlign w:val="bottom"/>
            <w:tcBorders>
              <w:bottom w:val="single" w:sz="8" w:color="auto"/>
            </w:tcBorders>
            <w:vMerge w:val="continue"/>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641"/>
              <w:spacing w:after="0"/>
              <w:rPr>
                <w:sz w:val="20"/>
                <w:szCs w:val="20"/>
                <w:color w:val="auto"/>
              </w:rPr>
            </w:pPr>
            <w:r>
              <w:rPr>
                <w:rFonts w:ascii="Times New Roman" w:cs="Times New Roman" w:eastAsia="Times New Roman" w:hAnsi="Times New Roman"/>
                <w:sz w:val="9"/>
                <w:szCs w:val="9"/>
                <w:color w:val="auto"/>
              </w:rPr>
              <w:t>(1)</w:t>
            </w:r>
          </w:p>
        </w:tc>
        <w:tc>
          <w:tcPr>
            <w:tcW w:w="2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237"/>
              <w:spacing w:after="0" w:line="162" w:lineRule="exact"/>
              <w:rPr>
                <w:sz w:val="20"/>
                <w:szCs w:val="20"/>
                <w:color w:val="auto"/>
              </w:rPr>
            </w:pPr>
            <w:r>
              <w:rPr>
                <w:rFonts w:ascii="Times New Roman" w:cs="Times New Roman" w:eastAsia="Times New Roman" w:hAnsi="Times New Roman"/>
                <w:sz w:val="14"/>
                <w:szCs w:val="14"/>
                <w:color w:val="auto"/>
                <w:w w:val="96"/>
              </w:rPr>
              <w:t xml:space="preserve">Repurchases </w:t>
            </w:r>
            <w:r>
              <w:rPr>
                <w:rFonts w:ascii="Times New Roman" w:cs="Times New Roman" w:eastAsia="Times New Roman" w:hAnsi="Times New Roman"/>
                <w:sz w:val="18"/>
                <w:szCs w:val="18"/>
                <w:color w:val="auto"/>
                <w:w w:val="96"/>
                <w:vertAlign w:val="superscript"/>
              </w:rPr>
              <w:t>(1), (2)</w:t>
            </w:r>
          </w:p>
        </w:tc>
        <w:tc>
          <w:tcPr>
            <w:tcW w:w="146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297"/>
              <w:spacing w:after="0" w:line="162" w:lineRule="exact"/>
              <w:rPr>
                <w:sz w:val="20"/>
                <w:szCs w:val="20"/>
                <w:color w:val="auto"/>
              </w:rPr>
            </w:pPr>
            <w:r>
              <w:rPr>
                <w:rFonts w:ascii="Times New Roman" w:cs="Times New Roman" w:eastAsia="Times New Roman" w:hAnsi="Times New Roman"/>
                <w:sz w:val="14"/>
                <w:szCs w:val="14"/>
                <w:color w:val="auto"/>
              </w:rPr>
              <w:t xml:space="preserve">per Share </w:t>
            </w:r>
            <w:r>
              <w:rPr>
                <w:rFonts w:ascii="Times New Roman" w:cs="Times New Roman" w:eastAsia="Times New Roman" w:hAnsi="Times New Roman"/>
                <w:sz w:val="18"/>
                <w:szCs w:val="18"/>
                <w:color w:val="auto"/>
                <w:vertAlign w:val="superscript"/>
              </w:rPr>
              <w:t>(1)</w:t>
            </w:r>
          </w:p>
        </w:tc>
        <w:tc>
          <w:tcPr>
            <w:tcW w:w="0" w:type="dxa"/>
            <w:vAlign w:val="bottom"/>
          </w:tcPr>
          <w:p>
            <w:pPr>
              <w:spacing w:after="0"/>
              <w:rPr>
                <w:sz w:val="1"/>
                <w:szCs w:val="1"/>
                <w:color w:val="auto"/>
              </w:rPr>
            </w:pPr>
          </w:p>
        </w:tc>
      </w:tr>
      <w:tr>
        <w:trPr>
          <w:trHeight w:val="223"/>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6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325.2</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rPr>
              <w:t>325.2</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3,135,460</w:t>
            </w: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103.71</w:t>
            </w:r>
          </w:p>
        </w:tc>
        <w:tc>
          <w:tcPr>
            <w:tcW w:w="0" w:type="dxa"/>
            <w:vAlign w:val="bottom"/>
          </w:tcPr>
          <w:p>
            <w:pPr>
              <w:spacing w:after="0"/>
              <w:rPr>
                <w:sz w:val="1"/>
                <w:szCs w:val="1"/>
                <w:color w:val="auto"/>
              </w:rPr>
            </w:pPr>
          </w:p>
        </w:tc>
      </w:tr>
      <w:tr>
        <w:trPr>
          <w:trHeight w:val="230"/>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41"/>
              <w:spacing w:after="0"/>
              <w:rPr>
                <w:sz w:val="20"/>
                <w:szCs w:val="20"/>
                <w:color w:val="auto"/>
              </w:rPr>
            </w:pPr>
            <w:r>
              <w:rPr>
                <w:rFonts w:ascii="Times New Roman" w:cs="Times New Roman" w:eastAsia="Times New Roman" w:hAnsi="Times New Roman"/>
                <w:sz w:val="18"/>
                <w:szCs w:val="18"/>
                <w:color w:val="auto"/>
              </w:rPr>
              <w:t>400.1</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97"/>
              <w:spacing w:after="0"/>
              <w:rPr>
                <w:sz w:val="20"/>
                <w:szCs w:val="20"/>
                <w:color w:val="auto"/>
              </w:rPr>
            </w:pPr>
            <w:r>
              <w:rPr>
                <w:rFonts w:ascii="Times New Roman" w:cs="Times New Roman" w:eastAsia="Times New Roman" w:hAnsi="Times New Roman"/>
                <w:sz w:val="18"/>
                <w:szCs w:val="18"/>
                <w:color w:val="auto"/>
              </w:rPr>
              <w:t>416.7</w:t>
            </w:r>
          </w:p>
        </w:tc>
        <w:tc>
          <w:tcPr>
            <w:tcW w:w="14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3,578,167</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111.81</w:t>
            </w:r>
          </w:p>
        </w:tc>
        <w:tc>
          <w:tcPr>
            <w:tcW w:w="0" w:type="dxa"/>
            <w:vAlign w:val="bottom"/>
          </w:tcPr>
          <w:p>
            <w:pPr>
              <w:spacing w:after="0"/>
              <w:rPr>
                <w:sz w:val="1"/>
                <w:szCs w:val="1"/>
                <w:color w:val="auto"/>
              </w:rPr>
            </w:pPr>
          </w:p>
        </w:tc>
      </w:tr>
      <w:tr>
        <w:trPr>
          <w:trHeight w:val="237"/>
        </w:trPr>
        <w:tc>
          <w:tcPr>
            <w:tcW w:w="2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620" w:type="dxa"/>
            <w:vAlign w:val="bottom"/>
            <w:tcBorders>
              <w:bottom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313.1</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rPr>
              <w:t>296.5</w:t>
            </w:r>
          </w:p>
        </w:tc>
        <w:tc>
          <w:tcPr>
            <w:tcW w:w="146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2,281,723</w:t>
            </w: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137.21</w:t>
            </w: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300" w:hanging="292"/>
        <w:spacing w:after="0"/>
        <w:tabs>
          <w:tab w:leader="none" w:pos="300" w:val="left"/>
        </w:tabs>
        <w:numPr>
          <w:ilvl w:val="0"/>
          <w:numId w:val="4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Excludes excise tax and commissions.</w:t>
      </w:r>
    </w:p>
    <w:p>
      <w:pPr>
        <w:ind w:left="240" w:hanging="232"/>
        <w:spacing w:after="0"/>
        <w:tabs>
          <w:tab w:leader="none" w:pos="240" w:val="left"/>
        </w:tabs>
        <w:numPr>
          <w:ilvl w:val="0"/>
          <w:numId w:val="40"/>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Includes $16.6 million of 2023 share repurchases paid for in the first quarter of 2024.</w:t>
      </w: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shares repurchased under the Repurchase Program described above, the Company classifies shares withheld from the settlement of the Company's restricted stock unit and performance share awards to cover tax withholding requirements as common stock held in treasury in the consolidated balance sheet.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Quarterly Dividend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2025, 2024 and 2023, the Board declared a quarterly cash dividend of $0.77 per share of common stock in all quarters.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Dividends declared and paid are shown below (in millions):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7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For the year ended December 31,</w:t>
            </w:r>
          </w:p>
        </w:tc>
        <w:tc>
          <w:tcPr>
            <w:tcW w:w="112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color w:val="auto"/>
              </w:rPr>
              <w:t>2025</w:t>
            </w:r>
          </w:p>
        </w:tc>
        <w:tc>
          <w:tcPr>
            <w:tcW w:w="3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color w:val="auto"/>
              </w:rPr>
              <w:t>2024</w:t>
            </w:r>
          </w:p>
        </w:tc>
        <w:tc>
          <w:tcPr>
            <w:tcW w:w="3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color w:val="auto"/>
              </w:rPr>
              <w:t>2023</w:t>
            </w:r>
          </w:p>
        </w:tc>
      </w:tr>
      <w:tr>
        <w:trPr>
          <w:trHeight w:val="230"/>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declared</w:t>
            </w:r>
          </w:p>
        </w:tc>
        <w:tc>
          <w:tcPr>
            <w:tcW w:w="11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168.2</w:t>
            </w:r>
          </w:p>
        </w:tc>
        <w:tc>
          <w:tcPr>
            <w:tcW w:w="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174.7</w:t>
            </w:r>
          </w:p>
        </w:tc>
        <w:tc>
          <w:tcPr>
            <w:tcW w:w="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184.5</w:t>
            </w:r>
          </w:p>
        </w:tc>
      </w:tr>
      <w:tr>
        <w:trPr>
          <w:trHeight w:val="236"/>
        </w:trPr>
        <w:tc>
          <w:tcPr>
            <w:tcW w:w="2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Dividends paid</w:t>
            </w:r>
          </w:p>
        </w:tc>
        <w:tc>
          <w:tcPr>
            <w:tcW w:w="11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164.8</w:t>
            </w:r>
          </w:p>
        </w:tc>
        <w:tc>
          <w:tcPr>
            <w:tcW w:w="3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173.7</w:t>
            </w:r>
          </w:p>
        </w:tc>
        <w:tc>
          <w:tcPr>
            <w:tcW w:w="3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181.9</w:t>
            </w:r>
          </w:p>
        </w:tc>
      </w:tr>
    </w:tbl>
    <w:p>
      <w:pPr>
        <w:spacing w:after="0" w:line="18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Dividends payable on common shares to be distributed under the Company's stock-based compensation program will be paid when such common shares are distributed.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Comprehensive Income</w:t>
      </w:r>
    </w:p>
    <w:p>
      <w:pPr>
        <w:spacing w:after="0" w:line="1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Comprehensive income is defined as all changes in the Company's net assets except changes resulting from transactions with shareholders. It differs from net income in that certain items recorded in equity are included in comprehensive income.</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Lear Corporation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Accumulated Other Comprehensive Loss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changes in accumulated other comprehensive loss, net of tax, is shown below (in millions):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7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For the year ended December 31,</w:t>
            </w: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color w:val="auto"/>
              </w:rPr>
              <w:t>2025</w:t>
            </w:r>
          </w:p>
        </w:tc>
        <w:tc>
          <w:tcPr>
            <w:tcW w:w="3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color w:val="auto"/>
              </w:rPr>
              <w:t>2024</w:t>
            </w:r>
          </w:p>
        </w:tc>
        <w:tc>
          <w:tcPr>
            <w:tcW w:w="3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color w:val="auto"/>
              </w:rPr>
              <w:t>2023</w:t>
            </w:r>
          </w:p>
        </w:tc>
      </w:tr>
      <w:tr>
        <w:trPr>
          <w:trHeight w:val="230"/>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Defined benefit plans: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9"/>
        </w:trPr>
        <w:tc>
          <w:tcPr>
            <w:tcW w:w="7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w:t>
            </w:r>
          </w:p>
        </w:tc>
      </w:tr>
      <w:tr>
        <w:trPr>
          <w:trHeight w:val="176"/>
        </w:trPr>
        <w:tc>
          <w:tcPr>
            <w:tcW w:w="770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Reclassification adjustments (net of tax benefit (expense) of $0.7 million in 2025, ($1.5) million in</w:t>
            </w: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243"/>
        </w:trPr>
        <w:tc>
          <w:tcPr>
            <w:tcW w:w="7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2024 and $0.2 million in 2023)</w:t>
            </w: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32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4.4</w:t>
            </w:r>
          </w:p>
        </w:tc>
        <w:tc>
          <w:tcPr>
            <w:tcW w:w="3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176"/>
        </w:trPr>
        <w:tc>
          <w:tcPr>
            <w:tcW w:w="770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Other comprehensive income (loss) recognized during the period (net of tax benefit (expense) of $4.3</w:t>
            </w: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243"/>
        </w:trPr>
        <w:tc>
          <w:tcPr>
            <w:tcW w:w="77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million in 2025, ($3.0) million in 2024 and $2.0 million in 2023)</w:t>
            </w: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3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11.8</w:t>
            </w:r>
          </w:p>
        </w:tc>
        <w:tc>
          <w:tcPr>
            <w:tcW w:w="3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23"/>
        </w:trPr>
        <w:tc>
          <w:tcPr>
            <w:tcW w:w="770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Balance at end of year</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w:t>
            </w:r>
          </w:p>
        </w:tc>
      </w:tr>
      <w:tr>
        <w:trPr>
          <w:trHeight w:val="223"/>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instruments and hedge activities:</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9"/>
        </w:trPr>
        <w:tc>
          <w:tcPr>
            <w:tcW w:w="7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(133.7)</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107.9</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r>
      <w:tr>
        <w:trPr>
          <w:trHeight w:val="176"/>
        </w:trPr>
        <w:tc>
          <w:tcPr>
            <w:tcW w:w="770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Reclassification adjustments (net of tax benefit of $4.9 million in 2025, $20.0 million in 2024 and</w:t>
            </w: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243"/>
        </w:trPr>
        <w:tc>
          <w:tcPr>
            <w:tcW w:w="7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$35.1 million in 2023)</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3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3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(141.3)</w:t>
            </w:r>
          </w:p>
        </w:tc>
      </w:tr>
      <w:tr>
        <w:trPr>
          <w:trHeight w:val="176"/>
        </w:trPr>
        <w:tc>
          <w:tcPr>
            <w:tcW w:w="770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Other comprehensive income (loss) recognized during the period (net of tax benefit (expense) of</w:t>
            </w: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243"/>
        </w:trPr>
        <w:tc>
          <w:tcPr>
            <w:tcW w:w="770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($78.7) million in 2025, $41.1 million in 2024 and ($51.0) million in 2023)</w:t>
            </w:r>
          </w:p>
        </w:tc>
        <w:tc>
          <w:tcPr>
            <w:tcW w:w="2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298.3</w:t>
            </w:r>
          </w:p>
        </w:tc>
        <w:tc>
          <w:tcPr>
            <w:tcW w:w="3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(164.4)</w:t>
            </w:r>
          </w:p>
        </w:tc>
        <w:tc>
          <w:tcPr>
            <w:tcW w:w="32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215.8</w:t>
            </w:r>
          </w:p>
        </w:tc>
      </w:tr>
      <w:tr>
        <w:trPr>
          <w:trHeight w:val="223"/>
        </w:trPr>
        <w:tc>
          <w:tcPr>
            <w:tcW w:w="77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Balance at end of year</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146.2</w:t>
            </w:r>
          </w:p>
        </w:tc>
        <w:tc>
          <w:tcPr>
            <w:tcW w:w="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(133.7)</w:t>
            </w:r>
          </w:p>
        </w:tc>
        <w:tc>
          <w:tcPr>
            <w:tcW w:w="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107.9</w:t>
            </w:r>
          </w:p>
        </w:tc>
      </w:tr>
      <w:tr>
        <w:trPr>
          <w:trHeight w:val="223"/>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9"/>
        </w:trPr>
        <w:tc>
          <w:tcPr>
            <w:tcW w:w="7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(908.9)</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(689.4)</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(742.8)</w:t>
            </w:r>
          </w:p>
        </w:tc>
      </w:tr>
      <w:tr>
        <w:trPr>
          <w:trHeight w:val="176"/>
        </w:trPr>
        <w:tc>
          <w:tcPr>
            <w:tcW w:w="770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Other comprehensive income (loss) recognized during the period (net of tax benefit (expense) of $4.9</w:t>
            </w: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243"/>
        </w:trPr>
        <w:tc>
          <w:tcPr>
            <w:tcW w:w="770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million in 2025, ($1.7) million in 2024 and $1.2 million in 2023)</w:t>
            </w:r>
          </w:p>
        </w:tc>
        <w:tc>
          <w:tcPr>
            <w:tcW w:w="2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319.1</w:t>
            </w:r>
          </w:p>
        </w:tc>
        <w:tc>
          <w:tcPr>
            <w:tcW w:w="3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(219.5)</w:t>
            </w:r>
          </w:p>
        </w:tc>
        <w:tc>
          <w:tcPr>
            <w:tcW w:w="32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w:t>
            </w:r>
          </w:p>
        </w:tc>
      </w:tr>
      <w:tr>
        <w:trPr>
          <w:trHeight w:val="223"/>
        </w:trPr>
        <w:tc>
          <w:tcPr>
            <w:tcW w:w="77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Balance at end of year</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(589.8)</w:t>
            </w:r>
          </w:p>
        </w:tc>
        <w:tc>
          <w:tcPr>
            <w:tcW w:w="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(908.9)</w:t>
            </w:r>
          </w:p>
        </w:tc>
        <w:tc>
          <w:tcPr>
            <w:tcW w:w="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(689.4)</w:t>
            </w:r>
          </w:p>
        </w:tc>
      </w:tr>
      <w:tr>
        <w:trPr>
          <w:trHeight w:val="250"/>
        </w:trPr>
        <w:tc>
          <w:tcPr>
            <w:tcW w:w="770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spacing w:after="0"/>
              <w:rPr>
                <w:sz w:val="21"/>
                <w:szCs w:val="21"/>
                <w:color w:val="auto"/>
              </w:rPr>
            </w:pPr>
          </w:p>
        </w:tc>
      </w:tr>
      <w:tr>
        <w:trPr>
          <w:trHeight w:val="230"/>
        </w:trPr>
        <w:tc>
          <w:tcPr>
            <w:tcW w:w="77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Total accumulated other comprehensive loss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(544.3)</w:t>
            </w:r>
          </w:p>
        </w:tc>
        <w:tc>
          <w:tcPr>
            <w:tcW w:w="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(1,133.7)</w:t>
            </w:r>
          </w:p>
        </w:tc>
        <w:tc>
          <w:tcPr>
            <w:tcW w:w="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(688.8)</w:t>
            </w:r>
          </w:p>
        </w:tc>
      </w:tr>
    </w:tbl>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2025, 2024 and 2023, other comprehensive income (loss) related to currency translation adjustments includes pretax losses related to intercompany transactions for which settlement is not planned or anticipated in the foreseeable future of $1.0 million, $0.6 million and $0.1 million, respectively, and net investment hedge gains (losses) of ($23.2) million, $8.2 million and ($5.9) million,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Stock-Based Compensation</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November 9, 2009, the Company adopted the Lear Corporation 2009 Long-Term Stock Incentive Plan (as amended, the "2009 LTSIP"). The 2009 LTSIP reserved 11,815,748 shares of common stock for issuance under stock option, restricted stock, restricted stock unit, restricted unit, performance share, performance unit and stock appreciation right awards. As of May 16, 2019, the Company adopted the Lear Corporation 2019 Long-Term Stock Incentive Plan (the "2019 LTSIP," and together with the 2009 LTSIP, the "Plans"), after which no awards will be issued under the 2009 LTSIP. The 2019 LTSIP reserves 4,226,858 shares of common stock plus shares of common stock awarded under the 2009 LTSIP that are cancelled subsequent to May 16, 2019, for issuance under stock option, restricted stock, restricted stock unit, restricted unit, performance share, performance unit and stock appreciation right awards.</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the Plans, the Company has granted restricted stock units, performance shares and stock options to certain of its employees, all of which generally vest in one to three years following the grant date. For the years ended December 31, 2025, 2024 and 2023, the Company recognized compensation expense related to these awards of $64.2 million, $62.8 million and $65.8 million, respectively. Unrecognized compensation expense related to these awards of $58.5 million will be recognized over the next 1.5 years on a weighted average basis. In accordance with the provisions of the awards, the Company withholds shares from the settlement of such awards to cover minimum statutory tax withholding requirements. The withheld shares are classified as common stock held in treasury in the accompanying consolidated balance sheets as of December 31, 2025 and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Lear Corporation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restricted stock units, performance shares and stock options for the year ended December 31, 2025, is shown below:</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60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vMerge w:val="restart"/>
          </w:tcPr>
          <w:p>
            <w:pPr>
              <w:jc w:val="right"/>
              <w:ind w:right="335"/>
              <w:spacing w:after="0"/>
              <w:rPr>
                <w:sz w:val="20"/>
                <w:szCs w:val="20"/>
                <w:color w:val="auto"/>
              </w:rPr>
            </w:pPr>
            <w:r>
              <w:rPr>
                <w:rFonts w:ascii="Times New Roman" w:cs="Times New Roman" w:eastAsia="Times New Roman" w:hAnsi="Times New Roman"/>
                <w:sz w:val="14"/>
                <w:szCs w:val="14"/>
                <w:color w:val="auto"/>
              </w:rPr>
              <w:t>Restricted</w:t>
            </w:r>
          </w:p>
        </w:tc>
        <w:tc>
          <w:tcPr>
            <w:tcW w:w="12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Weighted Average</w:t>
            </w:r>
          </w:p>
        </w:tc>
        <w:tc>
          <w:tcPr>
            <w:tcW w:w="1240" w:type="dxa"/>
            <w:vAlign w:val="bottom"/>
            <w:tcBorders>
              <w:top w:val="single" w:sz="8" w:color="auto"/>
            </w:tcBorders>
            <w:vMerge w:val="restart"/>
          </w:tcPr>
          <w:p>
            <w:pPr>
              <w:jc w:val="right"/>
              <w:ind w:right="175"/>
              <w:spacing w:after="0"/>
              <w:rPr>
                <w:sz w:val="20"/>
                <w:szCs w:val="20"/>
                <w:color w:val="auto"/>
              </w:rPr>
            </w:pPr>
            <w:r>
              <w:rPr>
                <w:rFonts w:ascii="Times New Roman" w:cs="Times New Roman" w:eastAsia="Times New Roman" w:hAnsi="Times New Roman"/>
                <w:sz w:val="14"/>
                <w:szCs w:val="14"/>
                <w:color w:val="auto"/>
              </w:rPr>
              <w:t>Performance</w:t>
            </w:r>
          </w:p>
        </w:tc>
        <w:tc>
          <w:tcPr>
            <w:tcW w:w="13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Weighted Average</w:t>
            </w:r>
          </w:p>
        </w:tc>
        <w:tc>
          <w:tcPr>
            <w:tcW w:w="122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jc w:val="center"/>
              <w:ind w:left="21"/>
              <w:spacing w:after="0"/>
              <w:rPr>
                <w:sz w:val="20"/>
                <w:szCs w:val="20"/>
                <w:color w:val="auto"/>
              </w:rPr>
            </w:pPr>
            <w:r>
              <w:rPr>
                <w:rFonts w:ascii="Times New Roman" w:cs="Times New Roman" w:eastAsia="Times New Roman" w:hAnsi="Times New Roman"/>
                <w:sz w:val="14"/>
                <w:szCs w:val="14"/>
                <w:color w:val="auto"/>
              </w:rPr>
              <w:t>Weighted Average</w:t>
            </w:r>
          </w:p>
        </w:tc>
        <w:tc>
          <w:tcPr>
            <w:tcW w:w="0" w:type="dxa"/>
            <w:vAlign w:val="bottom"/>
          </w:tcPr>
          <w:p>
            <w:pPr>
              <w:spacing w:after="0"/>
              <w:rPr>
                <w:sz w:val="1"/>
                <w:szCs w:val="1"/>
                <w:color w:val="auto"/>
              </w:rPr>
            </w:pPr>
          </w:p>
        </w:tc>
      </w:tr>
      <w:tr>
        <w:trPr>
          <w:trHeight w:val="144"/>
        </w:trPr>
        <w:tc>
          <w:tcPr>
            <w:tcW w:w="360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1240" w:type="dxa"/>
            <w:vAlign w:val="bottom"/>
            <w:tcBorders>
              <w:right w:val="single" w:sz="8" w:color="auto"/>
            </w:tcBorders>
          </w:tcPr>
          <w:p>
            <w:pPr>
              <w:jc w:val="center"/>
              <w:spacing w:after="0" w:line="145" w:lineRule="exact"/>
              <w:rPr>
                <w:sz w:val="20"/>
                <w:szCs w:val="20"/>
                <w:color w:val="auto"/>
              </w:rPr>
            </w:pPr>
            <w:r>
              <w:rPr>
                <w:rFonts w:ascii="Times New Roman" w:cs="Times New Roman" w:eastAsia="Times New Roman" w:hAnsi="Times New Roman"/>
                <w:sz w:val="14"/>
                <w:szCs w:val="14"/>
                <w:color w:val="auto"/>
              </w:rPr>
              <w:t>Grant Date</w:t>
            </w:r>
          </w:p>
        </w:tc>
        <w:tc>
          <w:tcPr>
            <w:tcW w:w="1240" w:type="dxa"/>
            <w:vAlign w:val="bottom"/>
            <w:vMerge w:val="continue"/>
          </w:tcPr>
          <w:p>
            <w:pPr>
              <w:spacing w:after="0"/>
              <w:rPr>
                <w:sz w:val="12"/>
                <w:szCs w:val="12"/>
                <w:color w:val="auto"/>
              </w:rPr>
            </w:pPr>
          </w:p>
        </w:tc>
        <w:tc>
          <w:tcPr>
            <w:tcW w:w="1340" w:type="dxa"/>
            <w:vAlign w:val="bottom"/>
            <w:tcBorders>
              <w:right w:val="single" w:sz="8" w:color="auto"/>
            </w:tcBorders>
          </w:tcPr>
          <w:p>
            <w:pPr>
              <w:jc w:val="center"/>
              <w:spacing w:after="0" w:line="145" w:lineRule="exact"/>
              <w:rPr>
                <w:sz w:val="20"/>
                <w:szCs w:val="20"/>
                <w:color w:val="auto"/>
              </w:rPr>
            </w:pPr>
            <w:r>
              <w:rPr>
                <w:rFonts w:ascii="Times New Roman" w:cs="Times New Roman" w:eastAsia="Times New Roman" w:hAnsi="Times New Roman"/>
                <w:sz w:val="14"/>
                <w:szCs w:val="14"/>
                <w:color w:val="auto"/>
              </w:rPr>
              <w:t>Grant Date</w:t>
            </w:r>
          </w:p>
        </w:tc>
        <w:tc>
          <w:tcPr>
            <w:tcW w:w="1220" w:type="dxa"/>
            <w:vAlign w:val="bottom"/>
            <w:vMerge w:val="restart"/>
          </w:tcPr>
          <w:p>
            <w:pPr>
              <w:jc w:val="right"/>
              <w:ind w:right="113"/>
              <w:spacing w:after="0"/>
              <w:rPr>
                <w:sz w:val="20"/>
                <w:szCs w:val="20"/>
                <w:color w:val="auto"/>
              </w:rPr>
            </w:pPr>
            <w:r>
              <w:rPr>
                <w:rFonts w:ascii="Times New Roman" w:cs="Times New Roman" w:eastAsia="Times New Roman" w:hAnsi="Times New Roman"/>
                <w:sz w:val="14"/>
                <w:szCs w:val="14"/>
                <w:color w:val="auto"/>
              </w:rPr>
              <w:t>Stock Options</w:t>
            </w:r>
          </w:p>
        </w:tc>
        <w:tc>
          <w:tcPr>
            <w:tcW w:w="132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Grant Date</w:t>
            </w:r>
          </w:p>
        </w:tc>
        <w:tc>
          <w:tcPr>
            <w:tcW w:w="0" w:type="dxa"/>
            <w:vAlign w:val="bottom"/>
          </w:tcPr>
          <w:p>
            <w:pPr>
              <w:spacing w:after="0"/>
              <w:rPr>
                <w:sz w:val="1"/>
                <w:szCs w:val="1"/>
                <w:color w:val="auto"/>
              </w:rPr>
            </w:pPr>
          </w:p>
        </w:tc>
      </w:tr>
      <w:tr>
        <w:trPr>
          <w:trHeight w:val="198"/>
        </w:trPr>
        <w:tc>
          <w:tcPr>
            <w:tcW w:w="36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color w:val="auto"/>
              </w:rPr>
              <w:t>Stock Units</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Fair Value</w:t>
            </w:r>
          </w:p>
        </w:tc>
        <w:tc>
          <w:tcPr>
            <w:tcW w:w="124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color w:val="auto"/>
              </w:rPr>
              <w:t>Shares</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Fair Value</w:t>
            </w:r>
          </w:p>
        </w:tc>
        <w:tc>
          <w:tcPr>
            <w:tcW w:w="1220" w:type="dxa"/>
            <w:vAlign w:val="bottom"/>
            <w:tcBorders>
              <w:bottom w:val="single" w:sz="8" w:color="auto"/>
            </w:tcBorders>
            <w:vMerge w:val="continue"/>
          </w:tcPr>
          <w:p>
            <w:pPr>
              <w:spacing w:after="0"/>
              <w:rPr>
                <w:sz w:val="17"/>
                <w:szCs w:val="17"/>
                <w:color w:val="auto"/>
              </w:rPr>
            </w:pPr>
          </w:p>
        </w:tc>
        <w:tc>
          <w:tcPr>
            <w:tcW w:w="1320" w:type="dxa"/>
            <w:vAlign w:val="bottom"/>
            <w:tcBorders>
              <w:bottom w:val="single" w:sz="8" w:color="auto"/>
            </w:tcBorders>
          </w:tcPr>
          <w:p>
            <w:pPr>
              <w:jc w:val="center"/>
              <w:ind w:left="1"/>
              <w:spacing w:after="0"/>
              <w:rPr>
                <w:sz w:val="20"/>
                <w:szCs w:val="20"/>
                <w:color w:val="auto"/>
              </w:rPr>
            </w:pPr>
            <w:r>
              <w:rPr>
                <w:rFonts w:ascii="Times New Roman" w:cs="Times New Roman" w:eastAsia="Times New Roman" w:hAnsi="Times New Roman"/>
                <w:sz w:val="14"/>
                <w:szCs w:val="14"/>
                <w:color w:val="auto"/>
              </w:rPr>
              <w:t>Fair Value</w:t>
            </w:r>
          </w:p>
        </w:tc>
        <w:tc>
          <w:tcPr>
            <w:tcW w:w="0" w:type="dxa"/>
            <w:vAlign w:val="bottom"/>
          </w:tcPr>
          <w:p>
            <w:pPr>
              <w:spacing w:after="0"/>
              <w:rPr>
                <w:sz w:val="1"/>
                <w:szCs w:val="1"/>
                <w:color w:val="auto"/>
              </w:rPr>
            </w:pPr>
          </w:p>
        </w:tc>
      </w:tr>
      <w:tr>
        <w:trPr>
          <w:trHeight w:val="228"/>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2024</w:t>
            </w:r>
          </w:p>
        </w:tc>
        <w:tc>
          <w:tcPr>
            <w:tcW w:w="128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684,742</w:t>
            </w:r>
          </w:p>
        </w:tc>
        <w:tc>
          <w:tcPr>
            <w:tcW w:w="124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$130.12</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1,152,025</w:t>
            </w:r>
          </w:p>
        </w:tc>
        <w:tc>
          <w:tcPr>
            <w:tcW w:w="134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$151.84</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202,702</w:t>
            </w:r>
          </w:p>
        </w:tc>
        <w:tc>
          <w:tcPr>
            <w:tcW w:w="1320" w:type="dxa"/>
            <w:vAlign w:val="bottom"/>
            <w:shd w:val="clear" w:color="auto" w:fill="CCEEFF"/>
          </w:tcPr>
          <w:p>
            <w:pPr>
              <w:jc w:val="center"/>
              <w:ind w:left="21"/>
              <w:spacing w:after="0"/>
              <w:rPr>
                <w:sz w:val="20"/>
                <w:szCs w:val="20"/>
                <w:color w:val="auto"/>
              </w:rPr>
            </w:pPr>
            <w:r>
              <w:rPr>
                <w:rFonts w:ascii="Times New Roman" w:cs="Times New Roman" w:eastAsia="Times New Roman" w:hAnsi="Times New Roman"/>
                <w:sz w:val="18"/>
                <w:szCs w:val="18"/>
                <w:color w:val="auto"/>
              </w:rPr>
              <w:t>$32.65</w:t>
            </w:r>
          </w:p>
        </w:tc>
        <w:tc>
          <w:tcPr>
            <w:tcW w:w="0" w:type="dxa"/>
            <w:vAlign w:val="bottom"/>
          </w:tcPr>
          <w:p>
            <w:pPr>
              <w:spacing w:after="0"/>
              <w:rPr>
                <w:sz w:val="1"/>
                <w:szCs w:val="1"/>
                <w:color w:val="auto"/>
              </w:rPr>
            </w:pPr>
          </w:p>
        </w:tc>
      </w:tr>
      <w:tr>
        <w:trPr>
          <w:trHeight w:val="229"/>
        </w:trPr>
        <w:tc>
          <w:tcPr>
            <w:tcW w:w="3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128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309,930</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$95.14</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659,046</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$100.25</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Distributed (vested)</w:t>
            </w:r>
          </w:p>
        </w:tc>
        <w:tc>
          <w:tcPr>
            <w:tcW w:w="12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(183,794)</w:t>
            </w:r>
          </w:p>
        </w:tc>
        <w:tc>
          <w:tcPr>
            <w:tcW w:w="1240" w:type="dxa"/>
            <w:vAlign w:val="bottom"/>
            <w:tcBorders>
              <w:right w:val="single" w:sz="8" w:color="auto"/>
            </w:tcBorders>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(136,914)</w:t>
            </w:r>
          </w:p>
        </w:tc>
        <w:tc>
          <w:tcPr>
            <w:tcW w:w="1340" w:type="dxa"/>
            <w:vAlign w:val="bottom"/>
            <w:tcBorders>
              <w:right w:val="single" w:sz="8" w:color="auto"/>
            </w:tcBorders>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Cancelled</w:t>
            </w:r>
          </w:p>
        </w:tc>
        <w:tc>
          <w:tcPr>
            <w:tcW w:w="12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(18,781)</w:t>
            </w:r>
          </w:p>
        </w:tc>
        <w:tc>
          <w:tcPr>
            <w:tcW w:w="1240" w:type="dxa"/>
            <w:vAlign w:val="bottom"/>
            <w:tcBorders>
              <w:bottom w:val="single" w:sz="8" w:color="CCEEFF"/>
              <w:right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(187,113)</w:t>
            </w:r>
          </w:p>
        </w:tc>
        <w:tc>
          <w:tcPr>
            <w:tcW w:w="1340" w:type="dxa"/>
            <w:vAlign w:val="bottom"/>
            <w:tcBorders>
              <w:bottom w:val="single" w:sz="8" w:color="CCEEFF"/>
              <w:right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(21,512)</w:t>
            </w:r>
          </w:p>
        </w:tc>
        <w:tc>
          <w:tcPr>
            <w:tcW w:w="13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0" w:type="dxa"/>
            <w:vAlign w:val="bottom"/>
            <w:tcBorders>
              <w:bottom w:val="single" w:sz="8" w:color="auto"/>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Outstanding as of December 31, 2025 </w:t>
            </w:r>
            <w:r>
              <w:rPr>
                <w:rFonts w:ascii="Times New Roman" w:cs="Times New Roman" w:eastAsia="Times New Roman" w:hAnsi="Times New Roman"/>
                <w:sz w:val="23"/>
                <w:szCs w:val="23"/>
                <w:color w:val="auto"/>
                <w:vertAlign w:val="superscript"/>
              </w:rPr>
              <w:t>(1)</w:t>
            </w:r>
          </w:p>
        </w:tc>
        <w:tc>
          <w:tcPr>
            <w:tcW w:w="128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792,097</w:t>
            </w:r>
          </w:p>
        </w:tc>
        <w:tc>
          <w:tcPr>
            <w:tcW w:w="12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$113.37</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1,487,044</w:t>
            </w:r>
          </w:p>
        </w:tc>
        <w:tc>
          <w:tcPr>
            <w:tcW w:w="13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$124.41</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181,190</w:t>
            </w:r>
          </w:p>
        </w:tc>
        <w:tc>
          <w:tcPr>
            <w:tcW w:w="1320" w:type="dxa"/>
            <w:vAlign w:val="bottom"/>
            <w:tcBorders>
              <w:bottom w:val="single" w:sz="8" w:color="auto"/>
            </w:tcBorders>
            <w:shd w:val="clear" w:color="auto" w:fill="CCEEFF"/>
          </w:tcPr>
          <w:p>
            <w:pPr>
              <w:jc w:val="center"/>
              <w:ind w:left="21"/>
              <w:spacing w:after="0"/>
              <w:rPr>
                <w:sz w:val="20"/>
                <w:szCs w:val="20"/>
                <w:color w:val="auto"/>
              </w:rPr>
            </w:pPr>
            <w:r>
              <w:rPr>
                <w:rFonts w:ascii="Times New Roman" w:cs="Times New Roman" w:eastAsia="Times New Roman" w:hAnsi="Times New Roman"/>
                <w:sz w:val="18"/>
                <w:szCs w:val="18"/>
                <w:color w:val="auto"/>
              </w:rPr>
              <w:t>$32.65</w:t>
            </w:r>
          </w:p>
        </w:tc>
        <w:tc>
          <w:tcPr>
            <w:tcW w:w="0" w:type="dxa"/>
            <w:vAlign w:val="bottom"/>
          </w:tcPr>
          <w:p>
            <w:pPr>
              <w:spacing w:after="0"/>
              <w:rPr>
                <w:sz w:val="1"/>
                <w:szCs w:val="1"/>
                <w:color w:val="auto"/>
              </w:rPr>
            </w:pPr>
          </w:p>
        </w:tc>
      </w:tr>
      <w:tr>
        <w:trPr>
          <w:trHeight w:val="243"/>
        </w:trPr>
        <w:tc>
          <w:tcPr>
            <w:tcW w:w="36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40" w:type="dxa"/>
            <w:vAlign w:val="bottom"/>
            <w:tcBorders>
              <w:right w:val="single" w:sz="8" w:color="auto"/>
            </w:tcBorders>
          </w:tcPr>
          <w:p>
            <w:pPr>
              <w:spacing w:after="0"/>
              <w:rPr>
                <w:sz w:val="21"/>
                <w:szCs w:val="21"/>
                <w:color w:val="auto"/>
              </w:rPr>
            </w:pPr>
          </w:p>
        </w:tc>
        <w:tc>
          <w:tcPr>
            <w:tcW w:w="1240" w:type="dxa"/>
            <w:vAlign w:val="bottom"/>
          </w:tcPr>
          <w:p>
            <w:pPr>
              <w:spacing w:after="0"/>
              <w:rPr>
                <w:sz w:val="21"/>
                <w:szCs w:val="21"/>
                <w:color w:val="auto"/>
              </w:rPr>
            </w:pPr>
          </w:p>
        </w:tc>
        <w:tc>
          <w:tcPr>
            <w:tcW w:w="1340" w:type="dxa"/>
            <w:vAlign w:val="bottom"/>
            <w:tcBorders>
              <w:right w:val="single" w:sz="8" w:color="auto"/>
            </w:tcBorders>
          </w:tcPr>
          <w:p>
            <w:pPr>
              <w:spacing w:after="0"/>
              <w:rPr>
                <w:sz w:val="21"/>
                <w:szCs w:val="21"/>
                <w:color w:val="auto"/>
              </w:rPr>
            </w:pPr>
          </w:p>
        </w:tc>
        <w:tc>
          <w:tcPr>
            <w:tcW w:w="12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36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Vested or expected to vest as of December 31,</w:t>
            </w:r>
          </w:p>
        </w:tc>
        <w:tc>
          <w:tcPr>
            <w:tcW w:w="1280" w:type="dxa"/>
            <w:vAlign w:val="bottom"/>
            <w:vMerge w:val="restart"/>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792,097</w:t>
            </w:r>
          </w:p>
        </w:tc>
        <w:tc>
          <w:tcPr>
            <w:tcW w:w="1240" w:type="dxa"/>
            <w:vAlign w:val="bottom"/>
            <w:tcBorders>
              <w:right w:val="single" w:sz="8" w:color="auto"/>
            </w:tcBorders>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828,558</w:t>
            </w:r>
          </w:p>
        </w:tc>
        <w:tc>
          <w:tcPr>
            <w:tcW w:w="1340" w:type="dxa"/>
            <w:vAlign w:val="bottom"/>
            <w:tcBorders>
              <w:right w:val="single" w:sz="8" w:color="auto"/>
            </w:tcBorders>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36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280" w:type="dxa"/>
            <w:vAlign w:val="bottom"/>
            <w:vMerge w:val="continue"/>
            <w:shd w:val="clear" w:color="auto" w:fill="CCEEFF"/>
          </w:tcPr>
          <w:p>
            <w:pPr>
              <w:spacing w:after="0"/>
              <w:rPr>
                <w:sz w:val="12"/>
                <w:szCs w:val="12"/>
                <w:color w:val="auto"/>
              </w:rPr>
            </w:pPr>
          </w:p>
        </w:tc>
        <w:tc>
          <w:tcPr>
            <w:tcW w:w="1240" w:type="dxa"/>
            <w:vAlign w:val="bottom"/>
            <w:tcBorders>
              <w:right w:val="single" w:sz="8" w:color="auto"/>
            </w:tcBorders>
            <w:shd w:val="clear" w:color="auto" w:fill="CCEEFF"/>
          </w:tcPr>
          <w:p>
            <w:pPr>
              <w:spacing w:after="0"/>
              <w:rPr>
                <w:sz w:val="12"/>
                <w:szCs w:val="12"/>
                <w:color w:val="auto"/>
              </w:rPr>
            </w:pPr>
          </w:p>
        </w:tc>
        <w:tc>
          <w:tcPr>
            <w:tcW w:w="1240" w:type="dxa"/>
            <w:vAlign w:val="bottom"/>
            <w:vMerge w:val="continue"/>
            <w:shd w:val="clear" w:color="auto" w:fill="CCEEFF"/>
          </w:tcPr>
          <w:p>
            <w:pPr>
              <w:spacing w:after="0"/>
              <w:rPr>
                <w:sz w:val="12"/>
                <w:szCs w:val="12"/>
                <w:color w:val="auto"/>
              </w:rPr>
            </w:pPr>
          </w:p>
        </w:tc>
        <w:tc>
          <w:tcPr>
            <w:tcW w:w="1340" w:type="dxa"/>
            <w:vAlign w:val="bottom"/>
            <w:tcBorders>
              <w:right w:val="single" w:sz="8" w:color="auto"/>
            </w:tcBorders>
            <w:shd w:val="clear" w:color="auto" w:fill="CCEEFF"/>
          </w:tcPr>
          <w:p>
            <w:pPr>
              <w:spacing w:after="0"/>
              <w:rPr>
                <w:sz w:val="12"/>
                <w:szCs w:val="12"/>
                <w:color w:val="auto"/>
              </w:rPr>
            </w:pPr>
          </w:p>
        </w:tc>
        <w:tc>
          <w:tcPr>
            <w:tcW w:w="1220" w:type="dxa"/>
            <w:vAlign w:val="bottom"/>
            <w:vMerge w:val="continue"/>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3600" w:type="dxa"/>
            <w:vAlign w:val="bottom"/>
            <w:tcBorders>
              <w:bottom w:val="single" w:sz="8" w:color="auto"/>
            </w:tcBorders>
            <w:vMerge w:val="continue"/>
            <w:shd w:val="clear" w:color="auto" w:fill="CCEEFF"/>
          </w:tcPr>
          <w:p>
            <w:pPr>
              <w:spacing w:after="0"/>
              <w:rPr>
                <w:sz w:val="8"/>
                <w:szCs w:val="8"/>
                <w:color w:val="auto"/>
              </w:rPr>
            </w:pPr>
          </w:p>
        </w:tc>
        <w:tc>
          <w:tcPr>
            <w:tcW w:w="1280" w:type="dxa"/>
            <w:vAlign w:val="bottom"/>
            <w:tcBorders>
              <w:bottom w:val="single" w:sz="8" w:color="auto"/>
            </w:tcBorders>
            <w:shd w:val="clear" w:color="auto" w:fill="CCEEFF"/>
          </w:tcPr>
          <w:p>
            <w:pPr>
              <w:spacing w:after="0"/>
              <w:rPr>
                <w:sz w:val="8"/>
                <w:szCs w:val="8"/>
                <w:color w:val="auto"/>
              </w:rPr>
            </w:pPr>
          </w:p>
        </w:tc>
        <w:tc>
          <w:tcPr>
            <w:tcW w:w="1240" w:type="dxa"/>
            <w:vAlign w:val="bottom"/>
            <w:tcBorders>
              <w:bottom w:val="single" w:sz="8" w:color="auto"/>
              <w:right w:val="single" w:sz="8" w:color="auto"/>
            </w:tcBorders>
            <w:shd w:val="clear" w:color="auto" w:fill="CCEEFF"/>
          </w:tcPr>
          <w:p>
            <w:pPr>
              <w:spacing w:after="0"/>
              <w:rPr>
                <w:sz w:val="8"/>
                <w:szCs w:val="8"/>
                <w:color w:val="auto"/>
              </w:rPr>
            </w:pPr>
          </w:p>
        </w:tc>
        <w:tc>
          <w:tcPr>
            <w:tcW w:w="1240" w:type="dxa"/>
            <w:vAlign w:val="bottom"/>
            <w:tcBorders>
              <w:bottom w:val="single" w:sz="8" w:color="auto"/>
            </w:tcBorders>
            <w:shd w:val="clear" w:color="auto" w:fill="CCEEFF"/>
          </w:tcPr>
          <w:p>
            <w:pPr>
              <w:spacing w:after="0"/>
              <w:rPr>
                <w:sz w:val="8"/>
                <w:szCs w:val="8"/>
                <w:color w:val="auto"/>
              </w:rPr>
            </w:pPr>
          </w:p>
        </w:tc>
        <w:tc>
          <w:tcPr>
            <w:tcW w:w="1340" w:type="dxa"/>
            <w:vAlign w:val="bottom"/>
            <w:tcBorders>
              <w:bottom w:val="single" w:sz="8" w:color="auto"/>
              <w:right w:val="single" w:sz="8" w:color="auto"/>
            </w:tcBorders>
            <w:shd w:val="clear" w:color="auto" w:fill="CCEEFF"/>
          </w:tcPr>
          <w:p>
            <w:pPr>
              <w:spacing w:after="0"/>
              <w:rPr>
                <w:sz w:val="8"/>
                <w:szCs w:val="8"/>
                <w:color w:val="auto"/>
              </w:rPr>
            </w:pPr>
          </w:p>
        </w:tc>
        <w:tc>
          <w:tcPr>
            <w:tcW w:w="1220" w:type="dxa"/>
            <w:vAlign w:val="bottom"/>
            <w:tcBorders>
              <w:bottom w:val="single" w:sz="8" w:color="auto"/>
            </w:tcBorders>
            <w:shd w:val="clear" w:color="auto" w:fill="CCEEFF"/>
          </w:tcPr>
          <w:p>
            <w:pPr>
              <w:spacing w:after="0"/>
              <w:rPr>
                <w:sz w:val="8"/>
                <w:szCs w:val="8"/>
                <w:color w:val="auto"/>
              </w:rPr>
            </w:pPr>
          </w:p>
        </w:tc>
        <w:tc>
          <w:tcPr>
            <w:tcW w:w="1320" w:type="dxa"/>
            <w:vAlign w:val="bottom"/>
            <w:tcBorders>
              <w:bottom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240" w:hanging="232"/>
        <w:spacing w:after="0"/>
        <w:tabs>
          <w:tab w:leader="none" w:pos="240" w:val="left"/>
        </w:tabs>
        <w:numPr>
          <w:ilvl w:val="0"/>
          <w:numId w:val="4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Outstanding performance shares are reflected at the maximum possible payout that may be earned during the relevant performance periods.</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grant date fair value of restricted stock units is based on the share price on the grant date. The weighted average grant date fair value of restricted stock units granted in 2024 and 2023 was $124.84 and $130.38, respectively. The grant date fair value of performance shares is based on the share price on the grant date or a Monte Carlo simulation, as applicable. The weighted average grant date fair value of performance shares granted in 2024 and 2023 was $144.60 and $138.54, respectively. There were no stock options granted in 2024 or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Legal and Other Contingencies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and Other Contingencies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2025 and 2024, the Company had recorded reserves for pending legal disputes, including commercial disputes, product liability claims and other legal matters, of $13.8 million and $13.2 million, respectively. Such reserves reflect amounts recognized in accordance with GAAP and typically exclude the cost of legal representation. Reserves for warranty and recall matters are recorded separately from legal reserves, as described below.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Commercial Disputes</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involved from time to time in legal proceedings and claims, including, without limitation, commercial or contractual disputes with its customers, suppliers and competitors. These disputes vary in nature and are usually resolved by negotiations between the parties.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Product Liability, Warranty and Recall Matters</w:t>
      </w:r>
    </w:p>
    <w:p>
      <w:pPr>
        <w:spacing w:after="0" w:line="11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event that use of the Company's products results in, or is alleged to result in, bodily injury and/or property damage or other losses, the Company may be subject to product liability lawsuits and other claims. Such lawsuits generally seek compensatory damages, punitive damages and attorneys' fees and costs. In addition, if any of the Company's products are, or are alleged to be, defective, the Company may be required or requested by its customers to support warranty costs or to participate in a recall or other corrective action involving such products. The Company is party to agreements with certain of its customers, whereby these customers may pursue claims against the Company for contribution of all or a portion of the amounts sought in connection with warranty and recall matters, and certain of the Company's customers have asserted such claims against the Company. The Company can provide no assurances that it will not experience material claims in the future or that it will not incur significant costs to defend such claims.</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certain instances, allegedly defective products may be supplied by the Company's suppliers. The Company may seek recovery from its suppliers of materials or services included within the Company's products that are associated with product liability claims or warranty and recall matters.</w:t>
      </w:r>
    </w:p>
    <w:p>
      <w:pPr>
        <w:spacing w:after="0" w:line="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carries insurance for certain legal matters, including product liability claims, but such coverage may be limited. The Company does not maintain insurance for warranty and recall matters.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records reserves for warranty and recall matters when liability is probable and related amounts are reasonably estimable.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Lear Corporation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summary of the changes in reserves for warranty and recall matters for each of the periods in the two years ended December 31, 2025, is shown below (in millions):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47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1600" w:type="dxa"/>
            <w:vAlign w:val="bottom"/>
            <w:tcBorders>
              <w:top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r>
      <w:tr>
        <w:trPr>
          <w:trHeight w:val="229"/>
        </w:trPr>
        <w:tc>
          <w:tcPr>
            <w:tcW w:w="4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Expense, net (including changes in estimates)</w:t>
            </w:r>
          </w:p>
        </w:tc>
        <w:tc>
          <w:tcPr>
            <w:tcW w:w="16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29"/>
        </w:trPr>
        <w:tc>
          <w:tcPr>
            <w:tcW w:w="4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Settlements</w:t>
            </w:r>
          </w:p>
        </w:tc>
        <w:tc>
          <w:tcPr>
            <w:tcW w:w="16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30"/>
        </w:trPr>
        <w:tc>
          <w:tcPr>
            <w:tcW w:w="47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 and other</w:t>
            </w:r>
          </w:p>
        </w:tc>
        <w:tc>
          <w:tcPr>
            <w:tcW w:w="16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3"/>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16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r>
      <w:tr>
        <w:trPr>
          <w:trHeight w:val="230"/>
        </w:trPr>
        <w:tc>
          <w:tcPr>
            <w:tcW w:w="4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Expense, net (including changes in estimates)</w:t>
            </w:r>
          </w:p>
        </w:tc>
        <w:tc>
          <w:tcPr>
            <w:tcW w:w="16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r>
      <w:tr>
        <w:trPr>
          <w:trHeight w:val="229"/>
        </w:trPr>
        <w:tc>
          <w:tcPr>
            <w:tcW w:w="4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Settlements</w:t>
            </w:r>
          </w:p>
        </w:tc>
        <w:tc>
          <w:tcPr>
            <w:tcW w:w="16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r>
      <w:tr>
        <w:trPr>
          <w:trHeight w:val="229"/>
        </w:trPr>
        <w:tc>
          <w:tcPr>
            <w:tcW w:w="47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 and other</w:t>
            </w:r>
          </w:p>
        </w:tc>
        <w:tc>
          <w:tcPr>
            <w:tcW w:w="16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30"/>
        </w:trPr>
        <w:tc>
          <w:tcPr>
            <w:tcW w:w="4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160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Environmental Matters</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subject to local, state, federal and foreign laws, regulations and ordinances which govern activities or operations that may have or have had adverse environmental effects. These regulations impose liability for clean-up costs resulting from past spills, disposals or other releases of hazardous wastes and environmental compliance. The Company's policy is to comply with all applicable environmental laws and to maintain an environmental management program based on ISO 14001 to ensure compliance with this standard. However, the Company currently is, has been and in the future may become the subject of formal or informal enforcement actions or procedures.</w:t>
      </w:r>
    </w:p>
    <w:p>
      <w:pPr>
        <w:spacing w:after="0" w:line="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of December 31, 2025 and 2024, the Company had recorded environmental reserves of $4.9 million. The Company does not believe that the environmental liabilities associated with its current and former properties will have a material adverse impact on its business, financial condition, results of operations or cash flows; however, no assurances can be given in this regard.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Matters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involved from time to time in various other legal proceedings and claims, including, without limitation, intellectual property matters, tax claims and employment matters. Although the outcome of any legal matter cannot be predicted with certainty, the Company does not believe that any of the other legal proceedings or claims in which the Company is currently involved, either individually or in the aggregate, will have a material adverse impact on its business, financial condition, results of operations or cash flows. However, no assurances can be given in this regard.</w:t>
      </w:r>
    </w:p>
    <w:p>
      <w:pPr>
        <w:spacing w:after="0" w:line="7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Although the Company records reserves for legal disputes, warranty and recall matters, and environmental and other matters in accordance with GAAP, the ultimate outcomes of these matters are inherently uncertain. Actual results may differ significantly from current estimates.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Insurance Recoveries</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incurred losses and incremental costs related to the destruction of assets caused by a typhoon in the Philippines in December 2021. In 2022 and 2023, the Company reached an installment settlement and a final settlement, respectively, for the recovery of such costs under applicable insurance policies. Anticipated proceeds from insurance recoveries related to losses and incremental costs that have been incurred ("loss recoveries") are recognized when receipt is probable. Anticipated proceeds from insurance recoveries in excess of the net book value of destroyed property, plant and equipment ("insurance gain contingencies") are recognized when all contingencies related to the claim have been resolved. Loss recoveries related to the destruction of inventory and incremental costs are included in costs of sales and loss recoveries and insurance gain contingencies related to the destruction of property, plant and equipment are included in other expense, net. Cash proceeds related to the destruction of inventory and incremental costs are included in cash flows from operating activities and cash proceeds related to the destruction of property, plant and equipment are included in cash flows from investing activities.</w:t>
      </w:r>
    </w:p>
    <w:p>
      <w:pPr>
        <w:spacing w:after="0" w:line="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2023, the Company had incurred cumulative losses and incremental costs of $27.1 million and received cumulative cash proceeds of $22.6 million related to the typhoon.</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Lear Corporation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classification of insurance recoveries included in the accompanying consolidated financial statements is shown below (in millions):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3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For the year ended December 31,</w:t>
            </w:r>
          </w:p>
        </w:tc>
        <w:tc>
          <w:tcPr>
            <w:tcW w:w="38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color w:val="auto"/>
              </w:rPr>
              <w:t>2023</w:t>
            </w:r>
          </w:p>
        </w:tc>
      </w:tr>
      <w:tr>
        <w:trPr>
          <w:trHeight w:val="230"/>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statements of income</w:t>
            </w:r>
          </w:p>
        </w:tc>
        <w:tc>
          <w:tcPr>
            <w:tcW w:w="38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6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Cost of sales</w:t>
            </w:r>
          </w:p>
        </w:tc>
        <w:tc>
          <w:tcPr>
            <w:tcW w:w="38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29"/>
        </w:trPr>
        <w:tc>
          <w:tcPr>
            <w:tcW w:w="6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expense, net</w:t>
            </w:r>
          </w:p>
        </w:tc>
        <w:tc>
          <w:tcPr>
            <w:tcW w:w="38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30"/>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statements of cash flows</w:t>
            </w:r>
          </w:p>
        </w:tc>
        <w:tc>
          <w:tcPr>
            <w:tcW w:w="38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6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38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37"/>
        </w:trPr>
        <w:tc>
          <w:tcPr>
            <w:tcW w:w="63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38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r>
    </w:tbl>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Approximately 46% of the Company's employees are members of industrial trade unions and are employed under the terms of various labor agreements. Labor agreements covering approximately 67% of the Company's global unionized workforce of approximately 75,000 employees are scheduled to expire in 2026. Management does not anticipate any significant difficulties with respect to the renewal of these agreements.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Segment Reporting</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reconciliation of segment earnings to consolidated income before provision for income taxes and equity in net income of affiliates is shown below (in millions):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20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3060" w:type="dxa"/>
            <w:vAlign w:val="bottom"/>
            <w:tcBorders>
              <w:top w:val="single" w:sz="8" w:color="auto"/>
              <w:bottom w:val="single" w:sz="8" w:color="auto"/>
            </w:tcBorders>
            <w:gridSpan w:val="5"/>
          </w:tcPr>
          <w:p>
            <w:pPr>
              <w:jc w:val="right"/>
              <w:ind w:right="900"/>
              <w:spacing w:after="0"/>
              <w:rPr>
                <w:sz w:val="20"/>
                <w:szCs w:val="20"/>
                <w:color w:val="auto"/>
              </w:rPr>
            </w:pPr>
            <w:r>
              <w:rPr>
                <w:rFonts w:ascii="Times New Roman" w:cs="Times New Roman" w:eastAsia="Times New Roman" w:hAnsi="Times New Roman"/>
                <w:sz w:val="14"/>
                <w:szCs w:val="14"/>
                <w:color w:val="auto"/>
              </w:rPr>
              <w:t>Year Ended December 31, 2025</w:t>
            </w:r>
          </w:p>
        </w:tc>
        <w:tc>
          <w:tcPr>
            <w:tcW w:w="120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2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color w:val="auto"/>
              </w:rPr>
              <w:t>Seating</w:t>
            </w:r>
          </w:p>
        </w:tc>
        <w:tc>
          <w:tcPr>
            <w:tcW w:w="3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color w:val="auto"/>
              </w:rPr>
              <w:t>E-Systems</w:t>
            </w:r>
          </w:p>
        </w:tc>
        <w:tc>
          <w:tcPr>
            <w:tcW w:w="4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3"/>
          </w:tcPr>
          <w:p>
            <w:pPr>
              <w:jc w:val="right"/>
              <w:ind w:right="900"/>
              <w:spacing w:after="0"/>
              <w:rPr>
                <w:sz w:val="20"/>
                <w:szCs w:val="20"/>
                <w:color w:val="auto"/>
              </w:rPr>
            </w:pPr>
            <w:r>
              <w:rPr>
                <w:rFonts w:ascii="Times New Roman" w:cs="Times New Roman" w:eastAsia="Times New Roman" w:hAnsi="Times New Roman"/>
                <w:sz w:val="14"/>
                <w:szCs w:val="14"/>
                <w:color w:val="auto"/>
              </w:rPr>
              <w:t>Other</w:t>
            </w:r>
          </w:p>
        </w:tc>
        <w:tc>
          <w:tcPr>
            <w:tcW w:w="120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color w:val="auto"/>
              </w:rPr>
              <w:t>Consolidated</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from external customers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17,283.0</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5,976.1</w:t>
            </w:r>
          </w:p>
        </w:tc>
        <w:tc>
          <w:tcPr>
            <w:tcW w:w="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23,259.1</w:t>
            </w: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Intersegment revenues</w:t>
            </w:r>
            <w:r>
              <w:rPr>
                <w:rFonts w:ascii="Times New Roman" w:cs="Times New Roman" w:eastAsia="Times New Roman" w:hAnsi="Times New Roman"/>
                <w:sz w:val="23"/>
                <w:szCs w:val="23"/>
                <w:color w:val="auto"/>
                <w:vertAlign w:val="superscript"/>
              </w:rPr>
              <w:t>(1)</w:t>
            </w:r>
          </w:p>
        </w:tc>
        <w:tc>
          <w:tcPr>
            <w:tcW w:w="200" w:type="dxa"/>
            <w:vAlign w:val="bottom"/>
          </w:tcPr>
          <w:p>
            <w:pPr>
              <w:spacing w:after="0"/>
              <w:rPr>
                <w:sz w:val="19"/>
                <w:szCs w:val="19"/>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5.4</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265.8</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Less</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Cost of sales</w:t>
            </w: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15,964.3</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5,893.9</w:t>
            </w: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(103.5)</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21,754.7</w:t>
            </w:r>
          </w:p>
        </w:tc>
        <w:tc>
          <w:tcPr>
            <w:tcW w:w="0" w:type="dxa"/>
            <w:vAlign w:val="bottom"/>
          </w:tcPr>
          <w:p>
            <w:pPr>
              <w:spacing w:after="0"/>
              <w:rPr>
                <w:sz w:val="1"/>
                <w:szCs w:val="1"/>
                <w:color w:val="auto"/>
              </w:rPr>
            </w:pPr>
          </w:p>
        </w:tc>
      </w:tr>
      <w:tr>
        <w:trPr>
          <w:trHeight w:val="22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1,324.1</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348.0</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1,504.4</w:t>
            </w:r>
          </w:p>
        </w:tc>
        <w:tc>
          <w:tcPr>
            <w:tcW w:w="0" w:type="dxa"/>
            <w:vAlign w:val="bottom"/>
          </w:tcPr>
          <w:p>
            <w:pPr>
              <w:spacing w:after="0"/>
              <w:rPr>
                <w:sz w:val="1"/>
                <w:szCs w:val="1"/>
                <w:color w:val="auto"/>
              </w:rPr>
            </w:pPr>
          </w:p>
        </w:tc>
      </w:tr>
      <w:tr>
        <w:trPr>
          <w:trHeight w:val="230"/>
        </w:trPr>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00" w:type="dxa"/>
            <w:vAlign w:val="bottom"/>
          </w:tcPr>
          <w:p>
            <w:pPr>
              <w:spacing w:after="0"/>
              <w:rPr>
                <w:sz w:val="19"/>
                <w:szCs w:val="19"/>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355.2</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144.9</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707.6</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12.3</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42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230"/>
        </w:trPr>
        <w:tc>
          <w:tcPr>
            <w:tcW w:w="5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Intersegment support activities</w:t>
            </w: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7.8</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200" w:type="dxa"/>
            <w:vAlign w:val="bottom"/>
            <w:tcBorders>
              <w:bottom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Segment earnings</w:t>
            </w:r>
            <w:r>
              <w:rPr>
                <w:rFonts w:ascii="Times New Roman" w:cs="Times New Roman" w:eastAsia="Times New Roman" w:hAnsi="Times New Roman"/>
                <w:sz w:val="23"/>
                <w:szCs w:val="23"/>
                <w:color w:val="auto"/>
                <w:vertAlign w:val="superscript"/>
              </w:rPr>
              <w:t>(3)</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948.8</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186.2</w:t>
            </w:r>
          </w:p>
        </w:tc>
        <w:tc>
          <w:tcPr>
            <w:tcW w:w="4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(357.7)</w:t>
            </w:r>
          </w:p>
        </w:tc>
        <w:tc>
          <w:tcPr>
            <w:tcW w:w="10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777.3</w:t>
            </w:r>
          </w:p>
        </w:tc>
        <w:tc>
          <w:tcPr>
            <w:tcW w:w="0" w:type="dxa"/>
            <w:vAlign w:val="bottom"/>
          </w:tcPr>
          <w:p>
            <w:pPr>
              <w:spacing w:after="0"/>
              <w:rPr>
                <w:sz w:val="1"/>
                <w:szCs w:val="1"/>
                <w:color w:val="auto"/>
              </w:rPr>
            </w:pPr>
          </w:p>
        </w:tc>
      </w:tr>
      <w:tr>
        <w:trPr>
          <w:trHeight w:val="203"/>
        </w:trPr>
        <w:tc>
          <w:tcPr>
            <w:tcW w:w="520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Reconciliation of segment earnings:</w:t>
            </w: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 net</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w:t>
            </w:r>
          </w:p>
        </w:tc>
        <w:tc>
          <w:tcPr>
            <w:tcW w:w="0" w:type="dxa"/>
            <w:vAlign w:val="bottom"/>
          </w:tcPr>
          <w:p>
            <w:pPr>
              <w:spacing w:after="0"/>
              <w:rPr>
                <w:sz w:val="1"/>
                <w:szCs w:val="1"/>
                <w:color w:val="auto"/>
              </w:rPr>
            </w:pPr>
          </w:p>
        </w:tc>
      </w:tr>
      <w:tr>
        <w:trPr>
          <w:trHeight w:val="230"/>
        </w:trPr>
        <w:tc>
          <w:tcPr>
            <w:tcW w:w="5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expense, net</w:t>
            </w:r>
          </w:p>
        </w:tc>
        <w:tc>
          <w:tcPr>
            <w:tcW w:w="20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0" w:type="dxa"/>
            <w:vAlign w:val="bottom"/>
          </w:tcPr>
          <w:p>
            <w:pPr>
              <w:spacing w:after="0"/>
              <w:rPr>
                <w:sz w:val="1"/>
                <w:szCs w:val="1"/>
                <w:color w:val="auto"/>
              </w:rPr>
            </w:pPr>
          </w:p>
        </w:tc>
      </w:tr>
      <w:tr>
        <w:trPr>
          <w:trHeight w:val="155"/>
        </w:trPr>
        <w:tc>
          <w:tcPr>
            <w:tcW w:w="520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Consolidated income before provision for income taxes and equity in</w:t>
            </w:r>
          </w:p>
        </w:tc>
        <w:tc>
          <w:tcPr>
            <w:tcW w:w="20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44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625.1</w:t>
            </w:r>
          </w:p>
        </w:tc>
        <w:tc>
          <w:tcPr>
            <w:tcW w:w="0" w:type="dxa"/>
            <w:vAlign w:val="bottom"/>
          </w:tcPr>
          <w:p>
            <w:pPr>
              <w:spacing w:after="0"/>
              <w:rPr>
                <w:sz w:val="1"/>
                <w:szCs w:val="1"/>
                <w:color w:val="auto"/>
              </w:rPr>
            </w:pPr>
          </w:p>
        </w:tc>
      </w:tr>
      <w:tr>
        <w:trPr>
          <w:trHeight w:val="148"/>
        </w:trPr>
        <w:tc>
          <w:tcPr>
            <w:tcW w:w="52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of affiliates</w:t>
            </w:r>
          </w:p>
        </w:tc>
        <w:tc>
          <w:tcPr>
            <w:tcW w:w="2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40" w:type="dxa"/>
            <w:vAlign w:val="bottom"/>
            <w:gridSpan w:val="3"/>
            <w:vMerge w:val="continue"/>
            <w:shd w:val="clear" w:color="auto" w:fill="CCEEFF"/>
          </w:tcPr>
          <w:p>
            <w:pPr>
              <w:spacing w:after="0"/>
              <w:rPr>
                <w:sz w:val="12"/>
                <w:szCs w:val="12"/>
                <w:color w:val="auto"/>
              </w:rPr>
            </w:pPr>
          </w:p>
        </w:tc>
        <w:tc>
          <w:tcPr>
            <w:tcW w:w="120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5200" w:type="dxa"/>
            <w:vAlign w:val="bottom"/>
            <w:tcBorders>
              <w:bottom w:val="single" w:sz="8" w:color="auto"/>
            </w:tcBorders>
            <w:vMerge w:val="continue"/>
            <w:shd w:val="clear" w:color="auto" w:fill="CCEEFF"/>
          </w:tcPr>
          <w:p>
            <w:pPr>
              <w:spacing w:after="0"/>
              <w:rPr>
                <w:sz w:val="8"/>
                <w:szCs w:val="8"/>
                <w:color w:val="auto"/>
              </w:rPr>
            </w:pPr>
          </w:p>
        </w:tc>
        <w:tc>
          <w:tcPr>
            <w:tcW w:w="200" w:type="dxa"/>
            <w:vAlign w:val="bottom"/>
            <w:tcBorders>
              <w:bottom w:val="single" w:sz="8" w:color="auto"/>
            </w:tcBorders>
            <w:shd w:val="clear" w:color="auto" w:fill="CCEEFF"/>
          </w:tcPr>
          <w:p>
            <w:pPr>
              <w:spacing w:after="0"/>
              <w:rPr>
                <w:sz w:val="8"/>
                <w:szCs w:val="8"/>
                <w:color w:val="auto"/>
              </w:rPr>
            </w:pPr>
          </w:p>
        </w:tc>
        <w:tc>
          <w:tcPr>
            <w:tcW w:w="1260" w:type="dxa"/>
            <w:vAlign w:val="bottom"/>
            <w:tcBorders>
              <w:bottom w:val="single" w:sz="8" w:color="auto"/>
            </w:tcBorders>
            <w:shd w:val="clear" w:color="auto" w:fill="CCEEFF"/>
          </w:tcPr>
          <w:p>
            <w:pPr>
              <w:spacing w:after="0"/>
              <w:rPr>
                <w:sz w:val="8"/>
                <w:szCs w:val="8"/>
                <w:color w:val="auto"/>
              </w:rPr>
            </w:pPr>
          </w:p>
        </w:tc>
        <w:tc>
          <w:tcPr>
            <w:tcW w:w="320" w:type="dxa"/>
            <w:vAlign w:val="bottom"/>
            <w:tcBorders>
              <w:bottom w:val="single" w:sz="8" w:color="auto"/>
            </w:tcBorders>
            <w:shd w:val="clear" w:color="auto" w:fill="CCEEFF"/>
          </w:tcPr>
          <w:p>
            <w:pPr>
              <w:spacing w:after="0"/>
              <w:rPr>
                <w:sz w:val="8"/>
                <w:szCs w:val="8"/>
                <w:color w:val="auto"/>
              </w:rPr>
            </w:pPr>
          </w:p>
        </w:tc>
        <w:tc>
          <w:tcPr>
            <w:tcW w:w="1200" w:type="dxa"/>
            <w:vAlign w:val="bottom"/>
            <w:tcBorders>
              <w:bottom w:val="single" w:sz="8" w:color="auto"/>
            </w:tcBorders>
            <w:shd w:val="clear" w:color="auto" w:fill="CCEEFF"/>
          </w:tcPr>
          <w:p>
            <w:pPr>
              <w:spacing w:after="0"/>
              <w:rPr>
                <w:sz w:val="8"/>
                <w:szCs w:val="8"/>
                <w:color w:val="auto"/>
              </w:rPr>
            </w:pPr>
          </w:p>
        </w:tc>
        <w:tc>
          <w:tcPr>
            <w:tcW w:w="420" w:type="dxa"/>
            <w:vAlign w:val="bottom"/>
            <w:tcBorders>
              <w:bottom w:val="single" w:sz="8" w:color="auto"/>
            </w:tcBorders>
            <w:shd w:val="clear" w:color="auto" w:fill="CCEEFF"/>
          </w:tcPr>
          <w:p>
            <w:pPr>
              <w:spacing w:after="0"/>
              <w:rPr>
                <w:sz w:val="8"/>
                <w:szCs w:val="8"/>
                <w:color w:val="auto"/>
              </w:rPr>
            </w:pPr>
          </w:p>
        </w:tc>
        <w:tc>
          <w:tcPr>
            <w:tcW w:w="1100" w:type="dxa"/>
            <w:vAlign w:val="bottom"/>
            <w:tcBorders>
              <w:bottom w:val="single" w:sz="8" w:color="auto"/>
            </w:tcBorders>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240" w:type="dxa"/>
            <w:vAlign w:val="bottom"/>
            <w:tcBorders>
              <w:bottom w:val="single" w:sz="8" w:color="auto"/>
            </w:tcBorders>
            <w:shd w:val="clear" w:color="auto" w:fill="CCEEFF"/>
          </w:tcPr>
          <w:p>
            <w:pPr>
              <w:spacing w:after="0"/>
              <w:rPr>
                <w:sz w:val="8"/>
                <w:szCs w:val="8"/>
                <w:color w:val="auto"/>
              </w:rPr>
            </w:pPr>
          </w:p>
        </w:tc>
        <w:tc>
          <w:tcPr>
            <w:tcW w:w="1200" w:type="dxa"/>
            <w:vAlign w:val="bottom"/>
            <w:tcBorders>
              <w:bottom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91"/>
        </w:trPr>
        <w:tc>
          <w:tcPr>
            <w:tcW w:w="5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jc w:val="right"/>
              <w:ind w:right="812"/>
              <w:spacing w:after="0"/>
              <w:rPr>
                <w:sz w:val="20"/>
                <w:szCs w:val="20"/>
                <w:color w:val="auto"/>
              </w:rPr>
            </w:pPr>
            <w:r>
              <w:rPr>
                <w:rFonts w:ascii="Times New Roman" w:cs="Times New Roman" w:eastAsia="Times New Roman" w:hAnsi="Times New Roman"/>
                <w:sz w:val="18"/>
                <w:szCs w:val="18"/>
                <w:color w:val="auto"/>
              </w:rPr>
              <w:t>100</w:t>
            </w: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Lear Corporation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20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2720" w:type="dxa"/>
            <w:vAlign w:val="bottom"/>
            <w:tcBorders>
              <w:top w:val="single" w:sz="8" w:color="auto"/>
              <w:bottom w:val="single" w:sz="8" w:color="auto"/>
            </w:tcBorders>
            <w:gridSpan w:val="3"/>
          </w:tcPr>
          <w:p>
            <w:pPr>
              <w:jc w:val="right"/>
              <w:ind w:right="472"/>
              <w:spacing w:after="0"/>
              <w:rPr>
                <w:sz w:val="20"/>
                <w:szCs w:val="20"/>
                <w:color w:val="auto"/>
              </w:rPr>
            </w:pPr>
            <w:r>
              <w:rPr>
                <w:rFonts w:ascii="Times New Roman" w:cs="Times New Roman" w:eastAsia="Times New Roman" w:hAnsi="Times New Roman"/>
                <w:sz w:val="14"/>
                <w:szCs w:val="14"/>
                <w:color w:val="auto"/>
              </w:rPr>
              <w:t>Year Ended December 31, 2024</w:t>
            </w:r>
          </w:p>
        </w:tc>
        <w:tc>
          <w:tcPr>
            <w:tcW w:w="10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2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color w:val="auto"/>
              </w:rPr>
              <w:t>Seating</w:t>
            </w:r>
          </w:p>
        </w:tc>
        <w:tc>
          <w:tcPr>
            <w:tcW w:w="3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color w:val="auto"/>
              </w:rPr>
              <w:t>E-Systems</w:t>
            </w:r>
          </w:p>
        </w:tc>
        <w:tc>
          <w:tcPr>
            <w:tcW w:w="4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color w:val="auto"/>
              </w:rPr>
              <w:t>Other</w:t>
            </w: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color w:val="auto"/>
              </w:rPr>
              <w:t>Consolidated</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from external customers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17,222.1</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6,083.9</w:t>
            </w:r>
          </w:p>
        </w:tc>
        <w:tc>
          <w:tcPr>
            <w:tcW w:w="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23,306.0</w:t>
            </w:r>
          </w:p>
        </w:tc>
        <w:tc>
          <w:tcPr>
            <w:tcW w:w="0" w:type="dxa"/>
            <w:vAlign w:val="bottom"/>
          </w:tcPr>
          <w:p>
            <w:pPr>
              <w:spacing w:after="0"/>
              <w:rPr>
                <w:sz w:val="1"/>
                <w:szCs w:val="1"/>
                <w:color w:val="auto"/>
              </w:rPr>
            </w:pPr>
          </w:p>
        </w:tc>
      </w:tr>
      <w:tr>
        <w:trPr>
          <w:trHeight w:val="229"/>
        </w:trPr>
        <w:tc>
          <w:tcPr>
            <w:tcW w:w="52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Intersegment revenues</w:t>
            </w:r>
            <w:r>
              <w:rPr>
                <w:rFonts w:ascii="Times New Roman" w:cs="Times New Roman" w:eastAsia="Times New Roman" w:hAnsi="Times New Roman"/>
                <w:sz w:val="23"/>
                <w:szCs w:val="23"/>
                <w:color w:val="auto"/>
                <w:vertAlign w:val="superscript"/>
              </w:rPr>
              <w:t>(1)</w:t>
            </w:r>
          </w:p>
        </w:tc>
        <w:tc>
          <w:tcPr>
            <w:tcW w:w="300" w:type="dxa"/>
            <w:vAlign w:val="bottom"/>
          </w:tcPr>
          <w:p>
            <w:pPr>
              <w:spacing w:after="0"/>
              <w:rPr>
                <w:sz w:val="19"/>
                <w:szCs w:val="19"/>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3.4</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230.1</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Less</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Cost of sales</w:t>
            </w: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15,845.5</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5,892.2</w:t>
            </w: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21,666.7</w:t>
            </w:r>
          </w:p>
        </w:tc>
        <w:tc>
          <w:tcPr>
            <w:tcW w:w="0" w:type="dxa"/>
            <w:vAlign w:val="bottom"/>
          </w:tcPr>
          <w:p>
            <w:pPr>
              <w:spacing w:after="0"/>
              <w:rPr>
                <w:sz w:val="1"/>
                <w:szCs w:val="1"/>
                <w:color w:val="auto"/>
              </w:rPr>
            </w:pPr>
          </w:p>
        </w:tc>
      </w:tr>
      <w:tr>
        <w:trPr>
          <w:trHeight w:val="22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1,380.0</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421.8</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1,639.3</w:t>
            </w:r>
          </w:p>
        </w:tc>
        <w:tc>
          <w:tcPr>
            <w:tcW w:w="0" w:type="dxa"/>
            <w:vAlign w:val="bottom"/>
          </w:tcPr>
          <w:p>
            <w:pPr>
              <w:spacing w:after="0"/>
              <w:rPr>
                <w:sz w:val="1"/>
                <w:szCs w:val="1"/>
                <w:color w:val="auto"/>
              </w:rPr>
            </w:pPr>
          </w:p>
        </w:tc>
      </w:tr>
      <w:tr>
        <w:trPr>
          <w:trHeight w:val="229"/>
        </w:trPr>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00" w:type="dxa"/>
            <w:vAlign w:val="bottom"/>
          </w:tcPr>
          <w:p>
            <w:pPr>
              <w:spacing w:after="0"/>
              <w:rPr>
                <w:sz w:val="19"/>
                <w:szCs w:val="19"/>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348.7</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154.6</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702.5</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37.2</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0" w:type="dxa"/>
            <w:vAlign w:val="bottom"/>
          </w:tcPr>
          <w:p>
            <w:pPr>
              <w:spacing w:after="0"/>
              <w:rPr>
                <w:sz w:val="1"/>
                <w:szCs w:val="1"/>
                <w:color w:val="auto"/>
              </w:rPr>
            </w:pPr>
          </w:p>
        </w:tc>
      </w:tr>
      <w:tr>
        <w:trPr>
          <w:trHeight w:val="229"/>
        </w:trPr>
        <w:tc>
          <w:tcPr>
            <w:tcW w:w="5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Intersegment support activities</w:t>
            </w: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5.6</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200" w:type="dxa"/>
            <w:vAlign w:val="bottom"/>
            <w:tcBorders>
              <w:bottom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Segment earnings</w:t>
            </w:r>
            <w:r>
              <w:rPr>
                <w:rFonts w:ascii="Times New Roman" w:cs="Times New Roman" w:eastAsia="Times New Roman" w:hAnsi="Times New Roman"/>
                <w:sz w:val="23"/>
                <w:szCs w:val="23"/>
                <w:color w:val="auto"/>
                <w:vertAlign w:val="superscript"/>
              </w:rPr>
              <w:t>(3)</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988.5</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247.4</w:t>
            </w:r>
          </w:p>
        </w:tc>
        <w:tc>
          <w:tcPr>
            <w:tcW w:w="4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(348.2)</w:t>
            </w:r>
          </w:p>
        </w:tc>
        <w:tc>
          <w:tcPr>
            <w:tcW w:w="10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887.7</w:t>
            </w:r>
          </w:p>
        </w:tc>
        <w:tc>
          <w:tcPr>
            <w:tcW w:w="0" w:type="dxa"/>
            <w:vAlign w:val="bottom"/>
          </w:tcPr>
          <w:p>
            <w:pPr>
              <w:spacing w:after="0"/>
              <w:rPr>
                <w:sz w:val="1"/>
                <w:szCs w:val="1"/>
                <w:color w:val="auto"/>
              </w:rPr>
            </w:pPr>
          </w:p>
        </w:tc>
      </w:tr>
      <w:tr>
        <w:trPr>
          <w:trHeight w:val="203"/>
        </w:trPr>
        <w:tc>
          <w:tcPr>
            <w:tcW w:w="520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Reconciliation of segment earnings:</w:t>
            </w: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 net</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0" w:type="dxa"/>
            <w:vAlign w:val="bottom"/>
          </w:tcPr>
          <w:p>
            <w:pPr>
              <w:spacing w:after="0"/>
              <w:rPr>
                <w:sz w:val="1"/>
                <w:szCs w:val="1"/>
                <w:color w:val="auto"/>
              </w:rPr>
            </w:pPr>
          </w:p>
        </w:tc>
      </w:tr>
      <w:tr>
        <w:trPr>
          <w:trHeight w:val="230"/>
        </w:trPr>
        <w:tc>
          <w:tcPr>
            <w:tcW w:w="5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expense, net</w:t>
            </w:r>
          </w:p>
        </w:tc>
        <w:tc>
          <w:tcPr>
            <w:tcW w:w="30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0" w:type="dxa"/>
            <w:vAlign w:val="bottom"/>
          </w:tcPr>
          <w:p>
            <w:pPr>
              <w:spacing w:after="0"/>
              <w:rPr>
                <w:sz w:val="1"/>
                <w:szCs w:val="1"/>
                <w:color w:val="auto"/>
              </w:rPr>
            </w:pPr>
          </w:p>
        </w:tc>
      </w:tr>
      <w:tr>
        <w:trPr>
          <w:trHeight w:val="155"/>
        </w:trPr>
        <w:tc>
          <w:tcPr>
            <w:tcW w:w="520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Consolidated income before provision for income taxes and equity in</w:t>
            </w:r>
          </w:p>
        </w:tc>
        <w:tc>
          <w:tcPr>
            <w:tcW w:w="3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3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732.9</w:t>
            </w:r>
          </w:p>
        </w:tc>
        <w:tc>
          <w:tcPr>
            <w:tcW w:w="0" w:type="dxa"/>
            <w:vAlign w:val="bottom"/>
          </w:tcPr>
          <w:p>
            <w:pPr>
              <w:spacing w:after="0"/>
              <w:rPr>
                <w:sz w:val="1"/>
                <w:szCs w:val="1"/>
                <w:color w:val="auto"/>
              </w:rPr>
            </w:pPr>
          </w:p>
        </w:tc>
      </w:tr>
      <w:tr>
        <w:trPr>
          <w:trHeight w:val="149"/>
        </w:trPr>
        <w:tc>
          <w:tcPr>
            <w:tcW w:w="52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of affiliates</w:t>
            </w:r>
          </w:p>
        </w:tc>
        <w:tc>
          <w:tcPr>
            <w:tcW w:w="3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340" w:type="dxa"/>
            <w:vAlign w:val="bottom"/>
            <w:gridSpan w:val="2"/>
            <w:vMerge w:val="continue"/>
            <w:shd w:val="clear" w:color="auto" w:fill="CCEEFF"/>
          </w:tcPr>
          <w:p>
            <w:pPr>
              <w:spacing w:after="0"/>
              <w:rPr>
                <w:sz w:val="12"/>
                <w:szCs w:val="12"/>
                <w:color w:val="auto"/>
              </w:rPr>
            </w:pPr>
          </w:p>
        </w:tc>
        <w:tc>
          <w:tcPr>
            <w:tcW w:w="120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1"/>
        </w:trPr>
        <w:tc>
          <w:tcPr>
            <w:tcW w:w="5200" w:type="dxa"/>
            <w:vAlign w:val="bottom"/>
            <w:tcBorders>
              <w:bottom w:val="single" w:sz="8" w:color="auto"/>
            </w:tcBorders>
            <w:vMerge w:val="continue"/>
            <w:shd w:val="clear" w:color="auto" w:fill="CCEEFF"/>
          </w:tcPr>
          <w:p>
            <w:pPr>
              <w:spacing w:after="0"/>
              <w:rPr>
                <w:sz w:val="8"/>
                <w:szCs w:val="8"/>
                <w:color w:val="auto"/>
              </w:rPr>
            </w:pPr>
          </w:p>
        </w:tc>
        <w:tc>
          <w:tcPr>
            <w:tcW w:w="300" w:type="dxa"/>
            <w:vAlign w:val="bottom"/>
            <w:tcBorders>
              <w:bottom w:val="single" w:sz="8" w:color="auto"/>
            </w:tcBorders>
            <w:shd w:val="clear" w:color="auto" w:fill="CCEEFF"/>
          </w:tcPr>
          <w:p>
            <w:pPr>
              <w:spacing w:after="0"/>
              <w:rPr>
                <w:sz w:val="8"/>
                <w:szCs w:val="8"/>
                <w:color w:val="auto"/>
              </w:rPr>
            </w:pPr>
          </w:p>
        </w:tc>
        <w:tc>
          <w:tcPr>
            <w:tcW w:w="1160" w:type="dxa"/>
            <w:vAlign w:val="bottom"/>
            <w:tcBorders>
              <w:bottom w:val="single" w:sz="8" w:color="auto"/>
            </w:tcBorders>
            <w:shd w:val="clear" w:color="auto" w:fill="CCEEFF"/>
          </w:tcPr>
          <w:p>
            <w:pPr>
              <w:spacing w:after="0"/>
              <w:rPr>
                <w:sz w:val="8"/>
                <w:szCs w:val="8"/>
                <w:color w:val="auto"/>
              </w:rPr>
            </w:pPr>
          </w:p>
        </w:tc>
        <w:tc>
          <w:tcPr>
            <w:tcW w:w="320" w:type="dxa"/>
            <w:vAlign w:val="bottom"/>
            <w:tcBorders>
              <w:bottom w:val="single" w:sz="8" w:color="auto"/>
            </w:tcBorders>
            <w:shd w:val="clear" w:color="auto" w:fill="CCEEFF"/>
          </w:tcPr>
          <w:p>
            <w:pPr>
              <w:spacing w:after="0"/>
              <w:rPr>
                <w:sz w:val="8"/>
                <w:szCs w:val="8"/>
                <w:color w:val="auto"/>
              </w:rPr>
            </w:pPr>
          </w:p>
        </w:tc>
        <w:tc>
          <w:tcPr>
            <w:tcW w:w="1200" w:type="dxa"/>
            <w:vAlign w:val="bottom"/>
            <w:tcBorders>
              <w:bottom w:val="single" w:sz="8" w:color="auto"/>
            </w:tcBorders>
            <w:shd w:val="clear" w:color="auto" w:fill="CCEEFF"/>
          </w:tcPr>
          <w:p>
            <w:pPr>
              <w:spacing w:after="0"/>
              <w:rPr>
                <w:sz w:val="8"/>
                <w:szCs w:val="8"/>
                <w:color w:val="auto"/>
              </w:rPr>
            </w:pPr>
          </w:p>
        </w:tc>
        <w:tc>
          <w:tcPr>
            <w:tcW w:w="420" w:type="dxa"/>
            <w:vAlign w:val="bottom"/>
            <w:tcBorders>
              <w:bottom w:val="single" w:sz="8" w:color="auto"/>
            </w:tcBorders>
            <w:shd w:val="clear" w:color="auto" w:fill="CCEEFF"/>
          </w:tcPr>
          <w:p>
            <w:pPr>
              <w:spacing w:after="0"/>
              <w:rPr>
                <w:sz w:val="8"/>
                <w:szCs w:val="8"/>
                <w:color w:val="auto"/>
              </w:rPr>
            </w:pPr>
          </w:p>
        </w:tc>
        <w:tc>
          <w:tcPr>
            <w:tcW w:w="1100" w:type="dxa"/>
            <w:vAlign w:val="bottom"/>
            <w:tcBorders>
              <w:bottom w:val="single" w:sz="8" w:color="auto"/>
            </w:tcBorders>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240" w:type="dxa"/>
            <w:vAlign w:val="bottom"/>
            <w:tcBorders>
              <w:bottom w:val="single" w:sz="8" w:color="auto"/>
            </w:tcBorders>
            <w:shd w:val="clear" w:color="auto" w:fill="CCEEFF"/>
          </w:tcPr>
          <w:p>
            <w:pPr>
              <w:spacing w:after="0"/>
              <w:rPr>
                <w:sz w:val="8"/>
                <w:szCs w:val="8"/>
                <w:color w:val="auto"/>
              </w:rPr>
            </w:pPr>
          </w:p>
        </w:tc>
        <w:tc>
          <w:tcPr>
            <w:tcW w:w="1200" w:type="dxa"/>
            <w:vAlign w:val="bottom"/>
            <w:tcBorders>
              <w:bottom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52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3"/>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52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720" w:type="dxa"/>
            <w:vAlign w:val="bottom"/>
            <w:tcBorders>
              <w:bottom w:val="single" w:sz="8" w:color="auto"/>
            </w:tcBorders>
            <w:gridSpan w:val="3"/>
          </w:tcPr>
          <w:p>
            <w:pPr>
              <w:jc w:val="right"/>
              <w:ind w:right="472"/>
              <w:spacing w:after="0"/>
              <w:rPr>
                <w:sz w:val="20"/>
                <w:szCs w:val="20"/>
                <w:color w:val="auto"/>
              </w:rPr>
            </w:pPr>
            <w:r>
              <w:rPr>
                <w:rFonts w:ascii="Times New Roman" w:cs="Times New Roman" w:eastAsia="Times New Roman" w:hAnsi="Times New Roman"/>
                <w:sz w:val="14"/>
                <w:szCs w:val="14"/>
                <w:color w:val="auto"/>
              </w:rPr>
              <w:t>Year Ended December 31, 2023</w:t>
            </w: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color w:val="auto"/>
              </w:rPr>
              <w:t>Seating</w:t>
            </w:r>
          </w:p>
        </w:tc>
        <w:tc>
          <w:tcPr>
            <w:tcW w:w="3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color w:val="auto"/>
              </w:rPr>
              <w:t>E-Systems</w:t>
            </w:r>
          </w:p>
        </w:tc>
        <w:tc>
          <w:tcPr>
            <w:tcW w:w="4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color w:val="auto"/>
              </w:rPr>
              <w:t>Other</w:t>
            </w: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color w:val="auto"/>
              </w:rPr>
              <w:t>Consolidated</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from external customers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17,548.8</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5,918.1</w:t>
            </w:r>
          </w:p>
        </w:tc>
        <w:tc>
          <w:tcPr>
            <w:tcW w:w="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23,466.9</w:t>
            </w:r>
          </w:p>
        </w:tc>
        <w:tc>
          <w:tcPr>
            <w:tcW w:w="0" w:type="dxa"/>
            <w:vAlign w:val="bottom"/>
          </w:tcPr>
          <w:p>
            <w:pPr>
              <w:spacing w:after="0"/>
              <w:rPr>
                <w:sz w:val="1"/>
                <w:szCs w:val="1"/>
                <w:color w:val="auto"/>
              </w:rPr>
            </w:pPr>
          </w:p>
        </w:tc>
      </w:tr>
      <w:tr>
        <w:trPr>
          <w:trHeight w:val="229"/>
        </w:trPr>
        <w:tc>
          <w:tcPr>
            <w:tcW w:w="52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Intersegment revenues</w:t>
            </w:r>
            <w:r>
              <w:rPr>
                <w:rFonts w:ascii="Times New Roman" w:cs="Times New Roman" w:eastAsia="Times New Roman" w:hAnsi="Times New Roman"/>
                <w:sz w:val="23"/>
                <w:szCs w:val="23"/>
                <w:color w:val="auto"/>
                <w:vertAlign w:val="superscript"/>
              </w:rPr>
              <w:t>(1)</w:t>
            </w:r>
          </w:p>
        </w:tc>
        <w:tc>
          <w:tcPr>
            <w:tcW w:w="300" w:type="dxa"/>
            <w:vAlign w:val="bottom"/>
          </w:tcPr>
          <w:p>
            <w:pPr>
              <w:spacing w:after="0"/>
              <w:rPr>
                <w:sz w:val="19"/>
                <w:szCs w:val="19"/>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0.6</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224.9</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Less</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Cost of sales</w:t>
            </w: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16,090.0</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5,730.4</w:t>
            </w: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21,756.5</w:t>
            </w:r>
          </w:p>
        </w:tc>
        <w:tc>
          <w:tcPr>
            <w:tcW w:w="0" w:type="dxa"/>
            <w:vAlign w:val="bottom"/>
          </w:tcPr>
          <w:p>
            <w:pPr>
              <w:spacing w:after="0"/>
              <w:rPr>
                <w:sz w:val="1"/>
                <w:szCs w:val="1"/>
                <w:color w:val="auto"/>
              </w:rPr>
            </w:pPr>
          </w:p>
        </w:tc>
      </w:tr>
      <w:tr>
        <w:trPr>
          <w:trHeight w:val="22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1,459.4</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412.6</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1,710.4</w:t>
            </w:r>
          </w:p>
        </w:tc>
        <w:tc>
          <w:tcPr>
            <w:tcW w:w="0" w:type="dxa"/>
            <w:vAlign w:val="bottom"/>
          </w:tcPr>
          <w:p>
            <w:pPr>
              <w:spacing w:after="0"/>
              <w:rPr>
                <w:sz w:val="1"/>
                <w:szCs w:val="1"/>
                <w:color w:val="auto"/>
              </w:rPr>
            </w:pPr>
          </w:p>
        </w:tc>
      </w:tr>
      <w:tr>
        <w:trPr>
          <w:trHeight w:val="230"/>
        </w:trPr>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00" w:type="dxa"/>
            <w:vAlign w:val="bottom"/>
          </w:tcPr>
          <w:p>
            <w:pPr>
              <w:spacing w:after="0"/>
              <w:rPr>
                <w:sz w:val="19"/>
                <w:szCs w:val="19"/>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346.5</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156.6</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714.7</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39.0</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0" w:type="dxa"/>
            <w:vAlign w:val="bottom"/>
          </w:tcPr>
          <w:p>
            <w:pPr>
              <w:spacing w:after="0"/>
              <w:rPr>
                <w:sz w:val="1"/>
                <w:szCs w:val="1"/>
                <w:color w:val="auto"/>
              </w:rPr>
            </w:pPr>
          </w:p>
        </w:tc>
      </w:tr>
      <w:tr>
        <w:trPr>
          <w:trHeight w:val="229"/>
        </w:trPr>
        <w:tc>
          <w:tcPr>
            <w:tcW w:w="5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Intersegment support activities</w:t>
            </w: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7.0</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200" w:type="dxa"/>
            <w:vAlign w:val="bottom"/>
            <w:tcBorders>
              <w:bottom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Segment earnings</w:t>
            </w:r>
            <w:r>
              <w:rPr>
                <w:rFonts w:ascii="Times New Roman" w:cs="Times New Roman" w:eastAsia="Times New Roman" w:hAnsi="Times New Roman"/>
                <w:sz w:val="23"/>
                <w:szCs w:val="23"/>
                <w:color w:val="auto"/>
                <w:vertAlign w:val="superscript"/>
              </w:rPr>
              <w:t>(3)</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1,066.9</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228.9</w:t>
            </w:r>
          </w:p>
        </w:tc>
        <w:tc>
          <w:tcPr>
            <w:tcW w:w="4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(362.6)</w:t>
            </w:r>
          </w:p>
        </w:tc>
        <w:tc>
          <w:tcPr>
            <w:tcW w:w="10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933.2</w:t>
            </w:r>
          </w:p>
        </w:tc>
        <w:tc>
          <w:tcPr>
            <w:tcW w:w="0" w:type="dxa"/>
            <w:vAlign w:val="bottom"/>
          </w:tcPr>
          <w:p>
            <w:pPr>
              <w:spacing w:after="0"/>
              <w:rPr>
                <w:sz w:val="1"/>
                <w:szCs w:val="1"/>
                <w:color w:val="auto"/>
              </w:rPr>
            </w:pPr>
          </w:p>
        </w:tc>
      </w:tr>
      <w:tr>
        <w:trPr>
          <w:trHeight w:val="203"/>
        </w:trPr>
        <w:tc>
          <w:tcPr>
            <w:tcW w:w="520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Reconciliation of segment earnings:</w:t>
            </w: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 net</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0" w:type="dxa"/>
            <w:vAlign w:val="bottom"/>
          </w:tcPr>
          <w:p>
            <w:pPr>
              <w:spacing w:after="0"/>
              <w:rPr>
                <w:sz w:val="1"/>
                <w:szCs w:val="1"/>
                <w:color w:val="auto"/>
              </w:rPr>
            </w:pPr>
          </w:p>
        </w:tc>
      </w:tr>
      <w:tr>
        <w:trPr>
          <w:trHeight w:val="229"/>
        </w:trPr>
        <w:tc>
          <w:tcPr>
            <w:tcW w:w="5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expense, net</w:t>
            </w:r>
          </w:p>
        </w:tc>
        <w:tc>
          <w:tcPr>
            <w:tcW w:w="30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0" w:type="dxa"/>
            <w:vAlign w:val="bottom"/>
          </w:tcPr>
          <w:p>
            <w:pPr>
              <w:spacing w:after="0"/>
              <w:rPr>
                <w:sz w:val="1"/>
                <w:szCs w:val="1"/>
                <w:color w:val="auto"/>
              </w:rPr>
            </w:pPr>
          </w:p>
        </w:tc>
      </w:tr>
      <w:tr>
        <w:trPr>
          <w:trHeight w:val="155"/>
        </w:trPr>
        <w:tc>
          <w:tcPr>
            <w:tcW w:w="520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Consolidated income before provision for income taxes and equity in</w:t>
            </w:r>
          </w:p>
        </w:tc>
        <w:tc>
          <w:tcPr>
            <w:tcW w:w="3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3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777.2</w:t>
            </w:r>
          </w:p>
        </w:tc>
        <w:tc>
          <w:tcPr>
            <w:tcW w:w="0" w:type="dxa"/>
            <w:vAlign w:val="bottom"/>
          </w:tcPr>
          <w:p>
            <w:pPr>
              <w:spacing w:after="0"/>
              <w:rPr>
                <w:sz w:val="1"/>
                <w:szCs w:val="1"/>
                <w:color w:val="auto"/>
              </w:rPr>
            </w:pPr>
          </w:p>
        </w:tc>
      </w:tr>
      <w:tr>
        <w:trPr>
          <w:trHeight w:val="149"/>
        </w:trPr>
        <w:tc>
          <w:tcPr>
            <w:tcW w:w="52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of affiliates</w:t>
            </w:r>
          </w:p>
        </w:tc>
        <w:tc>
          <w:tcPr>
            <w:tcW w:w="3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340" w:type="dxa"/>
            <w:vAlign w:val="bottom"/>
            <w:gridSpan w:val="2"/>
            <w:vMerge w:val="continue"/>
            <w:shd w:val="clear" w:color="auto" w:fill="CCEEFF"/>
          </w:tcPr>
          <w:p>
            <w:pPr>
              <w:spacing w:after="0"/>
              <w:rPr>
                <w:sz w:val="12"/>
                <w:szCs w:val="12"/>
                <w:color w:val="auto"/>
              </w:rPr>
            </w:pPr>
          </w:p>
        </w:tc>
        <w:tc>
          <w:tcPr>
            <w:tcW w:w="120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1"/>
        </w:trPr>
        <w:tc>
          <w:tcPr>
            <w:tcW w:w="5200" w:type="dxa"/>
            <w:vAlign w:val="bottom"/>
            <w:tcBorders>
              <w:bottom w:val="single" w:sz="8" w:color="auto"/>
            </w:tcBorders>
            <w:vMerge w:val="continue"/>
            <w:shd w:val="clear" w:color="auto" w:fill="CCEEFF"/>
          </w:tcPr>
          <w:p>
            <w:pPr>
              <w:spacing w:after="0"/>
              <w:rPr>
                <w:sz w:val="8"/>
                <w:szCs w:val="8"/>
                <w:color w:val="auto"/>
              </w:rPr>
            </w:pPr>
          </w:p>
        </w:tc>
        <w:tc>
          <w:tcPr>
            <w:tcW w:w="300" w:type="dxa"/>
            <w:vAlign w:val="bottom"/>
            <w:tcBorders>
              <w:bottom w:val="single" w:sz="8" w:color="auto"/>
            </w:tcBorders>
            <w:shd w:val="clear" w:color="auto" w:fill="CCEEFF"/>
          </w:tcPr>
          <w:p>
            <w:pPr>
              <w:spacing w:after="0"/>
              <w:rPr>
                <w:sz w:val="8"/>
                <w:szCs w:val="8"/>
                <w:color w:val="auto"/>
              </w:rPr>
            </w:pPr>
          </w:p>
        </w:tc>
        <w:tc>
          <w:tcPr>
            <w:tcW w:w="1160" w:type="dxa"/>
            <w:vAlign w:val="bottom"/>
            <w:tcBorders>
              <w:bottom w:val="single" w:sz="8" w:color="auto"/>
            </w:tcBorders>
            <w:shd w:val="clear" w:color="auto" w:fill="CCEEFF"/>
          </w:tcPr>
          <w:p>
            <w:pPr>
              <w:spacing w:after="0"/>
              <w:rPr>
                <w:sz w:val="8"/>
                <w:szCs w:val="8"/>
                <w:color w:val="auto"/>
              </w:rPr>
            </w:pPr>
          </w:p>
        </w:tc>
        <w:tc>
          <w:tcPr>
            <w:tcW w:w="320" w:type="dxa"/>
            <w:vAlign w:val="bottom"/>
            <w:tcBorders>
              <w:bottom w:val="single" w:sz="8" w:color="auto"/>
            </w:tcBorders>
            <w:shd w:val="clear" w:color="auto" w:fill="CCEEFF"/>
          </w:tcPr>
          <w:p>
            <w:pPr>
              <w:spacing w:after="0"/>
              <w:rPr>
                <w:sz w:val="8"/>
                <w:szCs w:val="8"/>
                <w:color w:val="auto"/>
              </w:rPr>
            </w:pPr>
          </w:p>
        </w:tc>
        <w:tc>
          <w:tcPr>
            <w:tcW w:w="1200" w:type="dxa"/>
            <w:vAlign w:val="bottom"/>
            <w:tcBorders>
              <w:bottom w:val="single" w:sz="8" w:color="auto"/>
            </w:tcBorders>
            <w:shd w:val="clear" w:color="auto" w:fill="CCEEFF"/>
          </w:tcPr>
          <w:p>
            <w:pPr>
              <w:spacing w:after="0"/>
              <w:rPr>
                <w:sz w:val="8"/>
                <w:szCs w:val="8"/>
                <w:color w:val="auto"/>
              </w:rPr>
            </w:pPr>
          </w:p>
        </w:tc>
        <w:tc>
          <w:tcPr>
            <w:tcW w:w="420" w:type="dxa"/>
            <w:vAlign w:val="bottom"/>
            <w:tcBorders>
              <w:bottom w:val="single" w:sz="8" w:color="auto"/>
            </w:tcBorders>
            <w:shd w:val="clear" w:color="auto" w:fill="CCEEFF"/>
          </w:tcPr>
          <w:p>
            <w:pPr>
              <w:spacing w:after="0"/>
              <w:rPr>
                <w:sz w:val="8"/>
                <w:szCs w:val="8"/>
                <w:color w:val="auto"/>
              </w:rPr>
            </w:pPr>
          </w:p>
        </w:tc>
        <w:tc>
          <w:tcPr>
            <w:tcW w:w="1100" w:type="dxa"/>
            <w:vAlign w:val="bottom"/>
            <w:tcBorders>
              <w:bottom w:val="single" w:sz="8" w:color="auto"/>
            </w:tcBorders>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240" w:type="dxa"/>
            <w:vAlign w:val="bottom"/>
            <w:tcBorders>
              <w:bottom w:val="single" w:sz="8" w:color="auto"/>
            </w:tcBorders>
            <w:shd w:val="clear" w:color="auto" w:fill="CCEEFF"/>
          </w:tcPr>
          <w:p>
            <w:pPr>
              <w:spacing w:after="0"/>
              <w:rPr>
                <w:sz w:val="8"/>
                <w:szCs w:val="8"/>
                <w:color w:val="auto"/>
              </w:rPr>
            </w:pPr>
          </w:p>
        </w:tc>
        <w:tc>
          <w:tcPr>
            <w:tcW w:w="1200" w:type="dxa"/>
            <w:vAlign w:val="bottom"/>
            <w:tcBorders>
              <w:bottom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bl>
    <w:p>
      <w:pPr>
        <w:spacing w:after="0" w:line="112" w:lineRule="exact"/>
        <w:rPr>
          <w:sz w:val="20"/>
          <w:szCs w:val="20"/>
          <w:color w:val="auto"/>
        </w:rPr>
      </w:pPr>
    </w:p>
    <w:p>
      <w:pPr>
        <w:ind w:left="300" w:hanging="292"/>
        <w:spacing w:after="0"/>
        <w:tabs>
          <w:tab w:leader="none" w:pos="300" w:val="left"/>
        </w:tabs>
        <w:numPr>
          <w:ilvl w:val="0"/>
          <w:numId w:val="42"/>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Intersegment transactions are accounted for at values comparable to unaffiliated third-party transactions.</w:t>
      </w:r>
    </w:p>
    <w:p>
      <w:pPr>
        <w:spacing w:after="0" w:line="27" w:lineRule="exact"/>
        <w:rPr>
          <w:rFonts w:ascii="Times New Roman" w:cs="Times New Roman" w:eastAsia="Times New Roman" w:hAnsi="Times New Roman"/>
          <w:sz w:val="9"/>
          <w:szCs w:val="9"/>
          <w:color w:val="auto"/>
        </w:rPr>
      </w:pPr>
    </w:p>
    <w:p>
      <w:pPr>
        <w:ind w:left="260" w:right="300" w:hanging="252"/>
        <w:spacing w:after="0" w:line="221" w:lineRule="auto"/>
        <w:tabs>
          <w:tab w:leader="none" w:pos="243" w:val="left"/>
        </w:tabs>
        <w:numPr>
          <w:ilvl w:val="0"/>
          <w:numId w:val="4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significant expense categories and amounts align with the segment-level information that is regularly provided to the CODM. Intersegment expenses are included within the amounts shown.</w:t>
      </w:r>
    </w:p>
    <w:p>
      <w:pPr>
        <w:spacing w:after="0" w:line="1" w:lineRule="exact"/>
        <w:rPr>
          <w:rFonts w:ascii="Times New Roman" w:cs="Times New Roman" w:eastAsia="Times New Roman" w:hAnsi="Times New Roman"/>
          <w:sz w:val="19"/>
          <w:szCs w:val="19"/>
          <w:color w:val="auto"/>
          <w:vertAlign w:val="superscript"/>
        </w:rPr>
      </w:pPr>
    </w:p>
    <w:p>
      <w:pPr>
        <w:ind w:left="300" w:hanging="292"/>
        <w:spacing w:after="0" w:line="192" w:lineRule="auto"/>
        <w:tabs>
          <w:tab w:leader="none" w:pos="300" w:val="left"/>
        </w:tabs>
        <w:numPr>
          <w:ilvl w:val="0"/>
          <w:numId w:val="4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For a definition of segment earnings, see Note 2, "Summary of Significant Accounting Policies — Segment Reporting."</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segment related disclosures are shown below (in millions):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20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2740" w:type="dxa"/>
            <w:vAlign w:val="bottom"/>
            <w:tcBorders>
              <w:top w:val="single" w:sz="8" w:color="auto"/>
              <w:bottom w:val="single" w:sz="8" w:color="auto"/>
            </w:tcBorders>
            <w:gridSpan w:val="3"/>
          </w:tcPr>
          <w:p>
            <w:pPr>
              <w:jc w:val="right"/>
              <w:ind w:right="494"/>
              <w:spacing w:after="0"/>
              <w:rPr>
                <w:sz w:val="20"/>
                <w:szCs w:val="20"/>
                <w:color w:val="auto"/>
              </w:rPr>
            </w:pPr>
            <w:r>
              <w:rPr>
                <w:rFonts w:ascii="Times New Roman" w:cs="Times New Roman" w:eastAsia="Times New Roman" w:hAnsi="Times New Roman"/>
                <w:sz w:val="14"/>
                <w:szCs w:val="14"/>
                <w:color w:val="auto"/>
              </w:rPr>
              <w:t>Year Ended December 31, 2025</w:t>
            </w:r>
          </w:p>
        </w:tc>
        <w:tc>
          <w:tcPr>
            <w:tcW w:w="32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spacing w:after="0"/>
              <w:rPr>
                <w:sz w:val="19"/>
                <w:szCs w:val="19"/>
                <w:color w:val="auto"/>
              </w:rPr>
            </w:pPr>
          </w:p>
        </w:tc>
      </w:tr>
      <w:tr>
        <w:trPr>
          <w:trHeight w:val="196"/>
        </w:trPr>
        <w:tc>
          <w:tcPr>
            <w:tcW w:w="52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color w:val="auto"/>
              </w:rPr>
              <w:t>Seating</w:t>
            </w:r>
          </w:p>
        </w:tc>
        <w:tc>
          <w:tcPr>
            <w:tcW w:w="3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color w:val="auto"/>
              </w:rPr>
              <w:t>E-Systems</w:t>
            </w:r>
          </w:p>
        </w:tc>
        <w:tc>
          <w:tcPr>
            <w:tcW w:w="4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color w:val="auto"/>
              </w:rPr>
              <w:t>Other</w:t>
            </w:r>
          </w:p>
        </w:tc>
        <w:tc>
          <w:tcPr>
            <w:tcW w:w="3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color w:val="auto"/>
              </w:rPr>
              <w:t>Consolidated</w:t>
            </w:r>
          </w:p>
        </w:tc>
      </w:tr>
      <w:tr>
        <w:trPr>
          <w:trHeight w:val="23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375.3</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187.7</w:t>
            </w:r>
          </w:p>
        </w:tc>
        <w:tc>
          <w:tcPr>
            <w:tcW w:w="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21.6</w:t>
            </w:r>
          </w:p>
        </w:tc>
        <w:tc>
          <w:tcPr>
            <w:tcW w:w="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584.6</w:t>
            </w:r>
          </w:p>
        </w:tc>
      </w:tr>
      <w:tr>
        <w:trPr>
          <w:trHeight w:val="230"/>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200" w:type="dxa"/>
            <w:vAlign w:val="bottom"/>
          </w:tcPr>
          <w:p>
            <w:pPr>
              <w:spacing w:after="0"/>
              <w:rPr>
                <w:sz w:val="19"/>
                <w:szCs w:val="19"/>
                <w:color w:val="auto"/>
              </w:rPr>
            </w:pPr>
          </w:p>
        </w:tc>
        <w:tc>
          <w:tcPr>
            <w:tcW w:w="12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370.3</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171.2</w:t>
            </w:r>
          </w:p>
        </w:tc>
        <w:tc>
          <w:tcPr>
            <w:tcW w:w="420" w:type="dxa"/>
            <w:vAlign w:val="bottom"/>
          </w:tcPr>
          <w:p>
            <w:pPr>
              <w:spacing w:after="0"/>
              <w:rPr>
                <w:sz w:val="19"/>
                <w:szCs w:val="19"/>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20.1</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561.6</w:t>
            </w:r>
          </w:p>
        </w:tc>
      </w:tr>
      <w:tr>
        <w:trPr>
          <w:trHeight w:val="23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873.4</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819.8</w:t>
            </w: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1,693.2</w:t>
            </w:r>
          </w:p>
        </w:tc>
      </w:tr>
      <w:tr>
        <w:trPr>
          <w:trHeight w:val="236"/>
        </w:trPr>
        <w:tc>
          <w:tcPr>
            <w:tcW w:w="5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8,579.6</w:t>
            </w:r>
          </w:p>
        </w:tc>
        <w:tc>
          <w:tcPr>
            <w:tcW w:w="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3,962.6</w:t>
            </w:r>
          </w:p>
        </w:tc>
        <w:tc>
          <w:tcPr>
            <w:tcW w:w="4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2,300.9</w:t>
            </w:r>
          </w:p>
        </w:tc>
        <w:tc>
          <w:tcPr>
            <w:tcW w:w="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14,843.1</w:t>
            </w:r>
          </w:p>
        </w:tc>
      </w:tr>
      <w:tr>
        <w:trPr>
          <w:trHeight w:val="891"/>
        </w:trPr>
        <w:tc>
          <w:tcPr>
            <w:tcW w:w="5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jc w:val="right"/>
              <w:ind w:right="813"/>
              <w:spacing w:after="0"/>
              <w:rPr>
                <w:sz w:val="20"/>
                <w:szCs w:val="20"/>
                <w:color w:val="auto"/>
              </w:rPr>
            </w:pPr>
            <w:r>
              <w:rPr>
                <w:rFonts w:ascii="Times New Roman" w:cs="Times New Roman" w:eastAsia="Times New Roman" w:hAnsi="Times New Roman"/>
                <w:sz w:val="18"/>
                <w:szCs w:val="18"/>
                <w:color w:val="auto"/>
              </w:rPr>
              <w:t>101</w:t>
            </w: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15"/>
        </w:trPr>
        <w:tc>
          <w:tcPr>
            <w:tcW w:w="52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Lear Corporation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20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2740" w:type="dxa"/>
            <w:vAlign w:val="bottom"/>
            <w:tcBorders>
              <w:top w:val="single" w:sz="8" w:color="auto"/>
              <w:bottom w:val="single" w:sz="8" w:color="auto"/>
            </w:tcBorders>
            <w:gridSpan w:val="3"/>
          </w:tcPr>
          <w:p>
            <w:pPr>
              <w:jc w:val="right"/>
              <w:ind w:right="295"/>
              <w:spacing w:after="0"/>
              <w:rPr>
                <w:sz w:val="20"/>
                <w:szCs w:val="20"/>
                <w:color w:val="auto"/>
              </w:rPr>
            </w:pPr>
            <w:r>
              <w:rPr>
                <w:rFonts w:ascii="Times New Roman" w:cs="Times New Roman" w:eastAsia="Times New Roman" w:hAnsi="Times New Roman"/>
                <w:sz w:val="14"/>
                <w:szCs w:val="14"/>
                <w:color w:val="auto"/>
              </w:rPr>
              <w:t>For the year ended December 31, 2024</w:t>
            </w:r>
          </w:p>
        </w:tc>
        <w:tc>
          <w:tcPr>
            <w:tcW w:w="32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spacing w:after="0"/>
              <w:rPr>
                <w:sz w:val="19"/>
                <w:szCs w:val="19"/>
                <w:color w:val="auto"/>
              </w:rPr>
            </w:pPr>
          </w:p>
        </w:tc>
      </w:tr>
      <w:tr>
        <w:trPr>
          <w:trHeight w:val="196"/>
        </w:trPr>
        <w:tc>
          <w:tcPr>
            <w:tcW w:w="52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color w:val="auto"/>
              </w:rPr>
              <w:t>Seating</w:t>
            </w:r>
          </w:p>
        </w:tc>
        <w:tc>
          <w:tcPr>
            <w:tcW w:w="3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color w:val="auto"/>
              </w:rPr>
              <w:t>E-Systems</w:t>
            </w:r>
          </w:p>
        </w:tc>
        <w:tc>
          <w:tcPr>
            <w:tcW w:w="4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color w:val="auto"/>
              </w:rPr>
              <w:t>Other</w:t>
            </w:r>
          </w:p>
        </w:tc>
        <w:tc>
          <w:tcPr>
            <w:tcW w:w="3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color w:val="auto"/>
              </w:rPr>
              <w:t>Consolidated</w:t>
            </w: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370.9</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180.1</w:t>
            </w:r>
          </w:p>
        </w:tc>
        <w:tc>
          <w:tcPr>
            <w:tcW w:w="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20.6</w:t>
            </w:r>
          </w:p>
        </w:tc>
        <w:tc>
          <w:tcPr>
            <w:tcW w:w="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571.6</w:t>
            </w:r>
          </w:p>
        </w:tc>
      </w:tr>
      <w:tr>
        <w:trPr>
          <w:trHeight w:val="229"/>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300" w:type="dxa"/>
            <w:vAlign w:val="bottom"/>
          </w:tcPr>
          <w:p>
            <w:pPr>
              <w:spacing w:after="0"/>
              <w:rPr>
                <w:sz w:val="19"/>
                <w:szCs w:val="19"/>
                <w:color w:val="auto"/>
              </w:rPr>
            </w:pPr>
          </w:p>
        </w:tc>
        <w:tc>
          <w:tcPr>
            <w:tcW w:w="11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375.0</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166.7</w:t>
            </w:r>
          </w:p>
        </w:tc>
        <w:tc>
          <w:tcPr>
            <w:tcW w:w="420" w:type="dxa"/>
            <w:vAlign w:val="bottom"/>
          </w:tcPr>
          <w:p>
            <w:pPr>
              <w:spacing w:after="0"/>
              <w:rPr>
                <w:sz w:val="19"/>
                <w:szCs w:val="19"/>
                <w:color w:val="auto"/>
              </w:rPr>
            </w:pPr>
          </w:p>
        </w:tc>
        <w:tc>
          <w:tcPr>
            <w:tcW w:w="11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17.0</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558.7</w:t>
            </w:r>
          </w:p>
        </w:tc>
      </w:tr>
      <w:tr>
        <w:trPr>
          <w:trHeight w:val="23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828.1</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773.0</w:t>
            </w: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1,601.1</w:t>
            </w:r>
          </w:p>
        </w:tc>
      </w:tr>
      <w:tr>
        <w:trPr>
          <w:trHeight w:val="237"/>
        </w:trPr>
        <w:tc>
          <w:tcPr>
            <w:tcW w:w="5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7,974.4</w:t>
            </w:r>
          </w:p>
        </w:tc>
        <w:tc>
          <w:tcPr>
            <w:tcW w:w="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3,799.1</w:t>
            </w:r>
          </w:p>
        </w:tc>
        <w:tc>
          <w:tcPr>
            <w:tcW w:w="4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2,254.0</w:t>
            </w:r>
          </w:p>
        </w:tc>
        <w:tc>
          <w:tcPr>
            <w:tcW w:w="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14,027.5</w:t>
            </w:r>
          </w:p>
        </w:tc>
      </w:tr>
      <w:tr>
        <w:trPr>
          <w:trHeight w:val="236"/>
        </w:trPr>
        <w:tc>
          <w:tcPr>
            <w:tcW w:w="52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3"/>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r>
      <w:tr>
        <w:trPr>
          <w:trHeight w:val="196"/>
        </w:trPr>
        <w:tc>
          <w:tcPr>
            <w:tcW w:w="52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3"/>
          </w:tcPr>
          <w:p>
            <w:pPr>
              <w:jc w:val="right"/>
              <w:ind w:right="295"/>
              <w:spacing w:after="0"/>
              <w:rPr>
                <w:sz w:val="20"/>
                <w:szCs w:val="20"/>
                <w:color w:val="auto"/>
              </w:rPr>
            </w:pPr>
            <w:r>
              <w:rPr>
                <w:rFonts w:ascii="Times New Roman" w:cs="Times New Roman" w:eastAsia="Times New Roman" w:hAnsi="Times New Roman"/>
                <w:sz w:val="14"/>
                <w:szCs w:val="14"/>
                <w:color w:val="auto"/>
              </w:rPr>
              <w:t>For the year ended December 31, 2023</w:t>
            </w:r>
          </w:p>
        </w:tc>
        <w:tc>
          <w:tcPr>
            <w:tcW w:w="3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r>
      <w:tr>
        <w:trPr>
          <w:trHeight w:val="196"/>
        </w:trPr>
        <w:tc>
          <w:tcPr>
            <w:tcW w:w="52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color w:val="auto"/>
              </w:rPr>
              <w:t>Seating</w:t>
            </w:r>
          </w:p>
        </w:tc>
        <w:tc>
          <w:tcPr>
            <w:tcW w:w="3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color w:val="auto"/>
              </w:rPr>
              <w:t>E-Systems</w:t>
            </w:r>
          </w:p>
        </w:tc>
        <w:tc>
          <w:tcPr>
            <w:tcW w:w="4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color w:val="auto"/>
              </w:rPr>
              <w:t>Other</w:t>
            </w:r>
          </w:p>
        </w:tc>
        <w:tc>
          <w:tcPr>
            <w:tcW w:w="3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color w:val="auto"/>
              </w:rPr>
              <w:t>Consolidated</w:t>
            </w: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355.4</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165.8</w:t>
            </w:r>
          </w:p>
        </w:tc>
        <w:tc>
          <w:tcPr>
            <w:tcW w:w="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20.7</w:t>
            </w:r>
          </w:p>
        </w:tc>
        <w:tc>
          <w:tcPr>
            <w:tcW w:w="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541.9</w:t>
            </w:r>
          </w:p>
        </w:tc>
      </w:tr>
      <w:tr>
        <w:trPr>
          <w:trHeight w:val="237"/>
        </w:trPr>
        <w:tc>
          <w:tcPr>
            <w:tcW w:w="5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344.6</w:t>
            </w:r>
          </w:p>
        </w:tc>
        <w:tc>
          <w:tcPr>
            <w:tcW w:w="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261.3</w:t>
            </w:r>
          </w:p>
        </w:tc>
        <w:tc>
          <w:tcPr>
            <w:tcW w:w="4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20.6</w:t>
            </w:r>
          </w:p>
        </w:tc>
        <w:tc>
          <w:tcPr>
            <w:tcW w:w="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626.5</w:t>
            </w:r>
          </w:p>
        </w:tc>
      </w:tr>
    </w:tbl>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Revenues from external customers and tangible long-lived assets for each of the geographic areas in which the Company operates is shown below (in millions):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7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For the year ended December 31,</w:t>
            </w:r>
          </w:p>
        </w:tc>
        <w:tc>
          <w:tcPr>
            <w:tcW w:w="236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color w:val="auto"/>
              </w:rPr>
              <w:t>2025</w:t>
            </w:r>
          </w:p>
        </w:tc>
        <w:tc>
          <w:tcPr>
            <w:tcW w:w="4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color w:val="auto"/>
              </w:rPr>
              <w:t>2024</w:t>
            </w:r>
          </w:p>
        </w:tc>
        <w:tc>
          <w:tcPr>
            <w:tcW w:w="38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color w:val="auto"/>
              </w:rPr>
              <w:t>2023</w:t>
            </w:r>
          </w:p>
        </w:tc>
      </w:tr>
      <w:tr>
        <w:trPr>
          <w:trHeight w:val="229"/>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 from external customers</w:t>
            </w:r>
          </w:p>
        </w:tc>
        <w:tc>
          <w:tcPr>
            <w:tcW w:w="2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4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United States</w:t>
            </w:r>
          </w:p>
        </w:tc>
        <w:tc>
          <w:tcPr>
            <w:tcW w:w="2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5,293.0</w:t>
            </w:r>
          </w:p>
        </w:tc>
        <w:tc>
          <w:tcPr>
            <w:tcW w:w="4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5,050.4</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4,863.8</w:t>
            </w:r>
          </w:p>
        </w:tc>
      </w:tr>
      <w:tr>
        <w:trPr>
          <w:trHeight w:val="230"/>
        </w:trPr>
        <w:tc>
          <w:tcPr>
            <w:tcW w:w="4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Mexico</w:t>
            </w:r>
          </w:p>
        </w:tc>
        <w:tc>
          <w:tcPr>
            <w:tcW w:w="2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3,557.6</w:t>
            </w: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3,673.7</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3,434.4</w:t>
            </w:r>
          </w:p>
        </w:tc>
      </w:tr>
      <w:tr>
        <w:trPr>
          <w:trHeight w:val="229"/>
        </w:trPr>
        <w:tc>
          <w:tcPr>
            <w:tcW w:w="4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China</w:t>
            </w:r>
          </w:p>
        </w:tc>
        <w:tc>
          <w:tcPr>
            <w:tcW w:w="2360" w:type="dxa"/>
            <w:vAlign w:val="bottom"/>
          </w:tcPr>
          <w:p>
            <w:pPr>
              <w:spacing w:after="0"/>
              <w:rPr>
                <w:sz w:val="19"/>
                <w:szCs w:val="19"/>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3,041.1</w:t>
            </w:r>
          </w:p>
        </w:tc>
        <w:tc>
          <w:tcPr>
            <w:tcW w:w="440" w:type="dxa"/>
            <w:vAlign w:val="bottom"/>
          </w:tcPr>
          <w:p>
            <w:pPr>
              <w:spacing w:after="0"/>
              <w:rPr>
                <w:sz w:val="19"/>
                <w:szCs w:val="19"/>
                <w:color w:val="auto"/>
              </w:rPr>
            </w:pPr>
          </w:p>
        </w:tc>
        <w:tc>
          <w:tcPr>
            <w:tcW w:w="11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2,969.5</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3,044.9</w:t>
            </w:r>
          </w:p>
        </w:tc>
      </w:tr>
      <w:tr>
        <w:trPr>
          <w:trHeight w:val="229"/>
        </w:trPr>
        <w:tc>
          <w:tcPr>
            <w:tcW w:w="4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Germany</w:t>
            </w:r>
          </w:p>
        </w:tc>
        <w:tc>
          <w:tcPr>
            <w:tcW w:w="2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1,175.3</w:t>
            </w: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1,364.4</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1,402.2</w:t>
            </w:r>
          </w:p>
        </w:tc>
      </w:tr>
      <w:tr>
        <w:trPr>
          <w:trHeight w:val="230"/>
        </w:trPr>
        <w:tc>
          <w:tcPr>
            <w:tcW w:w="4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Morocco</w:t>
            </w:r>
          </w:p>
        </w:tc>
        <w:tc>
          <w:tcPr>
            <w:tcW w:w="2360" w:type="dxa"/>
            <w:vAlign w:val="bottom"/>
          </w:tcPr>
          <w:p>
            <w:pPr>
              <w:spacing w:after="0"/>
              <w:rPr>
                <w:sz w:val="19"/>
                <w:szCs w:val="19"/>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1,297.4</w:t>
            </w:r>
          </w:p>
        </w:tc>
        <w:tc>
          <w:tcPr>
            <w:tcW w:w="440" w:type="dxa"/>
            <w:vAlign w:val="bottom"/>
          </w:tcPr>
          <w:p>
            <w:pPr>
              <w:spacing w:after="0"/>
              <w:rPr>
                <w:sz w:val="19"/>
                <w:szCs w:val="19"/>
                <w:color w:val="auto"/>
              </w:rPr>
            </w:pPr>
          </w:p>
        </w:tc>
        <w:tc>
          <w:tcPr>
            <w:tcW w:w="11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1,219.8</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1,085.8</w:t>
            </w:r>
          </w:p>
        </w:tc>
      </w:tr>
      <w:tr>
        <w:trPr>
          <w:trHeight w:val="229"/>
        </w:trPr>
        <w:tc>
          <w:tcPr>
            <w:tcW w:w="472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countries</w:t>
            </w:r>
          </w:p>
        </w:tc>
        <w:tc>
          <w:tcPr>
            <w:tcW w:w="2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8,894.7</w:t>
            </w:r>
          </w:p>
        </w:tc>
        <w:tc>
          <w:tcPr>
            <w:tcW w:w="4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9,028.2</w:t>
            </w:r>
          </w:p>
        </w:tc>
        <w:tc>
          <w:tcPr>
            <w:tcW w:w="3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9,635.8</w:t>
            </w:r>
          </w:p>
        </w:tc>
      </w:tr>
      <w:tr>
        <w:trPr>
          <w:trHeight w:val="230"/>
        </w:trPr>
        <w:tc>
          <w:tcPr>
            <w:tcW w:w="4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23,259.1</w:t>
            </w:r>
          </w:p>
        </w:tc>
        <w:tc>
          <w:tcPr>
            <w:tcW w:w="4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23,306.0</w:t>
            </w:r>
          </w:p>
        </w:tc>
        <w:tc>
          <w:tcPr>
            <w:tcW w:w="3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23,466.9</w:t>
            </w:r>
          </w:p>
        </w:tc>
      </w:tr>
      <w:tr>
        <w:trPr>
          <w:trHeight w:val="237"/>
        </w:trPr>
        <w:tc>
          <w:tcPr>
            <w:tcW w:w="472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196"/>
        </w:trPr>
        <w:tc>
          <w:tcPr>
            <w:tcW w:w="4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December 31,</w:t>
            </w:r>
          </w:p>
        </w:tc>
        <w:tc>
          <w:tcPr>
            <w:tcW w:w="2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color w:val="auto"/>
              </w:rPr>
              <w:t>2025</w:t>
            </w:r>
          </w:p>
        </w:tc>
        <w:tc>
          <w:tcPr>
            <w:tcW w:w="4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color w:val="auto"/>
              </w:rPr>
              <w:t>2024</w:t>
            </w: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0"/>
        </w:trPr>
        <w:tc>
          <w:tcPr>
            <w:tcW w:w="47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Tangible long-lived assets</w:t>
            </w:r>
            <w:r>
              <w:rPr>
                <w:rFonts w:ascii="Times New Roman" w:cs="Times New Roman" w:eastAsia="Times New Roman" w:hAnsi="Times New Roman"/>
                <w:sz w:val="23"/>
                <w:szCs w:val="23"/>
                <w:b w:val="1"/>
                <w:bCs w:val="1"/>
                <w:color w:val="auto"/>
                <w:vertAlign w:val="superscript"/>
              </w:rPr>
              <w:t>(1)</w:t>
            </w:r>
          </w:p>
        </w:tc>
        <w:tc>
          <w:tcPr>
            <w:tcW w:w="2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4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Mexico</w:t>
            </w:r>
          </w:p>
        </w:tc>
        <w:tc>
          <w:tcPr>
            <w:tcW w:w="2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672.1</w:t>
            </w:r>
          </w:p>
        </w:tc>
        <w:tc>
          <w:tcPr>
            <w:tcW w:w="4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723.1</w:t>
            </w: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4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United States</w:t>
            </w:r>
          </w:p>
        </w:tc>
        <w:tc>
          <w:tcPr>
            <w:tcW w:w="2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655.8</w:t>
            </w: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700.2</w:t>
            </w: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4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China</w:t>
            </w:r>
          </w:p>
        </w:tc>
        <w:tc>
          <w:tcPr>
            <w:tcW w:w="2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400.6</w:t>
            </w: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404.1</w:t>
            </w: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4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Morocco</w:t>
            </w:r>
          </w:p>
        </w:tc>
        <w:tc>
          <w:tcPr>
            <w:tcW w:w="2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297.8</w:t>
            </w: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242.0</w:t>
            </w: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4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Poland</w:t>
            </w:r>
          </w:p>
        </w:tc>
        <w:tc>
          <w:tcPr>
            <w:tcW w:w="2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209.0</w:t>
            </w: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203.5</w:t>
            </w: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4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Spain</w:t>
            </w:r>
          </w:p>
        </w:tc>
        <w:tc>
          <w:tcPr>
            <w:tcW w:w="2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187.2</w:t>
            </w: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w:t>
            </w: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47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Other countries</w:t>
            </w:r>
          </w:p>
        </w:tc>
        <w:tc>
          <w:tcPr>
            <w:tcW w:w="2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1,213.0</w:t>
            </w: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1,098.5</w:t>
            </w: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47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3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3,635.5</w:t>
            </w:r>
          </w:p>
        </w:tc>
        <w:tc>
          <w:tcPr>
            <w:tcW w:w="4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3,533.2</w:t>
            </w:r>
          </w:p>
        </w:tc>
        <w:tc>
          <w:tcPr>
            <w:tcW w:w="380" w:type="dxa"/>
            <w:vAlign w:val="bottom"/>
          </w:tcPr>
          <w:p>
            <w:pPr>
              <w:spacing w:after="0"/>
              <w:rPr>
                <w:sz w:val="20"/>
                <w:szCs w:val="20"/>
                <w:color w:val="auto"/>
              </w:rPr>
            </w:pPr>
          </w:p>
        </w:tc>
        <w:tc>
          <w:tcPr>
            <w:tcW w:w="1100" w:type="dxa"/>
            <w:vAlign w:val="bottom"/>
          </w:tcPr>
          <w:p>
            <w:pPr>
              <w:spacing w:after="0"/>
              <w:rPr>
                <w:sz w:val="20"/>
                <w:szCs w:val="20"/>
                <w:color w:val="auto"/>
              </w:rPr>
            </w:pPr>
          </w:p>
        </w:tc>
      </w:tr>
    </w:tbl>
    <w:p>
      <w:pPr>
        <w:spacing w:after="0" w:line="96" w:lineRule="exact"/>
        <w:rPr>
          <w:sz w:val="20"/>
          <w:szCs w:val="20"/>
          <w:color w:val="auto"/>
        </w:rPr>
      </w:pPr>
    </w:p>
    <w:p>
      <w:pPr>
        <w:ind w:left="300" w:hanging="292"/>
        <w:spacing w:after="0"/>
        <w:tabs>
          <w:tab w:leader="none" w:pos="300" w:val="left"/>
        </w:tabs>
        <w:numPr>
          <w:ilvl w:val="0"/>
          <w:numId w:val="4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Tangible long-lived assets include property, plant and equipment and right-of-use assets.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revenues from major customers is shown below:</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7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For the year ended December 31,</w:t>
            </w:r>
          </w:p>
        </w:tc>
        <w:tc>
          <w:tcPr>
            <w:tcW w:w="4500" w:type="dxa"/>
            <w:vAlign w:val="bottom"/>
            <w:tcBorders>
              <w:top w:val="single" w:sz="8" w:color="auto"/>
              <w:bottom w:val="single" w:sz="8" w:color="auto"/>
            </w:tcBorders>
          </w:tcPr>
          <w:p>
            <w:pPr>
              <w:jc w:val="center"/>
              <w:ind w:left="2873"/>
              <w:spacing w:after="0"/>
              <w:rPr>
                <w:sz w:val="20"/>
                <w:szCs w:val="20"/>
                <w:color w:val="auto"/>
              </w:rPr>
            </w:pPr>
            <w:r>
              <w:rPr>
                <w:rFonts w:ascii="Times New Roman" w:cs="Times New Roman" w:eastAsia="Times New Roman" w:hAnsi="Times New Roman"/>
                <w:sz w:val="14"/>
                <w:szCs w:val="14"/>
                <w:color w:val="auto"/>
              </w:rPr>
              <w:t>2025</w:t>
            </w:r>
          </w:p>
        </w:tc>
        <w:tc>
          <w:tcPr>
            <w:tcW w:w="15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2024</w:t>
            </w:r>
          </w:p>
        </w:tc>
        <w:tc>
          <w:tcPr>
            <w:tcW w:w="14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2023</w:t>
            </w:r>
          </w:p>
        </w:tc>
      </w:tr>
      <w:tr>
        <w:trPr>
          <w:trHeight w:val="230"/>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Motors</w:t>
            </w:r>
          </w:p>
        </w:tc>
        <w:tc>
          <w:tcPr>
            <w:tcW w:w="4500" w:type="dxa"/>
            <w:vAlign w:val="bottom"/>
            <w:shd w:val="clear" w:color="auto" w:fill="CCEEFF"/>
          </w:tcPr>
          <w:p>
            <w:pPr>
              <w:jc w:val="center"/>
              <w:ind w:left="2873"/>
              <w:spacing w:after="0"/>
              <w:rPr>
                <w:sz w:val="20"/>
                <w:szCs w:val="20"/>
                <w:color w:val="auto"/>
              </w:rPr>
            </w:pPr>
            <w:r>
              <w:rPr>
                <w:rFonts w:ascii="Times New Roman" w:cs="Times New Roman" w:eastAsia="Times New Roman" w:hAnsi="Times New Roman"/>
                <w:sz w:val="18"/>
                <w:szCs w:val="18"/>
                <w:color w:val="auto"/>
                <w:w w:val="98"/>
              </w:rPr>
              <w:t>21.7%</w:t>
            </w: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21.8%</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19.8%</w:t>
            </w:r>
          </w:p>
        </w:tc>
      </w:tr>
      <w:tr>
        <w:trPr>
          <w:trHeight w:val="230"/>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Ford</w:t>
            </w:r>
          </w:p>
        </w:tc>
        <w:tc>
          <w:tcPr>
            <w:tcW w:w="4500" w:type="dxa"/>
            <w:vAlign w:val="bottom"/>
          </w:tcPr>
          <w:p>
            <w:pPr>
              <w:jc w:val="center"/>
              <w:ind w:left="2873"/>
              <w:spacing w:after="0"/>
              <w:rPr>
                <w:sz w:val="20"/>
                <w:szCs w:val="20"/>
                <w:color w:val="auto"/>
              </w:rPr>
            </w:pPr>
            <w:r>
              <w:rPr>
                <w:rFonts w:ascii="Times New Roman" w:cs="Times New Roman" w:eastAsia="Times New Roman" w:hAnsi="Times New Roman"/>
                <w:sz w:val="18"/>
                <w:szCs w:val="18"/>
                <w:color w:val="auto"/>
                <w:w w:val="98"/>
              </w:rPr>
              <w:t>11.5%</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11.1%</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11.4%</w:t>
            </w:r>
          </w:p>
        </w:tc>
      </w:tr>
      <w:tr>
        <w:trPr>
          <w:trHeight w:val="230"/>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Mercedes-Benz</w:t>
            </w:r>
          </w:p>
        </w:tc>
        <w:tc>
          <w:tcPr>
            <w:tcW w:w="4500" w:type="dxa"/>
            <w:vAlign w:val="bottom"/>
            <w:shd w:val="clear" w:color="auto" w:fill="CCEEFF"/>
          </w:tcPr>
          <w:p>
            <w:pPr>
              <w:jc w:val="center"/>
              <w:ind w:left="2873"/>
              <w:spacing w:after="0"/>
              <w:rPr>
                <w:sz w:val="20"/>
                <w:szCs w:val="20"/>
                <w:color w:val="auto"/>
              </w:rPr>
            </w:pPr>
            <w:r>
              <w:rPr>
                <w:rFonts w:ascii="Times New Roman" w:cs="Times New Roman" w:eastAsia="Times New Roman" w:hAnsi="Times New Roman"/>
                <w:sz w:val="18"/>
                <w:szCs w:val="18"/>
                <w:color w:val="auto"/>
              </w:rPr>
              <w:t>9.9%</w:t>
            </w: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10.5%</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10.4%</w:t>
            </w:r>
          </w:p>
        </w:tc>
      </w:tr>
      <w:tr>
        <w:trPr>
          <w:trHeight w:val="229"/>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Volkswagen</w:t>
            </w:r>
          </w:p>
        </w:tc>
        <w:tc>
          <w:tcPr>
            <w:tcW w:w="4500" w:type="dxa"/>
            <w:vAlign w:val="bottom"/>
          </w:tcPr>
          <w:p>
            <w:pPr>
              <w:jc w:val="center"/>
              <w:ind w:left="2873"/>
              <w:spacing w:after="0"/>
              <w:rPr>
                <w:sz w:val="20"/>
                <w:szCs w:val="20"/>
                <w:color w:val="auto"/>
              </w:rPr>
            </w:pPr>
            <w:r>
              <w:rPr>
                <w:rFonts w:ascii="Times New Roman" w:cs="Times New Roman" w:eastAsia="Times New Roman" w:hAnsi="Times New Roman"/>
                <w:sz w:val="18"/>
                <w:szCs w:val="18"/>
                <w:color w:val="auto"/>
              </w:rPr>
              <w:t>9.8%</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10.5%</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11.0%</w:t>
            </w:r>
          </w:p>
        </w:tc>
      </w:tr>
      <w:tr>
        <w:trPr>
          <w:trHeight w:val="237"/>
        </w:trPr>
        <w:tc>
          <w:tcPr>
            <w:tcW w:w="37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Stellantis</w:t>
            </w:r>
          </w:p>
        </w:tc>
        <w:tc>
          <w:tcPr>
            <w:tcW w:w="4500" w:type="dxa"/>
            <w:vAlign w:val="bottom"/>
            <w:tcBorders>
              <w:bottom w:val="single" w:sz="8" w:color="auto"/>
            </w:tcBorders>
            <w:shd w:val="clear" w:color="auto" w:fill="CCEEFF"/>
          </w:tcPr>
          <w:p>
            <w:pPr>
              <w:jc w:val="center"/>
              <w:ind w:left="2873"/>
              <w:spacing w:after="0"/>
              <w:rPr>
                <w:sz w:val="20"/>
                <w:szCs w:val="20"/>
                <w:color w:val="auto"/>
              </w:rPr>
            </w:pPr>
            <w:r>
              <w:rPr>
                <w:rFonts w:ascii="Times New Roman" w:cs="Times New Roman" w:eastAsia="Times New Roman" w:hAnsi="Times New Roman"/>
                <w:sz w:val="18"/>
                <w:szCs w:val="18"/>
                <w:color w:val="auto"/>
              </w:rPr>
              <w:t>8.9%</w:t>
            </w:r>
          </w:p>
        </w:tc>
        <w:tc>
          <w:tcPr>
            <w:tcW w:w="15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8.6%</w:t>
            </w:r>
          </w:p>
        </w:tc>
        <w:tc>
          <w:tcPr>
            <w:tcW w:w="14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10.2%</w:t>
            </w:r>
          </w:p>
        </w:tc>
      </w:tr>
      <w:tr>
        <w:trPr>
          <w:trHeight w:val="904"/>
        </w:trPr>
        <w:tc>
          <w:tcPr>
            <w:tcW w:w="3720" w:type="dxa"/>
            <w:vAlign w:val="bottom"/>
          </w:tcPr>
          <w:p>
            <w:pPr>
              <w:spacing w:after="0"/>
              <w:rPr>
                <w:sz w:val="24"/>
                <w:szCs w:val="24"/>
                <w:color w:val="auto"/>
              </w:rPr>
            </w:pPr>
          </w:p>
        </w:tc>
        <w:tc>
          <w:tcPr>
            <w:tcW w:w="4500" w:type="dxa"/>
            <w:vAlign w:val="bottom"/>
          </w:tcPr>
          <w:p>
            <w:pPr>
              <w:jc w:val="right"/>
              <w:ind w:right="2373"/>
              <w:spacing w:after="0"/>
              <w:rPr>
                <w:sz w:val="20"/>
                <w:szCs w:val="20"/>
                <w:color w:val="auto"/>
              </w:rPr>
            </w:pPr>
            <w:r>
              <w:rPr>
                <w:rFonts w:ascii="Times New Roman" w:cs="Times New Roman" w:eastAsia="Times New Roman" w:hAnsi="Times New Roman"/>
                <w:sz w:val="18"/>
                <w:szCs w:val="18"/>
                <w:color w:val="auto"/>
              </w:rPr>
              <w:t>102</w:t>
            </w:r>
          </w:p>
        </w:tc>
        <w:tc>
          <w:tcPr>
            <w:tcW w:w="154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15"/>
        </w:trPr>
        <w:tc>
          <w:tcPr>
            <w:tcW w:w="3720" w:type="dxa"/>
            <w:vAlign w:val="bottom"/>
            <w:tcBorders>
              <w:bottom w:val="single" w:sz="8" w:color="9A9A9A"/>
            </w:tcBorders>
          </w:tcPr>
          <w:p>
            <w:pPr>
              <w:spacing w:after="0"/>
              <w:rPr>
                <w:sz w:val="10"/>
                <w:szCs w:val="10"/>
                <w:color w:val="auto"/>
              </w:rPr>
            </w:pPr>
          </w:p>
        </w:tc>
        <w:tc>
          <w:tcPr>
            <w:tcW w:w="450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Lear Corporation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Financial Instruments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Instruments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carrying values of the Notes vary from their fair values. The fair values of the Notes were determined by reference to the quoted market prices of these securities (Level 2 input based on the GAAP fair value hierarchy). The carrying value of the Term Loan approximates its fair value (Level 3 input based on the GAAP fair value hierarchy). The estimated fair value, as well as the carrying value, of the Company's debt instruments are shown below (in millions):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5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December 31,</w:t>
            </w:r>
          </w:p>
        </w:tc>
        <w:tc>
          <w:tcPr>
            <w:tcW w:w="342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color w:val="auto"/>
              </w:rPr>
              <w:t>2025</w:t>
            </w:r>
          </w:p>
        </w:tc>
        <w:tc>
          <w:tcPr>
            <w:tcW w:w="3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color w:val="auto"/>
              </w:rPr>
              <w:t>2024</w:t>
            </w:r>
          </w:p>
        </w:tc>
      </w:tr>
      <w:tr>
        <w:trPr>
          <w:trHeight w:val="230"/>
        </w:trPr>
        <w:tc>
          <w:tcPr>
            <w:tcW w:w="55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Estimated aggregate fair value </w:t>
            </w:r>
            <w:r>
              <w:rPr>
                <w:rFonts w:ascii="Times New Roman" w:cs="Times New Roman" w:eastAsia="Times New Roman" w:hAnsi="Times New Roman"/>
                <w:sz w:val="23"/>
                <w:szCs w:val="23"/>
                <w:color w:val="auto"/>
                <w:vertAlign w:val="superscript"/>
              </w:rPr>
              <w:t>(1)</w:t>
            </w:r>
          </w:p>
        </w:tc>
        <w:tc>
          <w:tcPr>
            <w:tcW w:w="34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2,422.3</w:t>
            </w:r>
          </w:p>
        </w:tc>
        <w:tc>
          <w:tcPr>
            <w:tcW w:w="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2,372.2</w:t>
            </w:r>
          </w:p>
        </w:tc>
      </w:tr>
      <w:tr>
        <w:trPr>
          <w:trHeight w:val="237"/>
        </w:trPr>
        <w:tc>
          <w:tcPr>
            <w:tcW w:w="5560" w:type="dxa"/>
            <w:vAlign w:val="bottom"/>
            <w:tcBorders>
              <w:bottom w:val="single" w:sz="8" w:color="auto"/>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Aggregate carrying value </w:t>
            </w:r>
            <w:r>
              <w:rPr>
                <w:rFonts w:ascii="Times New Roman" w:cs="Times New Roman" w:eastAsia="Times New Roman" w:hAnsi="Times New Roman"/>
                <w:sz w:val="23"/>
                <w:szCs w:val="23"/>
                <w:color w:val="auto"/>
                <w:vertAlign w:val="superscript"/>
              </w:rPr>
              <w:t>(1) (2)</w:t>
            </w:r>
          </w:p>
        </w:tc>
        <w:tc>
          <w:tcPr>
            <w:tcW w:w="34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2,650.0</w:t>
            </w:r>
          </w:p>
        </w:tc>
        <w:tc>
          <w:tcPr>
            <w:tcW w:w="3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2,700.0</w:t>
            </w:r>
          </w:p>
        </w:tc>
      </w:tr>
    </w:tbl>
    <w:p>
      <w:pPr>
        <w:spacing w:after="0" w:line="85" w:lineRule="exact"/>
        <w:rPr>
          <w:sz w:val="20"/>
          <w:szCs w:val="20"/>
          <w:color w:val="auto"/>
        </w:rPr>
      </w:pPr>
    </w:p>
    <w:p>
      <w:pPr>
        <w:ind w:left="300" w:hanging="292"/>
        <w:spacing w:after="0"/>
        <w:tabs>
          <w:tab w:leader="none" w:pos="300" w:val="left"/>
        </w:tabs>
        <w:numPr>
          <w:ilvl w:val="0"/>
          <w:numId w:val="4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Excludes "other" debt.</w:t>
      </w:r>
    </w:p>
    <w:p>
      <w:pPr>
        <w:ind w:left="300" w:hanging="292"/>
        <w:spacing w:after="0"/>
        <w:tabs>
          <w:tab w:leader="none" w:pos="300" w:val="left"/>
        </w:tabs>
        <w:numPr>
          <w:ilvl w:val="0"/>
          <w:numId w:val="44"/>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Excludes the impact of unamortized debt issuance costs and unamortized original issue premium (discount).</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Cash Equivalents and Restricted Cash</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cash on deposit that is legally restricted as to use or withdrawal. A reconciliation of cash and cash equivalents reported on the accompanying consolidated balance sheets to cash, cash equivalents and restricted cash reported on the accompanying consolidated statements of cash flows is shown below (in millions):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3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December 31,</w:t>
            </w:r>
          </w:p>
        </w:tc>
        <w:tc>
          <w:tcPr>
            <w:tcW w:w="160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color w:val="auto"/>
              </w:rPr>
              <w:t>2025</w:t>
            </w:r>
          </w:p>
        </w:tc>
        <w:tc>
          <w:tcPr>
            <w:tcW w:w="3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color w:val="auto"/>
              </w:rPr>
              <w:t>2024</w:t>
            </w:r>
          </w:p>
        </w:tc>
        <w:tc>
          <w:tcPr>
            <w:tcW w:w="3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color w:val="auto"/>
              </w:rPr>
              <w:t>2023</w:t>
            </w: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sheet — cash and cash equivalents</w:t>
            </w:r>
          </w:p>
        </w:tc>
        <w:tc>
          <w:tcPr>
            <w:tcW w:w="16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1,033.0</w:t>
            </w: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1,052.9</w:t>
            </w: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1,196.3</w:t>
            </w: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 included in other current assets</w:t>
            </w:r>
          </w:p>
        </w:tc>
        <w:tc>
          <w:tcPr>
            <w:tcW w:w="1600" w:type="dxa"/>
            <w:vAlign w:val="bottom"/>
          </w:tcPr>
          <w:p>
            <w:pPr>
              <w:spacing w:after="0"/>
              <w:rPr>
                <w:sz w:val="19"/>
                <w:szCs w:val="19"/>
                <w:color w:val="auto"/>
              </w:rPr>
            </w:pPr>
          </w:p>
        </w:tc>
        <w:tc>
          <w:tcPr>
            <w:tcW w:w="8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0.9</w:t>
            </w:r>
          </w:p>
        </w:tc>
        <w:tc>
          <w:tcPr>
            <w:tcW w:w="340" w:type="dxa"/>
            <w:vAlign w:val="bottom"/>
          </w:tcPr>
          <w:p>
            <w:pPr>
              <w:spacing w:after="0"/>
              <w:rPr>
                <w:sz w:val="19"/>
                <w:szCs w:val="19"/>
                <w:color w:val="auto"/>
              </w:rPr>
            </w:pPr>
          </w:p>
        </w:tc>
        <w:tc>
          <w:tcPr>
            <w:tcW w:w="8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0.8</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29"/>
        </w:trPr>
        <w:tc>
          <w:tcPr>
            <w:tcW w:w="6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 included in other long-term assets</w:t>
            </w:r>
          </w:p>
        </w:tc>
        <w:tc>
          <w:tcPr>
            <w:tcW w:w="16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1.4</w:t>
            </w:r>
          </w:p>
        </w:tc>
        <w:tc>
          <w:tcPr>
            <w:tcW w:w="3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1.7</w:t>
            </w:r>
          </w:p>
        </w:tc>
        <w:tc>
          <w:tcPr>
            <w:tcW w:w="3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30"/>
        </w:trPr>
        <w:tc>
          <w:tcPr>
            <w:tcW w:w="6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Statement of cash flows — cash, cash equivalents and restricted cash</w:t>
            </w:r>
          </w:p>
        </w:tc>
        <w:tc>
          <w:tcPr>
            <w:tcW w:w="16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1,035.3</w:t>
            </w:r>
          </w:p>
        </w:tc>
        <w:tc>
          <w:tcPr>
            <w:tcW w:w="3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1,055.4</w:t>
            </w:r>
          </w:p>
        </w:tc>
        <w:tc>
          <w:tcPr>
            <w:tcW w:w="3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1,198.5</w:t>
            </w: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Marketable Equity Securities</w:t>
      </w:r>
    </w:p>
    <w:p>
      <w:pPr>
        <w:spacing w:after="0" w:line="1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Marketable equity securities, which the Company accounts for under the fair value option, are included in the accompanying consolidated balance sheets as shown below (in millions):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December 31,</w:t>
            </w:r>
          </w:p>
        </w:tc>
        <w:tc>
          <w:tcPr>
            <w:tcW w:w="38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color w:val="auto"/>
              </w:rPr>
              <w:t>2025</w:t>
            </w:r>
          </w:p>
        </w:tc>
        <w:tc>
          <w:tcPr>
            <w:tcW w:w="3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color w:val="auto"/>
              </w:rPr>
              <w:t>2024</w:t>
            </w:r>
          </w:p>
        </w:tc>
      </w:tr>
      <w:tr>
        <w:trPr>
          <w:trHeight w:val="23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38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10.1</w:t>
            </w:r>
          </w:p>
        </w:tc>
        <w:tc>
          <w:tcPr>
            <w:tcW w:w="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30"/>
        </w:trPr>
        <w:tc>
          <w:tcPr>
            <w:tcW w:w="5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long-term assets</w:t>
            </w:r>
          </w:p>
        </w:tc>
        <w:tc>
          <w:tcPr>
            <w:tcW w:w="38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96.3</w:t>
            </w:r>
          </w:p>
        </w:tc>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82.6</w:t>
            </w:r>
          </w:p>
        </w:tc>
      </w:tr>
      <w:tr>
        <w:trPr>
          <w:trHeight w:val="230"/>
        </w:trPr>
        <w:tc>
          <w:tcPr>
            <w:tcW w:w="5180" w:type="dxa"/>
            <w:vAlign w:val="bottom"/>
            <w:tcBorders>
              <w:bottom w:val="single" w:sz="8" w:color="auto"/>
            </w:tcBorders>
            <w:shd w:val="clear" w:color="auto" w:fill="CCEEFF"/>
          </w:tcPr>
          <w:p>
            <w:pPr>
              <w:spacing w:after="0"/>
              <w:rPr>
                <w:sz w:val="20"/>
                <w:szCs w:val="20"/>
                <w:color w:val="auto"/>
              </w:rPr>
            </w:pPr>
          </w:p>
        </w:tc>
        <w:tc>
          <w:tcPr>
            <w:tcW w:w="38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106.4</w:t>
            </w:r>
          </w:p>
        </w:tc>
        <w:tc>
          <w:tcPr>
            <w:tcW w:w="3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w:t>
            </w:r>
          </w:p>
        </w:tc>
      </w:tr>
    </w:tbl>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Unrealized gains and losses arising from changes in the fair value of the marketable equity securities are recognized in other expense, net in the accompanying consolidated statements of income. The fair value of the marketable equity securities is determined by reference to quoted market prices in active markets (Level 1 input based on the GAAP fair value hierarchy).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Securities Without Readily Determinable Fair Values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December 31, 2025 and 2024, investments in equity securities without readily determinable fair values of $8.7 million and $11.2 million, respectively, are included in other long-term assets in the accompanying consolidated balance sheets. Such investments are valued at cost, less cumulative impairments and adjusted for changes resulting from observable, orderly transactions for identical or similar securities. For the years ended December 31, 2025 and 2023, the Company recognized impairment charges of $2.6 million and $7.0 million, respectively, related to certain investments. Investments in equity securities without readily determinable fair values have been reduced for cumulative impairments of $19.6 million and $17.0 million as of December 31, 2025 and 2024,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 Instruments and Hedging Activities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Foreign Exchange</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uses forwards, swaps and other derivative contracts to reduce the effects of fluctuations in foreign exchange rates on known foreign currency exposures. Gains and losses on the derivative instruments are intended to offset gains and losses on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Lear Corporation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hedged transaction in an effort to reduce exposure to fluctuations in foreign exchange rates. The principal currencies hedged by the Company include the Mexican peso, various European currencies and the Moroccan dirham.</w:t>
      </w:r>
    </w:p>
    <w:p>
      <w:pPr>
        <w:spacing w:after="0" w:line="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Foreign currency derivative contracts not designated as hedging instruments consist principally of hedges of cash transactions, intercompany loans and certain other balance sheet exposures.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Net Investment Hedges</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uses cross-currency interest rate swaps which are designated as net investment hedges of the foreign currency rate exposure of its investment in certain Euro-denominated subsidiaries. Contra interest expense on net investment hedges was $3.8 million for the year ended December 31, 2025, and $2.3 million for the years ended December 31, 2024 and 2023, and is included in interest expense, net in the accompanying consolidated statements of income.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Balance Sheet Classification</w:t>
      </w:r>
    </w:p>
    <w:p>
      <w:pPr>
        <w:spacing w:after="0" w:line="11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notional amount, estimated aggregate fair value and related balance sheet classification of the Company's foreign currency and net investment hedge contracts are shown below (in millions, except for maturities):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9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December 31,</w:t>
            </w: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color w:val="auto"/>
              </w:rPr>
              <w:t>2025</w:t>
            </w:r>
          </w:p>
        </w:tc>
        <w:tc>
          <w:tcPr>
            <w:tcW w:w="3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color w:val="auto"/>
              </w:rPr>
              <w:t>2024</w:t>
            </w:r>
          </w:p>
        </w:tc>
      </w:tr>
      <w:tr>
        <w:trPr>
          <w:trHeight w:val="230"/>
        </w:trPr>
        <w:tc>
          <w:tcPr>
            <w:tcW w:w="8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foreign currency contracts designated as cash flow hedges: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9"/>
        </w:trPr>
        <w:tc>
          <w:tcPr>
            <w:tcW w:w="8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127.6</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230"/>
        </w:trPr>
        <w:tc>
          <w:tcPr>
            <w:tcW w:w="8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long-term assets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73.9</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29"/>
        </w:trPr>
        <w:tc>
          <w:tcPr>
            <w:tcW w:w="8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w:t>
            </w:r>
          </w:p>
        </w:tc>
      </w:tr>
      <w:tr>
        <w:trPr>
          <w:trHeight w:val="229"/>
        </w:trPr>
        <w:tc>
          <w:tcPr>
            <w:tcW w:w="8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w:t>
            </w:r>
          </w:p>
        </w:tc>
      </w:tr>
      <w:tr>
        <w:trPr>
          <w:trHeight w:val="223"/>
        </w:trPr>
        <w:tc>
          <w:tcPr>
            <w:tcW w:w="89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200.9</w:t>
            </w: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(150.4)</w:t>
            </w:r>
          </w:p>
        </w:tc>
      </w:tr>
      <w:tr>
        <w:trPr>
          <w:trHeight w:val="223"/>
        </w:trPr>
        <w:tc>
          <w:tcPr>
            <w:tcW w:w="8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Notional amount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2,728.8</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2,605.7</w:t>
            </w:r>
          </w:p>
        </w:tc>
      </w:tr>
      <w:tr>
        <w:trPr>
          <w:trHeight w:val="230"/>
        </w:trPr>
        <w:tc>
          <w:tcPr>
            <w:tcW w:w="89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Outstanding maturities in months, not to exceed</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23"/>
        </w:trPr>
        <w:tc>
          <w:tcPr>
            <w:tcW w:w="8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derivatives designated as net investment hedges: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0"/>
        </w:trPr>
        <w:tc>
          <w:tcPr>
            <w:tcW w:w="8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long-term assets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29"/>
        </w:trPr>
        <w:tc>
          <w:tcPr>
            <w:tcW w:w="8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9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9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23"/>
        </w:trPr>
        <w:tc>
          <w:tcPr>
            <w:tcW w:w="8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Notional amount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300.0</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r>
      <w:tr>
        <w:trPr>
          <w:trHeight w:val="229"/>
        </w:trPr>
        <w:tc>
          <w:tcPr>
            <w:tcW w:w="892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Outstanding maturities in months, not to exceed</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3"/>
        </w:trPr>
        <w:tc>
          <w:tcPr>
            <w:tcW w:w="8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of foreign currency contracts not designated as hedge instruments:</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8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1.7</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30"/>
        </w:trPr>
        <w:tc>
          <w:tcPr>
            <w:tcW w:w="89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23"/>
        </w:trPr>
        <w:tc>
          <w:tcPr>
            <w:tcW w:w="89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0.8</w:t>
            </w: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23"/>
        </w:trPr>
        <w:tc>
          <w:tcPr>
            <w:tcW w:w="8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Notional amount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340.5</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481.7</w:t>
            </w:r>
          </w:p>
        </w:tc>
      </w:tr>
      <w:tr>
        <w:trPr>
          <w:trHeight w:val="230"/>
        </w:trPr>
        <w:tc>
          <w:tcPr>
            <w:tcW w:w="892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Outstanding maturities in months, not to exceed</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8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fair value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185.6</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(147.1)</w:t>
            </w:r>
          </w:p>
        </w:tc>
      </w:tr>
      <w:tr>
        <w:trPr>
          <w:trHeight w:val="237"/>
        </w:trPr>
        <w:tc>
          <w:tcPr>
            <w:tcW w:w="89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notional amount</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3,369.3</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3,237.4</w:t>
            </w:r>
          </w:p>
        </w:tc>
      </w:tr>
      <w:tr>
        <w:trPr>
          <w:trHeight w:val="905"/>
        </w:trPr>
        <w:tc>
          <w:tcPr>
            <w:tcW w:w="8920" w:type="dxa"/>
            <w:vAlign w:val="bottom"/>
          </w:tcPr>
          <w:p>
            <w:pPr>
              <w:ind w:left="5480"/>
              <w:spacing w:after="0"/>
              <w:rPr>
                <w:sz w:val="20"/>
                <w:szCs w:val="20"/>
                <w:color w:val="auto"/>
              </w:rPr>
            </w:pPr>
            <w:r>
              <w:rPr>
                <w:rFonts w:ascii="Times New Roman" w:cs="Times New Roman" w:eastAsia="Times New Roman" w:hAnsi="Times New Roman"/>
                <w:sz w:val="18"/>
                <w:szCs w:val="18"/>
                <w:color w:val="auto"/>
              </w:rPr>
              <w:t>104</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15"/>
        </w:trPr>
        <w:tc>
          <w:tcPr>
            <w:tcW w:w="89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Lear Corporation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Accumulated Other Comprehensive Loss — Derivative Instruments and Hedge Activities</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Pretax amounts related to foreign currency contracts and net investment hedges that were recognized in and reclassified from accumulated other comprehensive loss are shown below (in millions):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7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For the year ended December 31,</w:t>
            </w: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color w:val="auto"/>
              </w:rPr>
              <w:t>2025</w:t>
            </w:r>
          </w:p>
        </w:tc>
        <w:tc>
          <w:tcPr>
            <w:tcW w:w="3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color w:val="auto"/>
              </w:rPr>
              <w:t>2024</w:t>
            </w:r>
          </w:p>
        </w:tc>
        <w:tc>
          <w:tcPr>
            <w:tcW w:w="3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color w:val="auto"/>
              </w:rPr>
              <w:t>2023</w:t>
            </w:r>
          </w:p>
        </w:tc>
      </w:tr>
      <w:tr>
        <w:trPr>
          <w:trHeight w:val="229"/>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Gains (losses) recognized in accumulated other comprehensive loss: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0"/>
        </w:trPr>
        <w:tc>
          <w:tcPr>
            <w:tcW w:w="7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Foreign currency contracts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377.0</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(205.5)</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266.8</w:t>
            </w:r>
          </w:p>
        </w:tc>
      </w:tr>
      <w:tr>
        <w:trPr>
          <w:trHeight w:val="229"/>
        </w:trPr>
        <w:tc>
          <w:tcPr>
            <w:tcW w:w="7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investment hedges</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8.2</w:t>
            </w: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23"/>
        </w:trPr>
        <w:tc>
          <w:tcPr>
            <w:tcW w:w="77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353.8</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(197.3)</w:t>
            </w: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260.9</w:t>
            </w:r>
          </w:p>
        </w:tc>
      </w:tr>
      <w:tr>
        <w:trPr>
          <w:trHeight w:val="223"/>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(Gains) losses reclassified from accumulated other comprehensive loss to:</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0"/>
        </w:trPr>
        <w:tc>
          <w:tcPr>
            <w:tcW w:w="7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sales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9"/>
        </w:trPr>
        <w:tc>
          <w:tcPr>
            <w:tcW w:w="7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 of sales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(177.3)</w:t>
            </w:r>
          </w:p>
        </w:tc>
      </w:tr>
      <w:tr>
        <w:trPr>
          <w:trHeight w:val="229"/>
        </w:trPr>
        <w:tc>
          <w:tcPr>
            <w:tcW w:w="7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 net</w:t>
            </w:r>
          </w:p>
        </w:tc>
        <w:tc>
          <w:tcPr>
            <w:tcW w:w="260" w:type="dxa"/>
            <w:vAlign w:val="bottom"/>
          </w:tcPr>
          <w:p>
            <w:pPr>
              <w:spacing w:after="0"/>
              <w:rPr>
                <w:sz w:val="19"/>
                <w:szCs w:val="19"/>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2.4</w:t>
            </w:r>
          </w:p>
        </w:tc>
        <w:tc>
          <w:tcPr>
            <w:tcW w:w="320" w:type="dxa"/>
            <w:vAlign w:val="bottom"/>
          </w:tcPr>
          <w:p>
            <w:pPr>
              <w:spacing w:after="0"/>
              <w:rPr>
                <w:sz w:val="19"/>
                <w:szCs w:val="19"/>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2.4</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30"/>
        </w:trPr>
        <w:tc>
          <w:tcPr>
            <w:tcW w:w="7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expense, net</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23"/>
        </w:trPr>
        <w:tc>
          <w:tcPr>
            <w:tcW w:w="77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(97.2)</w:t>
            </w: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(176.4)</w:t>
            </w:r>
          </w:p>
        </w:tc>
      </w:tr>
      <w:tr>
        <w:trPr>
          <w:trHeight w:val="230"/>
        </w:trPr>
        <w:tc>
          <w:tcPr>
            <w:tcW w:w="7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330.5</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(294.5)</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w:t>
            </w:r>
          </w:p>
        </w:tc>
      </w:tr>
    </w:tbl>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2025 and 2024, pretax net gains (losses) of $192.3 million and ($138.2) million, respectively, related to the Company's derivative instruments and hedge activities were recorded in accumulated other comprehensive loss.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next twelve month period, net gains (losses) expected to be reclassified into earnings are shown below (in millions):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3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contracts</w:t>
            </w:r>
          </w:p>
        </w:tc>
        <w:tc>
          <w:tcPr>
            <w:tcW w:w="176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w:t>
            </w:r>
          </w:p>
        </w:tc>
      </w:tr>
      <w:tr>
        <w:trPr>
          <w:trHeight w:val="230"/>
        </w:trPr>
        <w:tc>
          <w:tcPr>
            <w:tcW w:w="3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Interest rate swap contracts</w:t>
            </w:r>
          </w:p>
        </w:tc>
        <w:tc>
          <w:tcPr>
            <w:tcW w:w="17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30"/>
        </w:trPr>
        <w:tc>
          <w:tcPr>
            <w:tcW w:w="3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76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w:t>
            </w: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gains (losses) will be reclassified at the time that the underlying hedged transactions are realized.</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2025, 2024 and 2023, the Company recognized tax benefit (expense) of ($73.8) million, $61.1 million and ($15.9) million, respectively, in other comprehensive income (loss) related to its derivative instruments and hedge activities.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Measurements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GAAP provides that fair value is an exit price, defined as a market-based measurement that represents the amount that would be received to sell an asset or paid to transfer a liability in an orderly transaction between market participants. Fair value measurements are based on one or more of the following three valuation techniques:</w:t>
      </w:r>
    </w:p>
    <w:p>
      <w:pPr>
        <w:spacing w:after="0" w:line="106" w:lineRule="exact"/>
        <w:rPr>
          <w:sz w:val="20"/>
          <w:szCs w:val="20"/>
          <w:color w:val="auto"/>
        </w:rPr>
      </w:pPr>
    </w:p>
    <w:p>
      <w:pPr>
        <w:ind w:left="1300" w:right="20" w:hanging="1039"/>
        <w:spacing w:after="0" w:line="250" w:lineRule="auto"/>
        <w:tabs>
          <w:tab w:leader="none" w:pos="1280" w:val="left"/>
        </w:tabs>
        <w:rPr>
          <w:sz w:val="20"/>
          <w:szCs w:val="20"/>
          <w:color w:val="auto"/>
        </w:rPr>
      </w:pPr>
      <w:r>
        <w:rPr>
          <w:rFonts w:ascii="Times New Roman" w:cs="Times New Roman" w:eastAsia="Times New Roman" w:hAnsi="Times New Roman"/>
          <w:sz w:val="18"/>
          <w:szCs w:val="18"/>
          <w:i w:val="1"/>
          <w:iCs w:val="1"/>
          <w:color w:val="auto"/>
        </w:rPr>
        <w:t>Market:</w:t>
      </w:r>
      <w:r>
        <w:rPr>
          <w:sz w:val="20"/>
          <w:szCs w:val="20"/>
          <w:color w:val="auto"/>
        </w:rPr>
        <w:tab/>
      </w:r>
      <w:r>
        <w:rPr>
          <w:rFonts w:ascii="Times New Roman" w:cs="Times New Roman" w:eastAsia="Times New Roman" w:hAnsi="Times New Roman"/>
          <w:sz w:val="18"/>
          <w:szCs w:val="18"/>
          <w:color w:val="auto"/>
        </w:rPr>
        <w:t>This approach uses prices and other relevant information generated by market transactions involving identical or comparable assets or liabilities.</w:t>
      </w:r>
    </w:p>
    <w:p>
      <w:pPr>
        <w:spacing w:after="0" w:line="41" w:lineRule="exact"/>
        <w:rPr>
          <w:sz w:val="20"/>
          <w:szCs w:val="20"/>
          <w:color w:val="auto"/>
        </w:rPr>
      </w:pPr>
    </w:p>
    <w:p>
      <w:pPr>
        <w:ind w:left="1300" w:right="20" w:hanging="1039"/>
        <w:spacing w:after="0" w:line="250" w:lineRule="auto"/>
        <w:tabs>
          <w:tab w:leader="none" w:pos="1280" w:val="left"/>
        </w:tabs>
        <w:rPr>
          <w:sz w:val="20"/>
          <w:szCs w:val="20"/>
          <w:color w:val="auto"/>
        </w:rPr>
      </w:pPr>
      <w:r>
        <w:rPr>
          <w:rFonts w:ascii="Times New Roman" w:cs="Times New Roman" w:eastAsia="Times New Roman" w:hAnsi="Times New Roman"/>
          <w:sz w:val="18"/>
          <w:szCs w:val="18"/>
          <w:i w:val="1"/>
          <w:iCs w:val="1"/>
          <w:color w:val="auto"/>
        </w:rPr>
        <w:t>Income:</w:t>
      </w:r>
      <w:r>
        <w:rPr>
          <w:sz w:val="20"/>
          <w:szCs w:val="20"/>
          <w:color w:val="auto"/>
        </w:rPr>
        <w:tab/>
      </w:r>
      <w:r>
        <w:rPr>
          <w:rFonts w:ascii="Times New Roman" w:cs="Times New Roman" w:eastAsia="Times New Roman" w:hAnsi="Times New Roman"/>
          <w:sz w:val="18"/>
          <w:szCs w:val="18"/>
          <w:color w:val="auto"/>
        </w:rPr>
        <w:t>This approach uses valuation techniques to convert future amounts to a single present value amount based on current market expectations.</w:t>
      </w:r>
    </w:p>
    <w:p>
      <w:pPr>
        <w:spacing w:after="0" w:line="95" w:lineRule="exact"/>
        <w:rPr>
          <w:sz w:val="20"/>
          <w:szCs w:val="20"/>
          <w:color w:val="auto"/>
        </w:rPr>
      </w:pPr>
    </w:p>
    <w:p>
      <w:pPr>
        <w:ind w:left="460"/>
        <w:spacing w:after="0"/>
        <w:tabs>
          <w:tab w:leader="none" w:pos="1280" w:val="left"/>
        </w:tabs>
        <w:rPr>
          <w:sz w:val="20"/>
          <w:szCs w:val="20"/>
          <w:color w:val="auto"/>
        </w:rPr>
      </w:pPr>
      <w:r>
        <w:rPr>
          <w:rFonts w:ascii="Times New Roman" w:cs="Times New Roman" w:eastAsia="Times New Roman" w:hAnsi="Times New Roman"/>
          <w:sz w:val="18"/>
          <w:szCs w:val="18"/>
          <w:i w:val="1"/>
          <w:iCs w:val="1"/>
          <w:color w:val="auto"/>
        </w:rPr>
        <w:t>Cost:</w:t>
      </w:r>
      <w:r>
        <w:rPr>
          <w:sz w:val="20"/>
          <w:szCs w:val="20"/>
          <w:color w:val="auto"/>
        </w:rPr>
        <w:tab/>
      </w:r>
      <w:r>
        <w:rPr>
          <w:rFonts w:ascii="Times New Roman" w:cs="Times New Roman" w:eastAsia="Times New Roman" w:hAnsi="Times New Roman"/>
          <w:sz w:val="18"/>
          <w:szCs w:val="18"/>
          <w:color w:val="auto"/>
        </w:rPr>
        <w:t>This approach is based on the amount that would be required to replace the service capacity of an asset (replacement cost).</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Further, GAAP prioritizes the inputs and assumptions used in the valuation techniques described above into a three-tier fair value hierarchy as follows:</w:t>
      </w:r>
    </w:p>
    <w:p>
      <w:pPr>
        <w:spacing w:after="0" w:line="156" w:lineRule="exact"/>
        <w:rPr>
          <w:sz w:val="20"/>
          <w:szCs w:val="20"/>
          <w:color w:val="auto"/>
        </w:rPr>
      </w:pPr>
    </w:p>
    <w:p>
      <w:pPr>
        <w:ind w:left="1300" w:right="20" w:hanging="1038"/>
        <w:spacing w:after="0" w:line="237" w:lineRule="auto"/>
        <w:tabs>
          <w:tab w:leader="none" w:pos="1280" w:val="left"/>
        </w:tabs>
        <w:rPr>
          <w:sz w:val="20"/>
          <w:szCs w:val="20"/>
          <w:color w:val="auto"/>
        </w:rPr>
      </w:pPr>
      <w:r>
        <w:rPr>
          <w:rFonts w:ascii="Times New Roman" w:cs="Times New Roman" w:eastAsia="Times New Roman" w:hAnsi="Times New Roman"/>
          <w:sz w:val="18"/>
          <w:szCs w:val="18"/>
          <w:i w:val="1"/>
          <w:iCs w:val="1"/>
          <w:color w:val="auto"/>
        </w:rPr>
        <w:t>Level 1:</w:t>
      </w:r>
      <w:r>
        <w:rPr>
          <w:sz w:val="20"/>
          <w:szCs w:val="20"/>
          <w:color w:val="auto"/>
        </w:rPr>
        <w:tab/>
      </w:r>
      <w:r>
        <w:rPr>
          <w:rFonts w:ascii="Times New Roman" w:cs="Times New Roman" w:eastAsia="Times New Roman" w:hAnsi="Times New Roman"/>
          <w:sz w:val="18"/>
          <w:szCs w:val="18"/>
          <w:color w:val="auto"/>
        </w:rPr>
        <w:t>Observable inputs, such as quoted market prices in active markets for identical assets or liabilities that are accessible at the measurement date.</w:t>
      </w:r>
    </w:p>
    <w:p>
      <w:pPr>
        <w:spacing w:after="0" w:line="118" w:lineRule="exact"/>
        <w:rPr>
          <w:sz w:val="20"/>
          <w:szCs w:val="20"/>
          <w:color w:val="auto"/>
        </w:rPr>
      </w:pPr>
    </w:p>
    <w:p>
      <w:pPr>
        <w:ind w:left="260"/>
        <w:spacing w:after="0"/>
        <w:tabs>
          <w:tab w:leader="none" w:pos="1280" w:val="left"/>
        </w:tabs>
        <w:rPr>
          <w:sz w:val="20"/>
          <w:szCs w:val="20"/>
          <w:color w:val="auto"/>
        </w:rPr>
      </w:pPr>
      <w:r>
        <w:rPr>
          <w:rFonts w:ascii="Times New Roman" w:cs="Times New Roman" w:eastAsia="Times New Roman" w:hAnsi="Times New Roman"/>
          <w:sz w:val="18"/>
          <w:szCs w:val="18"/>
          <w:i w:val="1"/>
          <w:iCs w:val="1"/>
          <w:color w:val="auto"/>
        </w:rPr>
        <w:t>Level 2:</w:t>
      </w:r>
      <w:r>
        <w:rPr>
          <w:sz w:val="20"/>
          <w:szCs w:val="20"/>
          <w:color w:val="auto"/>
        </w:rPr>
        <w:tab/>
      </w:r>
      <w:r>
        <w:rPr>
          <w:rFonts w:ascii="Times New Roman" w:cs="Times New Roman" w:eastAsia="Times New Roman" w:hAnsi="Times New Roman"/>
          <w:sz w:val="17"/>
          <w:szCs w:val="17"/>
          <w:color w:val="auto"/>
        </w:rPr>
        <w:t>Inputs, other than quoted market prices included in Level 1, that are observable either directly or indirectly for the asset or liability.</w:t>
      </w:r>
    </w:p>
    <w:p>
      <w:pPr>
        <w:spacing w:after="0" w:line="131" w:lineRule="exact"/>
        <w:rPr>
          <w:sz w:val="20"/>
          <w:szCs w:val="20"/>
          <w:color w:val="auto"/>
        </w:rPr>
      </w:pPr>
    </w:p>
    <w:p>
      <w:pPr>
        <w:ind w:left="1300" w:right="20" w:hanging="1038"/>
        <w:spacing w:after="0" w:line="237" w:lineRule="auto"/>
        <w:tabs>
          <w:tab w:leader="none" w:pos="1280" w:val="left"/>
        </w:tabs>
        <w:rPr>
          <w:sz w:val="20"/>
          <w:szCs w:val="20"/>
          <w:color w:val="auto"/>
        </w:rPr>
      </w:pPr>
      <w:r>
        <w:rPr>
          <w:rFonts w:ascii="Times New Roman" w:cs="Times New Roman" w:eastAsia="Times New Roman" w:hAnsi="Times New Roman"/>
          <w:sz w:val="18"/>
          <w:szCs w:val="18"/>
          <w:i w:val="1"/>
          <w:iCs w:val="1"/>
          <w:color w:val="auto"/>
        </w:rPr>
        <w:t>Level 3:</w:t>
      </w:r>
      <w:r>
        <w:rPr>
          <w:sz w:val="20"/>
          <w:szCs w:val="20"/>
          <w:color w:val="auto"/>
        </w:rPr>
        <w:tab/>
      </w:r>
      <w:r>
        <w:rPr>
          <w:rFonts w:ascii="Times New Roman" w:cs="Times New Roman" w:eastAsia="Times New Roman" w:hAnsi="Times New Roman"/>
          <w:sz w:val="18"/>
          <w:szCs w:val="18"/>
          <w:color w:val="auto"/>
        </w:rPr>
        <w:t>Unobservable inputs that reflect the entity's own assumptions about the exit price of the asset or liability. Unobservable inputs may be used if there is little or no market data for the asset or liability at the measurement date.</w:t>
      </w:r>
    </w:p>
    <w:p>
      <w:pPr>
        <w:spacing w:after="0" w:line="20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 discloses fair value measurements and the related valuation techniques and fair value hierarchy level for its assets and liabilities that are measured or disclosed at fair value.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Lear Corporation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Items Measured at Fair Value on a Recurring Basis</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Fair value measurements and the related valuation techniques and fair value hierarchy level for the Company's assets and liabilities measured at fair value on a recurring basis as of December 31, 2025 and 2024, are shown below (in millions):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920" w:type="dxa"/>
            <w:vAlign w:val="bottom"/>
            <w:tcBorders>
              <w:top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spacing w:after="0"/>
              <w:rPr>
                <w:sz w:val="19"/>
                <w:szCs w:val="19"/>
                <w:color w:val="auto"/>
              </w:rPr>
            </w:pPr>
          </w:p>
        </w:tc>
        <w:tc>
          <w:tcPr>
            <w:tcW w:w="19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December 31, 2025</w:t>
            </w:r>
          </w:p>
        </w:tc>
        <w:tc>
          <w:tcPr>
            <w:tcW w:w="78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39"/>
        </w:trPr>
        <w:tc>
          <w:tcPr>
            <w:tcW w:w="3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Frequency</w:t>
            </w:r>
          </w:p>
        </w:tc>
        <w:tc>
          <w:tcPr>
            <w:tcW w:w="280" w:type="dxa"/>
            <w:vAlign w:val="bottom"/>
          </w:tcPr>
          <w:p>
            <w:pPr>
              <w:spacing w:after="0"/>
              <w:rPr>
                <w:sz w:val="12"/>
                <w:szCs w:val="12"/>
                <w:color w:val="auto"/>
              </w:rPr>
            </w:pPr>
          </w:p>
        </w:tc>
        <w:tc>
          <w:tcPr>
            <w:tcW w:w="1020" w:type="dxa"/>
            <w:vAlign w:val="bottom"/>
          </w:tcPr>
          <w:p>
            <w:pPr>
              <w:jc w:val="center"/>
              <w:ind w:right="217"/>
              <w:spacing w:after="0" w:line="139" w:lineRule="exact"/>
              <w:rPr>
                <w:sz w:val="20"/>
                <w:szCs w:val="20"/>
                <w:color w:val="auto"/>
              </w:rPr>
            </w:pPr>
            <w:r>
              <w:rPr>
                <w:rFonts w:ascii="Times New Roman" w:cs="Times New Roman" w:eastAsia="Times New Roman" w:hAnsi="Times New Roman"/>
                <w:sz w:val="14"/>
                <w:szCs w:val="14"/>
                <w:color w:val="auto"/>
              </w:rPr>
              <w:t>Asset</w:t>
            </w:r>
          </w:p>
        </w:tc>
        <w:tc>
          <w:tcPr>
            <w:tcW w:w="150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color w:val="auto"/>
              </w:rPr>
              <w:t>Valuation</w:t>
            </w:r>
          </w:p>
        </w:tc>
        <w:tc>
          <w:tcPr>
            <w:tcW w:w="420" w:type="dxa"/>
            <w:vAlign w:val="bottom"/>
          </w:tcPr>
          <w:p>
            <w:pPr>
              <w:spacing w:after="0"/>
              <w:rPr>
                <w:sz w:val="12"/>
                <w:szCs w:val="12"/>
                <w:color w:val="auto"/>
              </w:rPr>
            </w:pPr>
          </w:p>
        </w:tc>
        <w:tc>
          <w:tcPr>
            <w:tcW w:w="780" w:type="dxa"/>
            <w:vAlign w:val="bottom"/>
            <w:vMerge w:val="restart"/>
          </w:tcPr>
          <w:p>
            <w:pPr>
              <w:jc w:val="right"/>
              <w:ind w:right="235"/>
              <w:spacing w:after="0"/>
              <w:rPr>
                <w:sz w:val="20"/>
                <w:szCs w:val="20"/>
                <w:color w:val="auto"/>
              </w:rPr>
            </w:pPr>
            <w:r>
              <w:rPr>
                <w:rFonts w:ascii="Times New Roman" w:cs="Times New Roman" w:eastAsia="Times New Roman" w:hAnsi="Times New Roman"/>
                <w:sz w:val="14"/>
                <w:szCs w:val="14"/>
                <w:color w:val="auto"/>
              </w:rPr>
              <w:t>Level 1</w:t>
            </w:r>
          </w:p>
        </w:tc>
        <w:tc>
          <w:tcPr>
            <w:tcW w:w="280" w:type="dxa"/>
            <w:vAlign w:val="bottom"/>
          </w:tcPr>
          <w:p>
            <w:pPr>
              <w:spacing w:after="0"/>
              <w:rPr>
                <w:sz w:val="12"/>
                <w:szCs w:val="12"/>
                <w:color w:val="auto"/>
              </w:rPr>
            </w:pPr>
          </w:p>
        </w:tc>
        <w:tc>
          <w:tcPr>
            <w:tcW w:w="880" w:type="dxa"/>
            <w:vAlign w:val="bottom"/>
            <w:vMerge w:val="restart"/>
          </w:tcPr>
          <w:p>
            <w:pPr>
              <w:jc w:val="right"/>
              <w:ind w:right="255"/>
              <w:spacing w:after="0"/>
              <w:rPr>
                <w:sz w:val="20"/>
                <w:szCs w:val="20"/>
                <w:color w:val="auto"/>
              </w:rPr>
            </w:pPr>
            <w:r>
              <w:rPr>
                <w:rFonts w:ascii="Times New Roman" w:cs="Times New Roman" w:eastAsia="Times New Roman" w:hAnsi="Times New Roman"/>
                <w:sz w:val="14"/>
                <w:szCs w:val="14"/>
                <w:color w:val="auto"/>
              </w:rPr>
              <w:t>Level 2</w:t>
            </w:r>
          </w:p>
        </w:tc>
        <w:tc>
          <w:tcPr>
            <w:tcW w:w="280" w:type="dxa"/>
            <w:vAlign w:val="bottom"/>
          </w:tcPr>
          <w:p>
            <w:pPr>
              <w:spacing w:after="0"/>
              <w:rPr>
                <w:sz w:val="12"/>
                <w:szCs w:val="12"/>
                <w:color w:val="auto"/>
              </w:rPr>
            </w:pPr>
          </w:p>
        </w:tc>
        <w:tc>
          <w:tcPr>
            <w:tcW w:w="84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Level 3</w:t>
            </w:r>
          </w:p>
        </w:tc>
        <w:tc>
          <w:tcPr>
            <w:tcW w:w="0" w:type="dxa"/>
            <w:vAlign w:val="bottom"/>
          </w:tcPr>
          <w:p>
            <w:pPr>
              <w:spacing w:after="0"/>
              <w:rPr>
                <w:sz w:val="1"/>
                <w:szCs w:val="1"/>
                <w:color w:val="auto"/>
              </w:rPr>
            </w:pPr>
          </w:p>
        </w:tc>
      </w:tr>
      <w:tr>
        <w:trPr>
          <w:trHeight w:val="193"/>
        </w:trPr>
        <w:tc>
          <w:tcPr>
            <w:tcW w:w="39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217"/>
              <w:spacing w:after="0"/>
              <w:rPr>
                <w:sz w:val="20"/>
                <w:szCs w:val="20"/>
                <w:color w:val="auto"/>
              </w:rPr>
            </w:pPr>
            <w:r>
              <w:rPr>
                <w:rFonts w:ascii="Times New Roman" w:cs="Times New Roman" w:eastAsia="Times New Roman" w:hAnsi="Times New Roman"/>
                <w:sz w:val="14"/>
                <w:szCs w:val="14"/>
                <w:color w:val="auto"/>
              </w:rPr>
              <w:t>(Liability)</w:t>
            </w: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Technique</w:t>
            </w:r>
          </w:p>
        </w:tc>
        <w:tc>
          <w:tcPr>
            <w:tcW w:w="4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contracts, net</w:t>
            </w:r>
          </w:p>
        </w:tc>
        <w:tc>
          <w:tcPr>
            <w:tcW w:w="20" w:type="dxa"/>
            <w:vAlign w:val="bottom"/>
            <w:shd w:val="clear" w:color="auto" w:fill="CCEEFF"/>
          </w:tcPr>
          <w:p>
            <w:pPr>
              <w:spacing w:after="0"/>
              <w:rPr>
                <w:sz w:val="19"/>
                <w:szCs w:val="19"/>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Recurring</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8"/>
                <w:szCs w:val="18"/>
                <w:color w:val="auto"/>
              </w:rPr>
              <w:t>201.7</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Market / Income</w:t>
            </w:r>
          </w:p>
        </w:tc>
        <w:tc>
          <w:tcPr>
            <w:tcW w:w="4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201.7</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investment hedges</w:t>
            </w:r>
          </w:p>
        </w:tc>
        <w:tc>
          <w:tcPr>
            <w:tcW w:w="2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Recurring</w:t>
            </w:r>
          </w:p>
        </w:tc>
        <w:tc>
          <w:tcPr>
            <w:tcW w:w="280" w:type="dxa"/>
            <w:vAlign w:val="bottom"/>
          </w:tcPr>
          <w:p>
            <w:pPr>
              <w:spacing w:after="0"/>
              <w:rPr>
                <w:sz w:val="19"/>
                <w:szCs w:val="19"/>
                <w:color w:val="auto"/>
              </w:rPr>
            </w:pPr>
          </w:p>
        </w:tc>
        <w:tc>
          <w:tcPr>
            <w:tcW w:w="1020" w:type="dxa"/>
            <w:vAlign w:val="bottom"/>
          </w:tcPr>
          <w:p>
            <w:pPr>
              <w:jc w:val="right"/>
              <w:ind w:right="77"/>
              <w:spacing w:after="0"/>
              <w:rPr>
                <w:sz w:val="20"/>
                <w:szCs w:val="20"/>
                <w:color w:val="auto"/>
              </w:rPr>
            </w:pPr>
            <w:r>
              <w:rPr>
                <w:rFonts w:ascii="Times New Roman" w:cs="Times New Roman" w:eastAsia="Times New Roman" w:hAnsi="Times New Roman"/>
                <w:sz w:val="18"/>
                <w:szCs w:val="18"/>
                <w:color w:val="auto"/>
              </w:rPr>
              <w:t>(16.1)</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Market / Income</w:t>
            </w:r>
          </w:p>
        </w:tc>
        <w:tc>
          <w:tcPr>
            <w:tcW w:w="420" w:type="dxa"/>
            <w:vAlign w:val="bottom"/>
          </w:tcPr>
          <w:p>
            <w:pPr>
              <w:spacing w:after="0"/>
              <w:rPr>
                <w:sz w:val="19"/>
                <w:szCs w:val="19"/>
                <w:color w:val="auto"/>
              </w:rPr>
            </w:pPr>
          </w:p>
        </w:tc>
        <w:tc>
          <w:tcPr>
            <w:tcW w:w="7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280" w:type="dxa"/>
            <w:vAlign w:val="bottom"/>
          </w:tcPr>
          <w:p>
            <w:pPr>
              <w:spacing w:after="0"/>
              <w:rPr>
                <w:sz w:val="19"/>
                <w:szCs w:val="19"/>
                <w:color w:val="auto"/>
              </w:rPr>
            </w:pPr>
          </w:p>
        </w:tc>
        <w:tc>
          <w:tcPr>
            <w:tcW w:w="8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39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Marketable equity securities</w:t>
            </w:r>
          </w:p>
        </w:tc>
        <w:tc>
          <w:tcPr>
            <w:tcW w:w="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Recurring</w:t>
            </w:r>
          </w:p>
        </w:tc>
        <w:tc>
          <w:tcPr>
            <w:tcW w:w="28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8"/>
                <w:szCs w:val="18"/>
                <w:color w:val="auto"/>
              </w:rPr>
              <w:t>106.4</w:t>
            </w:r>
          </w:p>
        </w:tc>
        <w:tc>
          <w:tcPr>
            <w:tcW w:w="15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Market</w:t>
            </w:r>
          </w:p>
        </w:tc>
        <w:tc>
          <w:tcPr>
            <w:tcW w:w="4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106.4</w:t>
            </w:r>
          </w:p>
        </w:tc>
        <w:tc>
          <w:tcPr>
            <w:tcW w:w="28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39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2"/>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3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December 31, 2024</w:t>
            </w:r>
          </w:p>
        </w:tc>
        <w:tc>
          <w:tcPr>
            <w:tcW w:w="7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3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Frequency</w:t>
            </w:r>
          </w:p>
        </w:tc>
        <w:tc>
          <w:tcPr>
            <w:tcW w:w="280" w:type="dxa"/>
            <w:vAlign w:val="bottom"/>
          </w:tcPr>
          <w:p>
            <w:pPr>
              <w:spacing w:after="0"/>
              <w:rPr>
                <w:sz w:val="11"/>
                <w:szCs w:val="11"/>
                <w:color w:val="auto"/>
              </w:rPr>
            </w:pPr>
          </w:p>
        </w:tc>
        <w:tc>
          <w:tcPr>
            <w:tcW w:w="1020" w:type="dxa"/>
            <w:vAlign w:val="bottom"/>
          </w:tcPr>
          <w:p>
            <w:pPr>
              <w:jc w:val="center"/>
              <w:ind w:right="217"/>
              <w:spacing w:after="0" w:line="135" w:lineRule="exact"/>
              <w:rPr>
                <w:sz w:val="20"/>
                <w:szCs w:val="20"/>
                <w:color w:val="auto"/>
              </w:rPr>
            </w:pPr>
            <w:r>
              <w:rPr>
                <w:rFonts w:ascii="Times New Roman" w:cs="Times New Roman" w:eastAsia="Times New Roman" w:hAnsi="Times New Roman"/>
                <w:sz w:val="14"/>
                <w:szCs w:val="14"/>
                <w:color w:val="auto"/>
              </w:rPr>
              <w:t>Asset</w:t>
            </w:r>
          </w:p>
        </w:tc>
        <w:tc>
          <w:tcPr>
            <w:tcW w:w="150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auto"/>
              </w:rPr>
              <w:t>Valuation</w:t>
            </w:r>
          </w:p>
        </w:tc>
        <w:tc>
          <w:tcPr>
            <w:tcW w:w="420" w:type="dxa"/>
            <w:vAlign w:val="bottom"/>
          </w:tcPr>
          <w:p>
            <w:pPr>
              <w:spacing w:after="0"/>
              <w:rPr>
                <w:sz w:val="11"/>
                <w:szCs w:val="11"/>
                <w:color w:val="auto"/>
              </w:rPr>
            </w:pPr>
          </w:p>
        </w:tc>
        <w:tc>
          <w:tcPr>
            <w:tcW w:w="780" w:type="dxa"/>
            <w:vAlign w:val="bottom"/>
            <w:vMerge w:val="restart"/>
          </w:tcPr>
          <w:p>
            <w:pPr>
              <w:jc w:val="right"/>
              <w:ind w:right="235"/>
              <w:spacing w:after="0"/>
              <w:rPr>
                <w:sz w:val="20"/>
                <w:szCs w:val="20"/>
                <w:color w:val="auto"/>
              </w:rPr>
            </w:pPr>
            <w:r>
              <w:rPr>
                <w:rFonts w:ascii="Times New Roman" w:cs="Times New Roman" w:eastAsia="Times New Roman" w:hAnsi="Times New Roman"/>
                <w:sz w:val="14"/>
                <w:szCs w:val="14"/>
                <w:color w:val="auto"/>
              </w:rPr>
              <w:t>Level 1</w:t>
            </w:r>
          </w:p>
        </w:tc>
        <w:tc>
          <w:tcPr>
            <w:tcW w:w="280" w:type="dxa"/>
            <w:vAlign w:val="bottom"/>
          </w:tcPr>
          <w:p>
            <w:pPr>
              <w:spacing w:after="0"/>
              <w:rPr>
                <w:sz w:val="11"/>
                <w:szCs w:val="11"/>
                <w:color w:val="auto"/>
              </w:rPr>
            </w:pPr>
          </w:p>
        </w:tc>
        <w:tc>
          <w:tcPr>
            <w:tcW w:w="880" w:type="dxa"/>
            <w:vAlign w:val="bottom"/>
            <w:vMerge w:val="restart"/>
          </w:tcPr>
          <w:p>
            <w:pPr>
              <w:jc w:val="right"/>
              <w:ind w:right="255"/>
              <w:spacing w:after="0"/>
              <w:rPr>
                <w:sz w:val="20"/>
                <w:szCs w:val="20"/>
                <w:color w:val="auto"/>
              </w:rPr>
            </w:pPr>
            <w:r>
              <w:rPr>
                <w:rFonts w:ascii="Times New Roman" w:cs="Times New Roman" w:eastAsia="Times New Roman" w:hAnsi="Times New Roman"/>
                <w:sz w:val="14"/>
                <w:szCs w:val="14"/>
                <w:color w:val="auto"/>
              </w:rPr>
              <w:t>Level 2</w:t>
            </w:r>
          </w:p>
        </w:tc>
        <w:tc>
          <w:tcPr>
            <w:tcW w:w="280" w:type="dxa"/>
            <w:vAlign w:val="bottom"/>
          </w:tcPr>
          <w:p>
            <w:pPr>
              <w:spacing w:after="0"/>
              <w:rPr>
                <w:sz w:val="11"/>
                <w:szCs w:val="11"/>
                <w:color w:val="auto"/>
              </w:rPr>
            </w:pPr>
          </w:p>
        </w:tc>
        <w:tc>
          <w:tcPr>
            <w:tcW w:w="84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Level 3</w:t>
            </w:r>
          </w:p>
        </w:tc>
        <w:tc>
          <w:tcPr>
            <w:tcW w:w="0" w:type="dxa"/>
            <w:vAlign w:val="bottom"/>
          </w:tcPr>
          <w:p>
            <w:pPr>
              <w:spacing w:after="0"/>
              <w:rPr>
                <w:sz w:val="1"/>
                <w:szCs w:val="1"/>
                <w:color w:val="auto"/>
              </w:rPr>
            </w:pPr>
          </w:p>
        </w:tc>
      </w:tr>
      <w:tr>
        <w:trPr>
          <w:trHeight w:val="196"/>
        </w:trPr>
        <w:tc>
          <w:tcPr>
            <w:tcW w:w="39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217"/>
              <w:spacing w:after="0"/>
              <w:rPr>
                <w:sz w:val="20"/>
                <w:szCs w:val="20"/>
                <w:color w:val="auto"/>
              </w:rPr>
            </w:pPr>
            <w:r>
              <w:rPr>
                <w:rFonts w:ascii="Times New Roman" w:cs="Times New Roman" w:eastAsia="Times New Roman" w:hAnsi="Times New Roman"/>
                <w:sz w:val="14"/>
                <w:szCs w:val="14"/>
                <w:color w:val="auto"/>
              </w:rPr>
              <w:t>(Liability)</w:t>
            </w: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Technique</w:t>
            </w:r>
          </w:p>
        </w:tc>
        <w:tc>
          <w:tcPr>
            <w:tcW w:w="4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contracts, net</w:t>
            </w:r>
          </w:p>
        </w:tc>
        <w:tc>
          <w:tcPr>
            <w:tcW w:w="20" w:type="dxa"/>
            <w:vAlign w:val="bottom"/>
            <w:shd w:val="clear" w:color="auto" w:fill="CCEEFF"/>
          </w:tcPr>
          <w:p>
            <w:pPr>
              <w:spacing w:after="0"/>
              <w:rPr>
                <w:sz w:val="19"/>
                <w:szCs w:val="19"/>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Recurring</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8"/>
                <w:szCs w:val="18"/>
                <w:color w:val="auto"/>
              </w:rPr>
              <w:t>(154.2)</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Market / Income</w:t>
            </w:r>
          </w:p>
        </w:tc>
        <w:tc>
          <w:tcPr>
            <w:tcW w:w="4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(154.2)</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investment hedges</w:t>
            </w:r>
          </w:p>
        </w:tc>
        <w:tc>
          <w:tcPr>
            <w:tcW w:w="2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Recurring</w:t>
            </w:r>
          </w:p>
        </w:tc>
        <w:tc>
          <w:tcPr>
            <w:tcW w:w="280" w:type="dxa"/>
            <w:vAlign w:val="bottom"/>
          </w:tcPr>
          <w:p>
            <w:pPr>
              <w:spacing w:after="0"/>
              <w:rPr>
                <w:sz w:val="19"/>
                <w:szCs w:val="19"/>
                <w:color w:val="auto"/>
              </w:rPr>
            </w:pPr>
          </w:p>
        </w:tc>
        <w:tc>
          <w:tcPr>
            <w:tcW w:w="1020" w:type="dxa"/>
            <w:vAlign w:val="bottom"/>
          </w:tcPr>
          <w:p>
            <w:pPr>
              <w:jc w:val="right"/>
              <w:ind w:right="117"/>
              <w:spacing w:after="0"/>
              <w:rPr>
                <w:sz w:val="20"/>
                <w:szCs w:val="20"/>
                <w:color w:val="auto"/>
              </w:rPr>
            </w:pPr>
            <w:r>
              <w:rPr>
                <w:rFonts w:ascii="Times New Roman" w:cs="Times New Roman" w:eastAsia="Times New Roman" w:hAnsi="Times New Roman"/>
                <w:sz w:val="18"/>
                <w:szCs w:val="18"/>
                <w:color w:val="auto"/>
              </w:rPr>
              <w:t>7.1</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Market / Income</w:t>
            </w:r>
          </w:p>
        </w:tc>
        <w:tc>
          <w:tcPr>
            <w:tcW w:w="420" w:type="dxa"/>
            <w:vAlign w:val="bottom"/>
          </w:tcPr>
          <w:p>
            <w:pPr>
              <w:spacing w:after="0"/>
              <w:rPr>
                <w:sz w:val="19"/>
                <w:szCs w:val="19"/>
                <w:color w:val="auto"/>
              </w:rPr>
            </w:pPr>
          </w:p>
        </w:tc>
        <w:tc>
          <w:tcPr>
            <w:tcW w:w="7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8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7.1</w:t>
            </w:r>
          </w:p>
        </w:tc>
        <w:tc>
          <w:tcPr>
            <w:tcW w:w="280" w:type="dxa"/>
            <w:vAlign w:val="bottom"/>
          </w:tcPr>
          <w:p>
            <w:pPr>
              <w:spacing w:after="0"/>
              <w:rPr>
                <w:sz w:val="19"/>
                <w:szCs w:val="19"/>
                <w:color w:val="auto"/>
              </w:rPr>
            </w:pPr>
          </w:p>
        </w:tc>
        <w:tc>
          <w:tcPr>
            <w:tcW w:w="8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39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Marketable equity securities</w:t>
            </w:r>
          </w:p>
        </w:tc>
        <w:tc>
          <w:tcPr>
            <w:tcW w:w="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Recurring</w:t>
            </w:r>
          </w:p>
        </w:tc>
        <w:tc>
          <w:tcPr>
            <w:tcW w:w="28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8"/>
                <w:szCs w:val="18"/>
                <w:color w:val="auto"/>
              </w:rPr>
              <w:t>89.2</w:t>
            </w:r>
          </w:p>
        </w:tc>
        <w:tc>
          <w:tcPr>
            <w:tcW w:w="15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Market</w:t>
            </w:r>
          </w:p>
        </w:tc>
        <w:tc>
          <w:tcPr>
            <w:tcW w:w="4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89.2</w:t>
            </w:r>
          </w:p>
        </w:tc>
        <w:tc>
          <w:tcPr>
            <w:tcW w:w="28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determines the fair value of its derivative contracts using quoted market prices to calculate the forward values and then discounts such forward values to the present value. The discount rates used are based on quoted bank deposit or swap interest rates. If a derivative contract is in a net liability position, the Company adjusts these discount rates, if required, by an estimate of the credit spread that would be applied by market participants purchasing these contracts from the Company's counterparties. If an estimate of the credit spread is required, the Company uses significant assumptions and factors other than quoted market rates, which would result in the classification of its derivative liabilities within Level 3 of the fair value hierarchy. As of December 31, 2025 and 2024, there were no derivative contracts that were classified within Level 3 of the fair value hierarchy. In addition, there were no transfers in or out of Level 3 of the fair value hierarchy during 2025 and 2024.</w:t>
      </w:r>
    </w:p>
    <w:p>
      <w:pPr>
        <w:spacing w:after="0" w:line="8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further information on fair value measurements and the Company's defined benefit pension plan assets, see Note 8, "Pension and Other Postretirement Benefit Plans."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Items Measured at Fair Value on a Non-Recurring Basis</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measures certain assets and liabilities at fair value on a non-recurring basis, which are not included in the table above. As these non-recurring fair value measurements are generally determined using unobservable inputs, these fair value measurements are classified within Level 3 of the fair value hierarchy.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Long-Lived Assets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2025, 2024 and 2023, the Company completed impairment assessments related to certain fixed assets and right-of-use assets in conjunction with its restructuring (Note 3, "Restructuring") and other actions and recorded fixed asset impairment charges of $53.9 million, $7.3 million and $11.4 million, respectively, and right-of-use asset impairment charges of $7.6 million, $3.2 million and $10.9 million, respectively. The fair value estimates of the related assets were based on management's estimates, using a discounted cash flow method.</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further information related to these impairment charges, see Note 2, "Summary of Significant Accounting Policies — Impairment of Long-Lived Assets," and Note 6, "Leases."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2025 and 2024, the Company completed quantitative goodwill impairment analyses for two reporting units (Note 2, "Summary of Significant Accounting Policies — Impairment of Goodwill"). The Level 3 fair value estimates of the reporting units were based on third-party valuations, using a combination of a discounted cash flow method and guideline public company method, where applicable.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Intangible Assets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2023, the Company completed an impairment assessment related to certain of its intangible assets resulting from a change in the intended use of such assets and recorded an impairment charge of $1.9 million (Note 2, "Summary of Significant Accounting Policies — Impairment of Long-Lived Assets"). The fair value estimate of the related assets was based on management's estimates, using a discounted cash flow method.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Lear Corporation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Assets Held for Sale</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2024, as a result of the then-pending disposal of a non-core business (Note 2, "Summary of Significant Accounting Policies — Assets Held for Sale"), Level 3 fair value estimates related to the asset group held for sale are reflected in the accompanying consolidated balance sheet as of December 31, 2024. The fair value estimates of the related asset group were based on the estimated disposal price less costs to sell.</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and 2024, there were no additional significant assets or liabilities measured at fair value on a non-recurring basis.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15) Accounting Pronouncements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ASUs Issued But Not Yet Adopted:</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ASU 2024-03 (issued November 2024), "Disaggregation of Income Statement Expenses." The ASU requires the disaggregation of certain expenses presented on the face of the income statement in a tabular footnote disclosure. The expense categories include purchases of inventory, employee compensation, depreciation and amortization. It also requires the definition and disclosure of selling expense, a qualitative description of expense amounts not disaggregated and inclusion of existing expense disclosures within the same tabular footnote disclosure. The update is effective for fiscal years beginning after December 15, 2026, with early adoption permitted. The update is to be adopted prospectively; however, retrospective application is permitted. The ASU will modify the Company's financial statement disclosures but is not expected to have a significant impact on its consolidated financial statements.</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ASU 2025-06 (issued September 2025), "Targeted Improvements to the Accounting for Internal-Use Software." The ASU removes all references to project development stages and provides new guidance on evaluating whether the recognition threshold to capitalize software costs has been met. The update is effective for fiscal years beginning after December 15, 2027, with early adoption permitted. The update may be adopted prospectively, retrospectively or using a modified transition approach. The ASU will not have a significant impact on the Company's consolidated financial statements.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ASU 2025-09 (issued November 2025), "Hedge Accounting Improvements." The ASU makes five targeted changes to the hedge accounting model including providing detailed guidance on how the analysis to demonstrate that individual transactions have a similar risk exposure is to be performed. The update is effective for fiscal years beginning after December 15, 2026, with early adoption permitted, and is to be adopted prospectively. The ASU will not have a significant impact on the Company's consolidated financial statements.</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ASU 2025-10 (issued December 2025), "Accounting for Government Grants Received by Business Entities." The ASU leverages guidance in International Accounting Standard ("IAS") 20, "Accounting for Government Grants and Disclosure of Government Assistance," which is largely followed in the absence of current GAAP guidance. The update provides recognition, measurement and presentation guidance related to government grants depending on whether the grant is related to an asset or to income. The update also explicitly excludes certain items from government grant accounting not addressed by IAS 20. The update is effective for fiscal years beginning after December 15, 2028, with early adoption permitted. The update may be adopted using a modified prospective, modified retrospective or full retrospective approach. The ASU will not have a significant impact on the Company's consolidated financial statements.</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considers the applicability and impact of all ASUs issued by the Financial Accounting Standards Board. Other recently issued accounting pronouncements are not expected to have a material impact or are not relevant to the Company's consolidated financial statements.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LEAR CORPORATION AND SUBSIDIARIES</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SCHEDULE II – VALUATION AND QUALIFYING ACCOUNTS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5840" w:type="dxa"/>
            <w:vAlign w:val="bottom"/>
            <w:tcBorders>
              <w:top w:val="single" w:sz="8" w:color="auto"/>
            </w:tcBorders>
          </w:tcPr>
          <w:p>
            <w:pPr>
              <w:jc w:val="center"/>
              <w:ind w:left="4228"/>
              <w:spacing w:after="0"/>
              <w:rPr>
                <w:sz w:val="20"/>
                <w:szCs w:val="20"/>
                <w:color w:val="auto"/>
              </w:rPr>
            </w:pPr>
            <w:r>
              <w:rPr>
                <w:rFonts w:ascii="Times New Roman" w:cs="Times New Roman" w:eastAsia="Times New Roman" w:hAnsi="Times New Roman"/>
                <w:sz w:val="14"/>
                <w:szCs w:val="14"/>
                <w:color w:val="auto"/>
              </w:rPr>
              <w:t>Balance</w:t>
            </w:r>
          </w:p>
        </w:tc>
        <w:tc>
          <w:tcPr>
            <w:tcW w:w="126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Other</w:t>
            </w:r>
          </w:p>
        </w:tc>
        <w:tc>
          <w:tcPr>
            <w:tcW w:w="13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Balance</w:t>
            </w:r>
          </w:p>
        </w:tc>
        <w:tc>
          <w:tcPr>
            <w:tcW w:w="0" w:type="dxa"/>
            <w:vAlign w:val="bottom"/>
          </w:tcPr>
          <w:p>
            <w:pPr>
              <w:spacing w:after="0"/>
              <w:rPr>
                <w:sz w:val="1"/>
                <w:szCs w:val="1"/>
                <w:color w:val="auto"/>
              </w:rPr>
            </w:pPr>
          </w:p>
        </w:tc>
      </w:tr>
      <w:tr>
        <w:trPr>
          <w:trHeight w:val="144"/>
        </w:trPr>
        <w:tc>
          <w:tcPr>
            <w:tcW w:w="5840" w:type="dxa"/>
            <w:vAlign w:val="bottom"/>
          </w:tcPr>
          <w:p>
            <w:pPr>
              <w:jc w:val="center"/>
              <w:ind w:left="4228"/>
              <w:spacing w:after="0" w:line="145" w:lineRule="exact"/>
              <w:rPr>
                <w:sz w:val="20"/>
                <w:szCs w:val="20"/>
                <w:color w:val="auto"/>
              </w:rPr>
            </w:pPr>
            <w:r>
              <w:rPr>
                <w:rFonts w:ascii="Times New Roman" w:cs="Times New Roman" w:eastAsia="Times New Roman" w:hAnsi="Times New Roman"/>
                <w:sz w:val="14"/>
                <w:szCs w:val="14"/>
                <w:color w:val="auto"/>
              </w:rPr>
              <w:t>as of Beginning</w:t>
            </w:r>
          </w:p>
        </w:tc>
        <w:tc>
          <w:tcPr>
            <w:tcW w:w="1260" w:type="dxa"/>
            <w:vAlign w:val="bottom"/>
            <w:vMerge w:val="restart"/>
          </w:tcPr>
          <w:p>
            <w:pPr>
              <w:ind w:left="320"/>
              <w:spacing w:after="0"/>
              <w:rPr>
                <w:sz w:val="20"/>
                <w:szCs w:val="20"/>
                <w:color w:val="auto"/>
              </w:rPr>
            </w:pPr>
            <w:r>
              <w:rPr>
                <w:rFonts w:ascii="Times New Roman" w:cs="Times New Roman" w:eastAsia="Times New Roman" w:hAnsi="Times New Roman"/>
                <w:sz w:val="14"/>
                <w:szCs w:val="14"/>
                <w:color w:val="auto"/>
              </w:rPr>
              <w:t>Additions</w:t>
            </w:r>
          </w:p>
        </w:tc>
        <w:tc>
          <w:tcPr>
            <w:tcW w:w="1440" w:type="dxa"/>
            <w:vAlign w:val="bottom"/>
            <w:vMerge w:val="restart"/>
          </w:tcPr>
          <w:p>
            <w:pPr>
              <w:ind w:left="360"/>
              <w:spacing w:after="0"/>
              <w:rPr>
                <w:sz w:val="20"/>
                <w:szCs w:val="20"/>
                <w:color w:val="auto"/>
              </w:rPr>
            </w:pPr>
            <w:r>
              <w:rPr>
                <w:rFonts w:ascii="Times New Roman" w:cs="Times New Roman" w:eastAsia="Times New Roman" w:hAnsi="Times New Roman"/>
                <w:sz w:val="14"/>
                <w:szCs w:val="14"/>
                <w:color w:val="auto"/>
              </w:rPr>
              <w:t>Retirements</w:t>
            </w:r>
          </w:p>
        </w:tc>
        <w:tc>
          <w:tcPr>
            <w:tcW w:w="1320" w:type="dxa"/>
            <w:vAlign w:val="bottom"/>
            <w:vMerge w:val="continue"/>
          </w:tcPr>
          <w:p>
            <w:pPr>
              <w:spacing w:after="0"/>
              <w:rPr>
                <w:sz w:val="12"/>
                <w:szCs w:val="12"/>
                <w:color w:val="auto"/>
              </w:rPr>
            </w:pPr>
          </w:p>
        </w:tc>
        <w:tc>
          <w:tcPr>
            <w:tcW w:w="132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as of End</w:t>
            </w:r>
          </w:p>
        </w:tc>
        <w:tc>
          <w:tcPr>
            <w:tcW w:w="0" w:type="dxa"/>
            <w:vAlign w:val="bottom"/>
          </w:tcPr>
          <w:p>
            <w:pPr>
              <w:spacing w:after="0"/>
              <w:rPr>
                <w:sz w:val="1"/>
                <w:szCs w:val="1"/>
                <w:color w:val="auto"/>
              </w:rPr>
            </w:pPr>
          </w:p>
        </w:tc>
      </w:tr>
      <w:tr>
        <w:trPr>
          <w:trHeight w:val="198"/>
        </w:trPr>
        <w:tc>
          <w:tcPr>
            <w:tcW w:w="5840" w:type="dxa"/>
            <w:vAlign w:val="bottom"/>
            <w:tcBorders>
              <w:bottom w:val="single" w:sz="8" w:color="auto"/>
            </w:tcBorders>
          </w:tcPr>
          <w:p>
            <w:pPr>
              <w:jc w:val="center"/>
              <w:ind w:left="4228"/>
              <w:spacing w:after="0"/>
              <w:rPr>
                <w:sz w:val="20"/>
                <w:szCs w:val="20"/>
                <w:color w:val="auto"/>
              </w:rPr>
            </w:pPr>
            <w:r>
              <w:rPr>
                <w:rFonts w:ascii="Times New Roman" w:cs="Times New Roman" w:eastAsia="Times New Roman" w:hAnsi="Times New Roman"/>
                <w:sz w:val="14"/>
                <w:szCs w:val="14"/>
                <w:color w:val="auto"/>
              </w:rPr>
              <w:t>of Period</w:t>
            </w:r>
          </w:p>
        </w:tc>
        <w:tc>
          <w:tcPr>
            <w:tcW w:w="1260" w:type="dxa"/>
            <w:vAlign w:val="bottom"/>
            <w:tcBorders>
              <w:bottom w:val="single" w:sz="8" w:color="auto"/>
            </w:tcBorders>
            <w:vMerge w:val="continue"/>
          </w:tcPr>
          <w:p>
            <w:pPr>
              <w:spacing w:after="0"/>
              <w:rPr>
                <w:sz w:val="17"/>
                <w:szCs w:val="17"/>
                <w:color w:val="auto"/>
              </w:rPr>
            </w:pPr>
          </w:p>
        </w:tc>
        <w:tc>
          <w:tcPr>
            <w:tcW w:w="1440" w:type="dxa"/>
            <w:vAlign w:val="bottom"/>
            <w:tcBorders>
              <w:bottom w:val="single" w:sz="8" w:color="auto"/>
            </w:tcBorders>
            <w:vMerge w:val="continue"/>
          </w:tcPr>
          <w:p>
            <w:pPr>
              <w:spacing w:after="0"/>
              <w:rPr>
                <w:sz w:val="17"/>
                <w:szCs w:val="17"/>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Changes</w:t>
            </w: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of Period</w:t>
            </w:r>
          </w:p>
        </w:tc>
        <w:tc>
          <w:tcPr>
            <w:tcW w:w="0" w:type="dxa"/>
            <w:vAlign w:val="bottom"/>
          </w:tcPr>
          <w:p>
            <w:pPr>
              <w:spacing w:after="0"/>
              <w:rPr>
                <w:sz w:val="1"/>
                <w:szCs w:val="1"/>
                <w:color w:val="auto"/>
              </w:rPr>
            </w:pPr>
          </w:p>
        </w:tc>
      </w:tr>
      <w:tr>
        <w:trPr>
          <w:trHeight w:val="201"/>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For the year ended December 31, 2025</w:t>
            </w:r>
          </w:p>
        </w:tc>
        <w:tc>
          <w:tcPr>
            <w:tcW w:w="12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Valuation of accounts deducted from related assets:</w:t>
            </w: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27.3</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10.7</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2.0</w:t>
            </w: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0" w:type="dxa"/>
            <w:vAlign w:val="bottom"/>
          </w:tcPr>
          <w:p>
            <w:pPr>
              <w:spacing w:after="0"/>
              <w:rPr>
                <w:sz w:val="1"/>
                <w:szCs w:val="1"/>
                <w:color w:val="auto"/>
              </w:rPr>
            </w:pPr>
          </w:p>
        </w:tc>
      </w:tr>
      <w:tr>
        <w:trPr>
          <w:trHeight w:val="230"/>
        </w:trPr>
        <w:tc>
          <w:tcPr>
            <w:tcW w:w="426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Allowance for deferred tax assets</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399.4</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34.0</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32.1</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451.7</w:t>
            </w:r>
          </w:p>
        </w:tc>
        <w:tc>
          <w:tcPr>
            <w:tcW w:w="0" w:type="dxa"/>
            <w:vAlign w:val="bottom"/>
          </w:tcPr>
          <w:p>
            <w:pPr>
              <w:spacing w:after="0"/>
              <w:rPr>
                <w:sz w:val="1"/>
                <w:szCs w:val="1"/>
                <w:color w:val="auto"/>
              </w:rPr>
            </w:pPr>
          </w:p>
        </w:tc>
      </w:tr>
      <w:tr>
        <w:trPr>
          <w:trHeight w:val="230"/>
        </w:trPr>
        <w:tc>
          <w:tcPr>
            <w:tcW w:w="426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426.7</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44.7</w:t>
            </w:r>
          </w:p>
        </w:tc>
        <w:tc>
          <w:tcPr>
            <w:tcW w:w="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3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34.1</w:t>
            </w: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480.1</w:t>
            </w:r>
          </w:p>
        </w:tc>
        <w:tc>
          <w:tcPr>
            <w:tcW w:w="0" w:type="dxa"/>
            <w:vAlign w:val="bottom"/>
          </w:tcPr>
          <w:p>
            <w:pPr>
              <w:spacing w:after="0"/>
              <w:rPr>
                <w:sz w:val="1"/>
                <w:szCs w:val="1"/>
                <w:color w:val="auto"/>
              </w:rPr>
            </w:pPr>
          </w:p>
        </w:tc>
      </w:tr>
      <w:tr>
        <w:trPr>
          <w:trHeight w:val="237"/>
        </w:trPr>
        <w:tc>
          <w:tcPr>
            <w:tcW w:w="42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4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tcPr>
          <w:p>
            <w:pPr>
              <w:jc w:val="center"/>
              <w:ind w:right="97"/>
              <w:spacing w:after="0" w:line="135" w:lineRule="exact"/>
              <w:rPr>
                <w:sz w:val="20"/>
                <w:szCs w:val="20"/>
                <w:color w:val="auto"/>
              </w:rPr>
            </w:pPr>
            <w:r>
              <w:rPr>
                <w:rFonts w:ascii="Times New Roman" w:cs="Times New Roman" w:eastAsia="Times New Roman" w:hAnsi="Times New Roman"/>
                <w:sz w:val="14"/>
                <w:szCs w:val="14"/>
                <w:color w:val="auto"/>
              </w:rPr>
              <w:t>Balance</w:t>
            </w:r>
          </w:p>
        </w:tc>
        <w:tc>
          <w:tcPr>
            <w:tcW w:w="3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vMerge w:val="restart"/>
          </w:tcPr>
          <w:p>
            <w:pPr>
              <w:jc w:val="center"/>
              <w:ind w:right="216"/>
              <w:spacing w:after="0"/>
              <w:rPr>
                <w:sz w:val="20"/>
                <w:szCs w:val="20"/>
                <w:color w:val="auto"/>
              </w:rPr>
            </w:pPr>
            <w:r>
              <w:rPr>
                <w:rFonts w:ascii="Times New Roman" w:cs="Times New Roman" w:eastAsia="Times New Roman" w:hAnsi="Times New Roman"/>
                <w:sz w:val="14"/>
                <w:szCs w:val="14"/>
                <w:color w:val="auto"/>
              </w:rPr>
              <w:t>Other</w:t>
            </w:r>
          </w:p>
        </w:tc>
        <w:tc>
          <w:tcPr>
            <w:tcW w:w="280" w:type="dxa"/>
            <w:vAlign w:val="bottom"/>
          </w:tcPr>
          <w:p>
            <w:pPr>
              <w:spacing w:after="0"/>
              <w:rPr>
                <w:sz w:val="11"/>
                <w:szCs w:val="11"/>
                <w:color w:val="auto"/>
              </w:rPr>
            </w:pPr>
          </w:p>
        </w:tc>
        <w:tc>
          <w:tcPr>
            <w:tcW w:w="1040" w:type="dxa"/>
            <w:vAlign w:val="bottom"/>
          </w:tcPr>
          <w:p>
            <w:pPr>
              <w:jc w:val="center"/>
              <w:ind w:right="137"/>
              <w:spacing w:after="0" w:line="135" w:lineRule="exact"/>
              <w:rPr>
                <w:sz w:val="20"/>
                <w:szCs w:val="20"/>
                <w:color w:val="auto"/>
              </w:rPr>
            </w:pPr>
            <w:r>
              <w:rPr>
                <w:rFonts w:ascii="Times New Roman" w:cs="Times New Roman" w:eastAsia="Times New Roman" w:hAnsi="Times New Roman"/>
                <w:sz w:val="14"/>
                <w:szCs w:val="14"/>
                <w:color w:val="auto"/>
              </w:rPr>
              <w:t>Balance</w:t>
            </w:r>
          </w:p>
        </w:tc>
        <w:tc>
          <w:tcPr>
            <w:tcW w:w="0" w:type="dxa"/>
            <w:vAlign w:val="bottom"/>
          </w:tcPr>
          <w:p>
            <w:pPr>
              <w:spacing w:after="0"/>
              <w:rPr>
                <w:sz w:val="1"/>
                <w:szCs w:val="1"/>
                <w:color w:val="auto"/>
              </w:rPr>
            </w:pPr>
          </w:p>
        </w:tc>
      </w:tr>
      <w:tr>
        <w:trPr>
          <w:trHeight w:val="148"/>
        </w:trPr>
        <w:tc>
          <w:tcPr>
            <w:tcW w:w="4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tcPr>
          <w:p>
            <w:pPr>
              <w:jc w:val="center"/>
              <w:ind w:right="97"/>
              <w:spacing w:after="0" w:line="149" w:lineRule="exact"/>
              <w:rPr>
                <w:sz w:val="20"/>
                <w:szCs w:val="20"/>
                <w:color w:val="auto"/>
              </w:rPr>
            </w:pPr>
            <w:r>
              <w:rPr>
                <w:rFonts w:ascii="Times New Roman" w:cs="Times New Roman" w:eastAsia="Times New Roman" w:hAnsi="Times New Roman"/>
                <w:sz w:val="14"/>
                <w:szCs w:val="14"/>
                <w:color w:val="auto"/>
              </w:rPr>
              <w:t>as of Beginning</w:t>
            </w:r>
          </w:p>
        </w:tc>
        <w:tc>
          <w:tcPr>
            <w:tcW w:w="300" w:type="dxa"/>
            <w:vAlign w:val="bottom"/>
          </w:tcPr>
          <w:p>
            <w:pPr>
              <w:spacing w:after="0"/>
              <w:rPr>
                <w:sz w:val="12"/>
                <w:szCs w:val="12"/>
                <w:color w:val="auto"/>
              </w:rPr>
            </w:pPr>
          </w:p>
        </w:tc>
        <w:tc>
          <w:tcPr>
            <w:tcW w:w="1060" w:type="dxa"/>
            <w:vAlign w:val="bottom"/>
            <w:vMerge w:val="restart"/>
          </w:tcPr>
          <w:p>
            <w:pPr>
              <w:jc w:val="right"/>
              <w:ind w:right="293"/>
              <w:spacing w:after="0"/>
              <w:rPr>
                <w:sz w:val="20"/>
                <w:szCs w:val="20"/>
                <w:color w:val="auto"/>
              </w:rPr>
            </w:pPr>
            <w:r>
              <w:rPr>
                <w:rFonts w:ascii="Times New Roman" w:cs="Times New Roman" w:eastAsia="Times New Roman" w:hAnsi="Times New Roman"/>
                <w:sz w:val="14"/>
                <w:szCs w:val="14"/>
                <w:color w:val="auto"/>
              </w:rPr>
              <w:t>Additions</w:t>
            </w:r>
          </w:p>
        </w:tc>
        <w:tc>
          <w:tcPr>
            <w:tcW w:w="280" w:type="dxa"/>
            <w:vAlign w:val="bottom"/>
          </w:tcPr>
          <w:p>
            <w:pPr>
              <w:spacing w:after="0"/>
              <w:rPr>
                <w:sz w:val="12"/>
                <w:szCs w:val="12"/>
                <w:color w:val="auto"/>
              </w:rPr>
            </w:pPr>
          </w:p>
        </w:tc>
        <w:tc>
          <w:tcPr>
            <w:tcW w:w="1120" w:type="dxa"/>
            <w:vAlign w:val="bottom"/>
            <w:vMerge w:val="restart"/>
          </w:tcPr>
          <w:p>
            <w:pPr>
              <w:jc w:val="right"/>
              <w:ind w:right="253"/>
              <w:spacing w:after="0"/>
              <w:rPr>
                <w:sz w:val="20"/>
                <w:szCs w:val="20"/>
                <w:color w:val="auto"/>
              </w:rPr>
            </w:pPr>
            <w:r>
              <w:rPr>
                <w:rFonts w:ascii="Times New Roman" w:cs="Times New Roman" w:eastAsia="Times New Roman" w:hAnsi="Times New Roman"/>
                <w:sz w:val="14"/>
                <w:szCs w:val="14"/>
                <w:color w:val="auto"/>
              </w:rPr>
              <w:t>Retirements</w:t>
            </w:r>
          </w:p>
        </w:tc>
        <w:tc>
          <w:tcPr>
            <w:tcW w:w="30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jc w:val="center"/>
              <w:ind w:right="137"/>
              <w:spacing w:after="0" w:line="149" w:lineRule="exact"/>
              <w:rPr>
                <w:sz w:val="20"/>
                <w:szCs w:val="20"/>
                <w:color w:val="auto"/>
              </w:rPr>
            </w:pPr>
            <w:r>
              <w:rPr>
                <w:rFonts w:ascii="Times New Roman" w:cs="Times New Roman" w:eastAsia="Times New Roman" w:hAnsi="Times New Roman"/>
                <w:sz w:val="14"/>
                <w:szCs w:val="14"/>
                <w:color w:val="auto"/>
              </w:rPr>
              <w:t>as of End</w:t>
            </w:r>
          </w:p>
        </w:tc>
        <w:tc>
          <w:tcPr>
            <w:tcW w:w="0" w:type="dxa"/>
            <w:vAlign w:val="bottom"/>
          </w:tcPr>
          <w:p>
            <w:pPr>
              <w:spacing w:after="0"/>
              <w:rPr>
                <w:sz w:val="1"/>
                <w:szCs w:val="1"/>
                <w:color w:val="auto"/>
              </w:rPr>
            </w:pPr>
          </w:p>
        </w:tc>
      </w:tr>
      <w:tr>
        <w:trPr>
          <w:trHeight w:val="196"/>
        </w:trPr>
        <w:tc>
          <w:tcPr>
            <w:tcW w:w="42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97"/>
              <w:spacing w:after="0"/>
              <w:rPr>
                <w:sz w:val="20"/>
                <w:szCs w:val="20"/>
                <w:color w:val="auto"/>
              </w:rPr>
            </w:pPr>
            <w:r>
              <w:rPr>
                <w:rFonts w:ascii="Times New Roman" w:cs="Times New Roman" w:eastAsia="Times New Roman" w:hAnsi="Times New Roman"/>
                <w:sz w:val="14"/>
                <w:szCs w:val="14"/>
                <w:color w:val="auto"/>
              </w:rPr>
              <w:t>of Period</w:t>
            </w: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216"/>
              <w:spacing w:after="0"/>
              <w:rPr>
                <w:sz w:val="20"/>
                <w:szCs w:val="20"/>
                <w:color w:val="auto"/>
              </w:rPr>
            </w:pPr>
            <w:r>
              <w:rPr>
                <w:rFonts w:ascii="Times New Roman" w:cs="Times New Roman" w:eastAsia="Times New Roman" w:hAnsi="Times New Roman"/>
                <w:sz w:val="14"/>
                <w:szCs w:val="14"/>
                <w:color w:val="auto"/>
                <w:w w:val="99"/>
              </w:rPr>
              <w:t>Changes</w:t>
            </w: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137"/>
              <w:spacing w:after="0"/>
              <w:rPr>
                <w:sz w:val="20"/>
                <w:szCs w:val="20"/>
                <w:color w:val="auto"/>
              </w:rPr>
            </w:pPr>
            <w:r>
              <w:rPr>
                <w:rFonts w:ascii="Times New Roman" w:cs="Times New Roman" w:eastAsia="Times New Roman" w:hAnsi="Times New Roman"/>
                <w:sz w:val="14"/>
                <w:szCs w:val="14"/>
                <w:color w:val="auto"/>
              </w:rPr>
              <w:t>of Period</w:t>
            </w:r>
          </w:p>
        </w:tc>
        <w:tc>
          <w:tcPr>
            <w:tcW w:w="0" w:type="dxa"/>
            <w:vAlign w:val="bottom"/>
          </w:tcPr>
          <w:p>
            <w:pPr>
              <w:spacing w:after="0"/>
              <w:rPr>
                <w:sz w:val="1"/>
                <w:szCs w:val="1"/>
                <w:color w:val="auto"/>
              </w:rPr>
            </w:pPr>
          </w:p>
        </w:tc>
      </w:tr>
      <w:tr>
        <w:trPr>
          <w:trHeight w:val="203"/>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For the year ended December 31, 2024</w:t>
            </w: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Valuation of accounts deducted from related assets:</w:t>
            </w: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35.6</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16.5</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0" w:type="dxa"/>
            <w:vAlign w:val="bottom"/>
          </w:tcPr>
          <w:p>
            <w:pPr>
              <w:spacing w:after="0"/>
              <w:rPr>
                <w:sz w:val="1"/>
                <w:szCs w:val="1"/>
                <w:color w:val="auto"/>
              </w:rPr>
            </w:pPr>
          </w:p>
        </w:tc>
      </w:tr>
      <w:tr>
        <w:trPr>
          <w:trHeight w:val="229"/>
        </w:trPr>
        <w:tc>
          <w:tcPr>
            <w:tcW w:w="426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Allowance for deferred tax assets</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429.0</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31.3</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399.4</w:t>
            </w:r>
          </w:p>
        </w:tc>
        <w:tc>
          <w:tcPr>
            <w:tcW w:w="0" w:type="dxa"/>
            <w:vAlign w:val="bottom"/>
          </w:tcPr>
          <w:p>
            <w:pPr>
              <w:spacing w:after="0"/>
              <w:rPr>
                <w:sz w:val="1"/>
                <w:szCs w:val="1"/>
                <w:color w:val="auto"/>
              </w:rPr>
            </w:pPr>
          </w:p>
        </w:tc>
      </w:tr>
      <w:tr>
        <w:trPr>
          <w:trHeight w:val="230"/>
        </w:trPr>
        <w:tc>
          <w:tcPr>
            <w:tcW w:w="426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464.6</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47.8</w:t>
            </w:r>
          </w:p>
        </w:tc>
        <w:tc>
          <w:tcPr>
            <w:tcW w:w="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3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426.7</w:t>
            </w:r>
          </w:p>
        </w:tc>
        <w:tc>
          <w:tcPr>
            <w:tcW w:w="0" w:type="dxa"/>
            <w:vAlign w:val="bottom"/>
          </w:tcPr>
          <w:p>
            <w:pPr>
              <w:spacing w:after="0"/>
              <w:rPr>
                <w:sz w:val="1"/>
                <w:szCs w:val="1"/>
                <w:color w:val="auto"/>
              </w:rPr>
            </w:pPr>
          </w:p>
        </w:tc>
      </w:tr>
      <w:tr>
        <w:trPr>
          <w:trHeight w:val="223"/>
        </w:trPr>
        <w:tc>
          <w:tcPr>
            <w:tcW w:w="42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39"/>
        </w:trPr>
        <w:tc>
          <w:tcPr>
            <w:tcW w:w="4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tcPr>
          <w:p>
            <w:pPr>
              <w:jc w:val="center"/>
              <w:ind w:right="97"/>
              <w:spacing w:after="0" w:line="139" w:lineRule="exact"/>
              <w:rPr>
                <w:sz w:val="20"/>
                <w:szCs w:val="20"/>
                <w:color w:val="auto"/>
              </w:rPr>
            </w:pPr>
            <w:r>
              <w:rPr>
                <w:rFonts w:ascii="Times New Roman" w:cs="Times New Roman" w:eastAsia="Times New Roman" w:hAnsi="Times New Roman"/>
                <w:sz w:val="14"/>
                <w:szCs w:val="14"/>
                <w:color w:val="auto"/>
              </w:rPr>
              <w:t>Balance</w:t>
            </w: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vMerge w:val="restart"/>
          </w:tcPr>
          <w:p>
            <w:pPr>
              <w:jc w:val="center"/>
              <w:ind w:right="216"/>
              <w:spacing w:after="0"/>
              <w:rPr>
                <w:sz w:val="20"/>
                <w:szCs w:val="20"/>
                <w:color w:val="auto"/>
              </w:rPr>
            </w:pPr>
            <w:r>
              <w:rPr>
                <w:rFonts w:ascii="Times New Roman" w:cs="Times New Roman" w:eastAsia="Times New Roman" w:hAnsi="Times New Roman"/>
                <w:sz w:val="14"/>
                <w:szCs w:val="14"/>
                <w:color w:val="auto"/>
              </w:rPr>
              <w:t>Other</w:t>
            </w:r>
          </w:p>
        </w:tc>
        <w:tc>
          <w:tcPr>
            <w:tcW w:w="280" w:type="dxa"/>
            <w:vAlign w:val="bottom"/>
          </w:tcPr>
          <w:p>
            <w:pPr>
              <w:spacing w:after="0"/>
              <w:rPr>
                <w:sz w:val="12"/>
                <w:szCs w:val="12"/>
                <w:color w:val="auto"/>
              </w:rPr>
            </w:pPr>
          </w:p>
        </w:tc>
        <w:tc>
          <w:tcPr>
            <w:tcW w:w="1040" w:type="dxa"/>
            <w:vAlign w:val="bottom"/>
          </w:tcPr>
          <w:p>
            <w:pPr>
              <w:jc w:val="center"/>
              <w:ind w:right="137"/>
              <w:spacing w:after="0" w:line="139" w:lineRule="exact"/>
              <w:rPr>
                <w:sz w:val="20"/>
                <w:szCs w:val="20"/>
                <w:color w:val="auto"/>
              </w:rPr>
            </w:pPr>
            <w:r>
              <w:rPr>
                <w:rFonts w:ascii="Times New Roman" w:cs="Times New Roman" w:eastAsia="Times New Roman" w:hAnsi="Times New Roman"/>
                <w:sz w:val="14"/>
                <w:szCs w:val="14"/>
                <w:color w:val="auto"/>
              </w:rPr>
              <w:t>Balance</w:t>
            </w:r>
          </w:p>
        </w:tc>
        <w:tc>
          <w:tcPr>
            <w:tcW w:w="0" w:type="dxa"/>
            <w:vAlign w:val="bottom"/>
          </w:tcPr>
          <w:p>
            <w:pPr>
              <w:spacing w:after="0"/>
              <w:rPr>
                <w:sz w:val="1"/>
                <w:szCs w:val="1"/>
                <w:color w:val="auto"/>
              </w:rPr>
            </w:pPr>
          </w:p>
        </w:tc>
      </w:tr>
      <w:tr>
        <w:trPr>
          <w:trHeight w:val="148"/>
        </w:trPr>
        <w:tc>
          <w:tcPr>
            <w:tcW w:w="4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tcPr>
          <w:p>
            <w:pPr>
              <w:jc w:val="center"/>
              <w:ind w:right="97"/>
              <w:spacing w:after="0" w:line="149" w:lineRule="exact"/>
              <w:rPr>
                <w:sz w:val="20"/>
                <w:szCs w:val="20"/>
                <w:color w:val="auto"/>
              </w:rPr>
            </w:pPr>
            <w:r>
              <w:rPr>
                <w:rFonts w:ascii="Times New Roman" w:cs="Times New Roman" w:eastAsia="Times New Roman" w:hAnsi="Times New Roman"/>
                <w:sz w:val="14"/>
                <w:szCs w:val="14"/>
                <w:color w:val="auto"/>
              </w:rPr>
              <w:t>as of Beginning</w:t>
            </w:r>
          </w:p>
        </w:tc>
        <w:tc>
          <w:tcPr>
            <w:tcW w:w="300" w:type="dxa"/>
            <w:vAlign w:val="bottom"/>
          </w:tcPr>
          <w:p>
            <w:pPr>
              <w:spacing w:after="0"/>
              <w:rPr>
                <w:sz w:val="12"/>
                <w:szCs w:val="12"/>
                <w:color w:val="auto"/>
              </w:rPr>
            </w:pPr>
          </w:p>
        </w:tc>
        <w:tc>
          <w:tcPr>
            <w:tcW w:w="1060" w:type="dxa"/>
            <w:vAlign w:val="bottom"/>
            <w:vMerge w:val="restart"/>
          </w:tcPr>
          <w:p>
            <w:pPr>
              <w:jc w:val="right"/>
              <w:ind w:right="293"/>
              <w:spacing w:after="0"/>
              <w:rPr>
                <w:sz w:val="20"/>
                <w:szCs w:val="20"/>
                <w:color w:val="auto"/>
              </w:rPr>
            </w:pPr>
            <w:r>
              <w:rPr>
                <w:rFonts w:ascii="Times New Roman" w:cs="Times New Roman" w:eastAsia="Times New Roman" w:hAnsi="Times New Roman"/>
                <w:sz w:val="14"/>
                <w:szCs w:val="14"/>
                <w:color w:val="auto"/>
              </w:rPr>
              <w:t>Additions</w:t>
            </w:r>
          </w:p>
        </w:tc>
        <w:tc>
          <w:tcPr>
            <w:tcW w:w="280" w:type="dxa"/>
            <w:vAlign w:val="bottom"/>
          </w:tcPr>
          <w:p>
            <w:pPr>
              <w:spacing w:after="0"/>
              <w:rPr>
                <w:sz w:val="12"/>
                <w:szCs w:val="12"/>
                <w:color w:val="auto"/>
              </w:rPr>
            </w:pPr>
          </w:p>
        </w:tc>
        <w:tc>
          <w:tcPr>
            <w:tcW w:w="1120" w:type="dxa"/>
            <w:vAlign w:val="bottom"/>
            <w:vMerge w:val="restart"/>
          </w:tcPr>
          <w:p>
            <w:pPr>
              <w:jc w:val="right"/>
              <w:ind w:right="253"/>
              <w:spacing w:after="0"/>
              <w:rPr>
                <w:sz w:val="20"/>
                <w:szCs w:val="20"/>
                <w:color w:val="auto"/>
              </w:rPr>
            </w:pPr>
            <w:r>
              <w:rPr>
                <w:rFonts w:ascii="Times New Roman" w:cs="Times New Roman" w:eastAsia="Times New Roman" w:hAnsi="Times New Roman"/>
                <w:sz w:val="14"/>
                <w:szCs w:val="14"/>
                <w:color w:val="auto"/>
              </w:rPr>
              <w:t>Retirements</w:t>
            </w:r>
          </w:p>
        </w:tc>
        <w:tc>
          <w:tcPr>
            <w:tcW w:w="30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jc w:val="center"/>
              <w:ind w:right="137"/>
              <w:spacing w:after="0" w:line="149" w:lineRule="exact"/>
              <w:rPr>
                <w:sz w:val="20"/>
                <w:szCs w:val="20"/>
                <w:color w:val="auto"/>
              </w:rPr>
            </w:pPr>
            <w:r>
              <w:rPr>
                <w:rFonts w:ascii="Times New Roman" w:cs="Times New Roman" w:eastAsia="Times New Roman" w:hAnsi="Times New Roman"/>
                <w:sz w:val="14"/>
                <w:szCs w:val="14"/>
                <w:color w:val="auto"/>
              </w:rPr>
              <w:t>as of End</w:t>
            </w:r>
          </w:p>
        </w:tc>
        <w:tc>
          <w:tcPr>
            <w:tcW w:w="0" w:type="dxa"/>
            <w:vAlign w:val="bottom"/>
          </w:tcPr>
          <w:p>
            <w:pPr>
              <w:spacing w:after="0"/>
              <w:rPr>
                <w:sz w:val="1"/>
                <w:szCs w:val="1"/>
                <w:color w:val="auto"/>
              </w:rPr>
            </w:pPr>
          </w:p>
        </w:tc>
      </w:tr>
      <w:tr>
        <w:trPr>
          <w:trHeight w:val="193"/>
        </w:trPr>
        <w:tc>
          <w:tcPr>
            <w:tcW w:w="42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97"/>
              <w:spacing w:after="0"/>
              <w:rPr>
                <w:sz w:val="20"/>
                <w:szCs w:val="20"/>
                <w:color w:val="auto"/>
              </w:rPr>
            </w:pPr>
            <w:r>
              <w:rPr>
                <w:rFonts w:ascii="Times New Roman" w:cs="Times New Roman" w:eastAsia="Times New Roman" w:hAnsi="Times New Roman"/>
                <w:sz w:val="14"/>
                <w:szCs w:val="14"/>
                <w:color w:val="auto"/>
              </w:rPr>
              <w:t>of Period</w:t>
            </w: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216"/>
              <w:spacing w:after="0"/>
              <w:rPr>
                <w:sz w:val="20"/>
                <w:szCs w:val="20"/>
                <w:color w:val="auto"/>
              </w:rPr>
            </w:pPr>
            <w:r>
              <w:rPr>
                <w:rFonts w:ascii="Times New Roman" w:cs="Times New Roman" w:eastAsia="Times New Roman" w:hAnsi="Times New Roman"/>
                <w:sz w:val="14"/>
                <w:szCs w:val="14"/>
                <w:color w:val="auto"/>
                <w:w w:val="99"/>
              </w:rPr>
              <w:t>Changes</w:t>
            </w: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37"/>
              <w:spacing w:after="0"/>
              <w:rPr>
                <w:sz w:val="20"/>
                <w:szCs w:val="20"/>
                <w:color w:val="auto"/>
              </w:rPr>
            </w:pPr>
            <w:r>
              <w:rPr>
                <w:rFonts w:ascii="Times New Roman" w:cs="Times New Roman" w:eastAsia="Times New Roman" w:hAnsi="Times New Roman"/>
                <w:sz w:val="14"/>
                <w:szCs w:val="14"/>
                <w:color w:val="auto"/>
              </w:rPr>
              <w:t>of Period</w:t>
            </w:r>
          </w:p>
        </w:tc>
        <w:tc>
          <w:tcPr>
            <w:tcW w:w="0" w:type="dxa"/>
            <w:vAlign w:val="bottom"/>
          </w:tcPr>
          <w:p>
            <w:pPr>
              <w:spacing w:after="0"/>
              <w:rPr>
                <w:sz w:val="1"/>
                <w:szCs w:val="1"/>
                <w:color w:val="auto"/>
              </w:rPr>
            </w:pPr>
          </w:p>
        </w:tc>
      </w:tr>
      <w:tr>
        <w:trPr>
          <w:trHeight w:val="201"/>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For the year ended December 31, 2023</w:t>
            </w: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Valuation of accounts deducted from related assets:</w:t>
            </w: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35.3</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7.8</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2.5</w:t>
            </w: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0" w:type="dxa"/>
            <w:vAlign w:val="bottom"/>
          </w:tcPr>
          <w:p>
            <w:pPr>
              <w:spacing w:after="0"/>
              <w:rPr>
                <w:sz w:val="1"/>
                <w:szCs w:val="1"/>
                <w:color w:val="auto"/>
              </w:rPr>
            </w:pPr>
          </w:p>
        </w:tc>
      </w:tr>
      <w:tr>
        <w:trPr>
          <w:trHeight w:val="230"/>
        </w:trPr>
        <w:tc>
          <w:tcPr>
            <w:tcW w:w="426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Allowance for deferred tax assets</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417.9</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17.5</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14.4</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429.0</w:t>
            </w:r>
          </w:p>
        </w:tc>
        <w:tc>
          <w:tcPr>
            <w:tcW w:w="0" w:type="dxa"/>
            <w:vAlign w:val="bottom"/>
          </w:tcPr>
          <w:p>
            <w:pPr>
              <w:spacing w:after="0"/>
              <w:rPr>
                <w:sz w:val="1"/>
                <w:szCs w:val="1"/>
                <w:color w:val="auto"/>
              </w:rPr>
            </w:pPr>
          </w:p>
        </w:tc>
      </w:tr>
      <w:tr>
        <w:trPr>
          <w:trHeight w:val="230"/>
        </w:trPr>
        <w:tc>
          <w:tcPr>
            <w:tcW w:w="426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453.2</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25.3</w:t>
            </w:r>
          </w:p>
        </w:tc>
        <w:tc>
          <w:tcPr>
            <w:tcW w:w="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3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16.9</w:t>
            </w: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9 – CHANGES IN AND DISAGREEMENTS WITH ACCOUNTANTS 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ACCOUNTING AND FINANCIAL DISCLOSURE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9A – CONTROLS AND PROCEDURES</w:t>
      </w:r>
    </w:p>
    <w:p>
      <w:pPr>
        <w:spacing w:after="0" w:line="229" w:lineRule="exact"/>
        <w:rPr>
          <w:sz w:val="20"/>
          <w:szCs w:val="20"/>
          <w:color w:val="auto"/>
        </w:rPr>
      </w:pPr>
    </w:p>
    <w:p>
      <w:pPr>
        <w:ind w:left="420" w:hanging="412"/>
        <w:spacing w:after="0"/>
        <w:tabs>
          <w:tab w:leader="none" w:pos="4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Disclosure Controls and Procedures</w:t>
      </w:r>
    </w:p>
    <w:p>
      <w:pPr>
        <w:spacing w:after="0" w:line="117" w:lineRule="exact"/>
        <w:rPr>
          <w:rFonts w:ascii="Times New Roman" w:cs="Times New Roman" w:eastAsia="Times New Roman" w:hAnsi="Times New Roman"/>
          <w:sz w:val="18"/>
          <w:szCs w:val="18"/>
          <w:color w:val="auto"/>
        </w:rPr>
      </w:pPr>
    </w:p>
    <w:p>
      <w:pPr>
        <w:jc w:val="both"/>
        <w:ind w:left="42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evaluated, under the supervision and with the participation of the Company's management, including the Company's President and Chief Executive Officer along with the Company's Senior Vice President and Chief Financial Officer, the effectiveness of the Company's disclosure controls and procedures (as defined in Rules 13a-15(e) and 15d-15(e) under the Securities Exchange Act of 1934, as amended (the "Exchange Act")) as of the end of the period covered by this Report. The Company's disclosure controls and procedures are designed to provide reasonable assurance of achieving their objectives. Because of the inherent limitations in all control systems, no evaluation of controls can provide absolute assurance that all control issues and instances of fraud, if any, within the Company have been detected. Based on the evaluation described above, the Company's President and Chief Executive Officer along with the Company's Senior Vice President and Chief Financial Officer have concluded that the Company's disclosure controls and procedures were effective to provide reasonable assurance that the desired control objectives were achieved as of the end of the period covered by this Report.</w:t>
      </w:r>
    </w:p>
    <w:p>
      <w:pPr>
        <w:spacing w:after="0" w:line="188"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Management's Annual Report on Internal Control over Financial Reporting</w:t>
      </w:r>
    </w:p>
    <w:p>
      <w:pPr>
        <w:spacing w:after="0" w:line="117" w:lineRule="exact"/>
        <w:rPr>
          <w:rFonts w:ascii="Times New Roman" w:cs="Times New Roman" w:eastAsia="Times New Roman" w:hAnsi="Times New Roman"/>
          <w:sz w:val="18"/>
          <w:szCs w:val="18"/>
          <w:color w:val="auto"/>
        </w:rPr>
      </w:pPr>
    </w:p>
    <w:p>
      <w:pPr>
        <w:jc w:val="both"/>
        <w:ind w:left="42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management is responsible for establishing and maintaining adequate internal control over financial reporting, as such term is defined in Exchange Act Rule 13a-15(f). Under the supervision and with the participation of the Company's management, including the Company's President and Chief Executive Officer along with the Company's Senior Vice President and Chief Financial Officer, the Company conducted an evaluation of the effectiveness of internal control over financial reporting based on the Internal Control-Integrated Framework issued by the Committee of Sponsoring Organizations of the Treadway Commission (2013 framework). Based on this evaluation, management concluded that the Company's internal control over financial reporting was effective as of December 31, 2025.</w:t>
      </w:r>
    </w:p>
    <w:p>
      <w:pPr>
        <w:spacing w:after="0" w:line="187" w:lineRule="exact"/>
        <w:rPr>
          <w:rFonts w:ascii="Times New Roman" w:cs="Times New Roman" w:eastAsia="Times New Roman" w:hAnsi="Times New Roman"/>
          <w:sz w:val="18"/>
          <w:szCs w:val="18"/>
          <w:color w:val="auto"/>
        </w:rPr>
      </w:pPr>
    </w:p>
    <w:p>
      <w:pPr>
        <w:ind w:left="420" w:hanging="412"/>
        <w:spacing w:after="0"/>
        <w:tabs>
          <w:tab w:leader="none" w:pos="4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Attestation Report of the Registered Public Accounting Firm</w:t>
      </w:r>
    </w:p>
    <w:p>
      <w:pPr>
        <w:spacing w:after="0" w:line="117" w:lineRule="exact"/>
        <w:rPr>
          <w:rFonts w:ascii="Times New Roman" w:cs="Times New Roman" w:eastAsia="Times New Roman" w:hAnsi="Times New Roman"/>
          <w:sz w:val="18"/>
          <w:szCs w:val="18"/>
          <w:color w:val="auto"/>
        </w:rPr>
      </w:pPr>
    </w:p>
    <w:p>
      <w:pPr>
        <w:jc w:val="both"/>
        <w:ind w:left="4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attestation report of the Company's independent registered public accounting firm regarding internal control over financial reporting is set forth in Item 8, "Consolidated Financial Statements and Supplementary Data," under the caption "Report of Independent Registered Public Accounting Firm on Internal Control over Financial Reporting" and incorporated herein by reference.</w:t>
      </w:r>
    </w:p>
    <w:p>
      <w:pPr>
        <w:spacing w:after="0" w:line="175"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Internal Control over Financial Reporting</w:t>
      </w:r>
    </w:p>
    <w:p>
      <w:pPr>
        <w:spacing w:after="0" w:line="117" w:lineRule="exact"/>
        <w:rPr>
          <w:rFonts w:ascii="Times New Roman" w:cs="Times New Roman" w:eastAsia="Times New Roman" w:hAnsi="Times New Roman"/>
          <w:sz w:val="18"/>
          <w:szCs w:val="18"/>
          <w:color w:val="auto"/>
        </w:rPr>
      </w:pPr>
    </w:p>
    <w:p>
      <w:pPr>
        <w:ind w:left="4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was no change in the Company's internal control over financial reporting that occurred during the fiscal quarter and year ended December 31, 2025, that has materially affected, or is reasonably likely to materially affect, the Company's internal control over financial reporting.</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9B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10b5-1 Trading Plan</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During the three months ended December 31, 2025, no director or officer of the Company adopted or terminated a "Rule 10b5-1 trading arrangement" or "non-Rule 10b5-1 trading arrangement," as each term is defined in item 408(a) of Regulation S-K.</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9C – DISCLOSURE REGARDING FOREIGN JURISDICTIONS THAT PREVENT INSPECTIONS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10 – DIRECTORS, EXECUTIVE OFFICERS AND CORPORATE GOVERNANCE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information required by Item 10 regarding our directors and corporate governance matters is incorporated by reference herein to the Proxy Statement sections entitled "Election of Directors" and "Directors and Corporate Governance." The information required by Item 10 regarding our executive officers appears as a supplementary item following Item 4 under Part I of this Report. The information required by Item 10 regarding compliance with Section 16(a) of the Securities Exchange Act of 1934, as amended, is incorporated by reference herein to the Proxy Statement section entitled "Directors and Corporate Governance — Section 16(a) Beneficial Ownership Reporting Compliance."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adopted a Code of Business Conduct and Ethics that applies to our executive officers, including our Principal Executive Officer, our Principal Financial Officer and our Principal Accounting Officer, which can be found on our website at http://www.lear.com. We will post any amendment to or waiver from the provisions of the Code of Business Conduct and Ethics that applies to the executive officers above on the same website and will provide it to shareholders free of charge upon written request by contacting Lear Corporation at 21557 Telegraph Road, Southfield, Michigan 48033, Attention: Investor Relations.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adopted an Insider Trading Policy applicable to our directors, officers, certain other designated employees, and related persons and controlled entities of the foregoing that governs the purchase, sale and other dispositions of the Company's securities. While the Company is not subject to the Insider Trading Policy itself, the Company will not engage in transactions in its securities while aware of material nonpublic information. We believe that the Company's Insider Trading Policy is reasonably designed to promote compliance with insider trading laws, rules and regulations, and listing standards applicable to the Company. A copy of our Insider Trading Policy is filed as Exhibit 19 to this Annual Report on Form 10-K.</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11 – EXECUTIVE COMPENSATION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information required by Item 11 is incorporated by reference herein to the Proxy Statement sections entitled "Directors and Corporate Governance — Director Compensation," "Compensation Discussion and Analysis," "Executive Compensation," "Compensation Committee Interlocks and Insider Participation" and "Compensation Committee Report." Notwithstanding anything indicating the contrary set forth in this Report, the "Compensation Committee Report" section of the Proxy Statement shall be deemed to be "furnished" not "filed" for purposes of the Securities Exchange Act of 1934, as amended.</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12 – SECURITY OWNERSHIP OF CERTAIN BENEFICIAL OWNERS AND MANAGEMENT AND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RELATED STOCKHOLDER MATTERS</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Except as set forth herein, the information required by Item 12 is incorporated by reference herein to the Proxy Statement section entitled "Directors and Corporate Governance — Security Ownership of Certain Beneficial Owners, Directors and Management."</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4040" w:type="dxa"/>
            <w:vAlign w:val="bottom"/>
            <w:tcBorders>
              <w:top w:val="single" w:sz="8" w:color="auto"/>
            </w:tcBorders>
          </w:tcPr>
          <w:p>
            <w:pPr>
              <w:spacing w:after="0"/>
              <w:rPr>
                <w:sz w:val="14"/>
                <w:szCs w:val="14"/>
                <w:color w:val="auto"/>
              </w:rPr>
            </w:pPr>
          </w:p>
        </w:tc>
        <w:tc>
          <w:tcPr>
            <w:tcW w:w="238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2320" w:type="dxa"/>
            <w:vAlign w:val="bottom"/>
            <w:tcBorders>
              <w:top w:val="single" w:sz="8" w:color="auto"/>
            </w:tcBorders>
          </w:tcPr>
          <w:p>
            <w:pPr>
              <w:spacing w:after="0"/>
              <w:rPr>
                <w:sz w:val="14"/>
                <w:szCs w:val="14"/>
                <w:color w:val="auto"/>
              </w:rPr>
            </w:pPr>
          </w:p>
        </w:tc>
        <w:tc>
          <w:tcPr>
            <w:tcW w:w="2080" w:type="dxa"/>
            <w:vAlign w:val="bottom"/>
            <w:tcBorders>
              <w:top w:val="single" w:sz="8" w:color="auto"/>
            </w:tcBorders>
          </w:tcPr>
          <w:p>
            <w:pPr>
              <w:jc w:val="center"/>
              <w:ind w:right="3"/>
              <w:spacing w:after="0"/>
              <w:rPr>
                <w:sz w:val="20"/>
                <w:szCs w:val="20"/>
                <w:color w:val="auto"/>
              </w:rPr>
            </w:pPr>
            <w:r>
              <w:rPr>
                <w:rFonts w:ascii="Times New Roman" w:cs="Times New Roman" w:eastAsia="Times New Roman" w:hAnsi="Times New Roman"/>
                <w:sz w:val="14"/>
                <w:szCs w:val="14"/>
                <w:color w:val="auto"/>
              </w:rPr>
              <w:t>Number of securities</w:t>
            </w:r>
          </w:p>
        </w:tc>
        <w:tc>
          <w:tcPr>
            <w:tcW w:w="0" w:type="dxa"/>
            <w:vAlign w:val="bottom"/>
          </w:tcPr>
          <w:p>
            <w:pPr>
              <w:spacing w:after="0"/>
              <w:rPr>
                <w:sz w:val="1"/>
                <w:szCs w:val="1"/>
                <w:color w:val="auto"/>
              </w:rPr>
            </w:pPr>
          </w:p>
        </w:tc>
      </w:tr>
      <w:tr>
        <w:trPr>
          <w:trHeight w:val="144"/>
        </w:trPr>
        <w:tc>
          <w:tcPr>
            <w:tcW w:w="4040" w:type="dxa"/>
            <w:vAlign w:val="bottom"/>
          </w:tcPr>
          <w:p>
            <w:pPr>
              <w:spacing w:after="0"/>
              <w:rPr>
                <w:sz w:val="12"/>
                <w:szCs w:val="12"/>
                <w:color w:val="auto"/>
              </w:rPr>
            </w:pPr>
          </w:p>
        </w:tc>
        <w:tc>
          <w:tcPr>
            <w:tcW w:w="2380" w:type="dxa"/>
            <w:vAlign w:val="bottom"/>
            <w:vMerge w:val="restart"/>
          </w:tcPr>
          <w:p>
            <w:pPr>
              <w:jc w:val="center"/>
              <w:ind w:right="261"/>
              <w:spacing w:after="0"/>
              <w:rPr>
                <w:sz w:val="20"/>
                <w:szCs w:val="20"/>
                <w:color w:val="auto"/>
              </w:rPr>
            </w:pPr>
            <w:r>
              <w:rPr>
                <w:rFonts w:ascii="Times New Roman" w:cs="Times New Roman" w:eastAsia="Times New Roman" w:hAnsi="Times New Roman"/>
                <w:sz w:val="14"/>
                <w:szCs w:val="14"/>
                <w:color w:val="auto"/>
              </w:rPr>
              <w:t>Number of securities to be</w:t>
            </w:r>
          </w:p>
        </w:tc>
        <w:tc>
          <w:tcPr>
            <w:tcW w:w="420" w:type="dxa"/>
            <w:vAlign w:val="bottom"/>
          </w:tcPr>
          <w:p>
            <w:pPr>
              <w:spacing w:after="0"/>
              <w:rPr>
                <w:sz w:val="12"/>
                <w:szCs w:val="12"/>
                <w:color w:val="auto"/>
              </w:rPr>
            </w:pPr>
          </w:p>
        </w:tc>
        <w:tc>
          <w:tcPr>
            <w:tcW w:w="2320" w:type="dxa"/>
            <w:vAlign w:val="bottom"/>
            <w:vMerge w:val="restart"/>
          </w:tcPr>
          <w:p>
            <w:pPr>
              <w:jc w:val="center"/>
              <w:ind w:right="681"/>
              <w:spacing w:after="0"/>
              <w:rPr>
                <w:sz w:val="20"/>
                <w:szCs w:val="20"/>
                <w:color w:val="auto"/>
              </w:rPr>
            </w:pPr>
            <w:r>
              <w:rPr>
                <w:rFonts w:ascii="Times New Roman" w:cs="Times New Roman" w:eastAsia="Times New Roman" w:hAnsi="Times New Roman"/>
                <w:sz w:val="14"/>
                <w:szCs w:val="14"/>
                <w:color w:val="auto"/>
              </w:rPr>
              <w:t>Weighted average</w:t>
            </w:r>
          </w:p>
        </w:tc>
        <w:tc>
          <w:tcPr>
            <w:tcW w:w="2080" w:type="dxa"/>
            <w:vAlign w:val="bottom"/>
          </w:tcPr>
          <w:p>
            <w:pPr>
              <w:jc w:val="center"/>
              <w:ind w:right="3"/>
              <w:spacing w:after="0" w:line="145" w:lineRule="exact"/>
              <w:rPr>
                <w:sz w:val="20"/>
                <w:szCs w:val="20"/>
                <w:color w:val="auto"/>
              </w:rPr>
            </w:pPr>
            <w:r>
              <w:rPr>
                <w:rFonts w:ascii="Times New Roman" w:cs="Times New Roman" w:eastAsia="Times New Roman" w:hAnsi="Times New Roman"/>
                <w:sz w:val="14"/>
                <w:szCs w:val="14"/>
                <w:color w:val="auto"/>
              </w:rPr>
              <w:t>available for future</w:t>
            </w:r>
          </w:p>
        </w:tc>
        <w:tc>
          <w:tcPr>
            <w:tcW w:w="0" w:type="dxa"/>
            <w:vAlign w:val="bottom"/>
          </w:tcPr>
          <w:p>
            <w:pPr>
              <w:spacing w:after="0"/>
              <w:rPr>
                <w:sz w:val="1"/>
                <w:szCs w:val="1"/>
                <w:color w:val="auto"/>
              </w:rPr>
            </w:pPr>
          </w:p>
        </w:tc>
      </w:tr>
      <w:tr>
        <w:trPr>
          <w:trHeight w:val="149"/>
        </w:trPr>
        <w:tc>
          <w:tcPr>
            <w:tcW w:w="4040" w:type="dxa"/>
            <w:vAlign w:val="bottom"/>
          </w:tcPr>
          <w:p>
            <w:pPr>
              <w:spacing w:after="0"/>
              <w:rPr>
                <w:sz w:val="12"/>
                <w:szCs w:val="12"/>
                <w:color w:val="auto"/>
              </w:rPr>
            </w:pPr>
          </w:p>
        </w:tc>
        <w:tc>
          <w:tcPr>
            <w:tcW w:w="238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2320" w:type="dxa"/>
            <w:vAlign w:val="bottom"/>
            <w:vMerge w:val="continue"/>
          </w:tcPr>
          <w:p>
            <w:pPr>
              <w:spacing w:after="0"/>
              <w:rPr>
                <w:sz w:val="12"/>
                <w:szCs w:val="12"/>
                <w:color w:val="auto"/>
              </w:rPr>
            </w:pPr>
          </w:p>
        </w:tc>
        <w:tc>
          <w:tcPr>
            <w:tcW w:w="2080" w:type="dxa"/>
            <w:vAlign w:val="bottom"/>
          </w:tcPr>
          <w:p>
            <w:pPr>
              <w:jc w:val="center"/>
              <w:ind w:right="3"/>
              <w:spacing w:after="0" w:line="149" w:lineRule="exact"/>
              <w:rPr>
                <w:sz w:val="20"/>
                <w:szCs w:val="20"/>
                <w:color w:val="auto"/>
              </w:rPr>
            </w:pPr>
            <w:r>
              <w:rPr>
                <w:rFonts w:ascii="Times New Roman" w:cs="Times New Roman" w:eastAsia="Times New Roman" w:hAnsi="Times New Roman"/>
                <w:sz w:val="14"/>
                <w:szCs w:val="14"/>
                <w:color w:val="auto"/>
              </w:rPr>
              <w:t>issuance under equity</w:t>
            </w:r>
          </w:p>
        </w:tc>
        <w:tc>
          <w:tcPr>
            <w:tcW w:w="0" w:type="dxa"/>
            <w:vAlign w:val="bottom"/>
          </w:tcPr>
          <w:p>
            <w:pPr>
              <w:spacing w:after="0"/>
              <w:rPr>
                <w:sz w:val="1"/>
                <w:szCs w:val="1"/>
                <w:color w:val="auto"/>
              </w:rPr>
            </w:pPr>
          </w:p>
        </w:tc>
      </w:tr>
      <w:tr>
        <w:trPr>
          <w:trHeight w:val="148"/>
        </w:trPr>
        <w:tc>
          <w:tcPr>
            <w:tcW w:w="4040" w:type="dxa"/>
            <w:vAlign w:val="bottom"/>
          </w:tcPr>
          <w:p>
            <w:pPr>
              <w:spacing w:after="0"/>
              <w:rPr>
                <w:sz w:val="12"/>
                <w:szCs w:val="12"/>
                <w:color w:val="auto"/>
              </w:rPr>
            </w:pPr>
          </w:p>
        </w:tc>
        <w:tc>
          <w:tcPr>
            <w:tcW w:w="2380" w:type="dxa"/>
            <w:vAlign w:val="bottom"/>
          </w:tcPr>
          <w:p>
            <w:pPr>
              <w:jc w:val="center"/>
              <w:ind w:right="261"/>
              <w:spacing w:after="0" w:line="149" w:lineRule="exact"/>
              <w:rPr>
                <w:sz w:val="20"/>
                <w:szCs w:val="20"/>
                <w:color w:val="auto"/>
              </w:rPr>
            </w:pPr>
            <w:r>
              <w:rPr>
                <w:rFonts w:ascii="Times New Roman" w:cs="Times New Roman" w:eastAsia="Times New Roman" w:hAnsi="Times New Roman"/>
                <w:sz w:val="14"/>
                <w:szCs w:val="14"/>
                <w:color w:val="auto"/>
              </w:rPr>
              <w:t>issued upon exercise of</w:t>
            </w:r>
          </w:p>
        </w:tc>
        <w:tc>
          <w:tcPr>
            <w:tcW w:w="420" w:type="dxa"/>
            <w:vAlign w:val="bottom"/>
          </w:tcPr>
          <w:p>
            <w:pPr>
              <w:spacing w:after="0"/>
              <w:rPr>
                <w:sz w:val="12"/>
                <w:szCs w:val="12"/>
                <w:color w:val="auto"/>
              </w:rPr>
            </w:pPr>
          </w:p>
        </w:tc>
        <w:tc>
          <w:tcPr>
            <w:tcW w:w="2320" w:type="dxa"/>
            <w:vAlign w:val="bottom"/>
          </w:tcPr>
          <w:p>
            <w:pPr>
              <w:jc w:val="center"/>
              <w:ind w:right="681"/>
              <w:spacing w:after="0" w:line="149" w:lineRule="exact"/>
              <w:rPr>
                <w:sz w:val="20"/>
                <w:szCs w:val="20"/>
                <w:color w:val="auto"/>
              </w:rPr>
            </w:pPr>
            <w:r>
              <w:rPr>
                <w:rFonts w:ascii="Times New Roman" w:cs="Times New Roman" w:eastAsia="Times New Roman" w:hAnsi="Times New Roman"/>
                <w:sz w:val="14"/>
                <w:szCs w:val="14"/>
                <w:color w:val="auto"/>
              </w:rPr>
              <w:t>exercise price of</w:t>
            </w:r>
          </w:p>
        </w:tc>
        <w:tc>
          <w:tcPr>
            <w:tcW w:w="2080" w:type="dxa"/>
            <w:vAlign w:val="bottom"/>
          </w:tcPr>
          <w:p>
            <w:pPr>
              <w:jc w:val="center"/>
              <w:ind w:right="3"/>
              <w:spacing w:after="0" w:line="149" w:lineRule="exact"/>
              <w:rPr>
                <w:sz w:val="20"/>
                <w:szCs w:val="20"/>
                <w:color w:val="auto"/>
              </w:rPr>
            </w:pPr>
            <w:r>
              <w:rPr>
                <w:rFonts w:ascii="Times New Roman" w:cs="Times New Roman" w:eastAsia="Times New Roman" w:hAnsi="Times New Roman"/>
                <w:sz w:val="14"/>
                <w:szCs w:val="14"/>
                <w:color w:val="auto"/>
              </w:rPr>
              <w:t>compensation plans</w:t>
            </w:r>
          </w:p>
        </w:tc>
        <w:tc>
          <w:tcPr>
            <w:tcW w:w="0" w:type="dxa"/>
            <w:vAlign w:val="bottom"/>
          </w:tcPr>
          <w:p>
            <w:pPr>
              <w:spacing w:after="0"/>
              <w:rPr>
                <w:sz w:val="1"/>
                <w:szCs w:val="1"/>
                <w:color w:val="auto"/>
              </w:rPr>
            </w:pPr>
          </w:p>
        </w:tc>
      </w:tr>
      <w:tr>
        <w:trPr>
          <w:trHeight w:val="135"/>
        </w:trPr>
        <w:tc>
          <w:tcPr>
            <w:tcW w:w="4040" w:type="dxa"/>
            <w:vAlign w:val="bottom"/>
          </w:tcPr>
          <w:p>
            <w:pPr>
              <w:spacing w:after="0"/>
              <w:rPr>
                <w:sz w:val="11"/>
                <w:szCs w:val="11"/>
                <w:color w:val="auto"/>
              </w:rPr>
            </w:pPr>
          </w:p>
        </w:tc>
        <w:tc>
          <w:tcPr>
            <w:tcW w:w="2380" w:type="dxa"/>
            <w:vAlign w:val="bottom"/>
          </w:tcPr>
          <w:p>
            <w:pPr>
              <w:jc w:val="center"/>
              <w:ind w:right="261"/>
              <w:spacing w:after="0" w:line="135" w:lineRule="exact"/>
              <w:rPr>
                <w:sz w:val="20"/>
                <w:szCs w:val="20"/>
                <w:color w:val="auto"/>
              </w:rPr>
            </w:pPr>
            <w:r>
              <w:rPr>
                <w:rFonts w:ascii="Times New Roman" w:cs="Times New Roman" w:eastAsia="Times New Roman" w:hAnsi="Times New Roman"/>
                <w:sz w:val="14"/>
                <w:szCs w:val="14"/>
                <w:color w:val="auto"/>
              </w:rPr>
              <w:t>outstanding options,</w:t>
            </w:r>
          </w:p>
        </w:tc>
        <w:tc>
          <w:tcPr>
            <w:tcW w:w="420" w:type="dxa"/>
            <w:vAlign w:val="bottom"/>
          </w:tcPr>
          <w:p>
            <w:pPr>
              <w:spacing w:after="0"/>
              <w:rPr>
                <w:sz w:val="11"/>
                <w:szCs w:val="11"/>
                <w:color w:val="auto"/>
              </w:rPr>
            </w:pPr>
          </w:p>
        </w:tc>
        <w:tc>
          <w:tcPr>
            <w:tcW w:w="2320" w:type="dxa"/>
            <w:vAlign w:val="bottom"/>
          </w:tcPr>
          <w:p>
            <w:pPr>
              <w:jc w:val="center"/>
              <w:ind w:right="681"/>
              <w:spacing w:after="0" w:line="135" w:lineRule="exact"/>
              <w:rPr>
                <w:sz w:val="20"/>
                <w:szCs w:val="20"/>
                <w:color w:val="auto"/>
              </w:rPr>
            </w:pPr>
            <w:r>
              <w:rPr>
                <w:rFonts w:ascii="Times New Roman" w:cs="Times New Roman" w:eastAsia="Times New Roman" w:hAnsi="Times New Roman"/>
                <w:sz w:val="14"/>
                <w:szCs w:val="14"/>
                <w:color w:val="auto"/>
              </w:rPr>
              <w:t>outstanding options,</w:t>
            </w:r>
          </w:p>
        </w:tc>
        <w:tc>
          <w:tcPr>
            <w:tcW w:w="2080" w:type="dxa"/>
            <w:vAlign w:val="bottom"/>
          </w:tcPr>
          <w:p>
            <w:pPr>
              <w:jc w:val="center"/>
              <w:ind w:right="3"/>
              <w:spacing w:after="0" w:line="135" w:lineRule="exact"/>
              <w:rPr>
                <w:sz w:val="20"/>
                <w:szCs w:val="20"/>
                <w:color w:val="auto"/>
              </w:rPr>
            </w:pPr>
            <w:r>
              <w:rPr>
                <w:rFonts w:ascii="Times New Roman" w:cs="Times New Roman" w:eastAsia="Times New Roman" w:hAnsi="Times New Roman"/>
                <w:sz w:val="14"/>
                <w:szCs w:val="14"/>
                <w:color w:val="auto"/>
              </w:rPr>
              <w:t>(excluding securities</w:t>
            </w:r>
          </w:p>
        </w:tc>
        <w:tc>
          <w:tcPr>
            <w:tcW w:w="0" w:type="dxa"/>
            <w:vAlign w:val="bottom"/>
          </w:tcPr>
          <w:p>
            <w:pPr>
              <w:spacing w:after="0"/>
              <w:rPr>
                <w:sz w:val="1"/>
                <w:szCs w:val="1"/>
                <w:color w:val="auto"/>
              </w:rPr>
            </w:pPr>
          </w:p>
        </w:tc>
      </w:tr>
      <w:tr>
        <w:trPr>
          <w:trHeight w:val="148"/>
        </w:trPr>
        <w:tc>
          <w:tcPr>
            <w:tcW w:w="4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As of December 31, 2025</w:t>
            </w:r>
          </w:p>
        </w:tc>
        <w:tc>
          <w:tcPr>
            <w:tcW w:w="2380" w:type="dxa"/>
            <w:vAlign w:val="bottom"/>
          </w:tcPr>
          <w:p>
            <w:pPr>
              <w:jc w:val="center"/>
              <w:ind w:right="281"/>
              <w:spacing w:after="0" w:line="149" w:lineRule="exact"/>
              <w:rPr>
                <w:sz w:val="20"/>
                <w:szCs w:val="20"/>
                <w:color w:val="auto"/>
              </w:rPr>
            </w:pPr>
            <w:r>
              <w:rPr>
                <w:rFonts w:ascii="Times New Roman" w:cs="Times New Roman" w:eastAsia="Times New Roman" w:hAnsi="Times New Roman"/>
                <w:sz w:val="14"/>
                <w:szCs w:val="14"/>
                <w:color w:val="auto"/>
              </w:rPr>
              <w:t>warrants and rights</w:t>
            </w:r>
          </w:p>
        </w:tc>
        <w:tc>
          <w:tcPr>
            <w:tcW w:w="420" w:type="dxa"/>
            <w:vAlign w:val="bottom"/>
          </w:tcPr>
          <w:p>
            <w:pPr>
              <w:spacing w:after="0"/>
              <w:rPr>
                <w:sz w:val="12"/>
                <w:szCs w:val="12"/>
                <w:color w:val="auto"/>
              </w:rPr>
            </w:pPr>
          </w:p>
        </w:tc>
        <w:tc>
          <w:tcPr>
            <w:tcW w:w="2320" w:type="dxa"/>
            <w:vAlign w:val="bottom"/>
          </w:tcPr>
          <w:p>
            <w:pPr>
              <w:jc w:val="center"/>
              <w:ind w:right="661"/>
              <w:spacing w:after="0" w:line="149" w:lineRule="exact"/>
              <w:rPr>
                <w:sz w:val="20"/>
                <w:szCs w:val="20"/>
                <w:color w:val="auto"/>
              </w:rPr>
            </w:pPr>
            <w:r>
              <w:rPr>
                <w:rFonts w:ascii="Times New Roman" w:cs="Times New Roman" w:eastAsia="Times New Roman" w:hAnsi="Times New Roman"/>
                <w:sz w:val="14"/>
                <w:szCs w:val="14"/>
                <w:color w:val="auto"/>
              </w:rPr>
              <w:t>warrants and rights</w:t>
            </w:r>
          </w:p>
        </w:tc>
        <w:tc>
          <w:tcPr>
            <w:tcW w:w="2080" w:type="dxa"/>
            <w:vAlign w:val="bottom"/>
          </w:tcPr>
          <w:p>
            <w:pPr>
              <w:jc w:val="center"/>
              <w:ind w:right="3"/>
              <w:spacing w:after="0" w:line="149" w:lineRule="exact"/>
              <w:rPr>
                <w:sz w:val="20"/>
                <w:szCs w:val="20"/>
                <w:color w:val="auto"/>
              </w:rPr>
            </w:pPr>
            <w:r>
              <w:rPr>
                <w:rFonts w:ascii="Times New Roman" w:cs="Times New Roman" w:eastAsia="Times New Roman" w:hAnsi="Times New Roman"/>
                <w:sz w:val="14"/>
                <w:szCs w:val="14"/>
                <w:color w:val="auto"/>
              </w:rPr>
              <w:t>reflected in column (a))</w:t>
            </w:r>
          </w:p>
        </w:tc>
        <w:tc>
          <w:tcPr>
            <w:tcW w:w="0" w:type="dxa"/>
            <w:vAlign w:val="bottom"/>
          </w:tcPr>
          <w:p>
            <w:pPr>
              <w:spacing w:after="0"/>
              <w:rPr>
                <w:sz w:val="1"/>
                <w:szCs w:val="1"/>
                <w:color w:val="auto"/>
              </w:rPr>
            </w:pPr>
          </w:p>
        </w:tc>
      </w:tr>
      <w:tr>
        <w:trPr>
          <w:trHeight w:val="198"/>
        </w:trPr>
        <w:tc>
          <w:tcPr>
            <w:tcW w:w="4040" w:type="dxa"/>
            <w:vAlign w:val="bottom"/>
            <w:tcBorders>
              <w:bottom w:val="single" w:sz="8" w:color="auto"/>
            </w:tcBorders>
            <w:vMerge w:val="continue"/>
          </w:tcPr>
          <w:p>
            <w:pPr>
              <w:spacing w:after="0"/>
              <w:rPr>
                <w:sz w:val="17"/>
                <w:szCs w:val="17"/>
                <w:color w:val="auto"/>
              </w:rPr>
            </w:pPr>
          </w:p>
        </w:tc>
        <w:tc>
          <w:tcPr>
            <w:tcW w:w="2380" w:type="dxa"/>
            <w:vAlign w:val="bottom"/>
            <w:tcBorders>
              <w:bottom w:val="single" w:sz="8" w:color="auto"/>
            </w:tcBorders>
          </w:tcPr>
          <w:p>
            <w:pPr>
              <w:jc w:val="center"/>
              <w:ind w:right="261"/>
              <w:spacing w:after="0"/>
              <w:rPr>
                <w:sz w:val="20"/>
                <w:szCs w:val="20"/>
                <w:color w:val="auto"/>
              </w:rPr>
            </w:pPr>
            <w:r>
              <w:rPr>
                <w:rFonts w:ascii="Times New Roman" w:cs="Times New Roman" w:eastAsia="Times New Roman" w:hAnsi="Times New Roman"/>
                <w:sz w:val="14"/>
                <w:szCs w:val="14"/>
                <w:color w:val="auto"/>
              </w:rPr>
              <w:t>(a)</w:t>
            </w:r>
          </w:p>
        </w:tc>
        <w:tc>
          <w:tcPr>
            <w:tcW w:w="42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tcPr>
          <w:p>
            <w:pPr>
              <w:jc w:val="center"/>
              <w:ind w:right="681"/>
              <w:spacing w:after="0"/>
              <w:rPr>
                <w:sz w:val="20"/>
                <w:szCs w:val="20"/>
                <w:color w:val="auto"/>
              </w:rPr>
            </w:pPr>
            <w:r>
              <w:rPr>
                <w:rFonts w:ascii="Times New Roman" w:cs="Times New Roman" w:eastAsia="Times New Roman" w:hAnsi="Times New Roman"/>
                <w:sz w:val="14"/>
                <w:szCs w:val="14"/>
                <w:color w:val="auto"/>
                <w:w w:val="97"/>
              </w:rPr>
              <w:t>(b)</w:t>
            </w:r>
          </w:p>
        </w:tc>
        <w:tc>
          <w:tcPr>
            <w:tcW w:w="2080" w:type="dxa"/>
            <w:vAlign w:val="bottom"/>
            <w:tcBorders>
              <w:bottom w:val="single" w:sz="8" w:color="auto"/>
            </w:tcBorders>
          </w:tcPr>
          <w:p>
            <w:pPr>
              <w:jc w:val="center"/>
              <w:ind w:right="3"/>
              <w:spacing w:after="0"/>
              <w:rPr>
                <w:sz w:val="20"/>
                <w:szCs w:val="20"/>
                <w:color w:val="auto"/>
              </w:rPr>
            </w:pPr>
            <w:r>
              <w:rPr>
                <w:rFonts w:ascii="Times New Roman" w:cs="Times New Roman" w:eastAsia="Times New Roman" w:hAnsi="Times New Roman"/>
                <w:sz w:val="14"/>
                <w:szCs w:val="14"/>
                <w:color w:val="auto"/>
              </w:rPr>
              <w:t>(c)</w:t>
            </w:r>
          </w:p>
        </w:tc>
        <w:tc>
          <w:tcPr>
            <w:tcW w:w="0" w:type="dxa"/>
            <w:vAlign w:val="bottom"/>
          </w:tcPr>
          <w:p>
            <w:pPr>
              <w:spacing w:after="0"/>
              <w:rPr>
                <w:sz w:val="1"/>
                <w:szCs w:val="1"/>
                <w:color w:val="auto"/>
              </w:rPr>
            </w:pPr>
          </w:p>
        </w:tc>
      </w:tr>
      <w:tr>
        <w:trPr>
          <w:trHeight w:val="174"/>
        </w:trPr>
        <w:tc>
          <w:tcPr>
            <w:tcW w:w="4040" w:type="dxa"/>
            <w:vAlign w:val="bottom"/>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Equity compensation plans approved by security</w:t>
            </w:r>
          </w:p>
        </w:tc>
        <w:tc>
          <w:tcPr>
            <w:tcW w:w="2380" w:type="dxa"/>
            <w:vAlign w:val="bottom"/>
            <w:vMerge w:val="restart"/>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 xml:space="preserve">2,460,331 </w:t>
            </w:r>
            <w:r>
              <w:rPr>
                <w:rFonts w:ascii="Times New Roman" w:cs="Times New Roman" w:eastAsia="Times New Roman" w:hAnsi="Times New Roman"/>
                <w:sz w:val="18"/>
                <w:szCs w:val="18"/>
                <w:color w:val="auto"/>
                <w:vertAlign w:val="superscript"/>
              </w:rPr>
              <w:t>(1)</w:t>
            </w:r>
          </w:p>
        </w:tc>
        <w:tc>
          <w:tcPr>
            <w:tcW w:w="420" w:type="dxa"/>
            <w:vAlign w:val="bottom"/>
            <w:shd w:val="clear" w:color="auto" w:fill="CCEEFF"/>
          </w:tcPr>
          <w:p>
            <w:pPr>
              <w:spacing w:after="0"/>
              <w:rPr>
                <w:sz w:val="15"/>
                <w:szCs w:val="15"/>
                <w:color w:val="auto"/>
              </w:rPr>
            </w:pPr>
          </w:p>
        </w:tc>
        <w:tc>
          <w:tcPr>
            <w:tcW w:w="2320" w:type="dxa"/>
            <w:vAlign w:val="bottom"/>
            <w:vMerge w:val="restart"/>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 xml:space="preserve">10.91 </w:t>
            </w:r>
            <w:r>
              <w:rPr>
                <w:rFonts w:ascii="Times New Roman" w:cs="Times New Roman" w:eastAsia="Times New Roman" w:hAnsi="Times New Roman"/>
                <w:sz w:val="18"/>
                <w:szCs w:val="18"/>
                <w:color w:val="auto"/>
                <w:vertAlign w:val="superscript"/>
              </w:rPr>
              <w:t>(2)</w:t>
            </w:r>
          </w:p>
        </w:tc>
        <w:tc>
          <w:tcPr>
            <w:tcW w:w="2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holders</w:t>
            </w:r>
          </w:p>
        </w:tc>
        <w:tc>
          <w:tcPr>
            <w:tcW w:w="2380" w:type="dxa"/>
            <w:vAlign w:val="bottom"/>
            <w:vMerge w:val="continue"/>
            <w:shd w:val="clear" w:color="auto" w:fill="CCEEFF"/>
          </w:tcPr>
          <w:p>
            <w:pPr>
              <w:spacing w:after="0"/>
              <w:rPr>
                <w:sz w:val="21"/>
                <w:szCs w:val="21"/>
                <w:color w:val="auto"/>
              </w:rPr>
            </w:pPr>
          </w:p>
        </w:tc>
        <w:tc>
          <w:tcPr>
            <w:tcW w:w="4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320" w:type="dxa"/>
            <w:vAlign w:val="bottom"/>
            <w:vMerge w:val="continue"/>
            <w:shd w:val="clear" w:color="auto" w:fill="CCEEFF"/>
          </w:tcPr>
          <w:p>
            <w:pPr>
              <w:spacing w:after="0"/>
              <w:rPr>
                <w:sz w:val="21"/>
                <w:szCs w:val="21"/>
                <w:color w:val="auto"/>
              </w:rPr>
            </w:pPr>
          </w:p>
        </w:tc>
        <w:tc>
          <w:tcPr>
            <w:tcW w:w="20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color w:val="auto"/>
              </w:rPr>
              <w:t>508,265</w:t>
            </w:r>
          </w:p>
        </w:tc>
        <w:tc>
          <w:tcPr>
            <w:tcW w:w="0" w:type="dxa"/>
            <w:vAlign w:val="bottom"/>
          </w:tcPr>
          <w:p>
            <w:pPr>
              <w:spacing w:after="0"/>
              <w:rPr>
                <w:sz w:val="1"/>
                <w:szCs w:val="1"/>
                <w:color w:val="auto"/>
              </w:rPr>
            </w:pPr>
          </w:p>
        </w:tc>
      </w:tr>
      <w:tr>
        <w:trPr>
          <w:trHeight w:val="176"/>
        </w:trPr>
        <w:tc>
          <w:tcPr>
            <w:tcW w:w="40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Equity compensation plans not approved by security</w:t>
            </w:r>
          </w:p>
        </w:tc>
        <w:tc>
          <w:tcPr>
            <w:tcW w:w="2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holders</w:t>
            </w:r>
          </w:p>
        </w:tc>
        <w:tc>
          <w:tcPr>
            <w:tcW w:w="238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tcPr>
          <w:p>
            <w:pPr>
              <w:spacing w:after="0"/>
              <w:rPr>
                <w:sz w:val="21"/>
                <w:szCs w:val="21"/>
                <w:color w:val="auto"/>
              </w:rPr>
            </w:pPr>
          </w:p>
        </w:tc>
        <w:tc>
          <w:tcPr>
            <w:tcW w:w="232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0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380" w:type="dxa"/>
            <w:vAlign w:val="bottom"/>
            <w:tcBorders>
              <w:bottom w:val="single" w:sz="8" w:color="auto"/>
            </w:tcBorders>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2,460,331</w:t>
            </w:r>
          </w:p>
        </w:tc>
        <w:tc>
          <w:tcPr>
            <w:tcW w:w="4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320" w:type="dxa"/>
            <w:vAlign w:val="bottom"/>
            <w:tcBorders>
              <w:bottom w:val="single" w:sz="8" w:color="auto"/>
            </w:tcBorders>
            <w:shd w:val="clear" w:color="auto" w:fill="CCEEFF"/>
          </w:tcPr>
          <w:p>
            <w:pPr>
              <w:jc w:val="right"/>
              <w:ind w:right="441"/>
              <w:spacing w:after="0"/>
              <w:rPr>
                <w:sz w:val="20"/>
                <w:szCs w:val="20"/>
                <w:color w:val="auto"/>
              </w:rPr>
            </w:pPr>
            <w:r>
              <w:rPr>
                <w:rFonts w:ascii="Times New Roman" w:cs="Times New Roman" w:eastAsia="Times New Roman" w:hAnsi="Times New Roman"/>
                <w:sz w:val="18"/>
                <w:szCs w:val="18"/>
                <w:color w:val="auto"/>
              </w:rPr>
              <w:t>10.91</w:t>
            </w:r>
          </w:p>
        </w:tc>
        <w:tc>
          <w:tcPr>
            <w:tcW w:w="20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color w:val="auto"/>
              </w:rPr>
              <w:t>508,265</w:t>
            </w: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260" w:right="20" w:hanging="252"/>
        <w:spacing w:after="0" w:line="221" w:lineRule="auto"/>
        <w:tabs>
          <w:tab w:leader="none" w:pos="243" w:val="left"/>
        </w:tabs>
        <w:numPr>
          <w:ilvl w:val="0"/>
          <w:numId w:val="4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Includes 792,097 of outstanding restricted stock units, 1,487,044 of outstanding performance shares and 181,190 of outstanding stock options. Outstanding performance shares are reflected at the maximum possible payout that may be earned during the relevant performance periods.</w:t>
      </w:r>
    </w:p>
    <w:p>
      <w:pPr>
        <w:ind w:left="220" w:hanging="212"/>
        <w:spacing w:after="0"/>
        <w:tabs>
          <w:tab w:leader="none" w:pos="220" w:val="left"/>
        </w:tabs>
        <w:numPr>
          <w:ilvl w:val="0"/>
          <w:numId w:val="46"/>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Reflects outstanding restricted stock units and performance shares at a weighted average price of zero. Reflects outstanding stock options at a weighted average exercise price of $148.16.</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13 – CERTAIN RELATIONSHIPS AND RELATED TRANSACTIONS, AND DIRECTOR INDEPENDENCE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13 is incorporated by reference herein to the Proxy Statement sections entitled "Certain Relationships and Related Party Transactions" and "Directors and Corporate Governance — Independence of Directors."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14 – PRINCIPAL ACCOUNTING FEES AND SERVICES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Item 14 is incorporated by reference herein to the Proxy Statement section entitled "Fees of Independent Accountants."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00" w:lineRule="exact"/>
        <w:rPr>
          <w:sz w:val="20"/>
          <w:szCs w:val="20"/>
          <w:color w:val="auto"/>
        </w:rPr>
      </w:pPr>
    </w:p>
    <w:p>
      <w:pPr>
        <w:spacing w:after="0" w:line="241"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ITEM 15 – EXHIBITS AND FINANCIAL STATEMENT SCHEDULE</w:t>
      </w:r>
    </w:p>
    <w:p>
      <w:pPr>
        <w:spacing w:after="0" w:line="2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The following documents are filed as part of this Form 10-K.</w:t>
      </w:r>
    </w:p>
    <w:p>
      <w:pPr>
        <w:spacing w:after="0" w:line="225" w:lineRule="exact"/>
        <w:rPr>
          <w:sz w:val="20"/>
          <w:szCs w:val="20"/>
          <w:color w:val="auto"/>
        </w:rPr>
      </w:pPr>
    </w:p>
    <w:p>
      <w:pPr>
        <w:spacing w:after="0"/>
        <w:tabs>
          <w:tab w:leader="none" w:pos="360" w:val="left"/>
          <w:tab w:leader="none" w:pos="680" w:val="left"/>
        </w:tabs>
        <w:rPr>
          <w:sz w:val="20"/>
          <w:szCs w:val="20"/>
          <w:color w:val="auto"/>
        </w:rPr>
      </w:pPr>
      <w:r>
        <w:rPr>
          <w:rFonts w:ascii="Times New Roman" w:cs="Times New Roman" w:eastAsia="Times New Roman" w:hAnsi="Times New Roman"/>
          <w:sz w:val="18"/>
          <w:szCs w:val="18"/>
          <w:color w:val="auto"/>
        </w:rPr>
        <w:t>(a)</w:t>
        <w:tab/>
        <w:t>1.</w:t>
        <w:tab/>
        <w:t>Consolidated Financial Statements:</w:t>
      </w:r>
    </w:p>
    <w:p>
      <w:pPr>
        <w:spacing w:after="0" w:line="11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Reports of Ernst &amp; Young LLP, Independent Registered Public Accounting Firm (PCAOB ID: 42)</w:t>
      </w:r>
    </w:p>
    <w:p>
      <w:pPr>
        <w:spacing w:after="0" w:line="11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Consolidated Balance Sheets as of December 31, 2025 and 2024</w:t>
      </w:r>
    </w:p>
    <w:p>
      <w:pPr>
        <w:spacing w:after="0" w:line="11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Consolidated Statements of Income for the years ended December 31, 2025, 2024 and 2023</w:t>
      </w:r>
    </w:p>
    <w:p>
      <w:pPr>
        <w:spacing w:after="0" w:line="11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Consolidated Statements of Comprehensive Income for the years ended December 31, 2025, 2024 and 2023</w:t>
      </w:r>
    </w:p>
    <w:p>
      <w:pPr>
        <w:spacing w:after="0" w:line="11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Consolidated Statements of Equity for the years ended December 31, 2025, 2024 and 2023</w:t>
      </w:r>
    </w:p>
    <w:p>
      <w:pPr>
        <w:spacing w:after="0" w:line="11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Consolidated Statements of Cash Flows for the years ended December 31, 2025, 2024 and 2023</w:t>
      </w:r>
    </w:p>
    <w:p>
      <w:pPr>
        <w:spacing w:after="0" w:line="11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25" w:lineRule="exact"/>
        <w:rPr>
          <w:sz w:val="20"/>
          <w:szCs w:val="20"/>
          <w:color w:val="auto"/>
        </w:rPr>
      </w:pPr>
    </w:p>
    <w:p>
      <w:pPr>
        <w:ind w:left="420"/>
        <w:spacing w:after="0"/>
        <w:tabs>
          <w:tab w:leader="none" w:pos="700" w:val="left"/>
        </w:tabs>
        <w:rPr>
          <w:sz w:val="20"/>
          <w:szCs w:val="20"/>
          <w:color w:val="auto"/>
        </w:rPr>
      </w:pPr>
      <w:r>
        <w:rPr>
          <w:rFonts w:ascii="Times New Roman" w:cs="Times New Roman" w:eastAsia="Times New Roman" w:hAnsi="Times New Roman"/>
          <w:sz w:val="18"/>
          <w:szCs w:val="18"/>
          <w:color w:val="auto"/>
        </w:rPr>
        <w:t>2.</w:t>
        <w:tab/>
        <w:t>Financial Statement Schedule:</w:t>
      </w:r>
    </w:p>
    <w:p>
      <w:pPr>
        <w:spacing w:after="0" w:line="11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Schedule II — Valuation and Qualifying Accounts</w:t>
      </w:r>
    </w:p>
    <w:p>
      <w:pPr>
        <w:spacing w:after="0" w:line="117" w:lineRule="exact"/>
        <w:rPr>
          <w:sz w:val="20"/>
          <w:szCs w:val="20"/>
          <w:color w:val="auto"/>
        </w:rPr>
      </w:pPr>
    </w:p>
    <w:p>
      <w:pPr>
        <w:ind w:left="820"/>
        <w:spacing w:after="0" w:line="282" w:lineRule="auto"/>
        <w:rPr>
          <w:sz w:val="20"/>
          <w:szCs w:val="20"/>
          <w:color w:val="auto"/>
        </w:rPr>
      </w:pPr>
      <w:r>
        <w:rPr>
          <w:rFonts w:ascii="Times New Roman" w:cs="Times New Roman" w:eastAsia="Times New Roman" w:hAnsi="Times New Roman"/>
          <w:sz w:val="18"/>
          <w:szCs w:val="18"/>
          <w:color w:val="auto"/>
        </w:rPr>
        <w:t>All other financial statement schedules are omitted because such schedules are not required or the information required has been presented in the aforementioned financial statements.</w:t>
      </w:r>
    </w:p>
    <w:p>
      <w:pPr>
        <w:spacing w:after="0" w:line="1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3.  The exhibits listed on the "Index to Exhibits" are filed with this Form 10-K or incorporated by reference as set forth below.</w:t>
      </w:r>
    </w:p>
    <w:p>
      <w:pPr>
        <w:spacing w:after="0" w:line="225" w:lineRule="exact"/>
        <w:rPr>
          <w:sz w:val="20"/>
          <w:szCs w:val="20"/>
          <w:color w:val="auto"/>
        </w:rPr>
      </w:pPr>
    </w:p>
    <w:p>
      <w:pPr>
        <w:ind w:left="400" w:hanging="392"/>
        <w:spacing w:after="0"/>
        <w:tabs>
          <w:tab w:leader="none" w:pos="4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exhibits listed on the "Index to Exhibits" are filed with this Form 10-K or incorporated by reference as set forth below.</w:t>
      </w:r>
    </w:p>
    <w:p>
      <w:pPr>
        <w:spacing w:after="0" w:line="225" w:lineRule="exact"/>
        <w:rPr>
          <w:rFonts w:ascii="Times New Roman" w:cs="Times New Roman" w:eastAsia="Times New Roman" w:hAnsi="Times New Roman"/>
          <w:sz w:val="18"/>
          <w:szCs w:val="18"/>
          <w:color w:val="auto"/>
        </w:rPr>
      </w:pPr>
    </w:p>
    <w:p>
      <w:pPr>
        <w:ind w:left="420" w:right="7800" w:hanging="412"/>
        <w:spacing w:after="0" w:line="407" w:lineRule="auto"/>
        <w:tabs>
          <w:tab w:leader="none" w:pos="417"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Financial Statement Schedules None.</w:t>
      </w: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ITEM 16 – FORM 10-K Summary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340" w:type="dxa"/>
            <w:vAlign w:val="bottom"/>
            <w:vMerge w:val="restart"/>
          </w:tcPr>
          <w:p>
            <w:pPr>
              <w:ind w:left="6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7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960" w:type="dxa"/>
            <w:vAlign w:val="bottom"/>
            <w:gridSpan w:val="37"/>
          </w:tcPr>
          <w:p>
            <w:pPr>
              <w:ind w:left="440"/>
              <w:spacing w:after="0"/>
              <w:rPr>
                <w:sz w:val="20"/>
                <w:szCs w:val="20"/>
                <w:color w:val="auto"/>
              </w:rPr>
            </w:pPr>
            <w:r>
              <w:rPr>
                <w:rFonts w:ascii="Times New Roman" w:cs="Times New Roman" w:eastAsia="Times New Roman" w:hAnsi="Times New Roman"/>
                <w:sz w:val="18"/>
                <w:szCs w:val="18"/>
                <w:b w:val="1"/>
                <w:bCs w:val="1"/>
                <w:color w:val="auto"/>
              </w:rPr>
              <w:t>INDEX TO EXHIBITS</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340" w:type="dxa"/>
            <w:vAlign w:val="bottom"/>
            <w:vMerge w:val="continue"/>
          </w:tcPr>
          <w:p>
            <w:pPr>
              <w:spacing w:after="0"/>
              <w:rPr>
                <w:sz w:val="11"/>
                <w:szCs w:val="11"/>
                <w:color w:val="auto"/>
              </w:rPr>
            </w:pPr>
          </w:p>
        </w:tc>
        <w:tc>
          <w:tcPr>
            <w:tcW w:w="780" w:type="dxa"/>
            <w:vAlign w:val="bottom"/>
          </w:tcPr>
          <w:p>
            <w:pPr>
              <w:spacing w:after="0"/>
              <w:rPr>
                <w:sz w:val="11"/>
                <w:szCs w:val="11"/>
                <w:color w:val="auto"/>
              </w:rPr>
            </w:pPr>
          </w:p>
        </w:tc>
        <w:tc>
          <w:tcPr>
            <w:tcW w:w="9100" w:type="dxa"/>
            <w:vAlign w:val="bottom"/>
            <w:gridSpan w:val="39"/>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 Name</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340" w:type="dxa"/>
            <w:vAlign w:val="bottom"/>
          </w:tcPr>
          <w:p>
            <w:pPr>
              <w:ind w:left="6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780" w:type="dxa"/>
            <w:vAlign w:val="bottom"/>
          </w:tcPr>
          <w:p>
            <w:pPr>
              <w:spacing w:after="0"/>
              <w:rPr>
                <w:sz w:val="16"/>
                <w:szCs w:val="16"/>
                <w:color w:val="auto"/>
              </w:rPr>
            </w:pPr>
          </w:p>
        </w:tc>
        <w:tc>
          <w:tcPr>
            <w:tcW w:w="9100" w:type="dxa"/>
            <w:vAlign w:val="bottom"/>
            <w:gridSpan w:val="39"/>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340" w:type="dxa"/>
            <w:vAlign w:val="bottom"/>
            <w:tcBorders>
              <w:top w:val="single" w:sz="8" w:color="auto"/>
            </w:tcBorders>
            <w:shd w:val="clear" w:color="auto" w:fill="CCEEFF"/>
          </w:tcPr>
          <w:p>
            <w:pPr>
              <w:ind w:left="620"/>
              <w:spacing w:after="0" w:line="188" w:lineRule="exact"/>
              <w:rPr>
                <w:sz w:val="20"/>
                <w:szCs w:val="20"/>
                <w:color w:val="auto"/>
              </w:rPr>
            </w:pPr>
            <w:r>
              <w:rPr>
                <w:rFonts w:ascii="Times New Roman" w:cs="Times New Roman" w:eastAsia="Times New Roman" w:hAnsi="Times New Roman"/>
                <w:sz w:val="18"/>
                <w:szCs w:val="18"/>
                <w:color w:val="auto"/>
              </w:rPr>
              <w:t>3.1</w:t>
            </w:r>
          </w:p>
        </w:tc>
        <w:tc>
          <w:tcPr>
            <w:tcW w:w="780" w:type="dxa"/>
            <w:vAlign w:val="bottom"/>
            <w:tcBorders>
              <w:top w:val="single" w:sz="8" w:color="auto"/>
            </w:tcBorders>
            <w:shd w:val="clear" w:color="auto" w:fill="CCEEFF"/>
          </w:tcPr>
          <w:p>
            <w:pPr>
              <w:spacing w:after="0"/>
              <w:rPr>
                <w:sz w:val="16"/>
                <w:szCs w:val="16"/>
                <w:color w:val="auto"/>
              </w:rPr>
            </w:pPr>
          </w:p>
        </w:tc>
        <w:tc>
          <w:tcPr>
            <w:tcW w:w="9080" w:type="dxa"/>
            <w:vAlign w:val="bottom"/>
            <w:tcBorders>
              <w:top w:val="single" w:sz="8" w:color="auto"/>
              <w:right w:val="single" w:sz="8" w:color="CCEEFF"/>
            </w:tcBorders>
            <w:gridSpan w:val="38"/>
            <w:shd w:val="clear" w:color="auto" w:fill="CCEEFF"/>
          </w:tcPr>
          <w:p>
            <w:pPr>
              <w:spacing w:after="0" w:line="188" w:lineRule="exact"/>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Amended and Restated Certificate of Incorporation of the Company (incorporated by reference to Exhibit 3.1 to the</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34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spacing w:after="0"/>
              <w:rPr>
                <w:sz w:val="13"/>
                <w:szCs w:val="13"/>
                <w:color w:val="auto"/>
              </w:rPr>
            </w:pPr>
          </w:p>
        </w:tc>
        <w:tc>
          <w:tcPr>
            <w:tcW w:w="8340" w:type="dxa"/>
            <w:vAlign w:val="bottom"/>
            <w:tcBorders>
              <w:top w:val="single" w:sz="8" w:color="0000FF"/>
            </w:tcBorders>
            <w:gridSpan w:val="12"/>
            <w:shd w:val="clear" w:color="auto" w:fill="CCEEFF"/>
          </w:tcPr>
          <w:p>
            <w:pPr>
              <w:spacing w:after="0" w:line="156" w:lineRule="exact"/>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Company's Current Report on Form 8-K filed on November 9, 2009).</w:t>
              </w:r>
            </w:hyperlink>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right w:val="single" w:sz="8" w:color="CCEEFF"/>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134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1360" w:type="dxa"/>
            <w:vAlign w:val="bottom"/>
            <w:tcBorders>
              <w:top w:val="single" w:sz="8" w:color="0000FF"/>
            </w:tcBorders>
            <w:shd w:val="clear" w:color="auto" w:fill="CCEEFF"/>
          </w:tcPr>
          <w:p>
            <w:pPr>
              <w:spacing w:after="0"/>
              <w:rPr>
                <w:sz w:val="2"/>
                <w:szCs w:val="2"/>
                <w:color w:val="auto"/>
              </w:rPr>
            </w:pPr>
          </w:p>
        </w:tc>
        <w:tc>
          <w:tcPr>
            <w:tcW w:w="780" w:type="dxa"/>
            <w:vAlign w:val="bottom"/>
            <w:tcBorders>
              <w:top w:val="single" w:sz="8" w:color="0000FF"/>
            </w:tcBorders>
            <w:shd w:val="clear" w:color="auto" w:fill="CCEEFF"/>
          </w:tcPr>
          <w:p>
            <w:pPr>
              <w:spacing w:after="0"/>
              <w:rPr>
                <w:sz w:val="2"/>
                <w:szCs w:val="2"/>
                <w:color w:val="auto"/>
              </w:rPr>
            </w:pPr>
          </w:p>
        </w:tc>
        <w:tc>
          <w:tcPr>
            <w:tcW w:w="1560" w:type="dxa"/>
            <w:vAlign w:val="bottom"/>
            <w:tcBorders>
              <w:top w:val="single" w:sz="8" w:color="0000FF"/>
            </w:tcBorders>
            <w:shd w:val="clear" w:color="auto" w:fill="CCEEFF"/>
          </w:tcPr>
          <w:p>
            <w:pPr>
              <w:spacing w:after="0"/>
              <w:rPr>
                <w:sz w:val="2"/>
                <w:szCs w:val="2"/>
                <w:color w:val="auto"/>
              </w:rPr>
            </w:pPr>
          </w:p>
        </w:tc>
        <w:tc>
          <w:tcPr>
            <w:tcW w:w="54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540" w:type="dxa"/>
            <w:vAlign w:val="bottom"/>
            <w:tcBorders>
              <w:top w:val="single" w:sz="8" w:color="0000FF"/>
            </w:tcBorders>
            <w:shd w:val="clear" w:color="auto" w:fill="CCEEFF"/>
          </w:tcPr>
          <w:p>
            <w:pPr>
              <w:spacing w:after="0"/>
              <w:rPr>
                <w:sz w:val="2"/>
                <w:szCs w:val="2"/>
                <w:color w:val="auto"/>
              </w:rPr>
            </w:pPr>
          </w:p>
        </w:tc>
        <w:tc>
          <w:tcPr>
            <w:tcW w:w="20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right w:val="single" w:sz="8" w:color="CCEEFF"/>
            </w:tcBorders>
            <w:shd w:val="clear" w:color="auto" w:fill="CCEEFF"/>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1340" w:type="dxa"/>
            <w:vAlign w:val="bottom"/>
          </w:tcPr>
          <w:p>
            <w:pPr>
              <w:ind w:left="620"/>
              <w:spacing w:after="0" w:line="189" w:lineRule="exact"/>
              <w:rPr>
                <w:sz w:val="20"/>
                <w:szCs w:val="20"/>
                <w:color w:val="auto"/>
              </w:rPr>
            </w:pPr>
            <w:r>
              <w:rPr>
                <w:rFonts w:ascii="Times New Roman" w:cs="Times New Roman" w:eastAsia="Times New Roman" w:hAnsi="Times New Roman"/>
                <w:sz w:val="18"/>
                <w:szCs w:val="18"/>
                <w:color w:val="auto"/>
              </w:rPr>
              <w:t>3.2</w:t>
            </w:r>
          </w:p>
        </w:tc>
        <w:tc>
          <w:tcPr>
            <w:tcW w:w="780" w:type="dxa"/>
            <w:vAlign w:val="bottom"/>
          </w:tcPr>
          <w:p>
            <w:pPr>
              <w:spacing w:after="0"/>
              <w:rPr>
                <w:sz w:val="16"/>
                <w:szCs w:val="16"/>
                <w:color w:val="auto"/>
              </w:rPr>
            </w:pPr>
          </w:p>
        </w:tc>
        <w:tc>
          <w:tcPr>
            <w:tcW w:w="9080" w:type="dxa"/>
            <w:vAlign w:val="bottom"/>
            <w:gridSpan w:val="38"/>
          </w:tcPr>
          <w:p>
            <w:pPr>
              <w:spacing w:after="0" w:line="189" w:lineRule="exact"/>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Second Amended and Restated Bylaws of the Company (incorporated by reference to Exhibit 3.2 to the Company's Annual</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900" w:type="dxa"/>
            <w:vAlign w:val="bottom"/>
            <w:tcBorders>
              <w:top w:val="single" w:sz="8" w:color="0000FF"/>
            </w:tcBorders>
            <w:gridSpan w:val="32"/>
          </w:tcPr>
          <w:p>
            <w:pPr>
              <w:spacing w:after="0" w:line="156" w:lineRule="exact"/>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Report on Form 10-K for the year ended December 31, 2023).</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1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360" w:type="dxa"/>
            <w:vAlign w:val="bottom"/>
            <w:tcBorders>
              <w:top w:val="single" w:sz="8" w:color="0000FF"/>
            </w:tcBorders>
          </w:tcPr>
          <w:p>
            <w:pPr>
              <w:spacing w:after="0"/>
              <w:rPr>
                <w:sz w:val="2"/>
                <w:szCs w:val="2"/>
                <w:color w:val="auto"/>
              </w:rPr>
            </w:pPr>
          </w:p>
        </w:tc>
        <w:tc>
          <w:tcPr>
            <w:tcW w:w="780" w:type="dxa"/>
            <w:vAlign w:val="bottom"/>
            <w:tcBorders>
              <w:top w:val="single" w:sz="8" w:color="0000FF"/>
            </w:tcBorders>
          </w:tcPr>
          <w:p>
            <w:pPr>
              <w:spacing w:after="0"/>
              <w:rPr>
                <w:sz w:val="2"/>
                <w:szCs w:val="2"/>
                <w:color w:val="auto"/>
              </w:rPr>
            </w:pPr>
          </w:p>
        </w:tc>
        <w:tc>
          <w:tcPr>
            <w:tcW w:w="1560" w:type="dxa"/>
            <w:vAlign w:val="bottom"/>
            <w:tcBorders>
              <w:top w:val="single" w:sz="8" w:color="0000FF"/>
            </w:tcBorders>
          </w:tcPr>
          <w:p>
            <w:pPr>
              <w:spacing w:after="0"/>
              <w:rPr>
                <w:sz w:val="2"/>
                <w:szCs w:val="2"/>
                <w:color w:val="auto"/>
              </w:rPr>
            </w:pPr>
          </w:p>
        </w:tc>
        <w:tc>
          <w:tcPr>
            <w:tcW w:w="5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5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1340" w:type="dxa"/>
            <w:vAlign w:val="bottom"/>
            <w:shd w:val="clear" w:color="auto" w:fill="CCEEFF"/>
          </w:tcPr>
          <w:p>
            <w:pPr>
              <w:ind w:left="620"/>
              <w:spacing w:after="0" w:line="189" w:lineRule="exact"/>
              <w:rPr>
                <w:sz w:val="20"/>
                <w:szCs w:val="20"/>
                <w:color w:val="auto"/>
              </w:rPr>
            </w:pPr>
            <w:r>
              <w:rPr>
                <w:rFonts w:ascii="Times New Roman" w:cs="Times New Roman" w:eastAsia="Times New Roman" w:hAnsi="Times New Roman"/>
                <w:sz w:val="18"/>
                <w:szCs w:val="18"/>
                <w:color w:val="auto"/>
              </w:rPr>
              <w:t>4.1</w:t>
            </w:r>
          </w:p>
        </w:tc>
        <w:tc>
          <w:tcPr>
            <w:tcW w:w="780" w:type="dxa"/>
            <w:vAlign w:val="bottom"/>
            <w:shd w:val="clear" w:color="auto" w:fill="CCEEFF"/>
          </w:tcPr>
          <w:p>
            <w:pPr>
              <w:spacing w:after="0"/>
              <w:rPr>
                <w:sz w:val="16"/>
                <w:szCs w:val="16"/>
                <w:color w:val="auto"/>
              </w:rPr>
            </w:pPr>
          </w:p>
        </w:tc>
        <w:tc>
          <w:tcPr>
            <w:tcW w:w="9080" w:type="dxa"/>
            <w:vAlign w:val="bottom"/>
            <w:tcBorders>
              <w:right w:val="single" w:sz="8" w:color="CCEEFF"/>
            </w:tcBorders>
            <w:gridSpan w:val="38"/>
            <w:shd w:val="clear" w:color="auto" w:fill="CCEEFF"/>
          </w:tcPr>
          <w:p>
            <w:pPr>
              <w:spacing w:after="0" w:line="189" w:lineRule="exact"/>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Indenture, dated August 17, 2017, among the Company and U.S. Bank National Association, as Trustee (incorporated by</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34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spacing w:after="0"/>
              <w:rPr>
                <w:sz w:val="13"/>
                <w:szCs w:val="13"/>
                <w:color w:val="auto"/>
              </w:rPr>
            </w:pPr>
          </w:p>
        </w:tc>
        <w:tc>
          <w:tcPr>
            <w:tcW w:w="8720" w:type="dxa"/>
            <w:vAlign w:val="bottom"/>
            <w:tcBorders>
              <w:top w:val="single" w:sz="8" w:color="0000FF"/>
            </w:tcBorders>
            <w:gridSpan w:val="24"/>
            <w:shd w:val="clear" w:color="auto" w:fill="CCEEFF"/>
          </w:tcPr>
          <w:p>
            <w:pPr>
              <w:spacing w:after="0" w:line="156" w:lineRule="exact"/>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reference to Exhibit 4.1 to the Company's Current Report on Form 8-K filed on August 17, 2017).</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right w:val="single" w:sz="8" w:color="CCEEFF"/>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134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1360" w:type="dxa"/>
            <w:vAlign w:val="bottom"/>
            <w:tcBorders>
              <w:top w:val="single" w:sz="8" w:color="0000FF"/>
            </w:tcBorders>
            <w:shd w:val="clear" w:color="auto" w:fill="CCEEFF"/>
          </w:tcPr>
          <w:p>
            <w:pPr>
              <w:spacing w:after="0"/>
              <w:rPr>
                <w:sz w:val="2"/>
                <w:szCs w:val="2"/>
                <w:color w:val="auto"/>
              </w:rPr>
            </w:pPr>
          </w:p>
        </w:tc>
        <w:tc>
          <w:tcPr>
            <w:tcW w:w="780" w:type="dxa"/>
            <w:vAlign w:val="bottom"/>
            <w:tcBorders>
              <w:top w:val="single" w:sz="8" w:color="0000FF"/>
            </w:tcBorders>
            <w:shd w:val="clear" w:color="auto" w:fill="CCEEFF"/>
          </w:tcPr>
          <w:p>
            <w:pPr>
              <w:spacing w:after="0"/>
              <w:rPr>
                <w:sz w:val="2"/>
                <w:szCs w:val="2"/>
                <w:color w:val="auto"/>
              </w:rPr>
            </w:pPr>
          </w:p>
        </w:tc>
        <w:tc>
          <w:tcPr>
            <w:tcW w:w="1560" w:type="dxa"/>
            <w:vAlign w:val="bottom"/>
            <w:tcBorders>
              <w:top w:val="single" w:sz="8" w:color="0000FF"/>
            </w:tcBorders>
            <w:shd w:val="clear" w:color="auto" w:fill="CCEEFF"/>
          </w:tcPr>
          <w:p>
            <w:pPr>
              <w:spacing w:after="0"/>
              <w:rPr>
                <w:sz w:val="2"/>
                <w:szCs w:val="2"/>
                <w:color w:val="auto"/>
              </w:rPr>
            </w:pPr>
          </w:p>
        </w:tc>
        <w:tc>
          <w:tcPr>
            <w:tcW w:w="54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540" w:type="dxa"/>
            <w:vAlign w:val="bottom"/>
            <w:tcBorders>
              <w:top w:val="single" w:sz="8" w:color="0000FF"/>
            </w:tcBorders>
            <w:shd w:val="clear" w:color="auto" w:fill="CCEEFF"/>
          </w:tcPr>
          <w:p>
            <w:pPr>
              <w:spacing w:after="0"/>
              <w:rPr>
                <w:sz w:val="2"/>
                <w:szCs w:val="2"/>
                <w:color w:val="auto"/>
              </w:rPr>
            </w:pPr>
          </w:p>
        </w:tc>
        <w:tc>
          <w:tcPr>
            <w:tcW w:w="204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right w:val="single" w:sz="8" w:color="CCEEFF"/>
            </w:tcBorders>
            <w:shd w:val="clear" w:color="auto" w:fill="CCEEFF"/>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1340" w:type="dxa"/>
            <w:vAlign w:val="bottom"/>
          </w:tcPr>
          <w:p>
            <w:pPr>
              <w:ind w:left="620"/>
              <w:spacing w:after="0" w:line="189" w:lineRule="exact"/>
              <w:rPr>
                <w:sz w:val="20"/>
                <w:szCs w:val="20"/>
                <w:color w:val="auto"/>
              </w:rPr>
            </w:pPr>
            <w:r>
              <w:rPr>
                <w:rFonts w:ascii="Times New Roman" w:cs="Times New Roman" w:eastAsia="Times New Roman" w:hAnsi="Times New Roman"/>
                <w:sz w:val="18"/>
                <w:szCs w:val="18"/>
                <w:color w:val="auto"/>
              </w:rPr>
              <w:t>4.2</w:t>
            </w:r>
          </w:p>
        </w:tc>
        <w:tc>
          <w:tcPr>
            <w:tcW w:w="780" w:type="dxa"/>
            <w:vAlign w:val="bottom"/>
          </w:tcPr>
          <w:p>
            <w:pPr>
              <w:spacing w:after="0"/>
              <w:rPr>
                <w:sz w:val="16"/>
                <w:szCs w:val="16"/>
                <w:color w:val="auto"/>
              </w:rPr>
            </w:pPr>
          </w:p>
        </w:tc>
        <w:tc>
          <w:tcPr>
            <w:tcW w:w="9080" w:type="dxa"/>
            <w:vAlign w:val="bottom"/>
            <w:gridSpan w:val="38"/>
          </w:tcPr>
          <w:p>
            <w:pPr>
              <w:spacing w:after="0" w:line="189" w:lineRule="exact"/>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First Supplemental Indenture, dated August 17, 2017, among the Company and U.S. Bank National Association, as Trustee</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880" w:type="dxa"/>
            <w:vAlign w:val="bottom"/>
            <w:tcBorders>
              <w:top w:val="single" w:sz="8" w:color="0000FF"/>
            </w:tcBorders>
            <w:gridSpan w:val="31"/>
          </w:tcPr>
          <w:p>
            <w:pPr>
              <w:spacing w:after="0" w:line="156" w:lineRule="exact"/>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(incorporated by reference to Exhibit 4.2 to the Company's Current Report on Form 8-K filed on August 17, 2017).</w:t>
              </w:r>
            </w:hyperlink>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1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360" w:type="dxa"/>
            <w:vAlign w:val="bottom"/>
            <w:tcBorders>
              <w:top w:val="single" w:sz="8" w:color="0000FF"/>
            </w:tcBorders>
          </w:tcPr>
          <w:p>
            <w:pPr>
              <w:spacing w:after="0"/>
              <w:rPr>
                <w:sz w:val="2"/>
                <w:szCs w:val="2"/>
                <w:color w:val="auto"/>
              </w:rPr>
            </w:pPr>
          </w:p>
        </w:tc>
        <w:tc>
          <w:tcPr>
            <w:tcW w:w="780" w:type="dxa"/>
            <w:vAlign w:val="bottom"/>
            <w:tcBorders>
              <w:top w:val="single" w:sz="8" w:color="0000FF"/>
            </w:tcBorders>
          </w:tcPr>
          <w:p>
            <w:pPr>
              <w:spacing w:after="0"/>
              <w:rPr>
                <w:sz w:val="2"/>
                <w:szCs w:val="2"/>
                <w:color w:val="auto"/>
              </w:rPr>
            </w:pPr>
          </w:p>
        </w:tc>
        <w:tc>
          <w:tcPr>
            <w:tcW w:w="1560" w:type="dxa"/>
            <w:vAlign w:val="bottom"/>
            <w:tcBorders>
              <w:top w:val="single" w:sz="8" w:color="0000FF"/>
            </w:tcBorders>
          </w:tcPr>
          <w:p>
            <w:pPr>
              <w:spacing w:after="0"/>
              <w:rPr>
                <w:sz w:val="2"/>
                <w:szCs w:val="2"/>
                <w:color w:val="auto"/>
              </w:rPr>
            </w:pPr>
          </w:p>
        </w:tc>
        <w:tc>
          <w:tcPr>
            <w:tcW w:w="5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540" w:type="dxa"/>
            <w:vAlign w:val="bottom"/>
            <w:tcBorders>
              <w:top w:val="single" w:sz="8" w:color="0000FF"/>
            </w:tcBorders>
          </w:tcPr>
          <w:p>
            <w:pPr>
              <w:spacing w:after="0"/>
              <w:rPr>
                <w:sz w:val="2"/>
                <w:szCs w:val="2"/>
                <w:color w:val="auto"/>
              </w:rPr>
            </w:pPr>
          </w:p>
        </w:tc>
        <w:tc>
          <w:tcPr>
            <w:tcW w:w="204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80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1340" w:type="dxa"/>
            <w:vAlign w:val="bottom"/>
            <w:shd w:val="clear" w:color="auto" w:fill="CCEEFF"/>
          </w:tcPr>
          <w:p>
            <w:pPr>
              <w:ind w:left="620"/>
              <w:spacing w:after="0" w:line="189" w:lineRule="exact"/>
              <w:rPr>
                <w:sz w:val="20"/>
                <w:szCs w:val="20"/>
                <w:color w:val="auto"/>
              </w:rPr>
            </w:pPr>
            <w:r>
              <w:rPr>
                <w:rFonts w:ascii="Times New Roman" w:cs="Times New Roman" w:eastAsia="Times New Roman" w:hAnsi="Times New Roman"/>
                <w:sz w:val="18"/>
                <w:szCs w:val="18"/>
                <w:color w:val="auto"/>
              </w:rPr>
              <w:t>4.3</w:t>
            </w:r>
          </w:p>
        </w:tc>
        <w:tc>
          <w:tcPr>
            <w:tcW w:w="780" w:type="dxa"/>
            <w:vAlign w:val="bottom"/>
            <w:shd w:val="clear" w:color="auto" w:fill="CCEEFF"/>
          </w:tcPr>
          <w:p>
            <w:pPr>
              <w:spacing w:after="0"/>
              <w:rPr>
                <w:sz w:val="16"/>
                <w:szCs w:val="16"/>
                <w:color w:val="auto"/>
              </w:rPr>
            </w:pPr>
          </w:p>
        </w:tc>
        <w:tc>
          <w:tcPr>
            <w:tcW w:w="9080" w:type="dxa"/>
            <w:vAlign w:val="bottom"/>
            <w:tcBorders>
              <w:right w:val="single" w:sz="8" w:color="CCEEFF"/>
            </w:tcBorders>
            <w:gridSpan w:val="38"/>
            <w:shd w:val="clear" w:color="auto" w:fill="CCEEFF"/>
          </w:tcPr>
          <w:p>
            <w:pPr>
              <w:spacing w:after="0" w:line="189" w:lineRule="exact"/>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Second Supplemental Indenture, dated May 1, 2019, among the Company and U.S. Bank National Association, as Trustee</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34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spacing w:after="0"/>
              <w:rPr>
                <w:sz w:val="13"/>
                <w:szCs w:val="13"/>
                <w:color w:val="auto"/>
              </w:rPr>
            </w:pPr>
          </w:p>
        </w:tc>
        <w:tc>
          <w:tcPr>
            <w:tcW w:w="8800" w:type="dxa"/>
            <w:vAlign w:val="bottom"/>
            <w:tcBorders>
              <w:top w:val="single" w:sz="8" w:color="0000FF"/>
            </w:tcBorders>
            <w:gridSpan w:val="28"/>
            <w:shd w:val="clear" w:color="auto" w:fill="CCEEFF"/>
          </w:tcPr>
          <w:p>
            <w:pPr>
              <w:spacing w:after="0" w:line="156" w:lineRule="exact"/>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(incorporated by reference to Exhibit 4.1 to the Company's Current Report on Form 8-K filed on May 1, 2019).</w:t>
              </w:r>
            </w:hyperlink>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gridSpan w:val="3"/>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right w:val="single" w:sz="8" w:color="CCEEFF"/>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134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1360" w:type="dxa"/>
            <w:vAlign w:val="bottom"/>
            <w:tcBorders>
              <w:top w:val="single" w:sz="8" w:color="0000FF"/>
            </w:tcBorders>
            <w:shd w:val="clear" w:color="auto" w:fill="CCEEFF"/>
          </w:tcPr>
          <w:p>
            <w:pPr>
              <w:spacing w:after="0"/>
              <w:rPr>
                <w:sz w:val="2"/>
                <w:szCs w:val="2"/>
                <w:color w:val="auto"/>
              </w:rPr>
            </w:pPr>
          </w:p>
        </w:tc>
        <w:tc>
          <w:tcPr>
            <w:tcW w:w="780" w:type="dxa"/>
            <w:vAlign w:val="bottom"/>
            <w:tcBorders>
              <w:top w:val="single" w:sz="8" w:color="0000FF"/>
            </w:tcBorders>
            <w:shd w:val="clear" w:color="auto" w:fill="CCEEFF"/>
          </w:tcPr>
          <w:p>
            <w:pPr>
              <w:spacing w:after="0"/>
              <w:rPr>
                <w:sz w:val="2"/>
                <w:szCs w:val="2"/>
                <w:color w:val="auto"/>
              </w:rPr>
            </w:pPr>
          </w:p>
        </w:tc>
        <w:tc>
          <w:tcPr>
            <w:tcW w:w="1560" w:type="dxa"/>
            <w:vAlign w:val="bottom"/>
            <w:tcBorders>
              <w:top w:val="single" w:sz="8" w:color="0000FF"/>
            </w:tcBorders>
            <w:shd w:val="clear" w:color="auto" w:fill="CCEEFF"/>
          </w:tcPr>
          <w:p>
            <w:pPr>
              <w:spacing w:after="0"/>
              <w:rPr>
                <w:sz w:val="2"/>
                <w:szCs w:val="2"/>
                <w:color w:val="auto"/>
              </w:rPr>
            </w:pPr>
          </w:p>
        </w:tc>
        <w:tc>
          <w:tcPr>
            <w:tcW w:w="54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540" w:type="dxa"/>
            <w:vAlign w:val="bottom"/>
            <w:tcBorders>
              <w:top w:val="single" w:sz="8" w:color="0000FF"/>
            </w:tcBorders>
            <w:shd w:val="clear" w:color="auto" w:fill="CCEEFF"/>
          </w:tcPr>
          <w:p>
            <w:pPr>
              <w:spacing w:after="0"/>
              <w:rPr>
                <w:sz w:val="2"/>
                <w:szCs w:val="2"/>
                <w:color w:val="auto"/>
              </w:rPr>
            </w:pPr>
          </w:p>
        </w:tc>
        <w:tc>
          <w:tcPr>
            <w:tcW w:w="204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800" w:type="dxa"/>
            <w:vAlign w:val="bottom"/>
            <w:tcBorders>
              <w:top w:val="single" w:sz="8" w:color="0000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right w:val="single" w:sz="8" w:color="CCEEFF"/>
            </w:tcBorders>
            <w:shd w:val="clear" w:color="auto" w:fill="CCEEFF"/>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1340" w:type="dxa"/>
            <w:vAlign w:val="bottom"/>
          </w:tcPr>
          <w:p>
            <w:pPr>
              <w:ind w:left="620"/>
              <w:spacing w:after="0" w:line="189" w:lineRule="exact"/>
              <w:rPr>
                <w:sz w:val="20"/>
                <w:szCs w:val="20"/>
                <w:color w:val="auto"/>
              </w:rPr>
            </w:pPr>
            <w:r>
              <w:rPr>
                <w:rFonts w:ascii="Times New Roman" w:cs="Times New Roman" w:eastAsia="Times New Roman" w:hAnsi="Times New Roman"/>
                <w:sz w:val="18"/>
                <w:szCs w:val="18"/>
                <w:color w:val="auto"/>
              </w:rPr>
              <w:t>4.4</w:t>
            </w:r>
          </w:p>
        </w:tc>
        <w:tc>
          <w:tcPr>
            <w:tcW w:w="780" w:type="dxa"/>
            <w:vAlign w:val="bottom"/>
          </w:tcPr>
          <w:p>
            <w:pPr>
              <w:spacing w:after="0"/>
              <w:rPr>
                <w:sz w:val="16"/>
                <w:szCs w:val="16"/>
                <w:color w:val="auto"/>
              </w:rPr>
            </w:pPr>
          </w:p>
        </w:tc>
        <w:tc>
          <w:tcPr>
            <w:tcW w:w="9080" w:type="dxa"/>
            <w:vAlign w:val="bottom"/>
            <w:gridSpan w:val="38"/>
          </w:tcPr>
          <w:p>
            <w:pPr>
              <w:spacing w:after="0" w:line="189" w:lineRule="exact"/>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Third Supplemental Indenture, dated May 1, 2019, among the Company and U.S. Bank National Association, as Trustee</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660" w:type="dxa"/>
            <w:vAlign w:val="bottom"/>
            <w:tcBorders>
              <w:top w:val="single" w:sz="8" w:color="0000FF"/>
            </w:tcBorders>
            <w:gridSpan w:val="21"/>
          </w:tcPr>
          <w:p>
            <w:pPr>
              <w:spacing w:after="0" w:line="156" w:lineRule="exact"/>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(incorporated by reference to Exhibit 4.2 to the Company's Current Report on Form 8-K filed on May 1, 2019).</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1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360" w:type="dxa"/>
            <w:vAlign w:val="bottom"/>
            <w:tcBorders>
              <w:top w:val="single" w:sz="8" w:color="0000FF"/>
            </w:tcBorders>
          </w:tcPr>
          <w:p>
            <w:pPr>
              <w:spacing w:after="0"/>
              <w:rPr>
                <w:sz w:val="2"/>
                <w:szCs w:val="2"/>
                <w:color w:val="auto"/>
              </w:rPr>
            </w:pPr>
          </w:p>
        </w:tc>
        <w:tc>
          <w:tcPr>
            <w:tcW w:w="780" w:type="dxa"/>
            <w:vAlign w:val="bottom"/>
            <w:tcBorders>
              <w:top w:val="single" w:sz="8" w:color="0000FF"/>
            </w:tcBorders>
          </w:tcPr>
          <w:p>
            <w:pPr>
              <w:spacing w:after="0"/>
              <w:rPr>
                <w:sz w:val="2"/>
                <w:szCs w:val="2"/>
                <w:color w:val="auto"/>
              </w:rPr>
            </w:pPr>
          </w:p>
        </w:tc>
        <w:tc>
          <w:tcPr>
            <w:tcW w:w="1560" w:type="dxa"/>
            <w:vAlign w:val="bottom"/>
            <w:tcBorders>
              <w:top w:val="single" w:sz="8" w:color="0000FF"/>
            </w:tcBorders>
          </w:tcPr>
          <w:p>
            <w:pPr>
              <w:spacing w:after="0"/>
              <w:rPr>
                <w:sz w:val="2"/>
                <w:szCs w:val="2"/>
                <w:color w:val="auto"/>
              </w:rPr>
            </w:pPr>
          </w:p>
        </w:tc>
        <w:tc>
          <w:tcPr>
            <w:tcW w:w="5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540" w:type="dxa"/>
            <w:vAlign w:val="bottom"/>
            <w:tcBorders>
              <w:top w:val="single" w:sz="8" w:color="0000FF"/>
            </w:tcBorders>
          </w:tcPr>
          <w:p>
            <w:pPr>
              <w:spacing w:after="0"/>
              <w:rPr>
                <w:sz w:val="2"/>
                <w:szCs w:val="2"/>
                <w:color w:val="auto"/>
              </w:rPr>
            </w:pPr>
          </w:p>
        </w:tc>
        <w:tc>
          <w:tcPr>
            <w:tcW w:w="204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800" w:type="dxa"/>
            <w:vAlign w:val="bottom"/>
            <w:tcBorders>
              <w:top w:val="single" w:sz="8" w:color="0000FF"/>
            </w:tcBorders>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1340" w:type="dxa"/>
            <w:vAlign w:val="bottom"/>
            <w:shd w:val="clear" w:color="auto" w:fill="CCEEFF"/>
          </w:tcPr>
          <w:p>
            <w:pPr>
              <w:ind w:left="620"/>
              <w:spacing w:after="0" w:line="189" w:lineRule="exact"/>
              <w:rPr>
                <w:sz w:val="20"/>
                <w:szCs w:val="20"/>
                <w:color w:val="auto"/>
              </w:rPr>
            </w:pPr>
            <w:r>
              <w:rPr>
                <w:rFonts w:ascii="Times New Roman" w:cs="Times New Roman" w:eastAsia="Times New Roman" w:hAnsi="Times New Roman"/>
                <w:sz w:val="18"/>
                <w:szCs w:val="18"/>
                <w:color w:val="auto"/>
              </w:rPr>
              <w:t>4.5</w:t>
            </w:r>
          </w:p>
        </w:tc>
        <w:tc>
          <w:tcPr>
            <w:tcW w:w="780" w:type="dxa"/>
            <w:vAlign w:val="bottom"/>
            <w:shd w:val="clear" w:color="auto" w:fill="CCEEFF"/>
          </w:tcPr>
          <w:p>
            <w:pPr>
              <w:spacing w:after="0"/>
              <w:rPr>
                <w:sz w:val="16"/>
                <w:szCs w:val="16"/>
                <w:color w:val="auto"/>
              </w:rPr>
            </w:pPr>
          </w:p>
        </w:tc>
        <w:tc>
          <w:tcPr>
            <w:tcW w:w="9080" w:type="dxa"/>
            <w:vAlign w:val="bottom"/>
            <w:tcBorders>
              <w:right w:val="single" w:sz="8" w:color="CCEEFF"/>
            </w:tcBorders>
            <w:gridSpan w:val="38"/>
            <w:shd w:val="clear" w:color="auto" w:fill="CCEEFF"/>
          </w:tcPr>
          <w:p>
            <w:pPr>
              <w:spacing w:after="0" w:line="189" w:lineRule="exact"/>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Fourth Supplemental Indenture, dated February 24, 2020, among the Company and U.S. Bank National Association, as</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340" w:type="dxa"/>
            <w:vAlign w:val="bottom"/>
            <w:tcBorders>
              <w:top w:val="single" w:sz="8" w:color="CCEEFF"/>
              <w:bottom w:val="single" w:sz="8" w:color="CCEEFF"/>
            </w:tcBorders>
            <w:shd w:val="clear" w:color="auto" w:fill="CCEEFF"/>
          </w:tcPr>
          <w:p>
            <w:pPr>
              <w:spacing w:after="0"/>
              <w:rPr>
                <w:sz w:val="16"/>
                <w:szCs w:val="16"/>
                <w:color w:val="auto"/>
              </w:rPr>
            </w:pPr>
          </w:p>
        </w:tc>
        <w:tc>
          <w:tcPr>
            <w:tcW w:w="780" w:type="dxa"/>
            <w:vAlign w:val="bottom"/>
            <w:tcBorders>
              <w:top w:val="single" w:sz="8" w:color="CCEEFF"/>
              <w:bottom w:val="single" w:sz="8" w:color="CCEEFF"/>
            </w:tcBorders>
            <w:shd w:val="clear" w:color="auto" w:fill="CCEEFF"/>
          </w:tcPr>
          <w:p>
            <w:pPr>
              <w:spacing w:after="0"/>
              <w:rPr>
                <w:sz w:val="16"/>
                <w:szCs w:val="16"/>
                <w:color w:val="auto"/>
              </w:rPr>
            </w:pPr>
          </w:p>
        </w:tc>
        <w:tc>
          <w:tcPr>
            <w:tcW w:w="8600" w:type="dxa"/>
            <w:vAlign w:val="bottom"/>
            <w:tcBorders>
              <w:top w:val="single" w:sz="8" w:color="0000FF"/>
              <w:bottom w:val="single" w:sz="8" w:color="0000FF"/>
            </w:tcBorders>
            <w:gridSpan w:val="18"/>
            <w:shd w:val="clear" w:color="auto" w:fill="CCEEFF"/>
          </w:tcPr>
          <w:p>
            <w:pPr>
              <w:spacing w:after="0" w:line="156" w:lineRule="exact"/>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Trustee (incorporated by reference to Exhibit 4.1 to the Company's Current Report on Form 8-K filed on February 24,</w:t>
              </w:r>
            </w:hyperlink>
          </w:p>
        </w:tc>
        <w:tc>
          <w:tcPr>
            <w:tcW w:w="400" w:type="dxa"/>
            <w:vAlign w:val="bottom"/>
            <w:tcBorders>
              <w:top w:val="single" w:sz="8" w:color="CCEEFF"/>
              <w:bottom w:val="single" w:sz="8" w:color="0000FF"/>
            </w:tcBorders>
            <w:gridSpan w:val="18"/>
            <w:shd w:val="clear" w:color="auto" w:fill="CCEEFF"/>
          </w:tcPr>
          <w:p>
            <w:pPr>
              <w:jc w:val="center"/>
              <w:spacing w:after="0" w:line="156" w:lineRule="exact"/>
              <w:rPr>
                <w:rFonts w:ascii="Times New Roman" w:cs="Times New Roman" w:eastAsia="Times New Roman" w:hAnsi="Times New Roman"/>
                <w:sz w:val="18"/>
                <w:szCs w:val="18"/>
                <w:color w:val="0000FF"/>
                <w:w w:val="81"/>
              </w:rPr>
            </w:pPr>
            <w:hyperlink r:id="rId144">
              <w:r>
                <w:rPr>
                  <w:rFonts w:ascii="Times New Roman" w:cs="Times New Roman" w:eastAsia="Times New Roman" w:hAnsi="Times New Roman"/>
                  <w:sz w:val="18"/>
                  <w:szCs w:val="18"/>
                  <w:color w:val="0000FF"/>
                  <w:w w:val="81"/>
                </w:rPr>
                <w:t>2020).</w:t>
              </w:r>
            </w:hyperlink>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right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340" w:type="dxa"/>
            <w:vAlign w:val="bottom"/>
            <w:tcBorders>
              <w:top w:val="single" w:sz="8" w:color="CCEEFF"/>
            </w:tcBorders>
          </w:tcPr>
          <w:p>
            <w:pPr>
              <w:ind w:left="620"/>
              <w:spacing w:after="0" w:line="189" w:lineRule="exact"/>
              <w:rPr>
                <w:sz w:val="20"/>
                <w:szCs w:val="20"/>
                <w:color w:val="auto"/>
              </w:rPr>
            </w:pPr>
            <w:r>
              <w:rPr>
                <w:rFonts w:ascii="Times New Roman" w:cs="Times New Roman" w:eastAsia="Times New Roman" w:hAnsi="Times New Roman"/>
                <w:sz w:val="18"/>
                <w:szCs w:val="18"/>
                <w:color w:val="auto"/>
              </w:rPr>
              <w:t>4.6</w:t>
            </w:r>
          </w:p>
        </w:tc>
        <w:tc>
          <w:tcPr>
            <w:tcW w:w="780" w:type="dxa"/>
            <w:vAlign w:val="bottom"/>
            <w:tcBorders>
              <w:top w:val="single" w:sz="8" w:color="CCEEFF"/>
            </w:tcBorders>
          </w:tcPr>
          <w:p>
            <w:pPr>
              <w:spacing w:after="0"/>
              <w:rPr>
                <w:sz w:val="16"/>
                <w:szCs w:val="16"/>
                <w:color w:val="auto"/>
              </w:rPr>
            </w:pPr>
          </w:p>
        </w:tc>
        <w:tc>
          <w:tcPr>
            <w:tcW w:w="9080" w:type="dxa"/>
            <w:vAlign w:val="bottom"/>
            <w:tcBorders>
              <w:top w:val="single" w:sz="8" w:color="CCEEFF"/>
            </w:tcBorders>
            <w:gridSpan w:val="38"/>
          </w:tcPr>
          <w:p>
            <w:pPr>
              <w:spacing w:after="0" w:line="189" w:lineRule="exact"/>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Indenture, dated November 8. 2021, between the Company and U.S. Bank National Association, as Trustee (incorporated by</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960" w:type="dxa"/>
            <w:vAlign w:val="bottom"/>
            <w:tcBorders>
              <w:top w:val="single" w:sz="8" w:color="0000FF"/>
            </w:tcBorders>
            <w:gridSpan w:val="34"/>
          </w:tcPr>
          <w:p>
            <w:pPr>
              <w:spacing w:after="0" w:line="156" w:lineRule="exact"/>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reference to Exhibit 4.1 to the Company's Current Report on Form 8-K filed on November 8, 2021).</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1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360" w:type="dxa"/>
            <w:vAlign w:val="bottom"/>
            <w:tcBorders>
              <w:top w:val="single" w:sz="8" w:color="0000FF"/>
            </w:tcBorders>
          </w:tcPr>
          <w:p>
            <w:pPr>
              <w:spacing w:after="0"/>
              <w:rPr>
                <w:sz w:val="2"/>
                <w:szCs w:val="2"/>
                <w:color w:val="auto"/>
              </w:rPr>
            </w:pPr>
          </w:p>
        </w:tc>
        <w:tc>
          <w:tcPr>
            <w:tcW w:w="780" w:type="dxa"/>
            <w:vAlign w:val="bottom"/>
            <w:tcBorders>
              <w:top w:val="single" w:sz="8" w:color="0000FF"/>
            </w:tcBorders>
          </w:tcPr>
          <w:p>
            <w:pPr>
              <w:spacing w:after="0"/>
              <w:rPr>
                <w:sz w:val="2"/>
                <w:szCs w:val="2"/>
                <w:color w:val="auto"/>
              </w:rPr>
            </w:pPr>
          </w:p>
        </w:tc>
        <w:tc>
          <w:tcPr>
            <w:tcW w:w="1560" w:type="dxa"/>
            <w:vAlign w:val="bottom"/>
            <w:tcBorders>
              <w:top w:val="single" w:sz="8" w:color="0000FF"/>
            </w:tcBorders>
          </w:tcPr>
          <w:p>
            <w:pPr>
              <w:spacing w:after="0"/>
              <w:rPr>
                <w:sz w:val="2"/>
                <w:szCs w:val="2"/>
                <w:color w:val="auto"/>
              </w:rPr>
            </w:pPr>
          </w:p>
        </w:tc>
        <w:tc>
          <w:tcPr>
            <w:tcW w:w="5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540" w:type="dxa"/>
            <w:vAlign w:val="bottom"/>
            <w:tcBorders>
              <w:top w:val="single" w:sz="8" w:color="0000FF"/>
            </w:tcBorders>
          </w:tcPr>
          <w:p>
            <w:pPr>
              <w:spacing w:after="0"/>
              <w:rPr>
                <w:sz w:val="2"/>
                <w:szCs w:val="2"/>
                <w:color w:val="auto"/>
              </w:rPr>
            </w:pPr>
          </w:p>
        </w:tc>
        <w:tc>
          <w:tcPr>
            <w:tcW w:w="204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1340" w:type="dxa"/>
            <w:vAlign w:val="bottom"/>
            <w:shd w:val="clear" w:color="auto" w:fill="CCEEFF"/>
          </w:tcPr>
          <w:p>
            <w:pPr>
              <w:ind w:left="620"/>
              <w:spacing w:after="0" w:line="189" w:lineRule="exact"/>
              <w:rPr>
                <w:sz w:val="20"/>
                <w:szCs w:val="20"/>
                <w:color w:val="auto"/>
              </w:rPr>
            </w:pPr>
            <w:r>
              <w:rPr>
                <w:rFonts w:ascii="Times New Roman" w:cs="Times New Roman" w:eastAsia="Times New Roman" w:hAnsi="Times New Roman"/>
                <w:sz w:val="18"/>
                <w:szCs w:val="18"/>
                <w:color w:val="auto"/>
              </w:rPr>
              <w:t>4.7</w:t>
            </w:r>
          </w:p>
        </w:tc>
        <w:tc>
          <w:tcPr>
            <w:tcW w:w="780" w:type="dxa"/>
            <w:vAlign w:val="bottom"/>
            <w:shd w:val="clear" w:color="auto" w:fill="CCEEFF"/>
          </w:tcPr>
          <w:p>
            <w:pPr>
              <w:spacing w:after="0"/>
              <w:rPr>
                <w:sz w:val="16"/>
                <w:szCs w:val="16"/>
                <w:color w:val="auto"/>
              </w:rPr>
            </w:pPr>
          </w:p>
        </w:tc>
        <w:tc>
          <w:tcPr>
            <w:tcW w:w="9080" w:type="dxa"/>
            <w:vAlign w:val="bottom"/>
            <w:tcBorders>
              <w:right w:val="single" w:sz="8" w:color="CCEEFF"/>
            </w:tcBorders>
            <w:gridSpan w:val="38"/>
            <w:shd w:val="clear" w:color="auto" w:fill="CCEEFF"/>
          </w:tcPr>
          <w:p>
            <w:pPr>
              <w:spacing w:after="0" w:line="189" w:lineRule="exact"/>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First Supplemental Indenture, dated November 8, 2021, between the Company and U.S. Bank National Association, as</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340" w:type="dxa"/>
            <w:vAlign w:val="bottom"/>
            <w:tcBorders>
              <w:top w:val="single" w:sz="8" w:color="CCEEFF"/>
              <w:bottom w:val="single" w:sz="8" w:color="CCEEFF"/>
            </w:tcBorders>
            <w:shd w:val="clear" w:color="auto" w:fill="CCEEFF"/>
          </w:tcPr>
          <w:p>
            <w:pPr>
              <w:spacing w:after="0"/>
              <w:rPr>
                <w:sz w:val="16"/>
                <w:szCs w:val="16"/>
                <w:color w:val="auto"/>
              </w:rPr>
            </w:pPr>
          </w:p>
        </w:tc>
        <w:tc>
          <w:tcPr>
            <w:tcW w:w="780" w:type="dxa"/>
            <w:vAlign w:val="bottom"/>
            <w:tcBorders>
              <w:top w:val="single" w:sz="8" w:color="CCEEFF"/>
              <w:bottom w:val="single" w:sz="8" w:color="CCEEFF"/>
            </w:tcBorders>
            <w:shd w:val="clear" w:color="auto" w:fill="CCEEFF"/>
          </w:tcPr>
          <w:p>
            <w:pPr>
              <w:spacing w:after="0"/>
              <w:rPr>
                <w:sz w:val="16"/>
                <w:szCs w:val="16"/>
                <w:color w:val="auto"/>
              </w:rPr>
            </w:pPr>
          </w:p>
        </w:tc>
        <w:tc>
          <w:tcPr>
            <w:tcW w:w="8560" w:type="dxa"/>
            <w:vAlign w:val="bottom"/>
            <w:tcBorders>
              <w:top w:val="single" w:sz="8" w:color="0000FF"/>
              <w:bottom w:val="single" w:sz="8" w:color="0000FF"/>
            </w:tcBorders>
            <w:gridSpan w:val="16"/>
            <w:shd w:val="clear" w:color="auto" w:fill="CCEEFF"/>
          </w:tcPr>
          <w:p>
            <w:pPr>
              <w:spacing w:after="0" w:line="156" w:lineRule="exact"/>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Trustee (incorporated by reference to Exhibit 4.2 to the Company's Current Report on Form 8-K filed on November 8,</w:t>
              </w:r>
            </w:hyperlink>
          </w:p>
        </w:tc>
        <w:tc>
          <w:tcPr>
            <w:tcW w:w="460" w:type="dxa"/>
            <w:vAlign w:val="bottom"/>
            <w:tcBorders>
              <w:top w:val="single" w:sz="8" w:color="CCEEFF"/>
              <w:bottom w:val="single" w:sz="8" w:color="0000FF"/>
            </w:tcBorders>
            <w:gridSpan w:val="21"/>
            <w:shd w:val="clear" w:color="auto" w:fill="CCEEFF"/>
          </w:tcPr>
          <w:p>
            <w:pPr>
              <w:jc w:val="center"/>
              <w:spacing w:after="0" w:line="156" w:lineRule="exact"/>
              <w:rPr>
                <w:rFonts w:ascii="Times New Roman" w:cs="Times New Roman" w:eastAsia="Times New Roman" w:hAnsi="Times New Roman"/>
                <w:sz w:val="18"/>
                <w:szCs w:val="18"/>
                <w:color w:val="0000FF"/>
                <w:w w:val="94"/>
              </w:rPr>
            </w:pPr>
            <w:hyperlink r:id="rId146">
              <w:r>
                <w:rPr>
                  <w:rFonts w:ascii="Times New Roman" w:cs="Times New Roman" w:eastAsia="Times New Roman" w:hAnsi="Times New Roman"/>
                  <w:sz w:val="18"/>
                  <w:szCs w:val="18"/>
                  <w:color w:val="0000FF"/>
                  <w:w w:val="94"/>
                </w:rPr>
                <w:t>2021).</w:t>
              </w:r>
            </w:hyperlink>
          </w:p>
        </w:tc>
        <w:tc>
          <w:tcPr>
            <w:tcW w:w="60" w:type="dxa"/>
            <w:vAlign w:val="bottom"/>
            <w:tcBorders>
              <w:top w:val="single" w:sz="8" w:color="CCEEFF"/>
              <w:bottom w:val="single" w:sz="8" w:color="CCEEFF"/>
              <w:right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340" w:type="dxa"/>
            <w:vAlign w:val="bottom"/>
          </w:tcPr>
          <w:p>
            <w:pPr>
              <w:ind w:left="620"/>
              <w:spacing w:after="0" w:line="189" w:lineRule="exact"/>
              <w:rPr>
                <w:sz w:val="20"/>
                <w:szCs w:val="20"/>
                <w:color w:val="auto"/>
              </w:rPr>
            </w:pPr>
            <w:r>
              <w:rPr>
                <w:rFonts w:ascii="Times New Roman" w:cs="Times New Roman" w:eastAsia="Times New Roman" w:hAnsi="Times New Roman"/>
                <w:sz w:val="18"/>
                <w:szCs w:val="18"/>
                <w:color w:val="auto"/>
              </w:rPr>
              <w:t>4.8</w:t>
            </w:r>
          </w:p>
        </w:tc>
        <w:tc>
          <w:tcPr>
            <w:tcW w:w="780" w:type="dxa"/>
            <w:vAlign w:val="bottom"/>
          </w:tcPr>
          <w:p>
            <w:pPr>
              <w:spacing w:after="0"/>
              <w:rPr>
                <w:sz w:val="16"/>
                <w:szCs w:val="16"/>
                <w:color w:val="auto"/>
              </w:rPr>
            </w:pPr>
          </w:p>
        </w:tc>
        <w:tc>
          <w:tcPr>
            <w:tcW w:w="9080" w:type="dxa"/>
            <w:vAlign w:val="bottom"/>
            <w:gridSpan w:val="38"/>
          </w:tcPr>
          <w:p>
            <w:pPr>
              <w:spacing w:after="0" w:line="189" w:lineRule="exact"/>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Second Supplemental Indenture, dated November 28, 2021, between the Company and U.S. Bank National Association, as</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80" w:type="dxa"/>
            <w:vAlign w:val="bottom"/>
            <w:gridSpan w:val="7"/>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100" w:type="dxa"/>
            <w:vAlign w:val="bottom"/>
            <w:gridSpan w:val="39"/>
          </w:tcPr>
          <w:p>
            <w:pPr>
              <w:spacing w:after="0" w:line="156" w:lineRule="exact"/>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Trustee (incorporated by reference to Exhibit 4.3 to the Company's Current Report on Form 8-K filed on November 8, 2021).</w:t>
              </w:r>
            </w:hyperlink>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1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360" w:type="dxa"/>
            <w:vAlign w:val="bottom"/>
            <w:tcBorders>
              <w:top w:val="single" w:sz="8" w:color="0000FF"/>
            </w:tcBorders>
          </w:tcPr>
          <w:p>
            <w:pPr>
              <w:spacing w:after="0"/>
              <w:rPr>
                <w:sz w:val="2"/>
                <w:szCs w:val="2"/>
                <w:color w:val="auto"/>
              </w:rPr>
            </w:pPr>
          </w:p>
        </w:tc>
        <w:tc>
          <w:tcPr>
            <w:tcW w:w="780" w:type="dxa"/>
            <w:vAlign w:val="bottom"/>
            <w:tcBorders>
              <w:top w:val="single" w:sz="8" w:color="0000FF"/>
            </w:tcBorders>
          </w:tcPr>
          <w:p>
            <w:pPr>
              <w:spacing w:after="0"/>
              <w:rPr>
                <w:sz w:val="2"/>
                <w:szCs w:val="2"/>
                <w:color w:val="auto"/>
              </w:rPr>
            </w:pPr>
          </w:p>
        </w:tc>
        <w:tc>
          <w:tcPr>
            <w:tcW w:w="1560" w:type="dxa"/>
            <w:vAlign w:val="bottom"/>
            <w:tcBorders>
              <w:top w:val="single" w:sz="8" w:color="0000FF"/>
            </w:tcBorders>
          </w:tcPr>
          <w:p>
            <w:pPr>
              <w:spacing w:after="0"/>
              <w:rPr>
                <w:sz w:val="2"/>
                <w:szCs w:val="2"/>
                <w:color w:val="auto"/>
              </w:rPr>
            </w:pPr>
          </w:p>
        </w:tc>
        <w:tc>
          <w:tcPr>
            <w:tcW w:w="5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540" w:type="dxa"/>
            <w:vAlign w:val="bottom"/>
            <w:tcBorders>
              <w:top w:val="single" w:sz="8" w:color="0000FF"/>
            </w:tcBorders>
          </w:tcPr>
          <w:p>
            <w:pPr>
              <w:spacing w:after="0"/>
              <w:rPr>
                <w:sz w:val="2"/>
                <w:szCs w:val="2"/>
                <w:color w:val="auto"/>
              </w:rPr>
            </w:pPr>
          </w:p>
        </w:tc>
        <w:tc>
          <w:tcPr>
            <w:tcW w:w="204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80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1340" w:type="dxa"/>
            <w:vAlign w:val="bottom"/>
            <w:shd w:val="clear" w:color="auto" w:fill="CCEEFF"/>
          </w:tcPr>
          <w:p>
            <w:pPr>
              <w:ind w:left="620"/>
              <w:spacing w:after="0" w:line="189" w:lineRule="exact"/>
              <w:rPr>
                <w:sz w:val="20"/>
                <w:szCs w:val="20"/>
                <w:color w:val="auto"/>
              </w:rPr>
            </w:pPr>
            <w:r>
              <w:rPr>
                <w:rFonts w:ascii="Times New Roman" w:cs="Times New Roman" w:eastAsia="Times New Roman" w:hAnsi="Times New Roman"/>
                <w:sz w:val="18"/>
                <w:szCs w:val="18"/>
                <w:color w:val="auto"/>
              </w:rPr>
              <w:t>4.9</w:t>
            </w:r>
          </w:p>
        </w:tc>
        <w:tc>
          <w:tcPr>
            <w:tcW w:w="780" w:type="dxa"/>
            <w:vAlign w:val="bottom"/>
            <w:shd w:val="clear" w:color="auto" w:fill="CCEEFF"/>
          </w:tcPr>
          <w:p>
            <w:pPr>
              <w:spacing w:after="0"/>
              <w:rPr>
                <w:sz w:val="16"/>
                <w:szCs w:val="16"/>
                <w:color w:val="auto"/>
              </w:rPr>
            </w:pPr>
          </w:p>
        </w:tc>
        <w:tc>
          <w:tcPr>
            <w:tcW w:w="9080" w:type="dxa"/>
            <w:vAlign w:val="bottom"/>
            <w:tcBorders>
              <w:right w:val="single" w:sz="8" w:color="CCEEFF"/>
            </w:tcBorders>
            <w:gridSpan w:val="38"/>
            <w:shd w:val="clear" w:color="auto" w:fill="CCEEFF"/>
          </w:tcPr>
          <w:p>
            <w:pPr>
              <w:spacing w:after="0" w:line="189" w:lineRule="exact"/>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Description of Lear Corporation's securities (incorporated by reference to Exhibit 4.8 to the Company's Annual Report on</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34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spacing w:after="0"/>
              <w:rPr>
                <w:sz w:val="13"/>
                <w:szCs w:val="13"/>
                <w:color w:val="auto"/>
              </w:rPr>
            </w:pPr>
          </w:p>
        </w:tc>
        <w:tc>
          <w:tcPr>
            <w:tcW w:w="8760" w:type="dxa"/>
            <w:vAlign w:val="bottom"/>
            <w:tcBorders>
              <w:top w:val="single" w:sz="8" w:color="0000FF"/>
            </w:tcBorders>
            <w:gridSpan w:val="26"/>
            <w:shd w:val="clear" w:color="auto" w:fill="CCEEFF"/>
          </w:tcPr>
          <w:p>
            <w:pPr>
              <w:spacing w:after="0" w:line="156" w:lineRule="exact"/>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Form 10-K for the year ended December 31, 2019).</w:t>
              </w:r>
            </w:hyperlink>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gridSpan w:val="3"/>
            <w:shd w:val="clear" w:color="auto" w:fill="CCEEFF"/>
          </w:tcPr>
          <w:p>
            <w:pPr>
              <w:spacing w:after="0"/>
              <w:rPr>
                <w:sz w:val="13"/>
                <w:szCs w:val="13"/>
                <w:color w:val="auto"/>
              </w:rPr>
            </w:pPr>
          </w:p>
        </w:tc>
        <w:tc>
          <w:tcPr>
            <w:tcW w:w="60" w:type="dxa"/>
            <w:vAlign w:val="bottom"/>
            <w:tcBorders>
              <w:top w:val="single" w:sz="8" w:color="CCEEFF"/>
            </w:tcBorders>
            <w:gridSpan w:val="3"/>
            <w:shd w:val="clear" w:color="auto" w:fill="CCEEFF"/>
          </w:tcPr>
          <w:p>
            <w:pPr>
              <w:spacing w:after="0"/>
              <w:rPr>
                <w:sz w:val="13"/>
                <w:szCs w:val="13"/>
                <w:color w:val="auto"/>
              </w:rPr>
            </w:pPr>
          </w:p>
        </w:tc>
        <w:tc>
          <w:tcPr>
            <w:tcW w:w="60" w:type="dxa"/>
            <w:vAlign w:val="bottom"/>
            <w:tcBorders>
              <w:top w:val="single" w:sz="8" w:color="CCEEFF"/>
            </w:tcBorders>
            <w:gridSpan w:val="2"/>
            <w:shd w:val="clear" w:color="auto" w:fill="CCEEFF"/>
          </w:tcPr>
          <w:p>
            <w:pPr>
              <w:spacing w:after="0"/>
              <w:rPr>
                <w:sz w:val="13"/>
                <w:szCs w:val="13"/>
                <w:color w:val="auto"/>
              </w:rPr>
            </w:pPr>
          </w:p>
        </w:tc>
        <w:tc>
          <w:tcPr>
            <w:tcW w:w="100" w:type="dxa"/>
            <w:vAlign w:val="bottom"/>
            <w:tcBorders>
              <w:top w:val="single" w:sz="8" w:color="CCEEFF"/>
              <w:right w:val="single" w:sz="8" w:color="CCEEFF"/>
            </w:tcBorders>
            <w:gridSpan w:val="3"/>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134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1360" w:type="dxa"/>
            <w:vAlign w:val="bottom"/>
            <w:tcBorders>
              <w:top w:val="single" w:sz="8" w:color="0000FF"/>
            </w:tcBorders>
            <w:shd w:val="clear" w:color="auto" w:fill="CCEEFF"/>
          </w:tcPr>
          <w:p>
            <w:pPr>
              <w:spacing w:after="0"/>
              <w:rPr>
                <w:sz w:val="2"/>
                <w:szCs w:val="2"/>
                <w:color w:val="auto"/>
              </w:rPr>
            </w:pPr>
          </w:p>
        </w:tc>
        <w:tc>
          <w:tcPr>
            <w:tcW w:w="780" w:type="dxa"/>
            <w:vAlign w:val="bottom"/>
            <w:tcBorders>
              <w:top w:val="single" w:sz="8" w:color="0000FF"/>
            </w:tcBorders>
            <w:shd w:val="clear" w:color="auto" w:fill="CCEEFF"/>
          </w:tcPr>
          <w:p>
            <w:pPr>
              <w:spacing w:after="0"/>
              <w:rPr>
                <w:sz w:val="2"/>
                <w:szCs w:val="2"/>
                <w:color w:val="auto"/>
              </w:rPr>
            </w:pPr>
          </w:p>
        </w:tc>
        <w:tc>
          <w:tcPr>
            <w:tcW w:w="1560" w:type="dxa"/>
            <w:vAlign w:val="bottom"/>
            <w:tcBorders>
              <w:top w:val="single" w:sz="8" w:color="0000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20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right w:val="single" w:sz="8" w:color="CCEEFF"/>
            </w:tcBorders>
            <w:shd w:val="clear" w:color="auto" w:fill="CCEEFF"/>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1340" w:type="dxa"/>
            <w:vAlign w:val="bottom"/>
          </w:tcPr>
          <w:p>
            <w:pPr>
              <w:ind w:left="620"/>
              <w:spacing w:after="0" w:line="189" w:lineRule="exact"/>
              <w:rPr>
                <w:sz w:val="20"/>
                <w:szCs w:val="20"/>
                <w:color w:val="auto"/>
              </w:rPr>
            </w:pPr>
            <w:r>
              <w:rPr>
                <w:rFonts w:ascii="Times New Roman" w:cs="Times New Roman" w:eastAsia="Times New Roman" w:hAnsi="Times New Roman"/>
                <w:sz w:val="18"/>
                <w:szCs w:val="18"/>
                <w:color w:val="auto"/>
              </w:rPr>
              <w:t>10.1</w:t>
            </w:r>
          </w:p>
        </w:tc>
        <w:tc>
          <w:tcPr>
            <w:tcW w:w="780" w:type="dxa"/>
            <w:vAlign w:val="bottom"/>
          </w:tcPr>
          <w:p>
            <w:pPr>
              <w:spacing w:after="0"/>
              <w:rPr>
                <w:sz w:val="16"/>
                <w:szCs w:val="16"/>
                <w:color w:val="auto"/>
              </w:rPr>
            </w:pPr>
          </w:p>
        </w:tc>
        <w:tc>
          <w:tcPr>
            <w:tcW w:w="9080" w:type="dxa"/>
            <w:vAlign w:val="bottom"/>
            <w:gridSpan w:val="38"/>
          </w:tcPr>
          <w:p>
            <w:pPr>
              <w:spacing w:after="0" w:line="189" w:lineRule="exact"/>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Amended and Restated Credit Agreement, dated October 28, 2021, among the Company, the foreign subsidiary borrowers</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780" w:type="dxa"/>
            <w:vAlign w:val="bottom"/>
            <w:tcBorders>
              <w:top w:val="single" w:sz="8" w:color="0000FF"/>
            </w:tcBorders>
            <w:gridSpan w:val="27"/>
          </w:tcPr>
          <w:p>
            <w:pPr>
              <w:spacing w:after="0" w:line="156" w:lineRule="exact"/>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from time to time party thereto, the lenders from time to time party thereto, Barclays Bank PLC, Bank of America, N.A.,</w:t>
              </w:r>
            </w:hyperlink>
          </w:p>
        </w:tc>
        <w:tc>
          <w:tcPr>
            <w:tcW w:w="8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2"/>
          </w:tcPr>
          <w:p>
            <w:pPr>
              <w:spacing w:after="0"/>
              <w:rPr>
                <w:sz w:val="13"/>
                <w:szCs w:val="13"/>
                <w:color w:val="auto"/>
              </w:rPr>
            </w:pPr>
          </w:p>
        </w:tc>
        <w:tc>
          <w:tcPr>
            <w:tcW w:w="10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700" w:type="dxa"/>
            <w:vAlign w:val="bottom"/>
            <w:tcBorders>
              <w:top w:val="single" w:sz="8" w:color="0000FF"/>
            </w:tcBorders>
            <w:gridSpan w:val="23"/>
          </w:tcPr>
          <w:p>
            <w:pPr>
              <w:spacing w:after="0" w:line="169" w:lineRule="exact"/>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Citibank N.A. and HSBC Bank USA, National Association, as syndication agents, and JPMorgan Chase Bank, N.A., as</w:t>
              </w:r>
            </w:hyperlink>
          </w:p>
        </w:tc>
        <w:tc>
          <w:tcPr>
            <w:tcW w:w="40" w:type="dxa"/>
            <w:vAlign w:val="bottom"/>
            <w:gridSpan w:val="2"/>
          </w:tcPr>
          <w:p>
            <w:pPr>
              <w:spacing w:after="0"/>
              <w:rPr>
                <w:sz w:val="14"/>
                <w:szCs w:val="14"/>
                <w:color w:val="auto"/>
              </w:rPr>
            </w:pPr>
          </w:p>
        </w:tc>
        <w:tc>
          <w:tcPr>
            <w:tcW w:w="120" w:type="dxa"/>
            <w:vAlign w:val="bottom"/>
            <w:gridSpan w:val="5"/>
          </w:tcPr>
          <w:p>
            <w:pPr>
              <w:spacing w:after="0"/>
              <w:rPr>
                <w:sz w:val="14"/>
                <w:szCs w:val="14"/>
                <w:color w:val="auto"/>
              </w:rPr>
            </w:pPr>
          </w:p>
        </w:tc>
        <w:tc>
          <w:tcPr>
            <w:tcW w:w="60" w:type="dxa"/>
            <w:vAlign w:val="bottom"/>
            <w:gridSpan w:val="3"/>
          </w:tcPr>
          <w:p>
            <w:pPr>
              <w:spacing w:after="0"/>
              <w:rPr>
                <w:sz w:val="14"/>
                <w:szCs w:val="14"/>
                <w:color w:val="auto"/>
              </w:rPr>
            </w:pPr>
          </w:p>
        </w:tc>
        <w:tc>
          <w:tcPr>
            <w:tcW w:w="60" w:type="dxa"/>
            <w:vAlign w:val="bottom"/>
            <w:gridSpan w:val="2"/>
          </w:tcPr>
          <w:p>
            <w:pPr>
              <w:spacing w:after="0"/>
              <w:rPr>
                <w:sz w:val="14"/>
                <w:szCs w:val="14"/>
                <w:color w:val="auto"/>
              </w:rPr>
            </w:pPr>
          </w:p>
        </w:tc>
        <w:tc>
          <w:tcPr>
            <w:tcW w:w="10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620" w:type="dxa"/>
            <w:vAlign w:val="bottom"/>
            <w:tcBorders>
              <w:top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administrative agent (incorporated by reference to Exhibit 10.1 to the Company's Current Report on Form 8-K filed on</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120" w:type="dxa"/>
            <w:vAlign w:val="bottom"/>
            <w:gridSpan w:val="5"/>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2"/>
          </w:tcPr>
          <w:p>
            <w:pPr>
              <w:spacing w:after="0"/>
              <w:rPr>
                <w:sz w:val="13"/>
                <w:szCs w:val="13"/>
                <w:color w:val="auto"/>
              </w:rPr>
            </w:pPr>
          </w:p>
        </w:tc>
        <w:tc>
          <w:tcPr>
            <w:tcW w:w="10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540" w:type="dxa"/>
            <w:vAlign w:val="bottom"/>
            <w:tcBorders>
              <w:top w:val="single" w:sz="8" w:color="0000FF"/>
            </w:tcBorders>
            <w:gridSpan w:val="15"/>
          </w:tcPr>
          <w:p>
            <w:pPr>
              <w:spacing w:after="0" w:line="156" w:lineRule="exact"/>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October 28, 2021).</w:t>
              </w:r>
            </w:hyperlink>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120" w:type="dxa"/>
            <w:vAlign w:val="bottom"/>
            <w:gridSpan w:val="5"/>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2"/>
          </w:tcPr>
          <w:p>
            <w:pPr>
              <w:spacing w:after="0"/>
              <w:rPr>
                <w:sz w:val="13"/>
                <w:szCs w:val="13"/>
                <w:color w:val="auto"/>
              </w:rPr>
            </w:pPr>
          </w:p>
        </w:tc>
        <w:tc>
          <w:tcPr>
            <w:tcW w:w="10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1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360" w:type="dxa"/>
            <w:vAlign w:val="bottom"/>
            <w:tcBorders>
              <w:top w:val="single" w:sz="8" w:color="0000FF"/>
            </w:tcBorders>
          </w:tcPr>
          <w:p>
            <w:pPr>
              <w:spacing w:after="0"/>
              <w:rPr>
                <w:sz w:val="2"/>
                <w:szCs w:val="2"/>
                <w:color w:val="auto"/>
              </w:rPr>
            </w:pPr>
          </w:p>
        </w:tc>
        <w:tc>
          <w:tcPr>
            <w:tcW w:w="7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1340" w:type="dxa"/>
            <w:vAlign w:val="bottom"/>
            <w:shd w:val="clear" w:color="auto" w:fill="CCEEFF"/>
          </w:tcPr>
          <w:p>
            <w:pPr>
              <w:ind w:left="620"/>
              <w:spacing w:after="0" w:line="189" w:lineRule="exact"/>
              <w:rPr>
                <w:sz w:val="20"/>
                <w:szCs w:val="20"/>
                <w:color w:val="auto"/>
              </w:rPr>
            </w:pPr>
            <w:r>
              <w:rPr>
                <w:rFonts w:ascii="Times New Roman" w:cs="Times New Roman" w:eastAsia="Times New Roman" w:hAnsi="Times New Roman"/>
                <w:sz w:val="18"/>
                <w:szCs w:val="18"/>
                <w:color w:val="auto"/>
              </w:rPr>
              <w:t>10.2</w:t>
            </w:r>
          </w:p>
        </w:tc>
        <w:tc>
          <w:tcPr>
            <w:tcW w:w="780" w:type="dxa"/>
            <w:vAlign w:val="bottom"/>
            <w:shd w:val="clear" w:color="auto" w:fill="CCEEFF"/>
          </w:tcPr>
          <w:p>
            <w:pPr>
              <w:spacing w:after="0"/>
              <w:rPr>
                <w:sz w:val="16"/>
                <w:szCs w:val="16"/>
                <w:color w:val="auto"/>
              </w:rPr>
            </w:pPr>
          </w:p>
        </w:tc>
        <w:tc>
          <w:tcPr>
            <w:tcW w:w="9080" w:type="dxa"/>
            <w:vAlign w:val="bottom"/>
            <w:tcBorders>
              <w:right w:val="single" w:sz="8" w:color="CCEEFF"/>
            </w:tcBorders>
            <w:gridSpan w:val="38"/>
            <w:shd w:val="clear" w:color="auto" w:fill="CCEEFF"/>
          </w:tcPr>
          <w:p>
            <w:pPr>
              <w:spacing w:after="0" w:line="189" w:lineRule="exact"/>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Extension Agreement and Amendment No. 2, dated November 21, 2023, related to the Amended and Restated Credit</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34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spacing w:after="0"/>
              <w:rPr>
                <w:sz w:val="13"/>
                <w:szCs w:val="13"/>
                <w:color w:val="auto"/>
              </w:rPr>
            </w:pPr>
          </w:p>
        </w:tc>
        <w:tc>
          <w:tcPr>
            <w:tcW w:w="8440" w:type="dxa"/>
            <w:vAlign w:val="bottom"/>
            <w:tcBorders>
              <w:top w:val="single" w:sz="8" w:color="0000FF"/>
            </w:tcBorders>
            <w:gridSpan w:val="14"/>
            <w:shd w:val="clear" w:color="auto" w:fill="CCEEFF"/>
          </w:tcPr>
          <w:p>
            <w:pPr>
              <w:spacing w:after="0" w:line="156" w:lineRule="exact"/>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Agreement, dated October 28, 2021 (as amended by that certain Amendment No. 1, dated June 14, 2023) among the</w:t>
              </w:r>
            </w:hyperlink>
          </w:p>
        </w:tc>
        <w:tc>
          <w:tcPr>
            <w:tcW w:w="140" w:type="dxa"/>
            <w:vAlign w:val="bottom"/>
            <w:tcBorders>
              <w:top w:val="single" w:sz="8" w:color="CCEEFF"/>
            </w:tcBorders>
            <w:gridSpan w:val="3"/>
            <w:shd w:val="clear" w:color="auto" w:fill="CCEEFF"/>
          </w:tcPr>
          <w:p>
            <w:pPr>
              <w:spacing w:after="0"/>
              <w:rPr>
                <w:sz w:val="13"/>
                <w:szCs w:val="13"/>
                <w:color w:val="auto"/>
              </w:rPr>
            </w:pPr>
          </w:p>
        </w:tc>
        <w:tc>
          <w:tcPr>
            <w:tcW w:w="60" w:type="dxa"/>
            <w:vAlign w:val="bottom"/>
            <w:tcBorders>
              <w:top w:val="single" w:sz="8" w:color="CCEEFF"/>
            </w:tcBorders>
            <w:gridSpan w:val="3"/>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60" w:type="dxa"/>
            <w:vAlign w:val="bottom"/>
            <w:tcBorders>
              <w:top w:val="single" w:sz="8" w:color="CCEEFF"/>
            </w:tcBorders>
            <w:gridSpan w:val="3"/>
            <w:shd w:val="clear" w:color="auto" w:fill="CCEEFF"/>
          </w:tcPr>
          <w:p>
            <w:pPr>
              <w:spacing w:after="0"/>
              <w:rPr>
                <w:sz w:val="13"/>
                <w:szCs w:val="13"/>
                <w:color w:val="auto"/>
              </w:rPr>
            </w:pPr>
          </w:p>
        </w:tc>
        <w:tc>
          <w:tcPr>
            <w:tcW w:w="120" w:type="dxa"/>
            <w:vAlign w:val="bottom"/>
            <w:tcBorders>
              <w:top w:val="single" w:sz="8" w:color="CCEEFF"/>
            </w:tcBorders>
            <w:gridSpan w:val="5"/>
            <w:shd w:val="clear" w:color="auto" w:fill="CCEEFF"/>
          </w:tcPr>
          <w:p>
            <w:pPr>
              <w:spacing w:after="0"/>
              <w:rPr>
                <w:sz w:val="13"/>
                <w:szCs w:val="13"/>
                <w:color w:val="auto"/>
              </w:rPr>
            </w:pPr>
          </w:p>
        </w:tc>
        <w:tc>
          <w:tcPr>
            <w:tcW w:w="60" w:type="dxa"/>
            <w:vAlign w:val="bottom"/>
            <w:tcBorders>
              <w:top w:val="single" w:sz="8" w:color="CCEEFF"/>
            </w:tcBorders>
            <w:gridSpan w:val="3"/>
            <w:shd w:val="clear" w:color="auto" w:fill="CCEEFF"/>
          </w:tcPr>
          <w:p>
            <w:pPr>
              <w:spacing w:after="0"/>
              <w:rPr>
                <w:sz w:val="13"/>
                <w:szCs w:val="13"/>
                <w:color w:val="auto"/>
              </w:rPr>
            </w:pPr>
          </w:p>
        </w:tc>
        <w:tc>
          <w:tcPr>
            <w:tcW w:w="60" w:type="dxa"/>
            <w:vAlign w:val="bottom"/>
            <w:tcBorders>
              <w:top w:val="single" w:sz="8" w:color="CCEEFF"/>
            </w:tcBorders>
            <w:gridSpan w:val="2"/>
            <w:shd w:val="clear" w:color="auto" w:fill="CCEEFF"/>
          </w:tcPr>
          <w:p>
            <w:pPr>
              <w:spacing w:after="0"/>
              <w:rPr>
                <w:sz w:val="13"/>
                <w:szCs w:val="13"/>
                <w:color w:val="auto"/>
              </w:rPr>
            </w:pPr>
          </w:p>
        </w:tc>
        <w:tc>
          <w:tcPr>
            <w:tcW w:w="100" w:type="dxa"/>
            <w:vAlign w:val="bottom"/>
            <w:tcBorders>
              <w:top w:val="single" w:sz="8" w:color="CCEEFF"/>
              <w:right w:val="single" w:sz="8" w:color="CCEEFF"/>
            </w:tcBorders>
            <w:gridSpan w:val="3"/>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2140" w:type="dxa"/>
            <w:vAlign w:val="bottom"/>
            <w:gridSpan w:val="2"/>
            <w:shd w:val="clear" w:color="auto" w:fill="0000FF"/>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4080" w:type="dxa"/>
            <w:vAlign w:val="bottom"/>
            <w:gridSpan w:val="7"/>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20" w:type="dxa"/>
            <w:vAlign w:val="bottom"/>
            <w:gridSpan w:val="4"/>
            <w:shd w:val="clear" w:color="auto" w:fill="CCEEFF"/>
          </w:tcPr>
          <w:p>
            <w:pPr>
              <w:spacing w:after="0" w:line="20" w:lineRule="exact"/>
              <w:rPr>
                <w:sz w:val="1"/>
                <w:szCs w:val="1"/>
                <w:color w:val="auto"/>
              </w:rPr>
            </w:pPr>
          </w:p>
        </w:tc>
        <w:tc>
          <w:tcPr>
            <w:tcW w:w="60" w:type="dxa"/>
            <w:vAlign w:val="bottom"/>
            <w:gridSpan w:val="3"/>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60" w:type="dxa"/>
            <w:vAlign w:val="bottom"/>
            <w:gridSpan w:val="3"/>
            <w:shd w:val="clear" w:color="auto" w:fill="CCEEFF"/>
          </w:tcPr>
          <w:p>
            <w:pPr>
              <w:spacing w:after="0" w:line="20" w:lineRule="exact"/>
              <w:rPr>
                <w:sz w:val="1"/>
                <w:szCs w:val="1"/>
                <w:color w:val="auto"/>
              </w:rPr>
            </w:pPr>
          </w:p>
        </w:tc>
        <w:tc>
          <w:tcPr>
            <w:tcW w:w="120" w:type="dxa"/>
            <w:vAlign w:val="bottom"/>
            <w:gridSpan w:val="5"/>
            <w:shd w:val="clear" w:color="auto" w:fill="CCEEFF"/>
          </w:tcPr>
          <w:p>
            <w:pPr>
              <w:spacing w:after="0" w:line="20" w:lineRule="exact"/>
              <w:rPr>
                <w:sz w:val="1"/>
                <w:szCs w:val="1"/>
                <w:color w:val="auto"/>
              </w:rPr>
            </w:pPr>
          </w:p>
        </w:tc>
        <w:tc>
          <w:tcPr>
            <w:tcW w:w="60" w:type="dxa"/>
            <w:vAlign w:val="bottom"/>
            <w:gridSpan w:val="3"/>
            <w:shd w:val="clear" w:color="auto" w:fill="CCEEFF"/>
          </w:tcPr>
          <w:p>
            <w:pPr>
              <w:spacing w:after="0" w:line="20" w:lineRule="exact"/>
              <w:rPr>
                <w:sz w:val="1"/>
                <w:szCs w:val="1"/>
                <w:color w:val="auto"/>
              </w:rPr>
            </w:pPr>
          </w:p>
        </w:tc>
        <w:tc>
          <w:tcPr>
            <w:tcW w:w="60" w:type="dxa"/>
            <w:vAlign w:val="bottom"/>
            <w:gridSpan w:val="2"/>
            <w:shd w:val="clear" w:color="auto" w:fill="CCEEFF"/>
          </w:tcPr>
          <w:p>
            <w:pPr>
              <w:spacing w:after="0" w:line="20" w:lineRule="exact"/>
              <w:rPr>
                <w:sz w:val="1"/>
                <w:szCs w:val="1"/>
                <w:color w:val="auto"/>
              </w:rPr>
            </w:pPr>
          </w:p>
        </w:tc>
        <w:tc>
          <w:tcPr>
            <w:tcW w:w="100" w:type="dxa"/>
            <w:vAlign w:val="bottom"/>
            <w:tcBorders>
              <w:right w:val="single" w:sz="8" w:color="CCEEFF"/>
            </w:tcBorders>
            <w:gridSpan w:val="3"/>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9080" w:type="dxa"/>
            <w:vAlign w:val="bottom"/>
            <w:tcBorders>
              <w:right w:val="single" w:sz="8" w:color="CCEEFF"/>
            </w:tcBorders>
            <w:gridSpan w:val="38"/>
            <w:shd w:val="clear" w:color="auto" w:fill="CCEEFF"/>
          </w:tcPr>
          <w:p>
            <w:pPr>
              <w:spacing w:after="0" w:line="169" w:lineRule="exact"/>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Company, the foreign subsidiary borrowers from time to time party thereto, the lenders from time to time party thereto,</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340" w:type="dxa"/>
            <w:vAlign w:val="bottom"/>
            <w:tcBorders>
              <w:top w:val="single" w:sz="8" w:color="CCEEFF"/>
              <w:bottom w:val="single" w:sz="8" w:color="CCEEFF"/>
            </w:tcBorders>
            <w:shd w:val="clear" w:color="auto" w:fill="CCEEFF"/>
          </w:tcPr>
          <w:p>
            <w:pPr>
              <w:spacing w:after="0"/>
              <w:rPr>
                <w:sz w:val="13"/>
                <w:szCs w:val="13"/>
                <w:color w:val="auto"/>
              </w:rPr>
            </w:pPr>
          </w:p>
        </w:tc>
        <w:tc>
          <w:tcPr>
            <w:tcW w:w="780" w:type="dxa"/>
            <w:vAlign w:val="bottom"/>
            <w:tcBorders>
              <w:top w:val="single" w:sz="8" w:color="CCEEFF"/>
              <w:bottom w:val="single" w:sz="8" w:color="CCEEFF"/>
            </w:tcBorders>
            <w:shd w:val="clear" w:color="auto" w:fill="CCEEFF"/>
          </w:tcPr>
          <w:p>
            <w:pPr>
              <w:spacing w:after="0"/>
              <w:rPr>
                <w:sz w:val="13"/>
                <w:szCs w:val="13"/>
                <w:color w:val="auto"/>
              </w:rPr>
            </w:pPr>
          </w:p>
        </w:tc>
        <w:tc>
          <w:tcPr>
            <w:tcW w:w="8580" w:type="dxa"/>
            <w:vAlign w:val="bottom"/>
            <w:tcBorders>
              <w:top w:val="single" w:sz="8" w:color="0000FF"/>
              <w:bottom w:val="single" w:sz="8" w:color="0000FF"/>
            </w:tcBorders>
            <w:gridSpan w:val="17"/>
            <w:shd w:val="clear" w:color="auto" w:fill="CCEEFF"/>
          </w:tcPr>
          <w:p>
            <w:pPr>
              <w:spacing w:after="0" w:line="156" w:lineRule="exact"/>
              <w:rPr>
                <w:rFonts w:ascii="Times New Roman" w:cs="Times New Roman" w:eastAsia="Times New Roman" w:hAnsi="Times New Roman"/>
                <w:sz w:val="18"/>
                <w:szCs w:val="18"/>
                <w:color w:val="0000FF"/>
                <w:w w:val="98"/>
              </w:rPr>
            </w:pPr>
            <w:hyperlink r:id="rId150">
              <w:r>
                <w:rPr>
                  <w:rFonts w:ascii="Times New Roman" w:cs="Times New Roman" w:eastAsia="Times New Roman" w:hAnsi="Times New Roman"/>
                  <w:sz w:val="18"/>
                  <w:szCs w:val="18"/>
                  <w:color w:val="0000FF"/>
                  <w:w w:val="98"/>
                </w:rPr>
                <w:t>Barclays Bank PLC, Bank of America, N.A., Citibank, N.A. and HSBC Bank USA, National Association, as syndication</w:t>
              </w:r>
            </w:hyperlink>
          </w:p>
        </w:tc>
        <w:tc>
          <w:tcPr>
            <w:tcW w:w="60" w:type="dxa"/>
            <w:vAlign w:val="bottom"/>
            <w:tcBorders>
              <w:top w:val="single" w:sz="8" w:color="CCEEFF"/>
              <w:bottom w:val="single" w:sz="8" w:color="0000FF"/>
            </w:tcBorders>
            <w:gridSpan w:val="3"/>
            <w:shd w:val="clear" w:color="auto" w:fill="CCEEFF"/>
          </w:tcPr>
          <w:p>
            <w:pPr>
              <w:spacing w:after="0"/>
              <w:rPr>
                <w:sz w:val="13"/>
                <w:szCs w:val="13"/>
                <w:color w:val="auto"/>
              </w:rPr>
            </w:pPr>
          </w:p>
        </w:tc>
        <w:tc>
          <w:tcPr>
            <w:tcW w:w="40" w:type="dxa"/>
            <w:vAlign w:val="bottom"/>
            <w:tcBorders>
              <w:top w:val="single" w:sz="8" w:color="CCEEFF"/>
              <w:bottom w:val="single" w:sz="8" w:color="0000FF"/>
            </w:tcBorders>
            <w:gridSpan w:val="2"/>
            <w:shd w:val="clear" w:color="auto" w:fill="CCEEFF"/>
          </w:tcPr>
          <w:p>
            <w:pPr>
              <w:spacing w:after="0"/>
              <w:rPr>
                <w:sz w:val="13"/>
                <w:szCs w:val="13"/>
                <w:color w:val="auto"/>
              </w:rPr>
            </w:pPr>
          </w:p>
        </w:tc>
        <w:tc>
          <w:tcPr>
            <w:tcW w:w="60" w:type="dxa"/>
            <w:vAlign w:val="bottom"/>
            <w:tcBorders>
              <w:top w:val="single" w:sz="8" w:color="CCEEFF"/>
              <w:bottom w:val="single" w:sz="8" w:color="0000FF"/>
            </w:tcBorders>
            <w:gridSpan w:val="3"/>
            <w:shd w:val="clear" w:color="auto" w:fill="CCEEFF"/>
          </w:tcPr>
          <w:p>
            <w:pPr>
              <w:spacing w:after="0"/>
              <w:rPr>
                <w:sz w:val="13"/>
                <w:szCs w:val="13"/>
                <w:color w:val="auto"/>
              </w:rPr>
            </w:pPr>
          </w:p>
        </w:tc>
        <w:tc>
          <w:tcPr>
            <w:tcW w:w="120" w:type="dxa"/>
            <w:vAlign w:val="bottom"/>
            <w:tcBorders>
              <w:top w:val="single" w:sz="8" w:color="CCEEFF"/>
              <w:bottom w:val="single" w:sz="8" w:color="CCEEFF"/>
            </w:tcBorders>
            <w:gridSpan w:val="5"/>
            <w:shd w:val="clear" w:color="auto" w:fill="CCEEFF"/>
          </w:tcPr>
          <w:p>
            <w:pPr>
              <w:spacing w:after="0"/>
              <w:rPr>
                <w:sz w:val="13"/>
                <w:szCs w:val="13"/>
                <w:color w:val="auto"/>
              </w:rPr>
            </w:pPr>
          </w:p>
        </w:tc>
        <w:tc>
          <w:tcPr>
            <w:tcW w:w="60" w:type="dxa"/>
            <w:vAlign w:val="bottom"/>
            <w:tcBorders>
              <w:top w:val="single" w:sz="8" w:color="CCEEFF"/>
              <w:bottom w:val="single" w:sz="8" w:color="CCEEFF"/>
            </w:tcBorders>
            <w:gridSpan w:val="3"/>
            <w:shd w:val="clear" w:color="auto" w:fill="CCEEFF"/>
          </w:tcPr>
          <w:p>
            <w:pPr>
              <w:spacing w:after="0"/>
              <w:rPr>
                <w:sz w:val="13"/>
                <w:szCs w:val="13"/>
                <w:color w:val="auto"/>
              </w:rPr>
            </w:pPr>
          </w:p>
        </w:tc>
        <w:tc>
          <w:tcPr>
            <w:tcW w:w="6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100" w:type="dxa"/>
            <w:vAlign w:val="bottom"/>
            <w:tcBorders>
              <w:top w:val="single" w:sz="8" w:color="CCEEFF"/>
              <w:bottom w:val="single" w:sz="8" w:color="CCEEFF"/>
              <w:right w:val="single" w:sz="8" w:color="CCEEFF"/>
            </w:tcBorders>
            <w:gridSpan w:val="3"/>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9080" w:type="dxa"/>
            <w:vAlign w:val="bottom"/>
            <w:tcBorders>
              <w:right w:val="single" w:sz="8" w:color="CCEEFF"/>
            </w:tcBorders>
            <w:gridSpan w:val="38"/>
            <w:shd w:val="clear" w:color="auto" w:fill="CCEEFF"/>
          </w:tcPr>
          <w:p>
            <w:pPr>
              <w:spacing w:after="0" w:line="156" w:lineRule="exact"/>
              <w:rPr>
                <w:rFonts w:ascii="Times New Roman" w:cs="Times New Roman" w:eastAsia="Times New Roman" w:hAnsi="Times New Roman"/>
                <w:sz w:val="18"/>
                <w:szCs w:val="18"/>
                <w:color w:val="0000FF"/>
                <w:w w:val="99"/>
              </w:rPr>
            </w:pPr>
            <w:hyperlink r:id="rId150">
              <w:r>
                <w:rPr>
                  <w:rFonts w:ascii="Times New Roman" w:cs="Times New Roman" w:eastAsia="Times New Roman" w:hAnsi="Times New Roman"/>
                  <w:sz w:val="18"/>
                  <w:szCs w:val="18"/>
                  <w:color w:val="0000FF"/>
                  <w:w w:val="99"/>
                </w:rPr>
                <w:t>agents, and JPMorgan Chase Bank, N.A., as administrative agent (incorporated by reference to Exhibit 10.1 to the Company's</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34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CCEEFF"/>
            </w:tcBorders>
            <w:shd w:val="clear" w:color="auto" w:fill="CCEEFF"/>
          </w:tcPr>
          <w:p>
            <w:pPr>
              <w:spacing w:after="0"/>
              <w:rPr>
                <w:sz w:val="14"/>
                <w:szCs w:val="14"/>
                <w:color w:val="auto"/>
              </w:rPr>
            </w:pPr>
          </w:p>
        </w:tc>
        <w:tc>
          <w:tcPr>
            <w:tcW w:w="9080" w:type="dxa"/>
            <w:vAlign w:val="bottom"/>
            <w:tcBorders>
              <w:top w:val="single" w:sz="8" w:color="0000FF"/>
              <w:right w:val="single" w:sz="8" w:color="CCEEFF"/>
            </w:tcBorders>
            <w:gridSpan w:val="38"/>
            <w:shd w:val="clear" w:color="auto" w:fill="CCEEFF"/>
          </w:tcPr>
          <w:p>
            <w:pPr>
              <w:spacing w:after="0" w:line="169" w:lineRule="exact"/>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Current Report on Form 8-K filed on November 21, 2023).</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0000FF"/>
            </w:tcBorders>
            <w:shd w:val="clear" w:color="auto" w:fill="CCEEFF"/>
          </w:tcPr>
          <w:p>
            <w:pPr>
              <w:spacing w:after="0" w:line="20" w:lineRule="exact"/>
              <w:rPr>
                <w:sz w:val="1"/>
                <w:szCs w:val="1"/>
                <w:color w:val="auto"/>
              </w:rPr>
            </w:pPr>
          </w:p>
        </w:tc>
        <w:tc>
          <w:tcPr>
            <w:tcW w:w="780" w:type="dxa"/>
            <w:vAlign w:val="bottom"/>
            <w:tcBorders>
              <w:top w:val="single" w:sz="8" w:color="0000FF"/>
            </w:tcBorders>
            <w:shd w:val="clear" w:color="auto" w:fill="CCEEFF"/>
          </w:tcPr>
          <w:p>
            <w:pPr>
              <w:spacing w:after="0" w:line="20" w:lineRule="exact"/>
              <w:rPr>
                <w:sz w:val="1"/>
                <w:szCs w:val="1"/>
                <w:color w:val="auto"/>
              </w:rPr>
            </w:pPr>
          </w:p>
        </w:tc>
        <w:tc>
          <w:tcPr>
            <w:tcW w:w="156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1340" w:type="dxa"/>
            <w:vAlign w:val="bottom"/>
          </w:tcPr>
          <w:p>
            <w:pPr>
              <w:ind w:left="620"/>
              <w:spacing w:after="0" w:line="189" w:lineRule="exact"/>
              <w:rPr>
                <w:sz w:val="20"/>
                <w:szCs w:val="20"/>
                <w:color w:val="auto"/>
              </w:rPr>
            </w:pPr>
            <w:r>
              <w:rPr>
                <w:rFonts w:ascii="Times New Roman" w:cs="Times New Roman" w:eastAsia="Times New Roman" w:hAnsi="Times New Roman"/>
                <w:sz w:val="18"/>
                <w:szCs w:val="18"/>
                <w:color w:val="auto"/>
              </w:rPr>
              <w:t>10.3</w:t>
            </w:r>
          </w:p>
        </w:tc>
        <w:tc>
          <w:tcPr>
            <w:tcW w:w="780" w:type="dxa"/>
            <w:vAlign w:val="bottom"/>
          </w:tcPr>
          <w:p>
            <w:pPr>
              <w:spacing w:after="0"/>
              <w:rPr>
                <w:sz w:val="16"/>
                <w:szCs w:val="16"/>
                <w:color w:val="auto"/>
              </w:rPr>
            </w:pPr>
          </w:p>
        </w:tc>
        <w:tc>
          <w:tcPr>
            <w:tcW w:w="9080" w:type="dxa"/>
            <w:vAlign w:val="bottom"/>
            <w:gridSpan w:val="38"/>
          </w:tcPr>
          <w:p>
            <w:pPr>
              <w:spacing w:after="0" w:line="189" w:lineRule="exact"/>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Second Amended and Restated Credit Agreement, dated July 24, 2025, among the Company, the foreign subsidiary</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320" w:type="dxa"/>
            <w:vAlign w:val="bottom"/>
            <w:tcBorders>
              <w:top w:val="single" w:sz="8" w:color="0000FF"/>
            </w:tcBorders>
            <w:gridSpan w:val="11"/>
          </w:tcPr>
          <w:p>
            <w:pPr>
              <w:spacing w:after="0" w:line="156" w:lineRule="exact"/>
              <w:rPr>
                <w:rFonts w:ascii="Times New Roman" w:cs="Times New Roman" w:eastAsia="Times New Roman" w:hAnsi="Times New Roman"/>
                <w:sz w:val="18"/>
                <w:szCs w:val="18"/>
                <w:color w:val="0000FF"/>
                <w:w w:val="99"/>
              </w:rPr>
            </w:pPr>
            <w:hyperlink r:id="rId151">
              <w:r>
                <w:rPr>
                  <w:rFonts w:ascii="Times New Roman" w:cs="Times New Roman" w:eastAsia="Times New Roman" w:hAnsi="Times New Roman"/>
                  <w:sz w:val="18"/>
                  <w:szCs w:val="18"/>
                  <w:color w:val="0000FF"/>
                  <w:w w:val="99"/>
                </w:rPr>
                <w:t>borrowers from time to time party thereto, the lenders from time to time party thereto, Bank of America, N.A., BNP</w:t>
              </w:r>
            </w:hyperlink>
          </w:p>
        </w:tc>
        <w:tc>
          <w:tcPr>
            <w:tcW w:w="780" w:type="dxa"/>
            <w:vAlign w:val="bottom"/>
            <w:gridSpan w:val="28"/>
          </w:tcPr>
          <w:p>
            <w:pPr>
              <w:ind w:left="60"/>
              <w:spacing w:after="0" w:line="156" w:lineRule="exact"/>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Paribas,</w:t>
              </w:r>
            </w:hyperlink>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980" w:type="dxa"/>
            <w:vAlign w:val="bottom"/>
            <w:tcBorders>
              <w:top w:val="single" w:sz="8" w:color="0000FF"/>
            </w:tcBorders>
            <w:gridSpan w:val="35"/>
          </w:tcPr>
          <w:p>
            <w:pPr>
              <w:spacing w:after="0" w:line="169" w:lineRule="exact"/>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Citibank, N.A. and HSBC Bank USA, National Association, as syndication agents, and JPMorgan Chase Bank, N.A., as</w:t>
              </w:r>
            </w:hyperlink>
          </w:p>
        </w:tc>
        <w:tc>
          <w:tcPr>
            <w:tcW w:w="12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640" w:type="dxa"/>
            <w:vAlign w:val="bottom"/>
            <w:tcBorders>
              <w:top w:val="single" w:sz="8" w:color="0000FF"/>
              <w:bottom w:val="single" w:sz="8" w:color="0000FF"/>
            </w:tcBorders>
            <w:gridSpan w:val="20"/>
          </w:tcPr>
          <w:p>
            <w:pPr>
              <w:spacing w:after="0" w:line="156" w:lineRule="exact"/>
              <w:rPr>
                <w:rFonts w:ascii="Times New Roman" w:cs="Times New Roman" w:eastAsia="Times New Roman" w:hAnsi="Times New Roman"/>
                <w:sz w:val="18"/>
                <w:szCs w:val="18"/>
                <w:color w:val="0000FF"/>
                <w:w w:val="99"/>
              </w:rPr>
            </w:pPr>
            <w:hyperlink r:id="rId151">
              <w:r>
                <w:rPr>
                  <w:rFonts w:ascii="Times New Roman" w:cs="Times New Roman" w:eastAsia="Times New Roman" w:hAnsi="Times New Roman"/>
                  <w:sz w:val="18"/>
                  <w:szCs w:val="18"/>
                  <w:color w:val="0000FF"/>
                  <w:w w:val="99"/>
                </w:rPr>
                <w:t>administrative agent (incorporated by reference to Exhibit 10.1 to the Company's Quarterly Report on Form 10-Q for the</w:t>
              </w:r>
            </w:hyperlink>
          </w:p>
        </w:tc>
        <w:tc>
          <w:tcPr>
            <w:tcW w:w="40" w:type="dxa"/>
            <w:vAlign w:val="bottom"/>
            <w:tcBorders>
              <w:bottom w:val="single" w:sz="8" w:color="0000FF"/>
            </w:tcBorders>
            <w:gridSpan w:val="2"/>
          </w:tcPr>
          <w:p>
            <w:pPr>
              <w:spacing w:after="0"/>
              <w:rPr>
                <w:sz w:val="13"/>
                <w:szCs w:val="13"/>
                <w:color w:val="auto"/>
              </w:rPr>
            </w:pPr>
          </w:p>
        </w:tc>
        <w:tc>
          <w:tcPr>
            <w:tcW w:w="180" w:type="dxa"/>
            <w:vAlign w:val="bottom"/>
            <w:gridSpan w:val="8"/>
          </w:tcPr>
          <w:p>
            <w:pPr>
              <w:spacing w:after="0"/>
              <w:rPr>
                <w:sz w:val="13"/>
                <w:szCs w:val="13"/>
                <w:color w:val="auto"/>
              </w:rPr>
            </w:pPr>
          </w:p>
        </w:tc>
        <w:tc>
          <w:tcPr>
            <w:tcW w:w="60" w:type="dxa"/>
            <w:vAlign w:val="bottom"/>
            <w:gridSpan w:val="3"/>
          </w:tcPr>
          <w:p>
            <w:pPr>
              <w:spacing w:after="0"/>
              <w:rPr>
                <w:sz w:val="13"/>
                <w:szCs w:val="13"/>
                <w:color w:val="auto"/>
              </w:rPr>
            </w:pPr>
          </w:p>
        </w:tc>
        <w:tc>
          <w:tcPr>
            <w:tcW w:w="18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680" w:type="dxa"/>
            <w:vAlign w:val="bottom"/>
            <w:gridSpan w:val="22"/>
          </w:tcPr>
          <w:p>
            <w:pPr>
              <w:spacing w:after="0" w:line="156" w:lineRule="exact"/>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quarter ended June 28, 2025).</w:t>
              </w:r>
            </w:hyperlink>
          </w:p>
        </w:tc>
        <w:tc>
          <w:tcPr>
            <w:tcW w:w="180" w:type="dxa"/>
            <w:vAlign w:val="bottom"/>
            <w:gridSpan w:val="8"/>
          </w:tcPr>
          <w:p>
            <w:pPr>
              <w:spacing w:after="0"/>
              <w:rPr>
                <w:sz w:val="13"/>
                <w:szCs w:val="13"/>
                <w:color w:val="auto"/>
              </w:rPr>
            </w:pPr>
          </w:p>
        </w:tc>
        <w:tc>
          <w:tcPr>
            <w:tcW w:w="60" w:type="dxa"/>
            <w:vAlign w:val="bottom"/>
            <w:gridSpan w:val="3"/>
          </w:tcPr>
          <w:p>
            <w:pPr>
              <w:spacing w:after="0"/>
              <w:rPr>
                <w:sz w:val="13"/>
                <w:szCs w:val="13"/>
                <w:color w:val="auto"/>
              </w:rPr>
            </w:pPr>
          </w:p>
        </w:tc>
        <w:tc>
          <w:tcPr>
            <w:tcW w:w="18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1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360" w:type="dxa"/>
            <w:vAlign w:val="bottom"/>
            <w:tcBorders>
              <w:top w:val="single" w:sz="8" w:color="0000FF"/>
            </w:tcBorders>
          </w:tcPr>
          <w:p>
            <w:pPr>
              <w:spacing w:after="0"/>
              <w:rPr>
                <w:sz w:val="2"/>
                <w:szCs w:val="2"/>
                <w:color w:val="auto"/>
              </w:rPr>
            </w:pPr>
          </w:p>
        </w:tc>
        <w:tc>
          <w:tcPr>
            <w:tcW w:w="780" w:type="dxa"/>
            <w:vAlign w:val="bottom"/>
            <w:tcBorders>
              <w:top w:val="single" w:sz="8" w:color="0000FF"/>
            </w:tcBorders>
          </w:tcPr>
          <w:p>
            <w:pPr>
              <w:spacing w:after="0"/>
              <w:rPr>
                <w:sz w:val="2"/>
                <w:szCs w:val="2"/>
                <w:color w:val="auto"/>
              </w:rPr>
            </w:pPr>
          </w:p>
        </w:tc>
        <w:tc>
          <w:tcPr>
            <w:tcW w:w="15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1340" w:type="dxa"/>
            <w:vAlign w:val="bottom"/>
            <w:shd w:val="clear" w:color="auto" w:fill="CCEEFF"/>
          </w:tcPr>
          <w:p>
            <w:pPr>
              <w:ind w:left="620"/>
              <w:spacing w:after="0" w:line="189" w:lineRule="exact"/>
              <w:rPr>
                <w:sz w:val="20"/>
                <w:szCs w:val="20"/>
                <w:color w:val="auto"/>
              </w:rPr>
            </w:pPr>
            <w:r>
              <w:rPr>
                <w:rFonts w:ascii="Times New Roman" w:cs="Times New Roman" w:eastAsia="Times New Roman" w:hAnsi="Times New Roman"/>
                <w:sz w:val="18"/>
                <w:szCs w:val="18"/>
                <w:color w:val="auto"/>
              </w:rPr>
              <w:t>10.4</w:t>
            </w:r>
          </w:p>
        </w:tc>
        <w:tc>
          <w:tcPr>
            <w:tcW w:w="780" w:type="dxa"/>
            <w:vAlign w:val="bottom"/>
            <w:shd w:val="clear" w:color="auto" w:fill="CCEEFF"/>
          </w:tcPr>
          <w:p>
            <w:pPr>
              <w:jc w:val="right"/>
              <w:ind w:right="390"/>
              <w:spacing w:after="0" w:line="189" w:lineRule="exact"/>
              <w:rPr>
                <w:sz w:val="20"/>
                <w:szCs w:val="20"/>
                <w:color w:val="auto"/>
              </w:rPr>
            </w:pPr>
            <w:r>
              <w:rPr>
                <w:rFonts w:ascii="Times New Roman" w:cs="Times New Roman" w:eastAsia="Times New Roman" w:hAnsi="Times New Roman"/>
                <w:sz w:val="18"/>
                <w:szCs w:val="18"/>
                <w:color w:val="auto"/>
              </w:rPr>
              <w:t>*</w:t>
            </w:r>
          </w:p>
        </w:tc>
        <w:tc>
          <w:tcPr>
            <w:tcW w:w="9080" w:type="dxa"/>
            <w:vAlign w:val="bottom"/>
            <w:tcBorders>
              <w:right w:val="single" w:sz="8" w:color="CCEEFF"/>
            </w:tcBorders>
            <w:gridSpan w:val="38"/>
            <w:shd w:val="clear" w:color="auto" w:fill="CCEEFF"/>
          </w:tcPr>
          <w:p>
            <w:pPr>
              <w:spacing w:after="0" w:line="189" w:lineRule="exact"/>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Second Amended and Restated Employment Agreement, dated February 14, 2018, between the Company and Raymond E.</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34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CCEEFF"/>
            </w:tcBorders>
            <w:shd w:val="clear" w:color="auto" w:fill="CCEEFF"/>
          </w:tcPr>
          <w:p>
            <w:pPr>
              <w:spacing w:after="0"/>
              <w:rPr>
                <w:sz w:val="16"/>
                <w:szCs w:val="16"/>
                <w:color w:val="auto"/>
              </w:rPr>
            </w:pPr>
          </w:p>
        </w:tc>
        <w:tc>
          <w:tcPr>
            <w:tcW w:w="8860" w:type="dxa"/>
            <w:vAlign w:val="bottom"/>
            <w:tcBorders>
              <w:top w:val="single" w:sz="8" w:color="0000FF"/>
            </w:tcBorders>
            <w:gridSpan w:val="30"/>
            <w:shd w:val="clear" w:color="auto" w:fill="CCEEFF"/>
          </w:tcPr>
          <w:p>
            <w:pPr>
              <w:spacing w:after="0" w:line="156" w:lineRule="exact"/>
              <w:rPr>
                <w:rFonts w:ascii="Times New Roman" w:cs="Times New Roman" w:eastAsia="Times New Roman" w:hAnsi="Times New Roman"/>
                <w:sz w:val="18"/>
                <w:szCs w:val="18"/>
                <w:color w:val="0000FF"/>
                <w:w w:val="99"/>
              </w:rPr>
            </w:pPr>
            <w:hyperlink r:id="rId152">
              <w:r>
                <w:rPr>
                  <w:rFonts w:ascii="Times New Roman" w:cs="Times New Roman" w:eastAsia="Times New Roman" w:hAnsi="Times New Roman"/>
                  <w:sz w:val="18"/>
                  <w:szCs w:val="18"/>
                  <w:color w:val="0000FF"/>
                  <w:w w:val="99"/>
                </w:rPr>
                <w:t>Scott (incorporated by reference to Exhibit 10.1 to the Company's Current Report on Form 8-K filed on February 14, 2018)</w:t>
              </w:r>
            </w:hyperlink>
          </w:p>
        </w:tc>
        <w:tc>
          <w:tcPr>
            <w:tcW w:w="220" w:type="dxa"/>
            <w:vAlign w:val="bottom"/>
            <w:tcBorders>
              <w:top w:val="single" w:sz="8" w:color="CCEEFF"/>
              <w:right w:val="single" w:sz="8" w:color="CCEEFF"/>
            </w:tcBorders>
            <w:gridSpan w:val="8"/>
            <w:shd w:val="clear" w:color="auto" w:fill="CCEEFF"/>
          </w:tcPr>
          <w:p>
            <w:pPr>
              <w:jc w:val="right"/>
              <w:ind w:right="160"/>
              <w:spacing w:after="0" w:line="156" w:lineRule="exact"/>
              <w:rPr>
                <w:rFonts w:ascii="Times New Roman" w:cs="Times New Roman" w:eastAsia="Times New Roman" w:hAnsi="Times New Roman"/>
                <w:sz w:val="18"/>
                <w:szCs w:val="18"/>
                <w:color w:val="0000FF"/>
                <w:w w:val="87"/>
              </w:rPr>
            </w:pPr>
            <w:hyperlink r:id="rId152">
              <w:r>
                <w:rPr>
                  <w:rFonts w:ascii="Times New Roman" w:cs="Times New Roman" w:eastAsia="Times New Roman" w:hAnsi="Times New Roman"/>
                  <w:sz w:val="18"/>
                  <w:szCs w:val="18"/>
                  <w:color w:val="0000FF"/>
                  <w:w w:val="87"/>
                </w:rPr>
                <w:t>.</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64"/>
        </w:trPr>
        <w:tc>
          <w:tcPr>
            <w:tcW w:w="20" w:type="dxa"/>
            <w:vAlign w:val="bottom"/>
          </w:tcPr>
          <w:p>
            <w:pPr>
              <w:spacing w:after="0"/>
              <w:rPr>
                <w:sz w:val="24"/>
                <w:szCs w:val="24"/>
                <w:color w:val="auto"/>
              </w:rPr>
            </w:pPr>
          </w:p>
        </w:tc>
        <w:tc>
          <w:tcPr>
            <w:tcW w:w="1340" w:type="dxa"/>
            <w:vAlign w:val="bottom"/>
            <w:tcBorders>
              <w:top w:val="single" w:sz="8" w:color="CCEEFF"/>
            </w:tcBorders>
          </w:tcPr>
          <w:p>
            <w:pPr>
              <w:spacing w:after="0"/>
              <w:rPr>
                <w:sz w:val="24"/>
                <w:szCs w:val="24"/>
                <w:color w:val="auto"/>
              </w:rPr>
            </w:pPr>
          </w:p>
        </w:tc>
        <w:tc>
          <w:tcPr>
            <w:tcW w:w="780" w:type="dxa"/>
            <w:vAlign w:val="bottom"/>
            <w:tcBorders>
              <w:top w:val="single" w:sz="8" w:color="CCEEFF"/>
            </w:tcBorders>
          </w:tcPr>
          <w:p>
            <w:pPr>
              <w:spacing w:after="0"/>
              <w:rPr>
                <w:sz w:val="24"/>
                <w:szCs w:val="24"/>
                <w:color w:val="auto"/>
              </w:rPr>
            </w:pPr>
          </w:p>
        </w:tc>
        <w:tc>
          <w:tcPr>
            <w:tcW w:w="3700" w:type="dxa"/>
            <w:vAlign w:val="bottom"/>
            <w:tcBorders>
              <w:top w:val="single" w:sz="8" w:color="0000FF"/>
            </w:tcBorders>
            <w:gridSpan w:val="3"/>
          </w:tcPr>
          <w:p>
            <w:pPr>
              <w:ind w:left="3360"/>
              <w:spacing w:after="0"/>
              <w:rPr>
                <w:sz w:val="20"/>
                <w:szCs w:val="20"/>
                <w:color w:val="auto"/>
              </w:rPr>
            </w:pPr>
            <w:r>
              <w:rPr>
                <w:rFonts w:ascii="Times New Roman" w:cs="Times New Roman" w:eastAsia="Times New Roman" w:hAnsi="Times New Roman"/>
                <w:sz w:val="18"/>
                <w:szCs w:val="18"/>
                <w:color w:val="auto"/>
              </w:rPr>
              <w:t>113</w:t>
            </w:r>
          </w:p>
        </w:tc>
        <w:tc>
          <w:tcPr>
            <w:tcW w:w="5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204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20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400" w:type="dxa"/>
            <w:vAlign w:val="bottom"/>
            <w:vMerge w:val="restart"/>
          </w:tcPr>
          <w:p>
            <w:pPr>
              <w:ind w:left="6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7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580" w:type="dxa"/>
            <w:vAlign w:val="bottom"/>
            <w:gridSpan w:val="32"/>
          </w:tcPr>
          <w:p>
            <w:pPr>
              <w:ind w:left="1040"/>
              <w:spacing w:after="0"/>
              <w:rPr>
                <w:sz w:val="20"/>
                <w:szCs w:val="20"/>
                <w:color w:val="auto"/>
              </w:rPr>
            </w:pPr>
            <w:r>
              <w:rPr>
                <w:rFonts w:ascii="Times New Roman" w:cs="Times New Roman" w:eastAsia="Times New Roman" w:hAnsi="Times New Roman"/>
                <w:sz w:val="18"/>
                <w:szCs w:val="18"/>
                <w:b w:val="1"/>
                <w:bCs w:val="1"/>
                <w:color w:val="auto"/>
              </w:rPr>
              <w:t>INDEX TO EXHIBITS</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720" w:type="dxa"/>
            <w:vAlign w:val="bottom"/>
          </w:tcPr>
          <w:p>
            <w:pPr>
              <w:spacing w:after="0"/>
              <w:rPr>
                <w:sz w:val="11"/>
                <w:szCs w:val="11"/>
                <w:color w:val="auto"/>
              </w:rPr>
            </w:pPr>
          </w:p>
        </w:tc>
        <w:tc>
          <w:tcPr>
            <w:tcW w:w="9120" w:type="dxa"/>
            <w:vAlign w:val="bottom"/>
            <w:gridSpan w:val="35"/>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 Name</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400" w:type="dxa"/>
            <w:vAlign w:val="bottom"/>
          </w:tcPr>
          <w:p>
            <w:pPr>
              <w:ind w:left="6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720" w:type="dxa"/>
            <w:vAlign w:val="bottom"/>
          </w:tcPr>
          <w:p>
            <w:pPr>
              <w:spacing w:after="0"/>
              <w:rPr>
                <w:sz w:val="16"/>
                <w:szCs w:val="16"/>
                <w:color w:val="auto"/>
              </w:rPr>
            </w:pPr>
          </w:p>
        </w:tc>
        <w:tc>
          <w:tcPr>
            <w:tcW w:w="9120" w:type="dxa"/>
            <w:vAlign w:val="bottom"/>
            <w:gridSpan w:val="3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400" w:type="dxa"/>
            <w:vAlign w:val="bottom"/>
            <w:tcBorders>
              <w:top w:val="single" w:sz="8" w:color="auto"/>
            </w:tcBorders>
          </w:tcPr>
          <w:p>
            <w:pPr>
              <w:ind w:left="620"/>
              <w:spacing w:after="0" w:line="188" w:lineRule="exact"/>
              <w:rPr>
                <w:sz w:val="20"/>
                <w:szCs w:val="20"/>
                <w:color w:val="auto"/>
              </w:rPr>
            </w:pPr>
            <w:r>
              <w:rPr>
                <w:rFonts w:ascii="Times New Roman" w:cs="Times New Roman" w:eastAsia="Times New Roman" w:hAnsi="Times New Roman"/>
                <w:sz w:val="18"/>
                <w:szCs w:val="18"/>
                <w:color w:val="auto"/>
              </w:rPr>
              <w:t>10.5</w:t>
            </w:r>
          </w:p>
        </w:tc>
        <w:tc>
          <w:tcPr>
            <w:tcW w:w="720" w:type="dxa"/>
            <w:vAlign w:val="bottom"/>
            <w:tcBorders>
              <w:top w:val="single" w:sz="8" w:color="auto"/>
            </w:tcBorders>
          </w:tcPr>
          <w:p>
            <w:pPr>
              <w:jc w:val="right"/>
              <w:ind w:right="270"/>
              <w:spacing w:after="0" w:line="188" w:lineRule="exact"/>
              <w:rPr>
                <w:sz w:val="20"/>
                <w:szCs w:val="20"/>
                <w:color w:val="auto"/>
              </w:rPr>
            </w:pPr>
            <w:r>
              <w:rPr>
                <w:rFonts w:ascii="Times New Roman" w:cs="Times New Roman" w:eastAsia="Times New Roman" w:hAnsi="Times New Roman"/>
                <w:sz w:val="18"/>
                <w:szCs w:val="18"/>
                <w:color w:val="auto"/>
              </w:rPr>
              <w:t>*</w:t>
            </w:r>
          </w:p>
        </w:tc>
        <w:tc>
          <w:tcPr>
            <w:tcW w:w="9100" w:type="dxa"/>
            <w:vAlign w:val="bottom"/>
            <w:tcBorders>
              <w:top w:val="single" w:sz="8" w:color="auto"/>
            </w:tcBorders>
            <w:gridSpan w:val="34"/>
          </w:tcPr>
          <w:p>
            <w:pPr>
              <w:spacing w:after="0" w:line="188" w:lineRule="exact"/>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Second Amended and Restated Employment Agreement, dated March 1, 2018, between the Company and Frank C. Orsini</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0" w:type="dxa"/>
            <w:vAlign w:val="bottom"/>
            <w:tcBorders>
              <w:top w:val="single" w:sz="8" w:color="0000FF"/>
            </w:tcBorders>
            <w:gridSpan w:val="26"/>
          </w:tcPr>
          <w:p>
            <w:pPr>
              <w:spacing w:after="0" w:line="156" w:lineRule="exact"/>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(incorporated by reference to Exhibit 10.1 to the Company's Current Report on Form 8-K filed on March 1, 2018).</w:t>
              </w:r>
            </w:hyperlink>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1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10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10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1300" w:type="dxa"/>
            <w:vAlign w:val="bottom"/>
            <w:tcBorders>
              <w:top w:val="single" w:sz="8" w:color="0000FF"/>
            </w:tcBorders>
          </w:tcPr>
          <w:p>
            <w:pPr>
              <w:spacing w:after="0"/>
              <w:rPr>
                <w:sz w:val="2"/>
                <w:szCs w:val="2"/>
                <w:color w:val="auto"/>
              </w:rPr>
            </w:pPr>
          </w:p>
        </w:tc>
        <w:tc>
          <w:tcPr>
            <w:tcW w:w="172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1020" w:type="dxa"/>
            <w:vAlign w:val="bottom"/>
            <w:tcBorders>
              <w:top w:val="single" w:sz="8" w:color="0000FF"/>
            </w:tcBorders>
          </w:tcPr>
          <w:p>
            <w:pPr>
              <w:spacing w:after="0"/>
              <w:rPr>
                <w:sz w:val="2"/>
                <w:szCs w:val="2"/>
                <w:color w:val="auto"/>
              </w:rPr>
            </w:pPr>
          </w:p>
        </w:tc>
        <w:tc>
          <w:tcPr>
            <w:tcW w:w="58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1400" w:type="dxa"/>
            <w:vAlign w:val="bottom"/>
            <w:shd w:val="clear" w:color="auto" w:fill="CCEEFF"/>
          </w:tcPr>
          <w:p>
            <w:pPr>
              <w:ind w:left="620"/>
              <w:spacing w:after="0" w:line="189" w:lineRule="exact"/>
              <w:rPr>
                <w:sz w:val="20"/>
                <w:szCs w:val="20"/>
                <w:color w:val="auto"/>
              </w:rPr>
            </w:pPr>
            <w:r>
              <w:rPr>
                <w:rFonts w:ascii="Times New Roman" w:cs="Times New Roman" w:eastAsia="Times New Roman" w:hAnsi="Times New Roman"/>
                <w:sz w:val="18"/>
                <w:szCs w:val="18"/>
                <w:color w:val="auto"/>
              </w:rPr>
              <w:t>10.6</w:t>
            </w:r>
          </w:p>
        </w:tc>
        <w:tc>
          <w:tcPr>
            <w:tcW w:w="720" w:type="dxa"/>
            <w:vAlign w:val="bottom"/>
            <w:shd w:val="clear" w:color="auto" w:fill="CCEEFF"/>
          </w:tcPr>
          <w:p>
            <w:pPr>
              <w:jc w:val="right"/>
              <w:ind w:right="270"/>
              <w:spacing w:after="0" w:line="189" w:lineRule="exact"/>
              <w:rPr>
                <w:sz w:val="20"/>
                <w:szCs w:val="20"/>
                <w:color w:val="auto"/>
              </w:rPr>
            </w:pPr>
            <w:r>
              <w:rPr>
                <w:rFonts w:ascii="Times New Roman" w:cs="Times New Roman" w:eastAsia="Times New Roman" w:hAnsi="Times New Roman"/>
                <w:sz w:val="18"/>
                <w:szCs w:val="18"/>
                <w:color w:val="auto"/>
              </w:rPr>
              <w:t>*</w:t>
            </w:r>
          </w:p>
        </w:tc>
        <w:tc>
          <w:tcPr>
            <w:tcW w:w="9100" w:type="dxa"/>
            <w:vAlign w:val="bottom"/>
            <w:tcBorders>
              <w:right w:val="single" w:sz="8" w:color="CCEEFF"/>
            </w:tcBorders>
            <w:gridSpan w:val="34"/>
            <w:shd w:val="clear" w:color="auto" w:fill="CCEEFF"/>
          </w:tcPr>
          <w:p>
            <w:pPr>
              <w:spacing w:after="0" w:line="189" w:lineRule="exact"/>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Employment Agreement, dated September 27, 2019, between the Company and Jason M. Cardew (incorporated by reference</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400" w:type="dxa"/>
            <w:vAlign w:val="bottom"/>
            <w:tcBorders>
              <w:top w:val="single" w:sz="8" w:color="CCEEFF"/>
              <w:bottom w:val="single" w:sz="8" w:color="CCEEFF"/>
            </w:tcBorders>
            <w:shd w:val="clear" w:color="auto" w:fill="CCEEFF"/>
          </w:tcPr>
          <w:p>
            <w:pPr>
              <w:spacing w:after="0"/>
              <w:rPr>
                <w:sz w:val="16"/>
                <w:szCs w:val="16"/>
                <w:color w:val="auto"/>
              </w:rPr>
            </w:pPr>
          </w:p>
        </w:tc>
        <w:tc>
          <w:tcPr>
            <w:tcW w:w="720" w:type="dxa"/>
            <w:vAlign w:val="bottom"/>
            <w:tcBorders>
              <w:top w:val="single" w:sz="8" w:color="CCEEFF"/>
              <w:bottom w:val="single" w:sz="8" w:color="CCEEFF"/>
            </w:tcBorders>
            <w:shd w:val="clear" w:color="auto" w:fill="CCEEFF"/>
          </w:tcPr>
          <w:p>
            <w:pPr>
              <w:spacing w:after="0"/>
              <w:rPr>
                <w:sz w:val="16"/>
                <w:szCs w:val="16"/>
                <w:color w:val="auto"/>
              </w:rPr>
            </w:pPr>
          </w:p>
        </w:tc>
        <w:tc>
          <w:tcPr>
            <w:tcW w:w="6400" w:type="dxa"/>
            <w:vAlign w:val="bottom"/>
            <w:tcBorders>
              <w:top w:val="single" w:sz="8" w:color="0000FF"/>
              <w:bottom w:val="single" w:sz="8" w:color="0000FF"/>
            </w:tcBorders>
            <w:gridSpan w:val="8"/>
            <w:shd w:val="clear" w:color="auto" w:fill="CCEEFF"/>
          </w:tcPr>
          <w:p>
            <w:pPr>
              <w:spacing w:after="0" w:line="156" w:lineRule="exact"/>
              <w:rPr>
                <w:rFonts w:ascii="Times New Roman" w:cs="Times New Roman" w:eastAsia="Times New Roman" w:hAnsi="Times New Roman"/>
                <w:sz w:val="18"/>
                <w:szCs w:val="18"/>
                <w:color w:val="0000FF"/>
                <w:w w:val="99"/>
              </w:rPr>
            </w:pPr>
            <w:hyperlink r:id="rId156">
              <w:r>
                <w:rPr>
                  <w:rFonts w:ascii="Times New Roman" w:cs="Times New Roman" w:eastAsia="Times New Roman" w:hAnsi="Times New Roman"/>
                  <w:sz w:val="18"/>
                  <w:szCs w:val="18"/>
                  <w:color w:val="0000FF"/>
                  <w:w w:val="99"/>
                </w:rPr>
                <w:t>to Exhibit 10.1 to the Company's Current Report on Form 8-K filed on October 1, 2019).</w:t>
              </w:r>
            </w:hyperlink>
          </w:p>
        </w:tc>
        <w:tc>
          <w:tcPr>
            <w:tcW w:w="2600" w:type="dxa"/>
            <w:vAlign w:val="bottom"/>
            <w:tcBorders>
              <w:top w:val="single" w:sz="8" w:color="0000FF"/>
              <w:bottom w:val="single" w:sz="8" w:color="CCEEFF"/>
            </w:tcBorders>
            <w:gridSpan w:val="22"/>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right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400" w:type="dxa"/>
            <w:vAlign w:val="bottom"/>
          </w:tcPr>
          <w:p>
            <w:pPr>
              <w:ind w:left="620"/>
              <w:spacing w:after="0" w:line="189" w:lineRule="exact"/>
              <w:rPr>
                <w:sz w:val="20"/>
                <w:szCs w:val="20"/>
                <w:color w:val="auto"/>
              </w:rPr>
            </w:pPr>
            <w:r>
              <w:rPr>
                <w:rFonts w:ascii="Times New Roman" w:cs="Times New Roman" w:eastAsia="Times New Roman" w:hAnsi="Times New Roman"/>
                <w:sz w:val="18"/>
                <w:szCs w:val="18"/>
                <w:color w:val="auto"/>
              </w:rPr>
              <w:t>10.7</w:t>
            </w:r>
          </w:p>
        </w:tc>
        <w:tc>
          <w:tcPr>
            <w:tcW w:w="720" w:type="dxa"/>
            <w:vAlign w:val="bottom"/>
          </w:tcPr>
          <w:p>
            <w:pPr>
              <w:jc w:val="right"/>
              <w:ind w:right="270"/>
              <w:spacing w:after="0" w:line="189" w:lineRule="exact"/>
              <w:rPr>
                <w:sz w:val="20"/>
                <w:szCs w:val="20"/>
                <w:color w:val="auto"/>
              </w:rPr>
            </w:pPr>
            <w:r>
              <w:rPr>
                <w:rFonts w:ascii="Times New Roman" w:cs="Times New Roman" w:eastAsia="Times New Roman" w:hAnsi="Times New Roman"/>
                <w:sz w:val="18"/>
                <w:szCs w:val="18"/>
                <w:color w:val="auto"/>
              </w:rPr>
              <w:t>*</w:t>
            </w:r>
          </w:p>
        </w:tc>
        <w:tc>
          <w:tcPr>
            <w:tcW w:w="8660" w:type="dxa"/>
            <w:vAlign w:val="bottom"/>
            <w:tcBorders>
              <w:bottom w:val="single" w:sz="8" w:color="0000FF"/>
            </w:tcBorders>
            <w:gridSpan w:val="22"/>
          </w:tcPr>
          <w:p>
            <w:pPr>
              <w:spacing w:after="0" w:line="189" w:lineRule="exact"/>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Amended and Restated Employment Agreement, dated September 21, 2022, between the Company and Harry A. Kemp</w:t>
              </w:r>
            </w:hyperlink>
          </w:p>
        </w:tc>
        <w:tc>
          <w:tcPr>
            <w:tcW w:w="440" w:type="dxa"/>
            <w:vAlign w:val="bottom"/>
            <w:gridSpan w:val="12"/>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120" w:type="dxa"/>
            <w:vAlign w:val="bottom"/>
            <w:gridSpan w:val="35"/>
          </w:tcPr>
          <w:p>
            <w:pPr>
              <w:spacing w:after="0" w:line="156" w:lineRule="exact"/>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(incorporated by reference to Exhibit 10.2 to the Company's Quarterly Report on Form 10-Q for the quarter ended October 1,</w:t>
              </w:r>
            </w:hyperlink>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Borders>
              <w:top w:val="single" w:sz="8" w:color="0000FF"/>
              <w:bottom w:val="single" w:sz="8" w:color="0000FF"/>
            </w:tcBorders>
          </w:tcPr>
          <w:p>
            <w:pPr>
              <w:spacing w:after="0" w:line="169" w:lineRule="exact"/>
              <w:rPr>
                <w:rFonts w:ascii="Times New Roman" w:cs="Times New Roman" w:eastAsia="Times New Roman" w:hAnsi="Times New Roman"/>
                <w:sz w:val="18"/>
                <w:szCs w:val="18"/>
                <w:color w:val="0000FF"/>
                <w:w w:val="94"/>
              </w:rPr>
            </w:pPr>
            <w:hyperlink r:id="rId157">
              <w:r>
                <w:rPr>
                  <w:rFonts w:ascii="Times New Roman" w:cs="Times New Roman" w:eastAsia="Times New Roman" w:hAnsi="Times New Roman"/>
                  <w:sz w:val="18"/>
                  <w:szCs w:val="18"/>
                  <w:color w:val="0000FF"/>
                  <w:w w:val="94"/>
                </w:rPr>
                <w:t>2022).</w:t>
              </w:r>
            </w:hyperlink>
          </w:p>
        </w:tc>
        <w:tc>
          <w:tcPr>
            <w:tcW w:w="10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100" w:type="dxa"/>
            <w:vAlign w:val="bottom"/>
            <w:tcBorders>
              <w:top w:val="single" w:sz="8" w:color="0000FF"/>
            </w:tcBorders>
          </w:tcPr>
          <w:p>
            <w:pPr>
              <w:spacing w:after="0"/>
              <w:rPr>
                <w:sz w:val="14"/>
                <w:szCs w:val="14"/>
                <w:color w:val="auto"/>
              </w:rPr>
            </w:pPr>
          </w:p>
        </w:tc>
        <w:tc>
          <w:tcPr>
            <w:tcW w:w="380" w:type="dxa"/>
            <w:vAlign w:val="bottom"/>
            <w:tcBorders>
              <w:top w:val="single" w:sz="8" w:color="0000FF"/>
            </w:tcBorders>
          </w:tcPr>
          <w:p>
            <w:pPr>
              <w:spacing w:after="0"/>
              <w:rPr>
                <w:sz w:val="14"/>
                <w:szCs w:val="14"/>
                <w:color w:val="auto"/>
              </w:rPr>
            </w:pPr>
          </w:p>
        </w:tc>
        <w:tc>
          <w:tcPr>
            <w:tcW w:w="1300" w:type="dxa"/>
            <w:vAlign w:val="bottom"/>
            <w:tcBorders>
              <w:top w:val="single" w:sz="8" w:color="0000FF"/>
            </w:tcBorders>
          </w:tcPr>
          <w:p>
            <w:pPr>
              <w:spacing w:after="0"/>
              <w:rPr>
                <w:sz w:val="14"/>
                <w:szCs w:val="14"/>
                <w:color w:val="auto"/>
              </w:rPr>
            </w:pPr>
          </w:p>
        </w:tc>
        <w:tc>
          <w:tcPr>
            <w:tcW w:w="172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1020" w:type="dxa"/>
            <w:vAlign w:val="bottom"/>
            <w:tcBorders>
              <w:top w:val="single" w:sz="8" w:color="0000FF"/>
            </w:tcBorders>
          </w:tcPr>
          <w:p>
            <w:pPr>
              <w:spacing w:after="0"/>
              <w:rPr>
                <w:sz w:val="14"/>
                <w:szCs w:val="14"/>
                <w:color w:val="auto"/>
              </w:rPr>
            </w:pPr>
          </w:p>
        </w:tc>
        <w:tc>
          <w:tcPr>
            <w:tcW w:w="58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1400" w:type="dxa"/>
            <w:vAlign w:val="bottom"/>
            <w:shd w:val="clear" w:color="auto" w:fill="CCEEFF"/>
          </w:tcPr>
          <w:p>
            <w:pPr>
              <w:ind w:left="620"/>
              <w:spacing w:after="0" w:line="189" w:lineRule="exact"/>
              <w:rPr>
                <w:sz w:val="20"/>
                <w:szCs w:val="20"/>
                <w:color w:val="auto"/>
              </w:rPr>
            </w:pPr>
            <w:r>
              <w:rPr>
                <w:rFonts w:ascii="Times New Roman" w:cs="Times New Roman" w:eastAsia="Times New Roman" w:hAnsi="Times New Roman"/>
                <w:sz w:val="18"/>
                <w:szCs w:val="18"/>
                <w:color w:val="auto"/>
              </w:rPr>
              <w:t>10.8</w:t>
            </w:r>
          </w:p>
        </w:tc>
        <w:tc>
          <w:tcPr>
            <w:tcW w:w="720" w:type="dxa"/>
            <w:vAlign w:val="bottom"/>
            <w:shd w:val="clear" w:color="auto" w:fill="CCEEFF"/>
          </w:tcPr>
          <w:p>
            <w:pPr>
              <w:jc w:val="right"/>
              <w:ind w:right="270"/>
              <w:spacing w:after="0" w:line="189" w:lineRule="exact"/>
              <w:rPr>
                <w:sz w:val="20"/>
                <w:szCs w:val="20"/>
                <w:color w:val="auto"/>
              </w:rPr>
            </w:pPr>
            <w:r>
              <w:rPr>
                <w:rFonts w:ascii="Times New Roman" w:cs="Times New Roman" w:eastAsia="Times New Roman" w:hAnsi="Times New Roman"/>
                <w:sz w:val="18"/>
                <w:szCs w:val="18"/>
                <w:color w:val="auto"/>
              </w:rPr>
              <w:t>*</w:t>
            </w:r>
          </w:p>
        </w:tc>
        <w:tc>
          <w:tcPr>
            <w:tcW w:w="9100" w:type="dxa"/>
            <w:vAlign w:val="bottom"/>
            <w:tcBorders>
              <w:right w:val="single" w:sz="8" w:color="CCEEFF"/>
            </w:tcBorders>
            <w:gridSpan w:val="34"/>
            <w:shd w:val="clear" w:color="auto" w:fill="CCEEFF"/>
          </w:tcPr>
          <w:p>
            <w:pPr>
              <w:spacing w:after="0" w:line="189" w:lineRule="exact"/>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Employment Agreement, dated May 16, 2024, between the Company and Nicholas J. Roelli (incorporated by reference to</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40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CCEEFF"/>
            </w:tcBorders>
            <w:shd w:val="clear" w:color="auto" w:fill="CCEEFF"/>
          </w:tcPr>
          <w:p>
            <w:pPr>
              <w:spacing w:after="0"/>
              <w:rPr>
                <w:sz w:val="13"/>
                <w:szCs w:val="13"/>
                <w:color w:val="auto"/>
              </w:rPr>
            </w:pPr>
          </w:p>
        </w:tc>
        <w:tc>
          <w:tcPr>
            <w:tcW w:w="8760" w:type="dxa"/>
            <w:vAlign w:val="bottom"/>
            <w:tcBorders>
              <w:top w:val="single" w:sz="8" w:color="0000FF"/>
            </w:tcBorders>
            <w:gridSpan w:val="24"/>
            <w:shd w:val="clear" w:color="auto" w:fill="CCEEFF"/>
          </w:tcPr>
          <w:p>
            <w:pPr>
              <w:spacing w:after="0" w:line="156" w:lineRule="exact"/>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Exhibit 10.1 to the Company's Current Report on Form 8-K filed on May 20, 2024).</w:t>
              </w:r>
            </w:hyperlink>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right w:val="single" w:sz="8" w:color="CCEEFF"/>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140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0000FF"/>
            </w:tcBorders>
            <w:shd w:val="clear" w:color="auto" w:fill="CCEEFF"/>
          </w:tcPr>
          <w:p>
            <w:pPr>
              <w:spacing w:after="0"/>
              <w:rPr>
                <w:sz w:val="2"/>
                <w:szCs w:val="2"/>
                <w:color w:val="auto"/>
              </w:rPr>
            </w:pPr>
          </w:p>
        </w:tc>
        <w:tc>
          <w:tcPr>
            <w:tcW w:w="106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1100" w:type="dxa"/>
            <w:vAlign w:val="bottom"/>
            <w:tcBorders>
              <w:top w:val="single" w:sz="8" w:color="0000FF"/>
            </w:tcBorders>
            <w:shd w:val="clear" w:color="auto" w:fill="CCEEFF"/>
          </w:tcPr>
          <w:p>
            <w:pPr>
              <w:spacing w:after="0"/>
              <w:rPr>
                <w:sz w:val="2"/>
                <w:szCs w:val="2"/>
                <w:color w:val="auto"/>
              </w:rPr>
            </w:pPr>
          </w:p>
        </w:tc>
        <w:tc>
          <w:tcPr>
            <w:tcW w:w="380" w:type="dxa"/>
            <w:vAlign w:val="bottom"/>
            <w:tcBorders>
              <w:top w:val="single" w:sz="8" w:color="0000FF"/>
            </w:tcBorders>
            <w:shd w:val="clear" w:color="auto" w:fill="CCEEFF"/>
          </w:tcPr>
          <w:p>
            <w:pPr>
              <w:spacing w:after="0"/>
              <w:rPr>
                <w:sz w:val="2"/>
                <w:szCs w:val="2"/>
                <w:color w:val="auto"/>
              </w:rPr>
            </w:pPr>
          </w:p>
        </w:tc>
        <w:tc>
          <w:tcPr>
            <w:tcW w:w="1300" w:type="dxa"/>
            <w:vAlign w:val="bottom"/>
            <w:tcBorders>
              <w:top w:val="single" w:sz="8" w:color="0000FF"/>
            </w:tcBorders>
            <w:shd w:val="clear" w:color="auto" w:fill="CCEEFF"/>
          </w:tcPr>
          <w:p>
            <w:pPr>
              <w:spacing w:after="0"/>
              <w:rPr>
                <w:sz w:val="2"/>
                <w:szCs w:val="2"/>
                <w:color w:val="auto"/>
              </w:rPr>
            </w:pPr>
          </w:p>
        </w:tc>
        <w:tc>
          <w:tcPr>
            <w:tcW w:w="1720" w:type="dxa"/>
            <w:vAlign w:val="bottom"/>
            <w:tcBorders>
              <w:top w:val="single" w:sz="8" w:color="0000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right w:val="single" w:sz="8" w:color="CCEEFF"/>
            </w:tcBorders>
            <w:shd w:val="clear" w:color="auto" w:fill="CCEEFF"/>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1400" w:type="dxa"/>
            <w:vAlign w:val="bottom"/>
          </w:tcPr>
          <w:p>
            <w:pPr>
              <w:ind w:left="620"/>
              <w:spacing w:after="0" w:line="189" w:lineRule="exact"/>
              <w:rPr>
                <w:sz w:val="20"/>
                <w:szCs w:val="20"/>
                <w:color w:val="auto"/>
              </w:rPr>
            </w:pPr>
            <w:r>
              <w:rPr>
                <w:rFonts w:ascii="Times New Roman" w:cs="Times New Roman" w:eastAsia="Times New Roman" w:hAnsi="Times New Roman"/>
                <w:sz w:val="18"/>
                <w:szCs w:val="18"/>
                <w:color w:val="auto"/>
              </w:rPr>
              <w:t>10.9</w:t>
            </w:r>
          </w:p>
        </w:tc>
        <w:tc>
          <w:tcPr>
            <w:tcW w:w="720" w:type="dxa"/>
            <w:vAlign w:val="bottom"/>
          </w:tcPr>
          <w:p>
            <w:pPr>
              <w:jc w:val="right"/>
              <w:ind w:right="270"/>
              <w:spacing w:after="0" w:line="189" w:lineRule="exact"/>
              <w:rPr>
                <w:sz w:val="20"/>
                <w:szCs w:val="20"/>
                <w:color w:val="auto"/>
              </w:rPr>
            </w:pPr>
            <w:r>
              <w:rPr>
                <w:rFonts w:ascii="Times New Roman" w:cs="Times New Roman" w:eastAsia="Times New Roman" w:hAnsi="Times New Roman"/>
                <w:sz w:val="18"/>
                <w:szCs w:val="18"/>
                <w:color w:val="auto"/>
              </w:rPr>
              <w:t>*</w:t>
            </w:r>
          </w:p>
        </w:tc>
        <w:tc>
          <w:tcPr>
            <w:tcW w:w="9100" w:type="dxa"/>
            <w:vAlign w:val="bottom"/>
            <w:gridSpan w:val="34"/>
          </w:tcPr>
          <w:p>
            <w:pPr>
              <w:spacing w:after="0" w:line="189" w:lineRule="exact"/>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Lear Corporation Outside Directors Compensation Plan, amended and restated effective May 16, 2019 (incorporated by</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640" w:type="dxa"/>
            <w:vAlign w:val="bottom"/>
            <w:tcBorders>
              <w:top w:val="single" w:sz="8" w:color="0000FF"/>
            </w:tcBorders>
            <w:gridSpan w:val="21"/>
          </w:tcPr>
          <w:p>
            <w:pPr>
              <w:spacing w:after="0" w:line="156" w:lineRule="exact"/>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reference to Exhibit 10.4 to the Company's Quarterly Report on Form 10-Q for the quarter ended June 29, 2019).</w:t>
              </w:r>
            </w:hyperlink>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1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10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10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1300" w:type="dxa"/>
            <w:vAlign w:val="bottom"/>
            <w:tcBorders>
              <w:top w:val="single" w:sz="8" w:color="0000FF"/>
            </w:tcBorders>
          </w:tcPr>
          <w:p>
            <w:pPr>
              <w:spacing w:after="0"/>
              <w:rPr>
                <w:sz w:val="2"/>
                <w:szCs w:val="2"/>
                <w:color w:val="auto"/>
              </w:rPr>
            </w:pPr>
          </w:p>
        </w:tc>
        <w:tc>
          <w:tcPr>
            <w:tcW w:w="172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1020" w:type="dxa"/>
            <w:vAlign w:val="bottom"/>
            <w:tcBorders>
              <w:top w:val="single" w:sz="8" w:color="0000FF"/>
            </w:tcBorders>
          </w:tcPr>
          <w:p>
            <w:pPr>
              <w:spacing w:after="0"/>
              <w:rPr>
                <w:sz w:val="2"/>
                <w:szCs w:val="2"/>
                <w:color w:val="auto"/>
              </w:rPr>
            </w:pPr>
          </w:p>
        </w:tc>
        <w:tc>
          <w:tcPr>
            <w:tcW w:w="58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1400" w:type="dxa"/>
            <w:vAlign w:val="bottom"/>
            <w:shd w:val="clear" w:color="auto" w:fill="CCEEFF"/>
          </w:tcPr>
          <w:p>
            <w:pPr>
              <w:ind w:left="620"/>
              <w:spacing w:after="0" w:line="189" w:lineRule="exact"/>
              <w:rPr>
                <w:sz w:val="20"/>
                <w:szCs w:val="20"/>
                <w:color w:val="auto"/>
              </w:rPr>
            </w:pPr>
            <w:r>
              <w:rPr>
                <w:rFonts w:ascii="Times New Roman" w:cs="Times New Roman" w:eastAsia="Times New Roman" w:hAnsi="Times New Roman"/>
                <w:sz w:val="18"/>
                <w:szCs w:val="18"/>
                <w:color w:val="auto"/>
              </w:rPr>
              <w:t>10.10</w:t>
            </w:r>
          </w:p>
        </w:tc>
        <w:tc>
          <w:tcPr>
            <w:tcW w:w="720" w:type="dxa"/>
            <w:vAlign w:val="bottom"/>
            <w:shd w:val="clear" w:color="auto" w:fill="CCEEFF"/>
          </w:tcPr>
          <w:p>
            <w:pPr>
              <w:jc w:val="right"/>
              <w:ind w:right="270"/>
              <w:spacing w:after="0" w:line="189" w:lineRule="exact"/>
              <w:rPr>
                <w:sz w:val="20"/>
                <w:szCs w:val="20"/>
                <w:color w:val="auto"/>
              </w:rPr>
            </w:pPr>
            <w:r>
              <w:rPr>
                <w:rFonts w:ascii="Times New Roman" w:cs="Times New Roman" w:eastAsia="Times New Roman" w:hAnsi="Times New Roman"/>
                <w:sz w:val="18"/>
                <w:szCs w:val="18"/>
                <w:color w:val="auto"/>
              </w:rPr>
              <w:t>*</w:t>
            </w:r>
          </w:p>
        </w:tc>
        <w:tc>
          <w:tcPr>
            <w:tcW w:w="9100" w:type="dxa"/>
            <w:vAlign w:val="bottom"/>
            <w:tcBorders>
              <w:right w:val="single" w:sz="8" w:color="CCEEFF"/>
            </w:tcBorders>
            <w:gridSpan w:val="34"/>
            <w:shd w:val="clear" w:color="auto" w:fill="CCEEFF"/>
          </w:tcPr>
          <w:p>
            <w:pPr>
              <w:spacing w:after="0" w:line="189" w:lineRule="exact"/>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Lear Corporation Outside Directors Compensation Plan, amended and restated effective May 16, 2024 (incorporated by</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40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CCEEFF"/>
            </w:tcBorders>
            <w:shd w:val="clear" w:color="auto" w:fill="CCEEFF"/>
          </w:tcPr>
          <w:p>
            <w:pPr>
              <w:spacing w:after="0"/>
              <w:rPr>
                <w:sz w:val="13"/>
                <w:szCs w:val="13"/>
                <w:color w:val="auto"/>
              </w:rPr>
            </w:pPr>
          </w:p>
        </w:tc>
        <w:tc>
          <w:tcPr>
            <w:tcW w:w="8640" w:type="dxa"/>
            <w:vAlign w:val="bottom"/>
            <w:tcBorders>
              <w:top w:val="single" w:sz="8" w:color="0000FF"/>
            </w:tcBorders>
            <w:gridSpan w:val="21"/>
            <w:shd w:val="clear" w:color="auto" w:fill="CCEEFF"/>
          </w:tcPr>
          <w:p>
            <w:pPr>
              <w:spacing w:after="0" w:line="156" w:lineRule="exact"/>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reference to Exhibit 10.1 to the Company's Quarterly Report on Form 10-Q for the quarter ended September 30, 2023).</w:t>
              </w:r>
            </w:hyperlink>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8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right w:val="single" w:sz="8" w:color="CCEEFF"/>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140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0000FF"/>
            </w:tcBorders>
            <w:shd w:val="clear" w:color="auto" w:fill="CCEEFF"/>
          </w:tcPr>
          <w:p>
            <w:pPr>
              <w:spacing w:after="0"/>
              <w:rPr>
                <w:sz w:val="2"/>
                <w:szCs w:val="2"/>
                <w:color w:val="auto"/>
              </w:rPr>
            </w:pPr>
          </w:p>
        </w:tc>
        <w:tc>
          <w:tcPr>
            <w:tcW w:w="106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1100" w:type="dxa"/>
            <w:vAlign w:val="bottom"/>
            <w:tcBorders>
              <w:top w:val="single" w:sz="8" w:color="0000FF"/>
            </w:tcBorders>
            <w:shd w:val="clear" w:color="auto" w:fill="CCEEFF"/>
          </w:tcPr>
          <w:p>
            <w:pPr>
              <w:spacing w:after="0"/>
              <w:rPr>
                <w:sz w:val="2"/>
                <w:szCs w:val="2"/>
                <w:color w:val="auto"/>
              </w:rPr>
            </w:pPr>
          </w:p>
        </w:tc>
        <w:tc>
          <w:tcPr>
            <w:tcW w:w="380" w:type="dxa"/>
            <w:vAlign w:val="bottom"/>
            <w:tcBorders>
              <w:top w:val="single" w:sz="8" w:color="0000FF"/>
            </w:tcBorders>
            <w:shd w:val="clear" w:color="auto" w:fill="CCEEFF"/>
          </w:tcPr>
          <w:p>
            <w:pPr>
              <w:spacing w:after="0"/>
              <w:rPr>
                <w:sz w:val="2"/>
                <w:szCs w:val="2"/>
                <w:color w:val="auto"/>
              </w:rPr>
            </w:pPr>
          </w:p>
        </w:tc>
        <w:tc>
          <w:tcPr>
            <w:tcW w:w="1300" w:type="dxa"/>
            <w:vAlign w:val="bottom"/>
            <w:tcBorders>
              <w:top w:val="single" w:sz="8" w:color="0000FF"/>
            </w:tcBorders>
            <w:shd w:val="clear" w:color="auto" w:fill="CCEEFF"/>
          </w:tcPr>
          <w:p>
            <w:pPr>
              <w:spacing w:after="0"/>
              <w:rPr>
                <w:sz w:val="2"/>
                <w:szCs w:val="2"/>
                <w:color w:val="auto"/>
              </w:rPr>
            </w:pPr>
          </w:p>
        </w:tc>
        <w:tc>
          <w:tcPr>
            <w:tcW w:w="1720" w:type="dxa"/>
            <w:vAlign w:val="bottom"/>
            <w:tcBorders>
              <w:top w:val="single" w:sz="8" w:color="0000FF"/>
            </w:tcBorders>
            <w:shd w:val="clear" w:color="auto" w:fill="CCEEFF"/>
          </w:tcPr>
          <w:p>
            <w:pPr>
              <w:spacing w:after="0"/>
              <w:rPr>
                <w:sz w:val="2"/>
                <w:szCs w:val="2"/>
                <w:color w:val="auto"/>
              </w:rPr>
            </w:pPr>
          </w:p>
        </w:tc>
        <w:tc>
          <w:tcPr>
            <w:tcW w:w="360" w:type="dxa"/>
            <w:vAlign w:val="bottom"/>
            <w:tcBorders>
              <w:top w:val="single" w:sz="8" w:color="0000FF"/>
            </w:tcBorders>
            <w:shd w:val="clear" w:color="auto" w:fill="CCEEFF"/>
          </w:tcPr>
          <w:p>
            <w:pPr>
              <w:spacing w:after="0"/>
              <w:rPr>
                <w:sz w:val="2"/>
                <w:szCs w:val="2"/>
                <w:color w:val="auto"/>
              </w:rPr>
            </w:pPr>
          </w:p>
        </w:tc>
        <w:tc>
          <w:tcPr>
            <w:tcW w:w="1020" w:type="dxa"/>
            <w:vAlign w:val="bottom"/>
            <w:tcBorders>
              <w:top w:val="single" w:sz="8" w:color="0000FF"/>
            </w:tcBorders>
            <w:shd w:val="clear" w:color="auto" w:fill="CCEEFF"/>
          </w:tcPr>
          <w:p>
            <w:pPr>
              <w:spacing w:after="0"/>
              <w:rPr>
                <w:sz w:val="2"/>
                <w:szCs w:val="2"/>
                <w:color w:val="auto"/>
              </w:rPr>
            </w:pPr>
          </w:p>
        </w:tc>
        <w:tc>
          <w:tcPr>
            <w:tcW w:w="58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right w:val="single" w:sz="8" w:color="CCEEFF"/>
            </w:tcBorders>
            <w:shd w:val="clear" w:color="auto" w:fill="CCEEFF"/>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1400" w:type="dxa"/>
            <w:vAlign w:val="bottom"/>
          </w:tcPr>
          <w:p>
            <w:pPr>
              <w:ind w:left="620"/>
              <w:spacing w:after="0" w:line="189" w:lineRule="exact"/>
              <w:rPr>
                <w:sz w:val="20"/>
                <w:szCs w:val="20"/>
                <w:color w:val="auto"/>
              </w:rPr>
            </w:pPr>
            <w:r>
              <w:rPr>
                <w:rFonts w:ascii="Times New Roman" w:cs="Times New Roman" w:eastAsia="Times New Roman" w:hAnsi="Times New Roman"/>
                <w:sz w:val="18"/>
                <w:szCs w:val="18"/>
                <w:color w:val="auto"/>
              </w:rPr>
              <w:t>10.11</w:t>
            </w:r>
          </w:p>
        </w:tc>
        <w:tc>
          <w:tcPr>
            <w:tcW w:w="720" w:type="dxa"/>
            <w:vAlign w:val="bottom"/>
          </w:tcPr>
          <w:p>
            <w:pPr>
              <w:jc w:val="right"/>
              <w:ind w:right="270"/>
              <w:spacing w:after="0" w:line="189" w:lineRule="exact"/>
              <w:rPr>
                <w:sz w:val="20"/>
                <w:szCs w:val="20"/>
                <w:color w:val="auto"/>
              </w:rPr>
            </w:pPr>
            <w:r>
              <w:rPr>
                <w:rFonts w:ascii="Times New Roman" w:cs="Times New Roman" w:eastAsia="Times New Roman" w:hAnsi="Times New Roman"/>
                <w:sz w:val="18"/>
                <w:szCs w:val="18"/>
                <w:color w:val="auto"/>
              </w:rPr>
              <w:t>*</w:t>
            </w:r>
          </w:p>
        </w:tc>
        <w:tc>
          <w:tcPr>
            <w:tcW w:w="9100" w:type="dxa"/>
            <w:vAlign w:val="bottom"/>
            <w:gridSpan w:val="34"/>
          </w:tcPr>
          <w:p>
            <w:pPr>
              <w:spacing w:after="0" w:line="189" w:lineRule="exact"/>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Lear Corporation Outside Directors Compensation Plan - Form of Cash Retainer Deferral Election, effective as of September</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040" w:type="dxa"/>
            <w:vAlign w:val="bottom"/>
            <w:tcBorders>
              <w:top w:val="single" w:sz="8" w:color="0000FF"/>
            </w:tcBorders>
            <w:gridSpan w:val="32"/>
          </w:tcPr>
          <w:p>
            <w:pPr>
              <w:spacing w:after="0" w:line="156" w:lineRule="exact"/>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13, 2017 (incorporated by reference to Exhibit 10.4 to the Company's Quarterly Report on Form 10-Q for the quarter ended</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80" w:type="dxa"/>
            <w:vAlign w:val="bottom"/>
            <w:tcBorders>
              <w:top w:val="single" w:sz="8" w:color="0000FF"/>
            </w:tcBorders>
            <w:gridSpan w:val="28"/>
          </w:tcPr>
          <w:p>
            <w:pPr>
              <w:spacing w:after="0" w:line="169" w:lineRule="exact"/>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September 30, 2017).</w:t>
              </w:r>
            </w:hyperlink>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0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1400" w:type="dxa"/>
            <w:vAlign w:val="bottom"/>
            <w:shd w:val="clear" w:color="auto" w:fill="CCEEFF"/>
          </w:tcPr>
          <w:p>
            <w:pPr>
              <w:ind w:left="620"/>
              <w:spacing w:after="0" w:line="189" w:lineRule="exact"/>
              <w:rPr>
                <w:sz w:val="20"/>
                <w:szCs w:val="20"/>
                <w:color w:val="auto"/>
              </w:rPr>
            </w:pPr>
            <w:r>
              <w:rPr>
                <w:rFonts w:ascii="Times New Roman" w:cs="Times New Roman" w:eastAsia="Times New Roman" w:hAnsi="Times New Roman"/>
                <w:sz w:val="18"/>
                <w:szCs w:val="18"/>
                <w:color w:val="auto"/>
              </w:rPr>
              <w:t>10.12</w:t>
            </w:r>
          </w:p>
        </w:tc>
        <w:tc>
          <w:tcPr>
            <w:tcW w:w="720" w:type="dxa"/>
            <w:vAlign w:val="bottom"/>
            <w:shd w:val="clear" w:color="auto" w:fill="CCEEFF"/>
          </w:tcPr>
          <w:p>
            <w:pPr>
              <w:jc w:val="right"/>
              <w:ind w:right="270"/>
              <w:spacing w:after="0" w:line="189" w:lineRule="exact"/>
              <w:rPr>
                <w:sz w:val="20"/>
                <w:szCs w:val="20"/>
                <w:color w:val="auto"/>
              </w:rPr>
            </w:pPr>
            <w:r>
              <w:rPr>
                <w:rFonts w:ascii="Times New Roman" w:cs="Times New Roman" w:eastAsia="Times New Roman" w:hAnsi="Times New Roman"/>
                <w:sz w:val="18"/>
                <w:szCs w:val="18"/>
                <w:color w:val="auto"/>
              </w:rPr>
              <w:t>*</w:t>
            </w:r>
          </w:p>
        </w:tc>
        <w:tc>
          <w:tcPr>
            <w:tcW w:w="9100" w:type="dxa"/>
            <w:vAlign w:val="bottom"/>
            <w:tcBorders>
              <w:right w:val="single" w:sz="8" w:color="CCEEFF"/>
            </w:tcBorders>
            <w:gridSpan w:val="34"/>
            <w:shd w:val="clear" w:color="auto" w:fill="CCEEFF"/>
          </w:tcPr>
          <w:p>
            <w:pPr>
              <w:spacing w:after="0" w:line="189" w:lineRule="exact"/>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Lear Corporation Outside Directors Compensation Plan - Form of Stock Grant Deferral Election, effective as of September</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40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CCEEFF"/>
            </w:tcBorders>
            <w:shd w:val="clear" w:color="auto" w:fill="CCEEFF"/>
          </w:tcPr>
          <w:p>
            <w:pPr>
              <w:spacing w:after="0"/>
              <w:rPr>
                <w:sz w:val="13"/>
                <w:szCs w:val="13"/>
                <w:color w:val="auto"/>
              </w:rPr>
            </w:pPr>
          </w:p>
        </w:tc>
        <w:tc>
          <w:tcPr>
            <w:tcW w:w="8860" w:type="dxa"/>
            <w:vAlign w:val="bottom"/>
            <w:tcBorders>
              <w:top w:val="single" w:sz="8" w:color="0000FF"/>
            </w:tcBorders>
            <w:gridSpan w:val="27"/>
            <w:shd w:val="clear" w:color="auto" w:fill="CCEEFF"/>
          </w:tcPr>
          <w:p>
            <w:pPr>
              <w:spacing w:after="0" w:line="156" w:lineRule="exact"/>
              <w:rPr>
                <w:rFonts w:ascii="Times New Roman" w:cs="Times New Roman" w:eastAsia="Times New Roman" w:hAnsi="Times New Roman"/>
                <w:sz w:val="18"/>
                <w:szCs w:val="18"/>
                <w:color w:val="0000FF"/>
                <w:w w:val="99"/>
              </w:rPr>
            </w:pPr>
            <w:hyperlink r:id="rId162">
              <w:r>
                <w:rPr>
                  <w:rFonts w:ascii="Times New Roman" w:cs="Times New Roman" w:eastAsia="Times New Roman" w:hAnsi="Times New Roman"/>
                  <w:sz w:val="18"/>
                  <w:szCs w:val="18"/>
                  <w:color w:val="0000FF"/>
                  <w:w w:val="99"/>
                </w:rPr>
                <w:t>13, 2017 (incorporated by reference to Exhibit 10.5 to the Company's Quarterly Report on Form 10-Q for the quarter ended</w:t>
              </w:r>
            </w:hyperlink>
          </w:p>
        </w:tc>
        <w:tc>
          <w:tcPr>
            <w:tcW w:w="100" w:type="dxa"/>
            <w:vAlign w:val="bottom"/>
            <w:tcBorders>
              <w:top w:val="single" w:sz="8" w:color="CCEEFF"/>
            </w:tcBorders>
            <w:gridSpan w:val="2"/>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40" w:type="dxa"/>
            <w:vAlign w:val="bottom"/>
            <w:tcBorders>
              <w:top w:val="single" w:sz="8" w:color="CCEEFF"/>
              <w:right w:val="single" w:sz="8" w:color="CCEEFF"/>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40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CCEEFF"/>
            </w:tcBorders>
            <w:shd w:val="clear" w:color="auto" w:fill="CCEEFF"/>
          </w:tcPr>
          <w:p>
            <w:pPr>
              <w:spacing w:after="0"/>
              <w:rPr>
                <w:sz w:val="14"/>
                <w:szCs w:val="14"/>
                <w:color w:val="auto"/>
              </w:rPr>
            </w:pPr>
          </w:p>
        </w:tc>
        <w:tc>
          <w:tcPr>
            <w:tcW w:w="8880" w:type="dxa"/>
            <w:vAlign w:val="bottom"/>
            <w:tcBorders>
              <w:top w:val="single" w:sz="8" w:color="0000FF"/>
            </w:tcBorders>
            <w:gridSpan w:val="28"/>
            <w:shd w:val="clear" w:color="auto" w:fill="CCEEFF"/>
          </w:tcPr>
          <w:p>
            <w:pPr>
              <w:spacing w:after="0" w:line="169" w:lineRule="exact"/>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September 30, 2017).</w:t>
              </w:r>
            </w:hyperlink>
          </w:p>
        </w:tc>
        <w:tc>
          <w:tcPr>
            <w:tcW w:w="8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40" w:type="dxa"/>
            <w:vAlign w:val="bottom"/>
            <w:tcBorders>
              <w:top w:val="single" w:sz="8" w:color="CCEEFF"/>
              <w:right w:val="single" w:sz="8" w:color="CCEEFF"/>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10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1400" w:type="dxa"/>
            <w:vAlign w:val="bottom"/>
          </w:tcPr>
          <w:p>
            <w:pPr>
              <w:ind w:left="620"/>
              <w:spacing w:after="0" w:line="189" w:lineRule="exact"/>
              <w:rPr>
                <w:sz w:val="20"/>
                <w:szCs w:val="20"/>
                <w:color w:val="auto"/>
              </w:rPr>
            </w:pPr>
            <w:r>
              <w:rPr>
                <w:rFonts w:ascii="Times New Roman" w:cs="Times New Roman" w:eastAsia="Times New Roman" w:hAnsi="Times New Roman"/>
                <w:sz w:val="18"/>
                <w:szCs w:val="18"/>
                <w:color w:val="auto"/>
              </w:rPr>
              <w:t>10.13</w:t>
            </w:r>
          </w:p>
        </w:tc>
        <w:tc>
          <w:tcPr>
            <w:tcW w:w="720" w:type="dxa"/>
            <w:vAlign w:val="bottom"/>
          </w:tcPr>
          <w:p>
            <w:pPr>
              <w:jc w:val="right"/>
              <w:ind w:right="270"/>
              <w:spacing w:after="0" w:line="189" w:lineRule="exact"/>
              <w:rPr>
                <w:sz w:val="20"/>
                <w:szCs w:val="20"/>
                <w:color w:val="auto"/>
              </w:rPr>
            </w:pPr>
            <w:r>
              <w:rPr>
                <w:rFonts w:ascii="Times New Roman" w:cs="Times New Roman" w:eastAsia="Times New Roman" w:hAnsi="Times New Roman"/>
                <w:sz w:val="18"/>
                <w:szCs w:val="18"/>
                <w:color w:val="auto"/>
              </w:rPr>
              <w:t>*</w:t>
            </w:r>
          </w:p>
        </w:tc>
        <w:tc>
          <w:tcPr>
            <w:tcW w:w="9100" w:type="dxa"/>
            <w:vAlign w:val="bottom"/>
            <w:gridSpan w:val="34"/>
          </w:tcPr>
          <w:p>
            <w:pPr>
              <w:spacing w:after="0" w:line="189" w:lineRule="exact"/>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Lear Corporation Outside Directors Compensation Plan - Form of RSU Grant Deferral Election, effective as of May 16, 2019</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060" w:type="dxa"/>
            <w:vAlign w:val="bottom"/>
            <w:tcBorders>
              <w:top w:val="single" w:sz="8" w:color="0000FF"/>
            </w:tcBorders>
            <w:gridSpan w:val="33"/>
          </w:tcPr>
          <w:p>
            <w:pPr>
              <w:spacing w:after="0" w:line="156" w:lineRule="exact"/>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(incorporated by reference to Exhibit 10.5 to the Company's Quarterly Report on Form 10-Q for the quarter ended June 29,</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Borders>
              <w:top w:val="single" w:sz="8" w:color="0000FF"/>
              <w:bottom w:val="single" w:sz="8" w:color="0000FF"/>
            </w:tcBorders>
          </w:tcPr>
          <w:p>
            <w:pPr>
              <w:spacing w:after="0" w:line="169" w:lineRule="exact"/>
              <w:rPr>
                <w:rFonts w:ascii="Times New Roman" w:cs="Times New Roman" w:eastAsia="Times New Roman" w:hAnsi="Times New Roman"/>
                <w:sz w:val="18"/>
                <w:szCs w:val="18"/>
                <w:color w:val="0000FF"/>
                <w:w w:val="94"/>
              </w:rPr>
            </w:pPr>
            <w:hyperlink r:id="rId163">
              <w:r>
                <w:rPr>
                  <w:rFonts w:ascii="Times New Roman" w:cs="Times New Roman" w:eastAsia="Times New Roman" w:hAnsi="Times New Roman"/>
                  <w:sz w:val="18"/>
                  <w:szCs w:val="18"/>
                  <w:color w:val="0000FF"/>
                  <w:w w:val="94"/>
                </w:rPr>
                <w:t>2019).</w:t>
              </w:r>
            </w:hyperlink>
          </w:p>
        </w:tc>
        <w:tc>
          <w:tcPr>
            <w:tcW w:w="10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100" w:type="dxa"/>
            <w:vAlign w:val="bottom"/>
            <w:tcBorders>
              <w:top w:val="single" w:sz="8" w:color="0000FF"/>
            </w:tcBorders>
          </w:tcPr>
          <w:p>
            <w:pPr>
              <w:spacing w:after="0"/>
              <w:rPr>
                <w:sz w:val="14"/>
                <w:szCs w:val="14"/>
                <w:color w:val="auto"/>
              </w:rPr>
            </w:pPr>
          </w:p>
        </w:tc>
        <w:tc>
          <w:tcPr>
            <w:tcW w:w="380" w:type="dxa"/>
            <w:vAlign w:val="bottom"/>
            <w:tcBorders>
              <w:top w:val="single" w:sz="8" w:color="0000FF"/>
            </w:tcBorders>
          </w:tcPr>
          <w:p>
            <w:pPr>
              <w:spacing w:after="0"/>
              <w:rPr>
                <w:sz w:val="14"/>
                <w:szCs w:val="14"/>
                <w:color w:val="auto"/>
              </w:rPr>
            </w:pPr>
          </w:p>
        </w:tc>
        <w:tc>
          <w:tcPr>
            <w:tcW w:w="1300" w:type="dxa"/>
            <w:vAlign w:val="bottom"/>
            <w:tcBorders>
              <w:top w:val="single" w:sz="8" w:color="0000FF"/>
            </w:tcBorders>
          </w:tcPr>
          <w:p>
            <w:pPr>
              <w:spacing w:after="0"/>
              <w:rPr>
                <w:sz w:val="14"/>
                <w:szCs w:val="14"/>
                <w:color w:val="auto"/>
              </w:rPr>
            </w:pPr>
          </w:p>
        </w:tc>
        <w:tc>
          <w:tcPr>
            <w:tcW w:w="172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1020" w:type="dxa"/>
            <w:vAlign w:val="bottom"/>
            <w:tcBorders>
              <w:top w:val="single" w:sz="8" w:color="0000FF"/>
            </w:tcBorders>
          </w:tcPr>
          <w:p>
            <w:pPr>
              <w:spacing w:after="0"/>
              <w:rPr>
                <w:sz w:val="14"/>
                <w:szCs w:val="14"/>
                <w:color w:val="auto"/>
              </w:rPr>
            </w:pPr>
          </w:p>
        </w:tc>
        <w:tc>
          <w:tcPr>
            <w:tcW w:w="58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400" w:type="dxa"/>
            <w:vAlign w:val="bottom"/>
            <w:tcBorders>
              <w:bottom w:val="single" w:sz="8" w:color="CCEEFF"/>
            </w:tcBorders>
            <w:shd w:val="clear" w:color="auto" w:fill="CCEEFF"/>
          </w:tcPr>
          <w:p>
            <w:pPr>
              <w:ind w:left="200"/>
              <w:spacing w:after="0" w:line="189" w:lineRule="exact"/>
              <w:rPr>
                <w:sz w:val="20"/>
                <w:szCs w:val="20"/>
                <w:color w:val="auto"/>
              </w:rPr>
            </w:pPr>
            <w:r>
              <w:rPr>
                <w:rFonts w:ascii="Times New Roman" w:cs="Times New Roman" w:eastAsia="Times New Roman" w:hAnsi="Times New Roman"/>
                <w:sz w:val="18"/>
                <w:szCs w:val="18"/>
                <w:color w:val="auto"/>
              </w:rPr>
              <w:t>**   10.14</w:t>
            </w:r>
          </w:p>
        </w:tc>
        <w:tc>
          <w:tcPr>
            <w:tcW w:w="720" w:type="dxa"/>
            <w:vAlign w:val="bottom"/>
            <w:tcBorders>
              <w:bottom w:val="single" w:sz="8" w:color="CCEEFF"/>
            </w:tcBorders>
            <w:shd w:val="clear" w:color="auto" w:fill="CCEEFF"/>
          </w:tcPr>
          <w:p>
            <w:pPr>
              <w:jc w:val="right"/>
              <w:ind w:right="270"/>
              <w:spacing w:after="0" w:line="189" w:lineRule="exact"/>
              <w:rPr>
                <w:sz w:val="20"/>
                <w:szCs w:val="20"/>
                <w:color w:val="auto"/>
              </w:rPr>
            </w:pPr>
            <w:r>
              <w:rPr>
                <w:rFonts w:ascii="Times New Roman" w:cs="Times New Roman" w:eastAsia="Times New Roman" w:hAnsi="Times New Roman"/>
                <w:sz w:val="18"/>
                <w:szCs w:val="18"/>
                <w:color w:val="auto"/>
              </w:rPr>
              <w:t>*</w:t>
            </w:r>
          </w:p>
        </w:tc>
        <w:tc>
          <w:tcPr>
            <w:tcW w:w="7420" w:type="dxa"/>
            <w:vAlign w:val="bottom"/>
            <w:tcBorders>
              <w:bottom w:val="single" w:sz="8" w:color="0000FF"/>
            </w:tcBorders>
            <w:gridSpan w:val="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Lear Corporation Outside Directors Compensation Plan, amended and restated effective May 14, 2026.</w:t>
            </w:r>
          </w:p>
        </w:tc>
        <w:tc>
          <w:tcPr>
            <w:tcW w:w="1680" w:type="dxa"/>
            <w:vAlign w:val="bottom"/>
            <w:tcBorders>
              <w:bottom w:val="single" w:sz="8" w:color="CCEEFF"/>
              <w:right w:val="single" w:sz="8" w:color="CCEEFF"/>
            </w:tcBorders>
            <w:gridSpan w:val="25"/>
            <w:shd w:val="clear" w:color="auto" w:fill="CCEEFF"/>
          </w:tcPr>
          <w:p>
            <w:pPr>
              <w:spacing w:after="0"/>
              <w:rPr>
                <w:sz w:val="18"/>
                <w:szCs w:val="18"/>
                <w:color w:val="auto"/>
              </w:rPr>
            </w:pP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400" w:type="dxa"/>
            <w:vAlign w:val="bottom"/>
          </w:tcPr>
          <w:p>
            <w:pPr>
              <w:ind w:left="620"/>
              <w:spacing w:after="0" w:line="189" w:lineRule="exact"/>
              <w:rPr>
                <w:sz w:val="20"/>
                <w:szCs w:val="20"/>
                <w:color w:val="auto"/>
              </w:rPr>
            </w:pPr>
            <w:r>
              <w:rPr>
                <w:rFonts w:ascii="Times New Roman" w:cs="Times New Roman" w:eastAsia="Times New Roman" w:hAnsi="Times New Roman"/>
                <w:sz w:val="18"/>
                <w:szCs w:val="18"/>
                <w:color w:val="auto"/>
              </w:rPr>
              <w:t>10.15</w:t>
            </w:r>
          </w:p>
        </w:tc>
        <w:tc>
          <w:tcPr>
            <w:tcW w:w="720" w:type="dxa"/>
            <w:vAlign w:val="bottom"/>
          </w:tcPr>
          <w:p>
            <w:pPr>
              <w:jc w:val="right"/>
              <w:ind w:right="270"/>
              <w:spacing w:after="0" w:line="189" w:lineRule="exact"/>
              <w:rPr>
                <w:sz w:val="20"/>
                <w:szCs w:val="20"/>
                <w:color w:val="auto"/>
              </w:rPr>
            </w:pPr>
            <w:r>
              <w:rPr>
                <w:rFonts w:ascii="Times New Roman" w:cs="Times New Roman" w:eastAsia="Times New Roman" w:hAnsi="Times New Roman"/>
                <w:sz w:val="18"/>
                <w:szCs w:val="18"/>
                <w:color w:val="auto"/>
              </w:rPr>
              <w:t>*</w:t>
            </w:r>
          </w:p>
        </w:tc>
        <w:tc>
          <w:tcPr>
            <w:tcW w:w="9100" w:type="dxa"/>
            <w:vAlign w:val="bottom"/>
            <w:gridSpan w:val="34"/>
          </w:tcPr>
          <w:p>
            <w:pPr>
              <w:spacing w:after="0" w:line="189" w:lineRule="exact"/>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Lear Corporation 2009 Long-Term Stock Incentive Plan, amended and restated effective January 1, 2014 (incorporated by</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780" w:type="dxa"/>
            <w:vAlign w:val="bottom"/>
            <w:tcBorders>
              <w:top w:val="single" w:sz="8" w:color="0000FF"/>
            </w:tcBorders>
            <w:gridSpan w:val="25"/>
          </w:tcPr>
          <w:p>
            <w:pPr>
              <w:spacing w:after="0" w:line="156" w:lineRule="exact"/>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reference to Exhibit 10.2 to the Company's Annual Report on Form 10-K for the year ended December 31, 2013).</w:t>
              </w:r>
            </w:hyperlink>
          </w:p>
        </w:tc>
        <w:tc>
          <w:tcPr>
            <w:tcW w:w="180" w:type="dxa"/>
            <w:vAlign w:val="bottom"/>
            <w:gridSpan w:val="4"/>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1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10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10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1300" w:type="dxa"/>
            <w:vAlign w:val="bottom"/>
            <w:tcBorders>
              <w:top w:val="single" w:sz="8" w:color="0000FF"/>
            </w:tcBorders>
          </w:tcPr>
          <w:p>
            <w:pPr>
              <w:spacing w:after="0"/>
              <w:rPr>
                <w:sz w:val="2"/>
                <w:szCs w:val="2"/>
                <w:color w:val="auto"/>
              </w:rPr>
            </w:pPr>
          </w:p>
        </w:tc>
        <w:tc>
          <w:tcPr>
            <w:tcW w:w="172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1020" w:type="dxa"/>
            <w:vAlign w:val="bottom"/>
            <w:tcBorders>
              <w:top w:val="single" w:sz="8" w:color="0000FF"/>
            </w:tcBorders>
          </w:tcPr>
          <w:p>
            <w:pPr>
              <w:spacing w:after="0"/>
              <w:rPr>
                <w:sz w:val="2"/>
                <w:szCs w:val="2"/>
                <w:color w:val="auto"/>
              </w:rPr>
            </w:pPr>
          </w:p>
        </w:tc>
        <w:tc>
          <w:tcPr>
            <w:tcW w:w="58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1400" w:type="dxa"/>
            <w:vAlign w:val="bottom"/>
            <w:shd w:val="clear" w:color="auto" w:fill="CCEEFF"/>
          </w:tcPr>
          <w:p>
            <w:pPr>
              <w:ind w:left="620"/>
              <w:spacing w:after="0" w:line="189" w:lineRule="exact"/>
              <w:rPr>
                <w:sz w:val="20"/>
                <w:szCs w:val="20"/>
                <w:color w:val="auto"/>
              </w:rPr>
            </w:pPr>
            <w:r>
              <w:rPr>
                <w:rFonts w:ascii="Times New Roman" w:cs="Times New Roman" w:eastAsia="Times New Roman" w:hAnsi="Times New Roman"/>
                <w:sz w:val="18"/>
                <w:szCs w:val="18"/>
                <w:color w:val="auto"/>
              </w:rPr>
              <w:t>10.16</w:t>
            </w:r>
          </w:p>
        </w:tc>
        <w:tc>
          <w:tcPr>
            <w:tcW w:w="720" w:type="dxa"/>
            <w:vAlign w:val="bottom"/>
            <w:shd w:val="clear" w:color="auto" w:fill="CCEEFF"/>
          </w:tcPr>
          <w:p>
            <w:pPr>
              <w:jc w:val="right"/>
              <w:ind w:right="270"/>
              <w:spacing w:after="0" w:line="189" w:lineRule="exact"/>
              <w:rPr>
                <w:sz w:val="20"/>
                <w:szCs w:val="20"/>
                <w:color w:val="auto"/>
              </w:rPr>
            </w:pPr>
            <w:r>
              <w:rPr>
                <w:rFonts w:ascii="Times New Roman" w:cs="Times New Roman" w:eastAsia="Times New Roman" w:hAnsi="Times New Roman"/>
                <w:sz w:val="18"/>
                <w:szCs w:val="18"/>
                <w:color w:val="auto"/>
              </w:rPr>
              <w:t>*</w:t>
            </w:r>
          </w:p>
        </w:tc>
        <w:tc>
          <w:tcPr>
            <w:tcW w:w="9100" w:type="dxa"/>
            <w:vAlign w:val="bottom"/>
            <w:tcBorders>
              <w:right w:val="single" w:sz="8" w:color="CCEEFF"/>
            </w:tcBorders>
            <w:gridSpan w:val="34"/>
            <w:shd w:val="clear" w:color="auto" w:fill="CCEEFF"/>
          </w:tcPr>
          <w:p>
            <w:pPr>
              <w:spacing w:after="0" w:line="189" w:lineRule="exact"/>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First Amendment to the Lear Corporation 2009 Long-Term Stock Incentive Plan (amended and restated as of January 1,</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40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CCEEFF"/>
            </w:tcBorders>
            <w:shd w:val="clear" w:color="auto" w:fill="CCEEFF"/>
          </w:tcPr>
          <w:p>
            <w:pPr>
              <w:spacing w:after="0"/>
              <w:rPr>
                <w:sz w:val="13"/>
                <w:szCs w:val="13"/>
                <w:color w:val="auto"/>
              </w:rPr>
            </w:pPr>
          </w:p>
        </w:tc>
        <w:tc>
          <w:tcPr>
            <w:tcW w:w="8660" w:type="dxa"/>
            <w:vAlign w:val="bottom"/>
            <w:tcBorders>
              <w:top w:val="single" w:sz="8" w:color="0000FF"/>
            </w:tcBorders>
            <w:gridSpan w:val="22"/>
            <w:shd w:val="clear" w:color="auto" w:fill="CCEEFF"/>
          </w:tcPr>
          <w:p>
            <w:pPr>
              <w:spacing w:after="0" w:line="156" w:lineRule="exact"/>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2014)</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 xml:space="preserve"> effective as of January 1, 2017 (incorporated by reference to Exhibit 10.1 to the Company's Quarterly Report on</w:t>
              </w:r>
            </w:hyperlink>
          </w:p>
        </w:tc>
        <w:tc>
          <w:tcPr>
            <w:tcW w:w="440" w:type="dxa"/>
            <w:vAlign w:val="bottom"/>
            <w:tcBorders>
              <w:top w:val="single" w:sz="8" w:color="CCEEFF"/>
              <w:right w:val="single" w:sz="8" w:color="CCEEFF"/>
            </w:tcBorders>
            <w:gridSpan w:val="12"/>
            <w:shd w:val="clear" w:color="auto" w:fill="CCEEFF"/>
          </w:tcPr>
          <w:p>
            <w:pPr>
              <w:spacing w:after="0" w:line="156" w:lineRule="exact"/>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Form</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40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CCEEFF"/>
            </w:tcBorders>
            <w:shd w:val="clear" w:color="auto" w:fill="CCEEFF"/>
          </w:tcPr>
          <w:p>
            <w:pPr>
              <w:spacing w:after="0"/>
              <w:rPr>
                <w:sz w:val="14"/>
                <w:szCs w:val="14"/>
                <w:color w:val="auto"/>
              </w:rPr>
            </w:pPr>
          </w:p>
        </w:tc>
        <w:tc>
          <w:tcPr>
            <w:tcW w:w="9020" w:type="dxa"/>
            <w:vAlign w:val="bottom"/>
            <w:tcBorders>
              <w:top w:val="single" w:sz="8" w:color="0000FF"/>
            </w:tcBorders>
            <w:gridSpan w:val="31"/>
            <w:shd w:val="clear" w:color="auto" w:fill="CCEEFF"/>
          </w:tcPr>
          <w:p>
            <w:pPr>
              <w:spacing w:after="0" w:line="169" w:lineRule="exact"/>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10-Q for the quarter ended April 1, 2017).</w:t>
              </w:r>
            </w:hyperlink>
          </w:p>
        </w:tc>
        <w:tc>
          <w:tcPr>
            <w:tcW w:w="80" w:type="dxa"/>
            <w:vAlign w:val="bottom"/>
            <w:tcBorders>
              <w:top w:val="single" w:sz="8" w:color="CCEEFF"/>
              <w:right w:val="single" w:sz="8" w:color="CCEEFF"/>
            </w:tcBorders>
            <w:gridSpan w:val="3"/>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10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10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1400" w:type="dxa"/>
            <w:vAlign w:val="bottom"/>
          </w:tcPr>
          <w:p>
            <w:pPr>
              <w:ind w:left="620"/>
              <w:spacing w:after="0" w:line="189" w:lineRule="exact"/>
              <w:rPr>
                <w:sz w:val="20"/>
                <w:szCs w:val="20"/>
                <w:color w:val="auto"/>
              </w:rPr>
            </w:pPr>
            <w:r>
              <w:rPr>
                <w:rFonts w:ascii="Times New Roman" w:cs="Times New Roman" w:eastAsia="Times New Roman" w:hAnsi="Times New Roman"/>
                <w:sz w:val="18"/>
                <w:szCs w:val="18"/>
                <w:color w:val="auto"/>
              </w:rPr>
              <w:t>10.17</w:t>
            </w:r>
          </w:p>
        </w:tc>
        <w:tc>
          <w:tcPr>
            <w:tcW w:w="720" w:type="dxa"/>
            <w:vAlign w:val="bottom"/>
          </w:tcPr>
          <w:p>
            <w:pPr>
              <w:jc w:val="right"/>
              <w:ind w:right="270"/>
              <w:spacing w:after="0" w:line="189" w:lineRule="exact"/>
              <w:rPr>
                <w:sz w:val="20"/>
                <w:szCs w:val="20"/>
                <w:color w:val="auto"/>
              </w:rPr>
            </w:pPr>
            <w:r>
              <w:rPr>
                <w:rFonts w:ascii="Times New Roman" w:cs="Times New Roman" w:eastAsia="Times New Roman" w:hAnsi="Times New Roman"/>
                <w:sz w:val="18"/>
                <w:szCs w:val="18"/>
                <w:color w:val="auto"/>
              </w:rPr>
              <w:t>*</w:t>
            </w:r>
          </w:p>
        </w:tc>
        <w:tc>
          <w:tcPr>
            <w:tcW w:w="9100" w:type="dxa"/>
            <w:vAlign w:val="bottom"/>
            <w:gridSpan w:val="34"/>
          </w:tcPr>
          <w:p>
            <w:pPr>
              <w:spacing w:after="0" w:line="189" w:lineRule="exact"/>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Lear Corporation 2019 Long-Term Stock Incentive Plan (incorporated by reference to Exhibit 4.3 to the Company's</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320" w:type="dxa"/>
            <w:vAlign w:val="bottom"/>
            <w:tcBorders>
              <w:top w:val="single" w:sz="8" w:color="0000FF"/>
            </w:tcBorders>
            <w:gridSpan w:val="15"/>
          </w:tcPr>
          <w:p>
            <w:pPr>
              <w:spacing w:after="0" w:line="156" w:lineRule="exact"/>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Registration Statement on Form S-8 filed on July 26, 2019).</w:t>
              </w:r>
            </w:hyperlink>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gridSpan w:val="3"/>
          </w:tcPr>
          <w:p>
            <w:pPr>
              <w:spacing w:after="0"/>
              <w:rPr>
                <w:sz w:val="13"/>
                <w:szCs w:val="13"/>
                <w:color w:val="auto"/>
              </w:rPr>
            </w:pPr>
          </w:p>
        </w:tc>
        <w:tc>
          <w:tcPr>
            <w:tcW w:w="220" w:type="dxa"/>
            <w:vAlign w:val="bottom"/>
            <w:gridSpan w:val="6"/>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1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10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10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1300" w:type="dxa"/>
            <w:vAlign w:val="bottom"/>
            <w:tcBorders>
              <w:top w:val="single" w:sz="8" w:color="0000FF"/>
            </w:tcBorders>
          </w:tcPr>
          <w:p>
            <w:pPr>
              <w:spacing w:after="0"/>
              <w:rPr>
                <w:sz w:val="2"/>
                <w:szCs w:val="2"/>
                <w:color w:val="auto"/>
              </w:rPr>
            </w:pPr>
          </w:p>
        </w:tc>
        <w:tc>
          <w:tcPr>
            <w:tcW w:w="1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1400" w:type="dxa"/>
            <w:vAlign w:val="bottom"/>
            <w:shd w:val="clear" w:color="auto" w:fill="CCEEFF"/>
          </w:tcPr>
          <w:p>
            <w:pPr>
              <w:ind w:left="620"/>
              <w:spacing w:after="0" w:line="189" w:lineRule="exact"/>
              <w:rPr>
                <w:sz w:val="20"/>
                <w:szCs w:val="20"/>
                <w:color w:val="auto"/>
              </w:rPr>
            </w:pPr>
            <w:r>
              <w:rPr>
                <w:rFonts w:ascii="Times New Roman" w:cs="Times New Roman" w:eastAsia="Times New Roman" w:hAnsi="Times New Roman"/>
                <w:sz w:val="18"/>
                <w:szCs w:val="18"/>
                <w:color w:val="auto"/>
              </w:rPr>
              <w:t>10.18</w:t>
            </w:r>
          </w:p>
        </w:tc>
        <w:tc>
          <w:tcPr>
            <w:tcW w:w="720" w:type="dxa"/>
            <w:vAlign w:val="bottom"/>
            <w:shd w:val="clear" w:color="auto" w:fill="CCEEFF"/>
          </w:tcPr>
          <w:p>
            <w:pPr>
              <w:jc w:val="right"/>
              <w:ind w:right="270"/>
              <w:spacing w:after="0" w:line="189" w:lineRule="exact"/>
              <w:rPr>
                <w:sz w:val="20"/>
                <w:szCs w:val="20"/>
                <w:color w:val="auto"/>
              </w:rPr>
            </w:pPr>
            <w:r>
              <w:rPr>
                <w:rFonts w:ascii="Times New Roman" w:cs="Times New Roman" w:eastAsia="Times New Roman" w:hAnsi="Times New Roman"/>
                <w:sz w:val="18"/>
                <w:szCs w:val="18"/>
                <w:color w:val="auto"/>
              </w:rPr>
              <w:t>*</w:t>
            </w:r>
          </w:p>
        </w:tc>
        <w:tc>
          <w:tcPr>
            <w:tcW w:w="9100" w:type="dxa"/>
            <w:vAlign w:val="bottom"/>
            <w:tcBorders>
              <w:right w:val="single" w:sz="8" w:color="CCEEFF"/>
            </w:tcBorders>
            <w:gridSpan w:val="34"/>
            <w:shd w:val="clear" w:color="auto" w:fill="CCEEFF"/>
          </w:tcPr>
          <w:p>
            <w:pPr>
              <w:spacing w:after="0" w:line="189" w:lineRule="exact"/>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Lear Corporation 2019 Long-Term Stock Incentive Plan (amended and restated as of May 18, 2023) (incorporated by</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40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CCEEFF"/>
            </w:tcBorders>
            <w:shd w:val="clear" w:color="auto" w:fill="CCEEFF"/>
          </w:tcPr>
          <w:p>
            <w:pPr>
              <w:spacing w:after="0"/>
              <w:rPr>
                <w:sz w:val="13"/>
                <w:szCs w:val="13"/>
                <w:color w:val="auto"/>
              </w:rPr>
            </w:pPr>
          </w:p>
        </w:tc>
        <w:tc>
          <w:tcPr>
            <w:tcW w:w="8460" w:type="dxa"/>
            <w:vAlign w:val="bottom"/>
            <w:tcBorders>
              <w:top w:val="single" w:sz="8" w:color="0000FF"/>
            </w:tcBorders>
            <w:gridSpan w:val="17"/>
            <w:shd w:val="clear" w:color="auto" w:fill="CCEEFF"/>
          </w:tcPr>
          <w:p>
            <w:pPr>
              <w:spacing w:after="0" w:line="156" w:lineRule="exact"/>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reference to Exhibit 10.1 to the Company's Quarterly Report on Form 10-Q for the quarter ended July 1, 2023).</w:t>
              </w:r>
            </w:hyperlink>
          </w:p>
        </w:tc>
        <w:tc>
          <w:tcPr>
            <w:tcW w:w="120" w:type="dxa"/>
            <w:vAlign w:val="bottom"/>
            <w:tcBorders>
              <w:top w:val="single" w:sz="8" w:color="CCEEFF"/>
            </w:tcBorders>
            <w:gridSpan w:val="2"/>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gridSpan w:val="3"/>
            <w:shd w:val="clear" w:color="auto" w:fill="CCEEFF"/>
          </w:tcPr>
          <w:p>
            <w:pPr>
              <w:spacing w:after="0"/>
              <w:rPr>
                <w:sz w:val="13"/>
                <w:szCs w:val="13"/>
                <w:color w:val="auto"/>
              </w:rPr>
            </w:pPr>
          </w:p>
        </w:tc>
        <w:tc>
          <w:tcPr>
            <w:tcW w:w="220" w:type="dxa"/>
            <w:vAlign w:val="bottom"/>
            <w:tcBorders>
              <w:top w:val="single" w:sz="8" w:color="CCEEFF"/>
            </w:tcBorders>
            <w:gridSpan w:val="6"/>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right w:val="single" w:sz="8" w:color="CCEEFF"/>
            </w:tcBorders>
            <w:gridSpan w:val="4"/>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140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0000FF"/>
            </w:tcBorders>
            <w:shd w:val="clear" w:color="auto" w:fill="CCEEFF"/>
          </w:tcPr>
          <w:p>
            <w:pPr>
              <w:spacing w:after="0"/>
              <w:rPr>
                <w:sz w:val="2"/>
                <w:szCs w:val="2"/>
                <w:color w:val="auto"/>
              </w:rPr>
            </w:pPr>
          </w:p>
        </w:tc>
        <w:tc>
          <w:tcPr>
            <w:tcW w:w="106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1100" w:type="dxa"/>
            <w:vAlign w:val="bottom"/>
            <w:tcBorders>
              <w:top w:val="single" w:sz="8" w:color="0000FF"/>
            </w:tcBorders>
            <w:shd w:val="clear" w:color="auto" w:fill="CCEEFF"/>
          </w:tcPr>
          <w:p>
            <w:pPr>
              <w:spacing w:after="0"/>
              <w:rPr>
                <w:sz w:val="2"/>
                <w:szCs w:val="2"/>
                <w:color w:val="auto"/>
              </w:rPr>
            </w:pPr>
          </w:p>
        </w:tc>
        <w:tc>
          <w:tcPr>
            <w:tcW w:w="380" w:type="dxa"/>
            <w:vAlign w:val="bottom"/>
            <w:tcBorders>
              <w:top w:val="single" w:sz="8" w:color="0000FF"/>
            </w:tcBorders>
            <w:shd w:val="clear" w:color="auto" w:fill="CCEEFF"/>
          </w:tcPr>
          <w:p>
            <w:pPr>
              <w:spacing w:after="0"/>
              <w:rPr>
                <w:sz w:val="2"/>
                <w:szCs w:val="2"/>
                <w:color w:val="auto"/>
              </w:rPr>
            </w:pPr>
          </w:p>
        </w:tc>
        <w:tc>
          <w:tcPr>
            <w:tcW w:w="1300" w:type="dxa"/>
            <w:vAlign w:val="bottom"/>
            <w:tcBorders>
              <w:top w:val="single" w:sz="8" w:color="0000FF"/>
            </w:tcBorders>
            <w:shd w:val="clear" w:color="auto" w:fill="CCEEFF"/>
          </w:tcPr>
          <w:p>
            <w:pPr>
              <w:spacing w:after="0"/>
              <w:rPr>
                <w:sz w:val="2"/>
                <w:szCs w:val="2"/>
                <w:color w:val="auto"/>
              </w:rPr>
            </w:pPr>
          </w:p>
        </w:tc>
        <w:tc>
          <w:tcPr>
            <w:tcW w:w="1720" w:type="dxa"/>
            <w:vAlign w:val="bottom"/>
            <w:tcBorders>
              <w:top w:val="single" w:sz="8" w:color="0000FF"/>
            </w:tcBorders>
            <w:shd w:val="clear" w:color="auto" w:fill="CCEEFF"/>
          </w:tcPr>
          <w:p>
            <w:pPr>
              <w:spacing w:after="0"/>
              <w:rPr>
                <w:sz w:val="2"/>
                <w:szCs w:val="2"/>
                <w:color w:val="auto"/>
              </w:rPr>
            </w:pPr>
          </w:p>
        </w:tc>
        <w:tc>
          <w:tcPr>
            <w:tcW w:w="360" w:type="dxa"/>
            <w:vAlign w:val="bottom"/>
            <w:tcBorders>
              <w:top w:val="single" w:sz="8" w:color="0000FF"/>
            </w:tcBorders>
            <w:shd w:val="clear" w:color="auto" w:fill="CCEEFF"/>
          </w:tcPr>
          <w:p>
            <w:pPr>
              <w:spacing w:after="0"/>
              <w:rPr>
                <w:sz w:val="2"/>
                <w:szCs w:val="2"/>
                <w:color w:val="auto"/>
              </w:rPr>
            </w:pPr>
          </w:p>
        </w:tc>
        <w:tc>
          <w:tcPr>
            <w:tcW w:w="1020" w:type="dxa"/>
            <w:vAlign w:val="bottom"/>
            <w:tcBorders>
              <w:top w:val="single" w:sz="8" w:color="0000FF"/>
            </w:tcBorders>
            <w:shd w:val="clear" w:color="auto" w:fill="CCEEFF"/>
          </w:tcPr>
          <w:p>
            <w:pPr>
              <w:spacing w:after="0"/>
              <w:rPr>
                <w:sz w:val="2"/>
                <w:szCs w:val="2"/>
                <w:color w:val="auto"/>
              </w:rPr>
            </w:pPr>
          </w:p>
        </w:tc>
        <w:tc>
          <w:tcPr>
            <w:tcW w:w="58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right w:val="single" w:sz="8" w:color="CCEEFF"/>
            </w:tcBorders>
            <w:shd w:val="clear" w:color="auto" w:fill="CCEEFF"/>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1400" w:type="dxa"/>
            <w:vAlign w:val="bottom"/>
          </w:tcPr>
          <w:p>
            <w:pPr>
              <w:ind w:left="620"/>
              <w:spacing w:after="0" w:line="189" w:lineRule="exact"/>
              <w:rPr>
                <w:sz w:val="20"/>
                <w:szCs w:val="20"/>
                <w:color w:val="auto"/>
              </w:rPr>
            </w:pPr>
            <w:r>
              <w:rPr>
                <w:rFonts w:ascii="Times New Roman" w:cs="Times New Roman" w:eastAsia="Times New Roman" w:hAnsi="Times New Roman"/>
                <w:sz w:val="18"/>
                <w:szCs w:val="18"/>
                <w:color w:val="auto"/>
              </w:rPr>
              <w:t>10.19</w:t>
            </w:r>
          </w:p>
        </w:tc>
        <w:tc>
          <w:tcPr>
            <w:tcW w:w="720" w:type="dxa"/>
            <w:vAlign w:val="bottom"/>
          </w:tcPr>
          <w:p>
            <w:pPr>
              <w:jc w:val="right"/>
              <w:ind w:right="270"/>
              <w:spacing w:after="0" w:line="189" w:lineRule="exact"/>
              <w:rPr>
                <w:sz w:val="20"/>
                <w:szCs w:val="20"/>
                <w:color w:val="auto"/>
              </w:rPr>
            </w:pPr>
            <w:r>
              <w:rPr>
                <w:rFonts w:ascii="Times New Roman" w:cs="Times New Roman" w:eastAsia="Times New Roman" w:hAnsi="Times New Roman"/>
                <w:sz w:val="18"/>
                <w:szCs w:val="18"/>
                <w:color w:val="auto"/>
              </w:rPr>
              <w:t>*</w:t>
            </w:r>
          </w:p>
        </w:tc>
        <w:tc>
          <w:tcPr>
            <w:tcW w:w="8740" w:type="dxa"/>
            <w:vAlign w:val="bottom"/>
            <w:tcBorders>
              <w:bottom w:val="single" w:sz="8" w:color="0000FF"/>
            </w:tcBorders>
            <w:gridSpan w:val="23"/>
          </w:tcPr>
          <w:p>
            <w:pPr>
              <w:spacing w:after="0" w:line="189" w:lineRule="exact"/>
              <w:rPr>
                <w:rFonts w:ascii="Times New Roman" w:cs="Times New Roman" w:eastAsia="Times New Roman" w:hAnsi="Times New Roman"/>
                <w:sz w:val="18"/>
                <w:szCs w:val="18"/>
                <w:color w:val="0000FF"/>
                <w:w w:val="99"/>
              </w:rPr>
            </w:pPr>
            <w:hyperlink r:id="rId168">
              <w:r>
                <w:rPr>
                  <w:rFonts w:ascii="Times New Roman" w:cs="Times New Roman" w:eastAsia="Times New Roman" w:hAnsi="Times New Roman"/>
                  <w:sz w:val="18"/>
                  <w:szCs w:val="18"/>
                  <w:color w:val="0000FF"/>
                  <w:w w:val="99"/>
                </w:rPr>
                <w:t>Form of 2019 Restricted Stock Unit Terms and Conditions for Non-Employee Directors under the Lear Corporation 2019</w:t>
              </w:r>
            </w:hyperlink>
          </w:p>
        </w:tc>
        <w:tc>
          <w:tcPr>
            <w:tcW w:w="360" w:type="dxa"/>
            <w:vAlign w:val="bottom"/>
            <w:gridSpan w:val="11"/>
          </w:tcPr>
          <w:p>
            <w:pPr>
              <w:spacing w:after="0"/>
              <w:rPr>
                <w:sz w:val="16"/>
                <w:szCs w:val="16"/>
                <w:color w:val="auto"/>
              </w:rPr>
            </w:pP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120" w:type="dxa"/>
            <w:vAlign w:val="bottom"/>
            <w:gridSpan w:val="35"/>
          </w:tcPr>
          <w:p>
            <w:pPr>
              <w:spacing w:after="0" w:line="156" w:lineRule="exact"/>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Long-Term Stock Incentive Plan (incorporated by reference to Exhibit 10.6 to the Company's Quarterly Report on Form 10-Q</w:t>
              </w:r>
            </w:hyperlink>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100" w:type="dxa"/>
            <w:vAlign w:val="bottom"/>
            <w:tcBorders>
              <w:top w:val="single" w:sz="8" w:color="0000FF"/>
            </w:tcBorders>
            <w:gridSpan w:val="34"/>
          </w:tcPr>
          <w:p>
            <w:pPr>
              <w:spacing w:after="0" w:line="169" w:lineRule="exact"/>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for the quarter ended June 29, 2019).</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0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100" w:type="dxa"/>
            <w:vAlign w:val="bottom"/>
            <w:tcBorders>
              <w:top w:val="single" w:sz="8" w:color="0000FF"/>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1400" w:type="dxa"/>
            <w:vAlign w:val="bottom"/>
            <w:shd w:val="clear" w:color="auto" w:fill="CCEEFF"/>
          </w:tcPr>
          <w:p>
            <w:pPr>
              <w:ind w:left="620"/>
              <w:spacing w:after="0" w:line="189" w:lineRule="exact"/>
              <w:rPr>
                <w:sz w:val="20"/>
                <w:szCs w:val="20"/>
                <w:color w:val="auto"/>
              </w:rPr>
            </w:pPr>
            <w:r>
              <w:rPr>
                <w:rFonts w:ascii="Times New Roman" w:cs="Times New Roman" w:eastAsia="Times New Roman" w:hAnsi="Times New Roman"/>
                <w:sz w:val="18"/>
                <w:szCs w:val="18"/>
                <w:color w:val="auto"/>
              </w:rPr>
              <w:t>10.20</w:t>
            </w:r>
          </w:p>
        </w:tc>
        <w:tc>
          <w:tcPr>
            <w:tcW w:w="720" w:type="dxa"/>
            <w:vAlign w:val="bottom"/>
            <w:shd w:val="clear" w:color="auto" w:fill="CCEEFF"/>
          </w:tcPr>
          <w:p>
            <w:pPr>
              <w:jc w:val="right"/>
              <w:ind w:right="270"/>
              <w:spacing w:after="0" w:line="189" w:lineRule="exact"/>
              <w:rPr>
                <w:sz w:val="20"/>
                <w:szCs w:val="20"/>
                <w:color w:val="auto"/>
              </w:rPr>
            </w:pPr>
            <w:r>
              <w:rPr>
                <w:rFonts w:ascii="Times New Roman" w:cs="Times New Roman" w:eastAsia="Times New Roman" w:hAnsi="Times New Roman"/>
                <w:sz w:val="18"/>
                <w:szCs w:val="18"/>
                <w:color w:val="auto"/>
              </w:rPr>
              <w:t>*</w:t>
            </w:r>
          </w:p>
        </w:tc>
        <w:tc>
          <w:tcPr>
            <w:tcW w:w="9100" w:type="dxa"/>
            <w:vAlign w:val="bottom"/>
            <w:tcBorders>
              <w:right w:val="single" w:sz="8" w:color="CCEEFF"/>
            </w:tcBorders>
            <w:gridSpan w:val="34"/>
            <w:shd w:val="clear" w:color="auto" w:fill="CCEEFF"/>
          </w:tcPr>
          <w:p>
            <w:pPr>
              <w:spacing w:after="0" w:line="189" w:lineRule="exact"/>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Form of Non-Qualified Stock Option Terms and Conditions under the Lear Corporation 2019 Long-Term Stock Incentive</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40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CCEEFF"/>
            </w:tcBorders>
            <w:shd w:val="clear" w:color="auto" w:fill="CCEEFF"/>
          </w:tcPr>
          <w:p>
            <w:pPr>
              <w:spacing w:after="0"/>
              <w:rPr>
                <w:sz w:val="13"/>
                <w:szCs w:val="13"/>
                <w:color w:val="auto"/>
              </w:rPr>
            </w:pPr>
          </w:p>
        </w:tc>
        <w:tc>
          <w:tcPr>
            <w:tcW w:w="8740" w:type="dxa"/>
            <w:vAlign w:val="bottom"/>
            <w:tcBorders>
              <w:top w:val="single" w:sz="8" w:color="0000FF"/>
            </w:tcBorders>
            <w:gridSpan w:val="23"/>
            <w:shd w:val="clear" w:color="auto" w:fill="CCEEFF"/>
          </w:tcPr>
          <w:p>
            <w:pPr>
              <w:spacing w:after="0" w:line="156" w:lineRule="exact"/>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Plan (incorporated by reference to Exhibit 10.21 to the Company's Annual Report on Form 10-K for the year ended</w:t>
              </w:r>
            </w:hyperlink>
          </w:p>
        </w:tc>
        <w:tc>
          <w:tcPr>
            <w:tcW w:w="220" w:type="dxa"/>
            <w:vAlign w:val="bottom"/>
            <w:tcBorders>
              <w:top w:val="single" w:sz="8" w:color="CCEEFF"/>
            </w:tcBorders>
            <w:gridSpan w:val="6"/>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right w:val="single" w:sz="8" w:color="CCEEFF"/>
            </w:tcBorders>
            <w:gridSpan w:val="4"/>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400" w:type="dxa"/>
            <w:vAlign w:val="bottom"/>
            <w:tcBorders>
              <w:top w:val="single" w:sz="8" w:color="CCEEFF"/>
              <w:bottom w:val="single" w:sz="8" w:color="CCEEFF"/>
            </w:tcBorders>
            <w:shd w:val="clear" w:color="auto" w:fill="CCEEFF"/>
          </w:tcPr>
          <w:p>
            <w:pPr>
              <w:spacing w:after="0"/>
              <w:rPr>
                <w:sz w:val="16"/>
                <w:szCs w:val="16"/>
                <w:color w:val="auto"/>
              </w:rPr>
            </w:pPr>
          </w:p>
        </w:tc>
        <w:tc>
          <w:tcPr>
            <w:tcW w:w="720" w:type="dxa"/>
            <w:vAlign w:val="bottom"/>
            <w:tcBorders>
              <w:top w:val="single" w:sz="8" w:color="CCEEFF"/>
              <w:bottom w:val="single" w:sz="8" w:color="CCEEFF"/>
            </w:tcBorders>
            <w:shd w:val="clear" w:color="auto" w:fill="CCEEFF"/>
          </w:tcPr>
          <w:p>
            <w:pPr>
              <w:spacing w:after="0"/>
              <w:rPr>
                <w:sz w:val="16"/>
                <w:szCs w:val="16"/>
                <w:color w:val="auto"/>
              </w:rPr>
            </w:pPr>
          </w:p>
        </w:tc>
        <w:tc>
          <w:tcPr>
            <w:tcW w:w="1520" w:type="dxa"/>
            <w:vAlign w:val="bottom"/>
            <w:tcBorders>
              <w:top w:val="single" w:sz="8" w:color="0000FF"/>
              <w:bottom w:val="single" w:sz="8" w:color="0000FF"/>
            </w:tcBorders>
            <w:gridSpan w:val="2"/>
            <w:shd w:val="clear" w:color="auto" w:fill="CCEEFF"/>
          </w:tcPr>
          <w:p>
            <w:pPr>
              <w:spacing w:after="0" w:line="169" w:lineRule="exact"/>
              <w:rPr>
                <w:rFonts w:ascii="Times New Roman" w:cs="Times New Roman" w:eastAsia="Times New Roman" w:hAnsi="Times New Roman"/>
                <w:sz w:val="18"/>
                <w:szCs w:val="18"/>
                <w:color w:val="0000FF"/>
                <w:w w:val="98"/>
              </w:rPr>
            </w:pPr>
            <w:hyperlink r:id="rId169">
              <w:r>
                <w:rPr>
                  <w:rFonts w:ascii="Times New Roman" w:cs="Times New Roman" w:eastAsia="Times New Roman" w:hAnsi="Times New Roman"/>
                  <w:sz w:val="18"/>
                  <w:szCs w:val="18"/>
                  <w:color w:val="0000FF"/>
                  <w:w w:val="98"/>
                </w:rPr>
                <w:t>December 31, 2024).</w:t>
              </w:r>
            </w:hyperlink>
          </w:p>
        </w:tc>
        <w:tc>
          <w:tcPr>
            <w:tcW w:w="6780" w:type="dxa"/>
            <w:vAlign w:val="bottom"/>
            <w:tcBorders>
              <w:top w:val="single" w:sz="8" w:color="0000FF"/>
              <w:bottom w:val="single" w:sz="8" w:color="CCEEFF"/>
            </w:tcBorders>
            <w:gridSpan w:val="12"/>
            <w:shd w:val="clear" w:color="auto" w:fill="CCEEFF"/>
          </w:tcPr>
          <w:p>
            <w:pPr>
              <w:spacing w:after="0"/>
              <w:rPr>
                <w:sz w:val="16"/>
                <w:szCs w:val="16"/>
                <w:color w:val="auto"/>
              </w:rPr>
            </w:pPr>
          </w:p>
        </w:tc>
        <w:tc>
          <w:tcPr>
            <w:tcW w:w="14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140" w:type="dxa"/>
            <w:vAlign w:val="bottom"/>
            <w:tcBorders>
              <w:top w:val="single" w:sz="8" w:color="CCEEFF"/>
              <w:bottom w:val="single" w:sz="8" w:color="CCEEFF"/>
            </w:tcBorders>
            <w:gridSpan w:val="3"/>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CCEEFF"/>
              <w:bottom w:val="single" w:sz="8" w:color="CCEEFF"/>
            </w:tcBorders>
            <w:gridSpan w:val="9"/>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right w:val="single" w:sz="8" w:color="CCEEFF"/>
            </w:tcBorders>
            <w:gridSpan w:val="4"/>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400" w:type="dxa"/>
            <w:vAlign w:val="bottom"/>
          </w:tcPr>
          <w:p>
            <w:pPr>
              <w:ind w:left="620"/>
              <w:spacing w:after="0" w:line="189" w:lineRule="exact"/>
              <w:rPr>
                <w:sz w:val="20"/>
                <w:szCs w:val="20"/>
                <w:color w:val="auto"/>
              </w:rPr>
            </w:pPr>
            <w:r>
              <w:rPr>
                <w:rFonts w:ascii="Times New Roman" w:cs="Times New Roman" w:eastAsia="Times New Roman" w:hAnsi="Times New Roman"/>
                <w:sz w:val="18"/>
                <w:szCs w:val="18"/>
                <w:color w:val="auto"/>
              </w:rPr>
              <w:t>10.21</w:t>
            </w:r>
          </w:p>
        </w:tc>
        <w:tc>
          <w:tcPr>
            <w:tcW w:w="720" w:type="dxa"/>
            <w:vAlign w:val="bottom"/>
          </w:tcPr>
          <w:p>
            <w:pPr>
              <w:jc w:val="right"/>
              <w:ind w:right="270"/>
              <w:spacing w:after="0" w:line="189" w:lineRule="exact"/>
              <w:rPr>
                <w:sz w:val="20"/>
                <w:szCs w:val="20"/>
                <w:color w:val="auto"/>
              </w:rPr>
            </w:pPr>
            <w:r>
              <w:rPr>
                <w:rFonts w:ascii="Times New Roman" w:cs="Times New Roman" w:eastAsia="Times New Roman" w:hAnsi="Times New Roman"/>
                <w:sz w:val="18"/>
                <w:szCs w:val="18"/>
                <w:color w:val="auto"/>
              </w:rPr>
              <w:t>*</w:t>
            </w:r>
          </w:p>
        </w:tc>
        <w:tc>
          <w:tcPr>
            <w:tcW w:w="9100" w:type="dxa"/>
            <w:vAlign w:val="bottom"/>
            <w:gridSpan w:val="34"/>
          </w:tcPr>
          <w:p>
            <w:pPr>
              <w:spacing w:after="0" w:line="189" w:lineRule="exact"/>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Form of 2020 Performance-Based Career Shares Award Agreement under the Lear Corporation 2019 Long-Term Stock</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580" w:type="dxa"/>
            <w:vAlign w:val="bottom"/>
            <w:tcBorders>
              <w:top w:val="single" w:sz="8" w:color="0000FF"/>
            </w:tcBorders>
            <w:gridSpan w:val="19"/>
          </w:tcPr>
          <w:p>
            <w:pPr>
              <w:spacing w:after="0" w:line="156" w:lineRule="exact"/>
              <w:rPr>
                <w:rFonts w:ascii="Times New Roman" w:cs="Times New Roman" w:eastAsia="Times New Roman" w:hAnsi="Times New Roman"/>
                <w:sz w:val="18"/>
                <w:szCs w:val="18"/>
                <w:color w:val="0000FF"/>
                <w:w w:val="98"/>
              </w:rPr>
            </w:pPr>
            <w:hyperlink r:id="rId170">
              <w:r>
                <w:rPr>
                  <w:rFonts w:ascii="Times New Roman" w:cs="Times New Roman" w:eastAsia="Times New Roman" w:hAnsi="Times New Roman"/>
                  <w:sz w:val="18"/>
                  <w:szCs w:val="18"/>
                  <w:color w:val="0000FF"/>
                  <w:w w:val="98"/>
                </w:rPr>
                <w:t>Incentive Plan (incorporated by reference to Exhibit 10.1 to the Company's Current Report on Form 8-K filed November</w:t>
              </w:r>
            </w:hyperlink>
          </w:p>
        </w:tc>
        <w:tc>
          <w:tcPr>
            <w:tcW w:w="420" w:type="dxa"/>
            <w:vAlign w:val="bottom"/>
            <w:gridSpan w:val="11"/>
          </w:tcPr>
          <w:p>
            <w:pPr>
              <w:jc w:val="right"/>
              <w:ind w:right="40"/>
              <w:spacing w:after="0" w:line="156" w:lineRule="exact"/>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19,</w:t>
              </w:r>
            </w:hyperlink>
          </w:p>
        </w:tc>
        <w:tc>
          <w:tcPr>
            <w:tcW w:w="12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Borders>
              <w:top w:val="single" w:sz="8" w:color="0000FF"/>
              <w:bottom w:val="single" w:sz="8" w:color="0000FF"/>
            </w:tcBorders>
          </w:tcPr>
          <w:p>
            <w:pPr>
              <w:spacing w:after="0" w:line="169" w:lineRule="exact"/>
              <w:rPr>
                <w:rFonts w:ascii="Times New Roman" w:cs="Times New Roman" w:eastAsia="Times New Roman" w:hAnsi="Times New Roman"/>
                <w:sz w:val="18"/>
                <w:szCs w:val="18"/>
                <w:color w:val="0000FF"/>
                <w:w w:val="94"/>
              </w:rPr>
            </w:pPr>
            <w:hyperlink r:id="rId170">
              <w:r>
                <w:rPr>
                  <w:rFonts w:ascii="Times New Roman" w:cs="Times New Roman" w:eastAsia="Times New Roman" w:hAnsi="Times New Roman"/>
                  <w:sz w:val="18"/>
                  <w:szCs w:val="18"/>
                  <w:color w:val="0000FF"/>
                  <w:w w:val="94"/>
                </w:rPr>
                <w:t>2020).</w:t>
              </w:r>
            </w:hyperlink>
          </w:p>
        </w:tc>
        <w:tc>
          <w:tcPr>
            <w:tcW w:w="10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100" w:type="dxa"/>
            <w:vAlign w:val="bottom"/>
            <w:tcBorders>
              <w:top w:val="single" w:sz="8" w:color="0000FF"/>
            </w:tcBorders>
          </w:tcPr>
          <w:p>
            <w:pPr>
              <w:spacing w:after="0"/>
              <w:rPr>
                <w:sz w:val="14"/>
                <w:szCs w:val="14"/>
                <w:color w:val="auto"/>
              </w:rPr>
            </w:pPr>
          </w:p>
        </w:tc>
        <w:tc>
          <w:tcPr>
            <w:tcW w:w="380" w:type="dxa"/>
            <w:vAlign w:val="bottom"/>
            <w:tcBorders>
              <w:top w:val="single" w:sz="8" w:color="0000FF"/>
            </w:tcBorders>
          </w:tcPr>
          <w:p>
            <w:pPr>
              <w:spacing w:after="0"/>
              <w:rPr>
                <w:sz w:val="14"/>
                <w:szCs w:val="14"/>
                <w:color w:val="auto"/>
              </w:rPr>
            </w:pPr>
          </w:p>
        </w:tc>
        <w:tc>
          <w:tcPr>
            <w:tcW w:w="1300" w:type="dxa"/>
            <w:vAlign w:val="bottom"/>
            <w:tcBorders>
              <w:top w:val="single" w:sz="8" w:color="0000FF"/>
            </w:tcBorders>
          </w:tcPr>
          <w:p>
            <w:pPr>
              <w:spacing w:after="0"/>
              <w:rPr>
                <w:sz w:val="14"/>
                <w:szCs w:val="14"/>
                <w:color w:val="auto"/>
              </w:rPr>
            </w:pPr>
          </w:p>
        </w:tc>
        <w:tc>
          <w:tcPr>
            <w:tcW w:w="172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1020" w:type="dxa"/>
            <w:vAlign w:val="bottom"/>
            <w:tcBorders>
              <w:top w:val="single" w:sz="8" w:color="0000FF"/>
            </w:tcBorders>
          </w:tcPr>
          <w:p>
            <w:pPr>
              <w:spacing w:after="0"/>
              <w:rPr>
                <w:sz w:val="14"/>
                <w:szCs w:val="14"/>
                <w:color w:val="auto"/>
              </w:rPr>
            </w:pPr>
          </w:p>
        </w:tc>
        <w:tc>
          <w:tcPr>
            <w:tcW w:w="58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1400" w:type="dxa"/>
            <w:vAlign w:val="bottom"/>
            <w:shd w:val="clear" w:color="auto" w:fill="CCEEFF"/>
          </w:tcPr>
          <w:p>
            <w:pPr>
              <w:ind w:left="620"/>
              <w:spacing w:after="0" w:line="189" w:lineRule="exact"/>
              <w:rPr>
                <w:sz w:val="20"/>
                <w:szCs w:val="20"/>
                <w:color w:val="auto"/>
              </w:rPr>
            </w:pPr>
            <w:r>
              <w:rPr>
                <w:rFonts w:ascii="Times New Roman" w:cs="Times New Roman" w:eastAsia="Times New Roman" w:hAnsi="Times New Roman"/>
                <w:sz w:val="18"/>
                <w:szCs w:val="18"/>
                <w:color w:val="auto"/>
              </w:rPr>
              <w:t>10.22</w:t>
            </w:r>
          </w:p>
        </w:tc>
        <w:tc>
          <w:tcPr>
            <w:tcW w:w="720" w:type="dxa"/>
            <w:vAlign w:val="bottom"/>
            <w:shd w:val="clear" w:color="auto" w:fill="CCEEFF"/>
          </w:tcPr>
          <w:p>
            <w:pPr>
              <w:jc w:val="right"/>
              <w:ind w:right="270"/>
              <w:spacing w:after="0" w:line="189" w:lineRule="exact"/>
              <w:rPr>
                <w:sz w:val="20"/>
                <w:szCs w:val="20"/>
                <w:color w:val="auto"/>
              </w:rPr>
            </w:pPr>
            <w:r>
              <w:rPr>
                <w:rFonts w:ascii="Times New Roman" w:cs="Times New Roman" w:eastAsia="Times New Roman" w:hAnsi="Times New Roman"/>
                <w:sz w:val="18"/>
                <w:szCs w:val="18"/>
                <w:color w:val="auto"/>
              </w:rPr>
              <w:t>*</w:t>
            </w:r>
          </w:p>
        </w:tc>
        <w:tc>
          <w:tcPr>
            <w:tcW w:w="9100" w:type="dxa"/>
            <w:vAlign w:val="bottom"/>
            <w:tcBorders>
              <w:right w:val="single" w:sz="8" w:color="CCEEFF"/>
            </w:tcBorders>
            <w:gridSpan w:val="34"/>
            <w:shd w:val="clear" w:color="auto" w:fill="CCEEFF"/>
          </w:tcPr>
          <w:p>
            <w:pPr>
              <w:spacing w:after="0" w:line="189" w:lineRule="exact"/>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Form of Restricted Stock Unit Terms and Conditions under the Lear Corporation 2019 Long-Term Stock Incentive Plan</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40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CCEEFF"/>
            </w:tcBorders>
            <w:shd w:val="clear" w:color="auto" w:fill="CCEEFF"/>
          </w:tcPr>
          <w:p>
            <w:pPr>
              <w:spacing w:after="0"/>
              <w:rPr>
                <w:sz w:val="13"/>
                <w:szCs w:val="13"/>
                <w:color w:val="auto"/>
              </w:rPr>
            </w:pPr>
          </w:p>
        </w:tc>
        <w:tc>
          <w:tcPr>
            <w:tcW w:w="8620" w:type="dxa"/>
            <w:vAlign w:val="bottom"/>
            <w:tcBorders>
              <w:top w:val="single" w:sz="8" w:color="0000FF"/>
            </w:tcBorders>
            <w:gridSpan w:val="20"/>
            <w:shd w:val="clear" w:color="auto" w:fill="CCEEFF"/>
          </w:tcPr>
          <w:p>
            <w:pPr>
              <w:spacing w:after="0" w:line="156" w:lineRule="exact"/>
              <w:rPr>
                <w:rFonts w:ascii="Times New Roman" w:cs="Times New Roman" w:eastAsia="Times New Roman" w:hAnsi="Times New Roman"/>
                <w:sz w:val="18"/>
                <w:szCs w:val="18"/>
                <w:color w:val="0000FF"/>
                <w:w w:val="98"/>
              </w:rPr>
            </w:pPr>
            <w:hyperlink r:id="rId171">
              <w:r>
                <w:rPr>
                  <w:rFonts w:ascii="Times New Roman" w:cs="Times New Roman" w:eastAsia="Times New Roman" w:hAnsi="Times New Roman"/>
                  <w:sz w:val="18"/>
                  <w:szCs w:val="18"/>
                  <w:color w:val="0000FF"/>
                  <w:w w:val="98"/>
                </w:rPr>
                <w:t>(incorporated by reference to Exhibit 10.1 to the Company's Quarterly Report on Form 10-Q for the quarter ended March</w:t>
              </w:r>
            </w:hyperlink>
          </w:p>
        </w:tc>
        <w:tc>
          <w:tcPr>
            <w:tcW w:w="480" w:type="dxa"/>
            <w:vAlign w:val="bottom"/>
            <w:tcBorders>
              <w:top w:val="single" w:sz="8" w:color="CCEEFF"/>
              <w:right w:val="single" w:sz="8" w:color="CCEEFF"/>
            </w:tcBorders>
            <w:gridSpan w:val="14"/>
            <w:shd w:val="clear" w:color="auto" w:fill="CCEEFF"/>
          </w:tcPr>
          <w:p>
            <w:pPr>
              <w:jc w:val="right"/>
              <w:ind w:right="100"/>
              <w:spacing w:after="0" w:line="156" w:lineRule="exact"/>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29,</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400" w:type="dxa"/>
            <w:vAlign w:val="bottom"/>
            <w:tcBorders>
              <w:top w:val="single" w:sz="8" w:color="CCEEFF"/>
              <w:bottom w:val="single" w:sz="8" w:color="CCEEFF"/>
            </w:tcBorders>
            <w:shd w:val="clear" w:color="auto" w:fill="CCEEFF"/>
          </w:tcPr>
          <w:p>
            <w:pPr>
              <w:spacing w:after="0"/>
              <w:rPr>
                <w:sz w:val="16"/>
                <w:szCs w:val="16"/>
                <w:color w:val="auto"/>
              </w:rPr>
            </w:pPr>
          </w:p>
        </w:tc>
        <w:tc>
          <w:tcPr>
            <w:tcW w:w="720" w:type="dxa"/>
            <w:vAlign w:val="bottom"/>
            <w:tcBorders>
              <w:top w:val="single" w:sz="8" w:color="CCEEFF"/>
              <w:bottom w:val="single" w:sz="8" w:color="CCEEFF"/>
            </w:tcBorders>
            <w:shd w:val="clear" w:color="auto" w:fill="CCEEFF"/>
          </w:tcPr>
          <w:p>
            <w:pPr>
              <w:spacing w:after="0"/>
              <w:rPr>
                <w:sz w:val="16"/>
                <w:szCs w:val="16"/>
                <w:color w:val="auto"/>
              </w:rPr>
            </w:pPr>
          </w:p>
        </w:tc>
        <w:tc>
          <w:tcPr>
            <w:tcW w:w="460" w:type="dxa"/>
            <w:vAlign w:val="bottom"/>
            <w:tcBorders>
              <w:top w:val="single" w:sz="8" w:color="0000FF"/>
              <w:bottom w:val="single" w:sz="8" w:color="0000FF"/>
            </w:tcBorders>
            <w:shd w:val="clear" w:color="auto" w:fill="CCEEFF"/>
          </w:tcPr>
          <w:p>
            <w:pPr>
              <w:spacing w:after="0" w:line="169" w:lineRule="exact"/>
              <w:rPr>
                <w:rFonts w:ascii="Times New Roman" w:cs="Times New Roman" w:eastAsia="Times New Roman" w:hAnsi="Times New Roman"/>
                <w:sz w:val="18"/>
                <w:szCs w:val="18"/>
                <w:color w:val="0000FF"/>
                <w:w w:val="94"/>
              </w:rPr>
            </w:pPr>
            <w:hyperlink r:id="rId171">
              <w:r>
                <w:rPr>
                  <w:rFonts w:ascii="Times New Roman" w:cs="Times New Roman" w:eastAsia="Times New Roman" w:hAnsi="Times New Roman"/>
                  <w:sz w:val="18"/>
                  <w:szCs w:val="18"/>
                  <w:color w:val="0000FF"/>
                  <w:w w:val="94"/>
                </w:rPr>
                <w:t>2025).</w:t>
              </w:r>
            </w:hyperlink>
          </w:p>
        </w:tc>
        <w:tc>
          <w:tcPr>
            <w:tcW w:w="1060" w:type="dxa"/>
            <w:vAlign w:val="bottom"/>
            <w:tcBorders>
              <w:top w:val="single" w:sz="8" w:color="0000FF"/>
              <w:bottom w:val="single" w:sz="8" w:color="CCEEFF"/>
            </w:tcBorders>
            <w:shd w:val="clear" w:color="auto" w:fill="CCEEFF"/>
          </w:tcPr>
          <w:p>
            <w:pPr>
              <w:spacing w:after="0"/>
              <w:rPr>
                <w:sz w:val="16"/>
                <w:szCs w:val="16"/>
                <w:color w:val="auto"/>
              </w:rPr>
            </w:pPr>
          </w:p>
        </w:tc>
        <w:tc>
          <w:tcPr>
            <w:tcW w:w="20" w:type="dxa"/>
            <w:vAlign w:val="bottom"/>
            <w:tcBorders>
              <w:top w:val="single" w:sz="8" w:color="0000FF"/>
              <w:bottom w:val="single" w:sz="8" w:color="CCEEFF"/>
            </w:tcBorders>
            <w:shd w:val="clear" w:color="auto" w:fill="CCEEFF"/>
          </w:tcPr>
          <w:p>
            <w:pPr>
              <w:spacing w:after="0"/>
              <w:rPr>
                <w:sz w:val="16"/>
                <w:szCs w:val="16"/>
                <w:color w:val="auto"/>
              </w:rPr>
            </w:pPr>
          </w:p>
        </w:tc>
        <w:tc>
          <w:tcPr>
            <w:tcW w:w="1100" w:type="dxa"/>
            <w:vAlign w:val="bottom"/>
            <w:tcBorders>
              <w:top w:val="single" w:sz="8" w:color="0000FF"/>
              <w:bottom w:val="single" w:sz="8" w:color="CCEEFF"/>
            </w:tcBorders>
            <w:shd w:val="clear" w:color="auto" w:fill="CCEEFF"/>
          </w:tcPr>
          <w:p>
            <w:pPr>
              <w:spacing w:after="0"/>
              <w:rPr>
                <w:sz w:val="16"/>
                <w:szCs w:val="16"/>
                <w:color w:val="auto"/>
              </w:rPr>
            </w:pPr>
          </w:p>
        </w:tc>
        <w:tc>
          <w:tcPr>
            <w:tcW w:w="380" w:type="dxa"/>
            <w:vAlign w:val="bottom"/>
            <w:tcBorders>
              <w:top w:val="single" w:sz="8" w:color="0000FF"/>
              <w:bottom w:val="single" w:sz="8" w:color="CCEEFF"/>
            </w:tcBorders>
            <w:shd w:val="clear" w:color="auto" w:fill="CCEEFF"/>
          </w:tcPr>
          <w:p>
            <w:pPr>
              <w:spacing w:after="0"/>
              <w:rPr>
                <w:sz w:val="16"/>
                <w:szCs w:val="16"/>
                <w:color w:val="auto"/>
              </w:rPr>
            </w:pPr>
          </w:p>
        </w:tc>
        <w:tc>
          <w:tcPr>
            <w:tcW w:w="1300" w:type="dxa"/>
            <w:vAlign w:val="bottom"/>
            <w:tcBorders>
              <w:top w:val="single" w:sz="8" w:color="0000FF"/>
              <w:bottom w:val="single" w:sz="8" w:color="CCEEFF"/>
            </w:tcBorders>
            <w:shd w:val="clear" w:color="auto" w:fill="CCEEFF"/>
          </w:tcPr>
          <w:p>
            <w:pPr>
              <w:spacing w:after="0"/>
              <w:rPr>
                <w:sz w:val="16"/>
                <w:szCs w:val="16"/>
                <w:color w:val="auto"/>
              </w:rPr>
            </w:pPr>
          </w:p>
        </w:tc>
        <w:tc>
          <w:tcPr>
            <w:tcW w:w="1720" w:type="dxa"/>
            <w:vAlign w:val="bottom"/>
            <w:tcBorders>
              <w:top w:val="single" w:sz="8" w:color="0000FF"/>
              <w:bottom w:val="single" w:sz="8" w:color="CCEEFF"/>
            </w:tcBorders>
            <w:shd w:val="clear" w:color="auto" w:fill="CCEEFF"/>
          </w:tcPr>
          <w:p>
            <w:pPr>
              <w:spacing w:after="0"/>
              <w:rPr>
                <w:sz w:val="16"/>
                <w:szCs w:val="16"/>
                <w:color w:val="auto"/>
              </w:rPr>
            </w:pPr>
          </w:p>
        </w:tc>
        <w:tc>
          <w:tcPr>
            <w:tcW w:w="360" w:type="dxa"/>
            <w:vAlign w:val="bottom"/>
            <w:tcBorders>
              <w:top w:val="single" w:sz="8" w:color="0000FF"/>
              <w:bottom w:val="single" w:sz="8" w:color="CCEEFF"/>
            </w:tcBorders>
            <w:shd w:val="clear" w:color="auto" w:fill="CCEEFF"/>
          </w:tcPr>
          <w:p>
            <w:pPr>
              <w:spacing w:after="0"/>
              <w:rPr>
                <w:sz w:val="16"/>
                <w:szCs w:val="16"/>
                <w:color w:val="auto"/>
              </w:rPr>
            </w:pPr>
          </w:p>
        </w:tc>
        <w:tc>
          <w:tcPr>
            <w:tcW w:w="1020" w:type="dxa"/>
            <w:vAlign w:val="bottom"/>
            <w:tcBorders>
              <w:top w:val="single" w:sz="8" w:color="0000FF"/>
              <w:bottom w:val="single" w:sz="8" w:color="CCEEFF"/>
            </w:tcBorders>
            <w:shd w:val="clear" w:color="auto" w:fill="CCEEFF"/>
          </w:tcPr>
          <w:p>
            <w:pPr>
              <w:spacing w:after="0"/>
              <w:rPr>
                <w:sz w:val="16"/>
                <w:szCs w:val="16"/>
                <w:color w:val="auto"/>
              </w:rPr>
            </w:pPr>
          </w:p>
        </w:tc>
        <w:tc>
          <w:tcPr>
            <w:tcW w:w="580" w:type="dxa"/>
            <w:vAlign w:val="bottom"/>
            <w:tcBorders>
              <w:top w:val="single" w:sz="8" w:color="0000FF"/>
              <w:bottom w:val="single" w:sz="8" w:color="CCEEFF"/>
            </w:tcBorders>
            <w:shd w:val="clear" w:color="auto" w:fill="CCEEFF"/>
          </w:tcPr>
          <w:p>
            <w:pPr>
              <w:spacing w:after="0"/>
              <w:rPr>
                <w:sz w:val="16"/>
                <w:szCs w:val="16"/>
                <w:color w:val="auto"/>
              </w:rPr>
            </w:pPr>
          </w:p>
        </w:tc>
        <w:tc>
          <w:tcPr>
            <w:tcW w:w="120" w:type="dxa"/>
            <w:vAlign w:val="bottom"/>
            <w:tcBorders>
              <w:top w:val="single" w:sz="8" w:color="0000FF"/>
              <w:bottom w:val="single" w:sz="8" w:color="CCEEFF"/>
            </w:tcBorders>
            <w:shd w:val="clear" w:color="auto" w:fill="CCEEFF"/>
          </w:tcPr>
          <w:p>
            <w:pPr>
              <w:spacing w:after="0"/>
              <w:rPr>
                <w:sz w:val="16"/>
                <w:szCs w:val="16"/>
                <w:color w:val="auto"/>
              </w:rPr>
            </w:pPr>
          </w:p>
        </w:tc>
        <w:tc>
          <w:tcPr>
            <w:tcW w:w="60" w:type="dxa"/>
            <w:vAlign w:val="bottom"/>
            <w:tcBorders>
              <w:top w:val="single" w:sz="8" w:color="0000FF"/>
              <w:bottom w:val="single" w:sz="8" w:color="CCEEFF"/>
            </w:tcBorders>
            <w:shd w:val="clear" w:color="auto" w:fill="CCEEFF"/>
          </w:tcPr>
          <w:p>
            <w:pPr>
              <w:spacing w:after="0"/>
              <w:rPr>
                <w:sz w:val="16"/>
                <w:szCs w:val="16"/>
                <w:color w:val="auto"/>
              </w:rPr>
            </w:pPr>
          </w:p>
        </w:tc>
        <w:tc>
          <w:tcPr>
            <w:tcW w:w="60" w:type="dxa"/>
            <w:vAlign w:val="bottom"/>
            <w:tcBorders>
              <w:top w:val="single" w:sz="8" w:color="0000FF"/>
              <w:bottom w:val="single" w:sz="8" w:color="CCEEFF"/>
            </w:tcBorders>
            <w:shd w:val="clear" w:color="auto" w:fill="CCEEFF"/>
          </w:tcPr>
          <w:p>
            <w:pPr>
              <w:spacing w:after="0"/>
              <w:rPr>
                <w:sz w:val="16"/>
                <w:szCs w:val="16"/>
                <w:color w:val="auto"/>
              </w:rPr>
            </w:pPr>
          </w:p>
        </w:tc>
        <w:tc>
          <w:tcPr>
            <w:tcW w:w="60" w:type="dxa"/>
            <w:vAlign w:val="bottom"/>
            <w:tcBorders>
              <w:top w:val="single" w:sz="8" w:color="0000FF"/>
              <w:bottom w:val="single" w:sz="8" w:color="CCEEFF"/>
            </w:tcBorders>
            <w:shd w:val="clear" w:color="auto" w:fill="CCEEFF"/>
          </w:tcPr>
          <w:p>
            <w:pPr>
              <w:spacing w:after="0"/>
              <w:rPr>
                <w:sz w:val="16"/>
                <w:szCs w:val="16"/>
                <w:color w:val="auto"/>
              </w:rPr>
            </w:pPr>
          </w:p>
        </w:tc>
        <w:tc>
          <w:tcPr>
            <w:tcW w:w="20" w:type="dxa"/>
            <w:vAlign w:val="bottom"/>
            <w:tcBorders>
              <w:top w:val="single" w:sz="8" w:color="0000FF"/>
              <w:bottom w:val="single" w:sz="8" w:color="CCEEFF"/>
            </w:tcBorders>
            <w:shd w:val="clear" w:color="auto" w:fill="CCEEFF"/>
          </w:tcPr>
          <w:p>
            <w:pPr>
              <w:spacing w:after="0"/>
              <w:rPr>
                <w:sz w:val="16"/>
                <w:szCs w:val="16"/>
                <w:color w:val="auto"/>
              </w:rPr>
            </w:pPr>
          </w:p>
        </w:tc>
        <w:tc>
          <w:tcPr>
            <w:tcW w:w="120" w:type="dxa"/>
            <w:vAlign w:val="bottom"/>
            <w:tcBorders>
              <w:top w:val="single" w:sz="8" w:color="0000FF"/>
              <w:bottom w:val="single" w:sz="8" w:color="CCEEFF"/>
            </w:tcBorders>
            <w:shd w:val="clear" w:color="auto" w:fill="CCEEFF"/>
          </w:tcPr>
          <w:p>
            <w:pPr>
              <w:spacing w:after="0"/>
              <w:rPr>
                <w:sz w:val="16"/>
                <w:szCs w:val="16"/>
                <w:color w:val="auto"/>
              </w:rPr>
            </w:pPr>
          </w:p>
        </w:tc>
        <w:tc>
          <w:tcPr>
            <w:tcW w:w="20" w:type="dxa"/>
            <w:vAlign w:val="bottom"/>
            <w:tcBorders>
              <w:top w:val="single" w:sz="8" w:color="0000FF"/>
              <w:bottom w:val="single" w:sz="8" w:color="CCEEFF"/>
            </w:tcBorders>
            <w:shd w:val="clear" w:color="auto" w:fill="CCEEFF"/>
          </w:tcPr>
          <w:p>
            <w:pPr>
              <w:spacing w:after="0"/>
              <w:rPr>
                <w:sz w:val="16"/>
                <w:szCs w:val="16"/>
                <w:color w:val="auto"/>
              </w:rPr>
            </w:pPr>
          </w:p>
        </w:tc>
        <w:tc>
          <w:tcPr>
            <w:tcW w:w="100" w:type="dxa"/>
            <w:vAlign w:val="bottom"/>
            <w:tcBorders>
              <w:top w:val="single" w:sz="8" w:color="0000FF"/>
              <w:bottom w:val="single" w:sz="8" w:color="CCEEFF"/>
            </w:tcBorders>
            <w:shd w:val="clear" w:color="auto" w:fill="CCEEFF"/>
          </w:tcPr>
          <w:p>
            <w:pPr>
              <w:spacing w:after="0"/>
              <w:rPr>
                <w:sz w:val="16"/>
                <w:szCs w:val="16"/>
                <w:color w:val="auto"/>
              </w:rPr>
            </w:pPr>
          </w:p>
        </w:tc>
        <w:tc>
          <w:tcPr>
            <w:tcW w:w="20" w:type="dxa"/>
            <w:vAlign w:val="bottom"/>
            <w:tcBorders>
              <w:top w:val="single" w:sz="8" w:color="0000FF"/>
              <w:bottom w:val="single" w:sz="8" w:color="CCEEFF"/>
            </w:tcBorders>
            <w:shd w:val="clear" w:color="auto" w:fill="CCEEFF"/>
          </w:tcPr>
          <w:p>
            <w:pPr>
              <w:spacing w:after="0"/>
              <w:rPr>
                <w:sz w:val="16"/>
                <w:szCs w:val="16"/>
                <w:color w:val="auto"/>
              </w:rPr>
            </w:pPr>
          </w:p>
        </w:tc>
        <w:tc>
          <w:tcPr>
            <w:tcW w:w="40" w:type="dxa"/>
            <w:vAlign w:val="bottom"/>
            <w:tcBorders>
              <w:top w:val="single" w:sz="8" w:color="0000FF"/>
              <w:bottom w:val="single" w:sz="8" w:color="CCEEFF"/>
            </w:tcBorders>
            <w:shd w:val="clear" w:color="auto" w:fill="CCEEFF"/>
          </w:tcPr>
          <w:p>
            <w:pPr>
              <w:spacing w:after="0"/>
              <w:rPr>
                <w:sz w:val="16"/>
                <w:szCs w:val="16"/>
                <w:color w:val="auto"/>
              </w:rPr>
            </w:pPr>
          </w:p>
        </w:tc>
        <w:tc>
          <w:tcPr>
            <w:tcW w:w="20" w:type="dxa"/>
            <w:vAlign w:val="bottom"/>
            <w:tcBorders>
              <w:top w:val="single" w:sz="8" w:color="0000FF"/>
              <w:bottom w:val="single" w:sz="8" w:color="CCEEFF"/>
            </w:tcBorders>
            <w:shd w:val="clear" w:color="auto" w:fill="CCEEFF"/>
          </w:tcPr>
          <w:p>
            <w:pPr>
              <w:spacing w:after="0"/>
              <w:rPr>
                <w:sz w:val="16"/>
                <w:szCs w:val="16"/>
                <w:color w:val="auto"/>
              </w:rPr>
            </w:pPr>
          </w:p>
        </w:tc>
        <w:tc>
          <w:tcPr>
            <w:tcW w:w="20" w:type="dxa"/>
            <w:vAlign w:val="bottom"/>
            <w:tcBorders>
              <w:top w:val="single" w:sz="8" w:color="0000FF"/>
              <w:bottom w:val="single" w:sz="8" w:color="CCEEFF"/>
            </w:tcBorders>
            <w:shd w:val="clear" w:color="auto" w:fill="CCEEFF"/>
          </w:tcPr>
          <w:p>
            <w:pPr>
              <w:spacing w:after="0"/>
              <w:rPr>
                <w:sz w:val="16"/>
                <w:szCs w:val="16"/>
                <w:color w:val="auto"/>
              </w:rPr>
            </w:pPr>
          </w:p>
        </w:tc>
        <w:tc>
          <w:tcPr>
            <w:tcW w:w="80" w:type="dxa"/>
            <w:vAlign w:val="bottom"/>
            <w:tcBorders>
              <w:top w:val="single" w:sz="8" w:color="0000FF"/>
              <w:bottom w:val="single" w:sz="8" w:color="CCEEFF"/>
            </w:tcBorders>
            <w:shd w:val="clear" w:color="auto" w:fill="CCEEFF"/>
          </w:tcPr>
          <w:p>
            <w:pPr>
              <w:spacing w:after="0"/>
              <w:rPr>
                <w:sz w:val="16"/>
                <w:szCs w:val="16"/>
                <w:color w:val="auto"/>
              </w:rPr>
            </w:pPr>
          </w:p>
        </w:tc>
        <w:tc>
          <w:tcPr>
            <w:tcW w:w="20" w:type="dxa"/>
            <w:vAlign w:val="bottom"/>
            <w:tcBorders>
              <w:top w:val="single" w:sz="8" w:color="0000FF"/>
              <w:bottom w:val="single" w:sz="8" w:color="CCEEFF"/>
            </w:tcBorders>
            <w:shd w:val="clear" w:color="auto" w:fill="CCEEFF"/>
          </w:tcPr>
          <w:p>
            <w:pPr>
              <w:spacing w:after="0"/>
              <w:rPr>
                <w:sz w:val="16"/>
                <w:szCs w:val="16"/>
                <w:color w:val="auto"/>
              </w:rPr>
            </w:pPr>
          </w:p>
        </w:tc>
        <w:tc>
          <w:tcPr>
            <w:tcW w:w="20" w:type="dxa"/>
            <w:vAlign w:val="bottom"/>
            <w:tcBorders>
              <w:top w:val="single" w:sz="8" w:color="0000FF"/>
              <w:bottom w:val="single" w:sz="8" w:color="CCEEFF"/>
            </w:tcBorders>
            <w:shd w:val="clear" w:color="auto" w:fill="CCEEFF"/>
          </w:tcPr>
          <w:p>
            <w:pPr>
              <w:spacing w:after="0"/>
              <w:rPr>
                <w:sz w:val="16"/>
                <w:szCs w:val="16"/>
                <w:color w:val="auto"/>
              </w:rPr>
            </w:pPr>
          </w:p>
        </w:tc>
        <w:tc>
          <w:tcPr>
            <w:tcW w:w="20" w:type="dxa"/>
            <w:vAlign w:val="bottom"/>
            <w:tcBorders>
              <w:top w:val="single" w:sz="8" w:color="0000FF"/>
              <w:bottom w:val="single" w:sz="8" w:color="CCEEFF"/>
            </w:tcBorders>
            <w:shd w:val="clear" w:color="auto" w:fill="CCEEFF"/>
          </w:tcPr>
          <w:p>
            <w:pPr>
              <w:spacing w:after="0"/>
              <w:rPr>
                <w:sz w:val="16"/>
                <w:szCs w:val="16"/>
                <w:color w:val="auto"/>
              </w:rPr>
            </w:pPr>
          </w:p>
        </w:tc>
        <w:tc>
          <w:tcPr>
            <w:tcW w:w="60" w:type="dxa"/>
            <w:vAlign w:val="bottom"/>
            <w:tcBorders>
              <w:top w:val="single" w:sz="8" w:color="0000FF"/>
              <w:bottom w:val="single" w:sz="8" w:color="CCEEFF"/>
            </w:tcBorders>
            <w:shd w:val="clear" w:color="auto" w:fill="CCEEFF"/>
          </w:tcPr>
          <w:p>
            <w:pPr>
              <w:spacing w:after="0"/>
              <w:rPr>
                <w:sz w:val="16"/>
                <w:szCs w:val="16"/>
                <w:color w:val="auto"/>
              </w:rPr>
            </w:pPr>
          </w:p>
        </w:tc>
        <w:tc>
          <w:tcPr>
            <w:tcW w:w="20" w:type="dxa"/>
            <w:vAlign w:val="bottom"/>
            <w:tcBorders>
              <w:top w:val="single" w:sz="8" w:color="0000FF"/>
              <w:bottom w:val="single" w:sz="8" w:color="CCEEFF"/>
            </w:tcBorders>
            <w:shd w:val="clear" w:color="auto" w:fill="CCEEFF"/>
          </w:tcPr>
          <w:p>
            <w:pPr>
              <w:spacing w:after="0"/>
              <w:rPr>
                <w:sz w:val="16"/>
                <w:szCs w:val="16"/>
                <w:color w:val="auto"/>
              </w:rPr>
            </w:pPr>
          </w:p>
        </w:tc>
        <w:tc>
          <w:tcPr>
            <w:tcW w:w="80" w:type="dxa"/>
            <w:vAlign w:val="bottom"/>
            <w:tcBorders>
              <w:top w:val="single" w:sz="8" w:color="0000FF"/>
              <w:bottom w:val="single" w:sz="8" w:color="CCEEFF"/>
            </w:tcBorders>
            <w:shd w:val="clear" w:color="auto" w:fill="CCEEFF"/>
          </w:tcPr>
          <w:p>
            <w:pPr>
              <w:spacing w:after="0"/>
              <w:rPr>
                <w:sz w:val="16"/>
                <w:szCs w:val="16"/>
                <w:color w:val="auto"/>
              </w:rPr>
            </w:pPr>
          </w:p>
        </w:tc>
        <w:tc>
          <w:tcPr>
            <w:tcW w:w="40" w:type="dxa"/>
            <w:vAlign w:val="bottom"/>
            <w:tcBorders>
              <w:top w:val="single" w:sz="8" w:color="0000FF"/>
              <w:bottom w:val="single" w:sz="8" w:color="CCEEFF"/>
            </w:tcBorders>
            <w:shd w:val="clear" w:color="auto" w:fill="CCEEFF"/>
          </w:tcPr>
          <w:p>
            <w:pPr>
              <w:spacing w:after="0"/>
              <w:rPr>
                <w:sz w:val="16"/>
                <w:szCs w:val="16"/>
                <w:color w:val="auto"/>
              </w:rPr>
            </w:pPr>
          </w:p>
        </w:tc>
        <w:tc>
          <w:tcPr>
            <w:tcW w:w="20" w:type="dxa"/>
            <w:vAlign w:val="bottom"/>
            <w:tcBorders>
              <w:top w:val="single" w:sz="8" w:color="0000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right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400" w:type="dxa"/>
            <w:vAlign w:val="bottom"/>
            <w:tcBorders>
              <w:top w:val="single" w:sz="8" w:color="CCEEFF"/>
            </w:tcBorders>
          </w:tcPr>
          <w:p>
            <w:pPr>
              <w:ind w:left="620"/>
              <w:spacing w:after="0" w:line="189" w:lineRule="exact"/>
              <w:rPr>
                <w:sz w:val="20"/>
                <w:szCs w:val="20"/>
                <w:color w:val="auto"/>
              </w:rPr>
            </w:pPr>
            <w:r>
              <w:rPr>
                <w:rFonts w:ascii="Times New Roman" w:cs="Times New Roman" w:eastAsia="Times New Roman" w:hAnsi="Times New Roman"/>
                <w:sz w:val="18"/>
                <w:szCs w:val="18"/>
                <w:color w:val="auto"/>
              </w:rPr>
              <w:t>10.23</w:t>
            </w:r>
          </w:p>
        </w:tc>
        <w:tc>
          <w:tcPr>
            <w:tcW w:w="720" w:type="dxa"/>
            <w:vAlign w:val="bottom"/>
            <w:tcBorders>
              <w:top w:val="single" w:sz="8" w:color="CCEEFF"/>
            </w:tcBorders>
          </w:tcPr>
          <w:p>
            <w:pPr>
              <w:jc w:val="right"/>
              <w:ind w:right="270"/>
              <w:spacing w:after="0" w:line="189" w:lineRule="exact"/>
              <w:rPr>
                <w:sz w:val="20"/>
                <w:szCs w:val="20"/>
                <w:color w:val="auto"/>
              </w:rPr>
            </w:pPr>
            <w:r>
              <w:rPr>
                <w:rFonts w:ascii="Times New Roman" w:cs="Times New Roman" w:eastAsia="Times New Roman" w:hAnsi="Times New Roman"/>
                <w:sz w:val="18"/>
                <w:szCs w:val="18"/>
                <w:color w:val="auto"/>
              </w:rPr>
              <w:t>*</w:t>
            </w:r>
          </w:p>
        </w:tc>
        <w:tc>
          <w:tcPr>
            <w:tcW w:w="8440" w:type="dxa"/>
            <w:vAlign w:val="bottom"/>
            <w:tcBorders>
              <w:top w:val="single" w:sz="8" w:color="CCEEFF"/>
              <w:bottom w:val="single" w:sz="8" w:color="0000FF"/>
            </w:tcBorders>
            <w:gridSpan w:val="16"/>
          </w:tcPr>
          <w:p>
            <w:pPr>
              <w:spacing w:after="0" w:line="189" w:lineRule="exact"/>
              <w:rPr>
                <w:rFonts w:ascii="Times New Roman" w:cs="Times New Roman" w:eastAsia="Times New Roman" w:hAnsi="Times New Roman"/>
                <w:sz w:val="18"/>
                <w:szCs w:val="18"/>
                <w:color w:val="0000FF"/>
                <w:w w:val="99"/>
              </w:rPr>
            </w:pPr>
            <w:hyperlink r:id="rId172">
              <w:r>
                <w:rPr>
                  <w:rFonts w:ascii="Times New Roman" w:cs="Times New Roman" w:eastAsia="Times New Roman" w:hAnsi="Times New Roman"/>
                  <w:sz w:val="18"/>
                  <w:szCs w:val="18"/>
                  <w:color w:val="0000FF"/>
                  <w:w w:val="99"/>
                </w:rPr>
                <w:t>Form of Performance Share Terms and Conditions under the Lear Corporation 2019 Long-Term Stock Incentive Plan</w:t>
              </w:r>
            </w:hyperlink>
          </w:p>
        </w:tc>
        <w:tc>
          <w:tcPr>
            <w:tcW w:w="660" w:type="dxa"/>
            <w:vAlign w:val="bottom"/>
            <w:tcBorders>
              <w:top w:val="single" w:sz="8" w:color="CCEEFF"/>
            </w:tcBorders>
            <w:gridSpan w:val="18"/>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120" w:type="dxa"/>
            <w:vAlign w:val="bottom"/>
            <w:gridSpan w:val="35"/>
          </w:tcPr>
          <w:p>
            <w:pPr>
              <w:spacing w:after="0" w:line="156" w:lineRule="exact"/>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(incorporated by reference to Exhibit 10.2 to the Company's Quarterly Report on Form 10-Q for the quarter ended March 29,</w:t>
              </w:r>
            </w:hyperlink>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Borders>
              <w:top w:val="single" w:sz="8" w:color="0000FF"/>
              <w:bottom w:val="single" w:sz="8" w:color="0000FF"/>
            </w:tcBorders>
          </w:tcPr>
          <w:p>
            <w:pPr>
              <w:spacing w:after="0" w:line="169" w:lineRule="exact"/>
              <w:rPr>
                <w:rFonts w:ascii="Times New Roman" w:cs="Times New Roman" w:eastAsia="Times New Roman" w:hAnsi="Times New Roman"/>
                <w:sz w:val="18"/>
                <w:szCs w:val="18"/>
                <w:color w:val="0000FF"/>
                <w:w w:val="94"/>
              </w:rPr>
            </w:pPr>
            <w:hyperlink r:id="rId172">
              <w:r>
                <w:rPr>
                  <w:rFonts w:ascii="Times New Roman" w:cs="Times New Roman" w:eastAsia="Times New Roman" w:hAnsi="Times New Roman"/>
                  <w:sz w:val="18"/>
                  <w:szCs w:val="18"/>
                  <w:color w:val="0000FF"/>
                  <w:w w:val="94"/>
                </w:rPr>
                <w:t>2025).</w:t>
              </w:r>
            </w:hyperlink>
          </w:p>
        </w:tc>
        <w:tc>
          <w:tcPr>
            <w:tcW w:w="10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100" w:type="dxa"/>
            <w:vAlign w:val="bottom"/>
            <w:tcBorders>
              <w:top w:val="single" w:sz="8" w:color="0000FF"/>
            </w:tcBorders>
          </w:tcPr>
          <w:p>
            <w:pPr>
              <w:spacing w:after="0"/>
              <w:rPr>
                <w:sz w:val="14"/>
                <w:szCs w:val="14"/>
                <w:color w:val="auto"/>
              </w:rPr>
            </w:pPr>
          </w:p>
        </w:tc>
        <w:tc>
          <w:tcPr>
            <w:tcW w:w="380" w:type="dxa"/>
            <w:vAlign w:val="bottom"/>
            <w:tcBorders>
              <w:top w:val="single" w:sz="8" w:color="0000FF"/>
            </w:tcBorders>
          </w:tcPr>
          <w:p>
            <w:pPr>
              <w:spacing w:after="0"/>
              <w:rPr>
                <w:sz w:val="14"/>
                <w:szCs w:val="14"/>
                <w:color w:val="auto"/>
              </w:rPr>
            </w:pPr>
          </w:p>
        </w:tc>
        <w:tc>
          <w:tcPr>
            <w:tcW w:w="1300" w:type="dxa"/>
            <w:vAlign w:val="bottom"/>
            <w:tcBorders>
              <w:top w:val="single" w:sz="8" w:color="0000FF"/>
            </w:tcBorders>
          </w:tcPr>
          <w:p>
            <w:pPr>
              <w:spacing w:after="0"/>
              <w:rPr>
                <w:sz w:val="14"/>
                <w:szCs w:val="14"/>
                <w:color w:val="auto"/>
              </w:rPr>
            </w:pPr>
          </w:p>
        </w:tc>
        <w:tc>
          <w:tcPr>
            <w:tcW w:w="172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1020" w:type="dxa"/>
            <w:vAlign w:val="bottom"/>
            <w:tcBorders>
              <w:top w:val="single" w:sz="8" w:color="0000FF"/>
            </w:tcBorders>
          </w:tcPr>
          <w:p>
            <w:pPr>
              <w:spacing w:after="0"/>
              <w:rPr>
                <w:sz w:val="14"/>
                <w:szCs w:val="14"/>
                <w:color w:val="auto"/>
              </w:rPr>
            </w:pPr>
          </w:p>
        </w:tc>
        <w:tc>
          <w:tcPr>
            <w:tcW w:w="58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4"/>
        </w:trPr>
        <w:tc>
          <w:tcPr>
            <w:tcW w:w="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320" w:type="dxa"/>
            <w:vAlign w:val="bottom"/>
            <w:gridSpan w:val="6"/>
          </w:tcPr>
          <w:p>
            <w:pPr>
              <w:ind w:left="3360"/>
              <w:spacing w:after="0"/>
              <w:rPr>
                <w:sz w:val="20"/>
                <w:szCs w:val="20"/>
                <w:color w:val="auto"/>
              </w:rPr>
            </w:pPr>
            <w:r>
              <w:rPr>
                <w:rFonts w:ascii="Times New Roman" w:cs="Times New Roman" w:eastAsia="Times New Roman" w:hAnsi="Times New Roman"/>
                <w:sz w:val="18"/>
                <w:szCs w:val="18"/>
                <w:color w:val="auto"/>
              </w:rPr>
              <w:t>114</w:t>
            </w:r>
          </w:p>
        </w:tc>
        <w:tc>
          <w:tcPr>
            <w:tcW w:w="1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6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40" w:type="dxa"/>
            <w:vAlign w:val="bottom"/>
            <w:gridSpan w:val="19"/>
          </w:tcPr>
          <w:p>
            <w:pPr>
              <w:ind w:left="280"/>
              <w:spacing w:after="0"/>
              <w:rPr>
                <w:sz w:val="20"/>
                <w:szCs w:val="20"/>
                <w:color w:val="auto"/>
              </w:rPr>
            </w:pPr>
            <w:r>
              <w:rPr>
                <w:rFonts w:ascii="Times New Roman" w:cs="Times New Roman" w:eastAsia="Times New Roman" w:hAnsi="Times New Roman"/>
                <w:sz w:val="18"/>
                <w:szCs w:val="18"/>
                <w:b w:val="1"/>
                <w:bCs w:val="1"/>
                <w:color w:val="auto"/>
              </w:rPr>
              <w:t>INDEX TO EXHIBITS</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640" w:type="dxa"/>
            <w:vAlign w:val="bottom"/>
          </w:tcPr>
          <w:p>
            <w:pPr>
              <w:spacing w:after="0"/>
              <w:rPr>
                <w:sz w:val="11"/>
                <w:szCs w:val="11"/>
                <w:color w:val="auto"/>
              </w:rPr>
            </w:pPr>
          </w:p>
        </w:tc>
        <w:tc>
          <w:tcPr>
            <w:tcW w:w="9140" w:type="dxa"/>
            <w:vAlign w:val="bottom"/>
            <w:gridSpan w:val="23"/>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 Name</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640" w:type="dxa"/>
            <w:vAlign w:val="bottom"/>
          </w:tcPr>
          <w:p>
            <w:pPr>
              <w:spacing w:after="0"/>
              <w:rPr>
                <w:sz w:val="16"/>
                <w:szCs w:val="16"/>
                <w:color w:val="auto"/>
              </w:rPr>
            </w:pPr>
          </w:p>
        </w:tc>
        <w:tc>
          <w:tcPr>
            <w:tcW w:w="9140" w:type="dxa"/>
            <w:vAlign w:val="bottom"/>
            <w:gridSpan w:val="2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ind w:left="80"/>
              <w:spacing w:after="0" w:line="188" w:lineRule="exact"/>
              <w:rPr>
                <w:sz w:val="20"/>
                <w:szCs w:val="20"/>
                <w:color w:val="auto"/>
              </w:rPr>
            </w:pPr>
            <w:r>
              <w:rPr>
                <w:rFonts w:ascii="Times New Roman" w:cs="Times New Roman" w:eastAsia="Times New Roman" w:hAnsi="Times New Roman"/>
                <w:sz w:val="18"/>
                <w:szCs w:val="18"/>
                <w:color w:val="auto"/>
              </w:rPr>
              <w:t>10.24</w:t>
            </w:r>
          </w:p>
        </w:tc>
        <w:tc>
          <w:tcPr>
            <w:tcW w:w="640" w:type="dxa"/>
            <w:vAlign w:val="bottom"/>
            <w:tcBorders>
              <w:top w:val="single" w:sz="8" w:color="auto"/>
            </w:tcBorders>
            <w:shd w:val="clear" w:color="auto" w:fill="CCEEFF"/>
          </w:tcPr>
          <w:p>
            <w:pPr>
              <w:jc w:val="right"/>
              <w:ind w:right="270"/>
              <w:spacing w:after="0" w:line="188" w:lineRule="exact"/>
              <w:rPr>
                <w:sz w:val="20"/>
                <w:szCs w:val="20"/>
                <w:color w:val="auto"/>
              </w:rPr>
            </w:pPr>
            <w:r>
              <w:rPr>
                <w:rFonts w:ascii="Times New Roman" w:cs="Times New Roman" w:eastAsia="Times New Roman" w:hAnsi="Times New Roman"/>
                <w:sz w:val="18"/>
                <w:szCs w:val="18"/>
                <w:color w:val="auto"/>
              </w:rPr>
              <w:t>*</w:t>
            </w:r>
          </w:p>
        </w:tc>
        <w:tc>
          <w:tcPr>
            <w:tcW w:w="9120" w:type="dxa"/>
            <w:vAlign w:val="bottom"/>
            <w:tcBorders>
              <w:top w:val="single" w:sz="8" w:color="auto"/>
              <w:right w:val="single" w:sz="8" w:color="CCEEFF"/>
            </w:tcBorders>
            <w:gridSpan w:val="22"/>
            <w:shd w:val="clear" w:color="auto" w:fill="CCEEFF"/>
          </w:tcPr>
          <w:p>
            <w:pPr>
              <w:spacing w:after="0" w:line="188" w:lineRule="exact"/>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Form of Restricted Stock Unit "Career Shares" Terms and Conditions under the Lear Corporation 2019 Long-Term Stock</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tcBorders>
              <w:right w:val="single" w:sz="8" w:color="CCEE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9120" w:type="dxa"/>
            <w:vAlign w:val="bottom"/>
            <w:tcBorders>
              <w:right w:val="single" w:sz="8" w:color="CCEEFF"/>
            </w:tcBorders>
            <w:gridSpan w:val="22"/>
            <w:shd w:val="clear" w:color="auto" w:fill="CCEEFF"/>
          </w:tcPr>
          <w:p>
            <w:pPr>
              <w:spacing w:after="0" w:line="156" w:lineRule="exact"/>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Incentive Plan (incorporated by reference to Exhibit 10.34 to the Company's Annual Report on Form 10-K for the year ended</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40" w:type="dxa"/>
            <w:vAlign w:val="bottom"/>
            <w:tcBorders>
              <w:top w:val="single" w:sz="8" w:color="CCEEFF"/>
              <w:bottom w:val="single" w:sz="8" w:color="CCEEFF"/>
            </w:tcBorders>
            <w:shd w:val="clear" w:color="auto" w:fill="CCEEFF"/>
          </w:tcPr>
          <w:p>
            <w:pPr>
              <w:spacing w:after="0"/>
              <w:rPr>
                <w:sz w:val="16"/>
                <w:szCs w:val="16"/>
                <w:color w:val="auto"/>
              </w:rPr>
            </w:pPr>
          </w:p>
        </w:tc>
        <w:tc>
          <w:tcPr>
            <w:tcW w:w="940" w:type="dxa"/>
            <w:vAlign w:val="bottom"/>
            <w:tcBorders>
              <w:top w:val="single" w:sz="8" w:color="CCEEFF"/>
              <w:bottom w:val="single" w:sz="8" w:color="CCEEFF"/>
            </w:tcBorders>
            <w:shd w:val="clear" w:color="auto" w:fill="CCEEFF"/>
          </w:tcPr>
          <w:p>
            <w:pPr>
              <w:spacing w:after="0"/>
              <w:rPr>
                <w:sz w:val="16"/>
                <w:szCs w:val="16"/>
                <w:color w:val="auto"/>
              </w:rPr>
            </w:pPr>
          </w:p>
        </w:tc>
        <w:tc>
          <w:tcPr>
            <w:tcW w:w="640" w:type="dxa"/>
            <w:vAlign w:val="bottom"/>
            <w:tcBorders>
              <w:top w:val="single" w:sz="8" w:color="CCEEFF"/>
              <w:bottom w:val="single" w:sz="8" w:color="CCEEFF"/>
            </w:tcBorders>
            <w:shd w:val="clear" w:color="auto" w:fill="CCEEFF"/>
          </w:tcPr>
          <w:p>
            <w:pPr>
              <w:spacing w:after="0"/>
              <w:rPr>
                <w:sz w:val="16"/>
                <w:szCs w:val="16"/>
                <w:color w:val="auto"/>
              </w:rPr>
            </w:pPr>
          </w:p>
        </w:tc>
        <w:tc>
          <w:tcPr>
            <w:tcW w:w="1520" w:type="dxa"/>
            <w:vAlign w:val="bottom"/>
            <w:tcBorders>
              <w:top w:val="single" w:sz="8" w:color="0000FF"/>
              <w:bottom w:val="single" w:sz="8" w:color="0000FF"/>
            </w:tcBorders>
            <w:shd w:val="clear" w:color="auto" w:fill="CCEEFF"/>
          </w:tcPr>
          <w:p>
            <w:pPr>
              <w:spacing w:after="0" w:line="169" w:lineRule="exact"/>
              <w:rPr>
                <w:rFonts w:ascii="Times New Roman" w:cs="Times New Roman" w:eastAsia="Times New Roman" w:hAnsi="Times New Roman"/>
                <w:sz w:val="18"/>
                <w:szCs w:val="18"/>
                <w:color w:val="0000FF"/>
                <w:w w:val="98"/>
              </w:rPr>
            </w:pPr>
            <w:hyperlink r:id="rId175">
              <w:r>
                <w:rPr>
                  <w:rFonts w:ascii="Times New Roman" w:cs="Times New Roman" w:eastAsia="Times New Roman" w:hAnsi="Times New Roman"/>
                  <w:sz w:val="18"/>
                  <w:szCs w:val="18"/>
                  <w:color w:val="0000FF"/>
                  <w:w w:val="98"/>
                </w:rPr>
                <w:t>December 31, 2023).</w:t>
              </w:r>
            </w:hyperlink>
          </w:p>
        </w:tc>
        <w:tc>
          <w:tcPr>
            <w:tcW w:w="7600" w:type="dxa"/>
            <w:vAlign w:val="bottom"/>
            <w:tcBorders>
              <w:top w:val="single" w:sz="8" w:color="0000FF"/>
              <w:bottom w:val="single" w:sz="8" w:color="CCEEFF"/>
              <w:right w:val="single" w:sz="8" w:color="CCEEFF"/>
            </w:tcBorders>
            <w:gridSpan w:val="21"/>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40" w:type="dxa"/>
            <w:vAlign w:val="bottom"/>
          </w:tcPr>
          <w:p>
            <w:pPr>
              <w:ind w:left="80"/>
              <w:spacing w:after="0" w:line="189" w:lineRule="exact"/>
              <w:rPr>
                <w:sz w:val="20"/>
                <w:szCs w:val="20"/>
                <w:color w:val="auto"/>
              </w:rPr>
            </w:pPr>
            <w:r>
              <w:rPr>
                <w:rFonts w:ascii="Times New Roman" w:cs="Times New Roman" w:eastAsia="Times New Roman" w:hAnsi="Times New Roman"/>
                <w:sz w:val="18"/>
                <w:szCs w:val="18"/>
                <w:color w:val="auto"/>
              </w:rPr>
              <w:t>10.25</w:t>
            </w:r>
          </w:p>
        </w:tc>
        <w:tc>
          <w:tcPr>
            <w:tcW w:w="640" w:type="dxa"/>
            <w:vAlign w:val="bottom"/>
          </w:tcPr>
          <w:p>
            <w:pPr>
              <w:jc w:val="right"/>
              <w:ind w:right="270"/>
              <w:spacing w:after="0" w:line="189" w:lineRule="exact"/>
              <w:rPr>
                <w:sz w:val="20"/>
                <w:szCs w:val="20"/>
                <w:color w:val="auto"/>
              </w:rPr>
            </w:pPr>
            <w:r>
              <w:rPr>
                <w:rFonts w:ascii="Times New Roman" w:cs="Times New Roman" w:eastAsia="Times New Roman" w:hAnsi="Times New Roman"/>
                <w:sz w:val="18"/>
                <w:szCs w:val="18"/>
                <w:color w:val="auto"/>
              </w:rPr>
              <w:t>*</w:t>
            </w:r>
          </w:p>
        </w:tc>
        <w:tc>
          <w:tcPr>
            <w:tcW w:w="9120" w:type="dxa"/>
            <w:vAlign w:val="bottom"/>
            <w:gridSpan w:val="22"/>
          </w:tcPr>
          <w:p>
            <w:pPr>
              <w:spacing w:after="0" w:line="189" w:lineRule="exact"/>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Notice of Grant of Restricted Stock Units to Jason Cardew, dated August 14, 2024 (incorporated by reference to Exhibit 10.1</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120" w:type="dxa"/>
            <w:vAlign w:val="bottom"/>
            <w:tcBorders>
              <w:top w:val="single" w:sz="8" w:color="0000FF"/>
            </w:tcBorders>
            <w:gridSpan w:val="22"/>
          </w:tcPr>
          <w:p>
            <w:pPr>
              <w:spacing w:after="0" w:line="156" w:lineRule="exact"/>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to the Company's Quarterly Report on Form 10-Q for the quarter ended September 28, 2024).</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5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1860" w:type="dxa"/>
            <w:vAlign w:val="bottom"/>
            <w:tcBorders>
              <w:top w:val="single" w:sz="8" w:color="0000FF"/>
            </w:tcBorders>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86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940" w:type="dxa"/>
            <w:vAlign w:val="bottom"/>
            <w:shd w:val="clear" w:color="auto" w:fill="CCEEFF"/>
          </w:tcPr>
          <w:p>
            <w:pPr>
              <w:ind w:left="80"/>
              <w:spacing w:after="0" w:line="189" w:lineRule="exact"/>
              <w:rPr>
                <w:sz w:val="20"/>
                <w:szCs w:val="20"/>
                <w:color w:val="auto"/>
              </w:rPr>
            </w:pPr>
            <w:r>
              <w:rPr>
                <w:rFonts w:ascii="Times New Roman" w:cs="Times New Roman" w:eastAsia="Times New Roman" w:hAnsi="Times New Roman"/>
                <w:sz w:val="18"/>
                <w:szCs w:val="18"/>
                <w:color w:val="auto"/>
              </w:rPr>
              <w:t>10.26</w:t>
            </w:r>
          </w:p>
        </w:tc>
        <w:tc>
          <w:tcPr>
            <w:tcW w:w="640" w:type="dxa"/>
            <w:vAlign w:val="bottom"/>
            <w:shd w:val="clear" w:color="auto" w:fill="CCEEFF"/>
          </w:tcPr>
          <w:p>
            <w:pPr>
              <w:jc w:val="right"/>
              <w:ind w:right="270"/>
              <w:spacing w:after="0" w:line="189" w:lineRule="exact"/>
              <w:rPr>
                <w:sz w:val="20"/>
                <w:szCs w:val="20"/>
                <w:color w:val="auto"/>
              </w:rPr>
            </w:pPr>
            <w:r>
              <w:rPr>
                <w:rFonts w:ascii="Times New Roman" w:cs="Times New Roman" w:eastAsia="Times New Roman" w:hAnsi="Times New Roman"/>
                <w:sz w:val="18"/>
                <w:szCs w:val="18"/>
                <w:color w:val="auto"/>
              </w:rPr>
              <w:t>*</w:t>
            </w:r>
          </w:p>
        </w:tc>
        <w:tc>
          <w:tcPr>
            <w:tcW w:w="9120" w:type="dxa"/>
            <w:vAlign w:val="bottom"/>
            <w:tcBorders>
              <w:right w:val="single" w:sz="8" w:color="CCEEFF"/>
            </w:tcBorders>
            <w:gridSpan w:val="22"/>
            <w:shd w:val="clear" w:color="auto" w:fill="CCEEFF"/>
          </w:tcPr>
          <w:p>
            <w:pPr>
              <w:spacing w:after="0" w:line="189" w:lineRule="exact"/>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Notice of Grant of Restricted Stock Units to Frank Orsini, dated August 14, 2024 (incorporated by reference to Exhibit 10.2</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40" w:type="dxa"/>
            <w:vAlign w:val="bottom"/>
            <w:tcBorders>
              <w:top w:val="single" w:sz="8" w:color="CCEEFF"/>
              <w:bottom w:val="single" w:sz="8" w:color="CCEEFF"/>
            </w:tcBorders>
            <w:shd w:val="clear" w:color="auto" w:fill="CCEEFF"/>
          </w:tcPr>
          <w:p>
            <w:pPr>
              <w:spacing w:after="0"/>
              <w:rPr>
                <w:sz w:val="16"/>
                <w:szCs w:val="16"/>
                <w:color w:val="auto"/>
              </w:rPr>
            </w:pPr>
          </w:p>
        </w:tc>
        <w:tc>
          <w:tcPr>
            <w:tcW w:w="940" w:type="dxa"/>
            <w:vAlign w:val="bottom"/>
            <w:tcBorders>
              <w:top w:val="single" w:sz="8" w:color="CCEEFF"/>
              <w:bottom w:val="single" w:sz="8" w:color="CCEEFF"/>
            </w:tcBorders>
            <w:shd w:val="clear" w:color="auto" w:fill="CCEEFF"/>
          </w:tcPr>
          <w:p>
            <w:pPr>
              <w:spacing w:after="0"/>
              <w:rPr>
                <w:sz w:val="16"/>
                <w:szCs w:val="16"/>
                <w:color w:val="auto"/>
              </w:rPr>
            </w:pPr>
          </w:p>
        </w:tc>
        <w:tc>
          <w:tcPr>
            <w:tcW w:w="640" w:type="dxa"/>
            <w:vAlign w:val="bottom"/>
            <w:tcBorders>
              <w:top w:val="single" w:sz="8" w:color="CCEEFF"/>
              <w:bottom w:val="single" w:sz="8" w:color="CCEEFF"/>
            </w:tcBorders>
            <w:shd w:val="clear" w:color="auto" w:fill="CCEEFF"/>
          </w:tcPr>
          <w:p>
            <w:pPr>
              <w:spacing w:after="0"/>
              <w:rPr>
                <w:sz w:val="16"/>
                <w:szCs w:val="16"/>
                <w:color w:val="auto"/>
              </w:rPr>
            </w:pPr>
          </w:p>
        </w:tc>
        <w:tc>
          <w:tcPr>
            <w:tcW w:w="6740" w:type="dxa"/>
            <w:vAlign w:val="bottom"/>
            <w:tcBorders>
              <w:top w:val="single" w:sz="8" w:color="0000FF"/>
              <w:bottom w:val="single" w:sz="8" w:color="0000FF"/>
            </w:tcBorders>
            <w:gridSpan w:val="11"/>
            <w:shd w:val="clear" w:color="auto" w:fill="CCEEFF"/>
          </w:tcPr>
          <w:p>
            <w:pPr>
              <w:spacing w:after="0" w:line="156" w:lineRule="exact"/>
              <w:rPr>
                <w:rFonts w:ascii="Times New Roman" w:cs="Times New Roman" w:eastAsia="Times New Roman" w:hAnsi="Times New Roman"/>
                <w:sz w:val="18"/>
                <w:szCs w:val="18"/>
                <w:color w:val="0000FF"/>
                <w:w w:val="99"/>
              </w:rPr>
            </w:pPr>
            <w:hyperlink r:id="rId177">
              <w:r>
                <w:rPr>
                  <w:rFonts w:ascii="Times New Roman" w:cs="Times New Roman" w:eastAsia="Times New Roman" w:hAnsi="Times New Roman"/>
                  <w:sz w:val="18"/>
                  <w:szCs w:val="18"/>
                  <w:color w:val="0000FF"/>
                  <w:w w:val="99"/>
                </w:rPr>
                <w:t>to the Company's Quarterly Report on Form 10-Q for the quarter ended September 28, 2024).</w:t>
              </w:r>
            </w:hyperlink>
          </w:p>
        </w:tc>
        <w:tc>
          <w:tcPr>
            <w:tcW w:w="2380" w:type="dxa"/>
            <w:vAlign w:val="bottom"/>
            <w:tcBorders>
              <w:top w:val="single" w:sz="8" w:color="0000FF"/>
              <w:bottom w:val="single" w:sz="8" w:color="CCEEFF"/>
              <w:right w:val="single" w:sz="8" w:color="CCEEFF"/>
            </w:tcBorders>
            <w:gridSpan w:val="11"/>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40" w:type="dxa"/>
            <w:vAlign w:val="bottom"/>
          </w:tcPr>
          <w:p>
            <w:pPr>
              <w:ind w:left="80"/>
              <w:spacing w:after="0" w:line="189" w:lineRule="exact"/>
              <w:rPr>
                <w:sz w:val="20"/>
                <w:szCs w:val="20"/>
                <w:color w:val="auto"/>
              </w:rPr>
            </w:pPr>
            <w:r>
              <w:rPr>
                <w:rFonts w:ascii="Times New Roman" w:cs="Times New Roman" w:eastAsia="Times New Roman" w:hAnsi="Times New Roman"/>
                <w:sz w:val="18"/>
                <w:szCs w:val="18"/>
                <w:color w:val="auto"/>
              </w:rPr>
              <w:t>10.27</w:t>
            </w:r>
          </w:p>
        </w:tc>
        <w:tc>
          <w:tcPr>
            <w:tcW w:w="640" w:type="dxa"/>
            <w:vAlign w:val="bottom"/>
          </w:tcPr>
          <w:p>
            <w:pPr>
              <w:jc w:val="right"/>
              <w:ind w:right="270"/>
              <w:spacing w:after="0" w:line="189" w:lineRule="exact"/>
              <w:rPr>
                <w:sz w:val="20"/>
                <w:szCs w:val="20"/>
                <w:color w:val="auto"/>
              </w:rPr>
            </w:pPr>
            <w:r>
              <w:rPr>
                <w:rFonts w:ascii="Times New Roman" w:cs="Times New Roman" w:eastAsia="Times New Roman" w:hAnsi="Times New Roman"/>
                <w:sz w:val="18"/>
                <w:szCs w:val="18"/>
                <w:color w:val="auto"/>
              </w:rPr>
              <w:t>*</w:t>
            </w:r>
          </w:p>
        </w:tc>
        <w:tc>
          <w:tcPr>
            <w:tcW w:w="9120" w:type="dxa"/>
            <w:vAlign w:val="bottom"/>
            <w:gridSpan w:val="22"/>
          </w:tcPr>
          <w:p>
            <w:pPr>
              <w:spacing w:after="0" w:line="189" w:lineRule="exact"/>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Lear Corporation Annual Incentive Plan (amended and restated as of January 1, 2024) (incorporated by reference to Exhibit</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120" w:type="dxa"/>
            <w:vAlign w:val="bottom"/>
            <w:tcBorders>
              <w:top w:val="single" w:sz="8" w:color="0000FF"/>
            </w:tcBorders>
            <w:gridSpan w:val="22"/>
          </w:tcPr>
          <w:p>
            <w:pPr>
              <w:spacing w:after="0" w:line="156" w:lineRule="exact"/>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35</w:t>
              </w:r>
              <w:r>
                <w:rPr>
                  <w:rFonts w:ascii="Times New Roman" w:cs="Times New Roman" w:eastAsia="Times New Roman" w:hAnsi="Times New Roman"/>
                  <w:sz w:val="18"/>
                  <w:szCs w:val="18"/>
                  <w:color w:val="0000FF"/>
                </w:rPr>
                <w:t xml:space="preserve"> to the Company's Annual Report on Form 10-K for the year ended December 31, 2023).</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5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1860" w:type="dxa"/>
            <w:vAlign w:val="bottom"/>
            <w:tcBorders>
              <w:top w:val="single" w:sz="8" w:color="0000FF"/>
            </w:tcBorders>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86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940" w:type="dxa"/>
            <w:vAlign w:val="bottom"/>
            <w:shd w:val="clear" w:color="auto" w:fill="CCEEFF"/>
          </w:tcPr>
          <w:p>
            <w:pPr>
              <w:ind w:left="80"/>
              <w:spacing w:after="0" w:line="189" w:lineRule="exact"/>
              <w:rPr>
                <w:sz w:val="20"/>
                <w:szCs w:val="20"/>
                <w:color w:val="auto"/>
              </w:rPr>
            </w:pPr>
            <w:r>
              <w:rPr>
                <w:rFonts w:ascii="Times New Roman" w:cs="Times New Roman" w:eastAsia="Times New Roman" w:hAnsi="Times New Roman"/>
                <w:sz w:val="18"/>
                <w:szCs w:val="18"/>
                <w:color w:val="auto"/>
              </w:rPr>
              <w:t>10.28</w:t>
            </w:r>
          </w:p>
        </w:tc>
        <w:tc>
          <w:tcPr>
            <w:tcW w:w="640" w:type="dxa"/>
            <w:vAlign w:val="bottom"/>
            <w:shd w:val="clear" w:color="auto" w:fill="CCEEFF"/>
          </w:tcPr>
          <w:p>
            <w:pPr>
              <w:jc w:val="right"/>
              <w:ind w:right="270"/>
              <w:spacing w:after="0" w:line="189" w:lineRule="exact"/>
              <w:rPr>
                <w:sz w:val="20"/>
                <w:szCs w:val="20"/>
                <w:color w:val="auto"/>
              </w:rPr>
            </w:pPr>
            <w:r>
              <w:rPr>
                <w:rFonts w:ascii="Times New Roman" w:cs="Times New Roman" w:eastAsia="Times New Roman" w:hAnsi="Times New Roman"/>
                <w:sz w:val="18"/>
                <w:szCs w:val="18"/>
                <w:color w:val="auto"/>
              </w:rPr>
              <w:t>*</w:t>
            </w:r>
          </w:p>
        </w:tc>
        <w:tc>
          <w:tcPr>
            <w:tcW w:w="9120" w:type="dxa"/>
            <w:vAlign w:val="bottom"/>
            <w:tcBorders>
              <w:right w:val="single" w:sz="8" w:color="CCEEFF"/>
            </w:tcBorders>
            <w:gridSpan w:val="22"/>
            <w:shd w:val="clear" w:color="auto" w:fill="CCEEFF"/>
          </w:tcPr>
          <w:p>
            <w:pPr>
              <w:spacing w:after="0" w:line="189" w:lineRule="exact"/>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Lear Corporation Pension Equalization Program, as amended through August 15, 2003 (incorporated by reference to Exhibit</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40" w:type="dxa"/>
            <w:vAlign w:val="bottom"/>
            <w:tcBorders>
              <w:top w:val="single" w:sz="8" w:color="CCEEFF"/>
              <w:bottom w:val="single" w:sz="8" w:color="CCEEFF"/>
            </w:tcBorders>
            <w:shd w:val="clear" w:color="auto" w:fill="CCEEFF"/>
          </w:tcPr>
          <w:p>
            <w:pPr>
              <w:spacing w:after="0"/>
              <w:rPr>
                <w:sz w:val="16"/>
                <w:szCs w:val="16"/>
                <w:color w:val="auto"/>
              </w:rPr>
            </w:pPr>
          </w:p>
        </w:tc>
        <w:tc>
          <w:tcPr>
            <w:tcW w:w="940" w:type="dxa"/>
            <w:vAlign w:val="bottom"/>
            <w:tcBorders>
              <w:top w:val="single" w:sz="8" w:color="CCEEFF"/>
              <w:bottom w:val="single" w:sz="8" w:color="CCEEFF"/>
            </w:tcBorders>
            <w:shd w:val="clear" w:color="auto" w:fill="CCEEFF"/>
          </w:tcPr>
          <w:p>
            <w:pPr>
              <w:spacing w:after="0"/>
              <w:rPr>
                <w:sz w:val="16"/>
                <w:szCs w:val="16"/>
                <w:color w:val="auto"/>
              </w:rPr>
            </w:pPr>
          </w:p>
        </w:tc>
        <w:tc>
          <w:tcPr>
            <w:tcW w:w="640" w:type="dxa"/>
            <w:vAlign w:val="bottom"/>
            <w:tcBorders>
              <w:top w:val="single" w:sz="8" w:color="CCEEFF"/>
              <w:bottom w:val="single" w:sz="8" w:color="CCEEFF"/>
            </w:tcBorders>
            <w:shd w:val="clear" w:color="auto" w:fill="CCEEFF"/>
          </w:tcPr>
          <w:p>
            <w:pPr>
              <w:spacing w:after="0"/>
              <w:rPr>
                <w:sz w:val="16"/>
                <w:szCs w:val="16"/>
                <w:color w:val="auto"/>
              </w:rPr>
            </w:pPr>
          </w:p>
        </w:tc>
        <w:tc>
          <w:tcPr>
            <w:tcW w:w="6800" w:type="dxa"/>
            <w:vAlign w:val="bottom"/>
            <w:tcBorders>
              <w:top w:val="single" w:sz="8" w:color="0000FF"/>
              <w:bottom w:val="single" w:sz="8" w:color="0000FF"/>
            </w:tcBorders>
            <w:gridSpan w:val="12"/>
            <w:shd w:val="clear" w:color="auto" w:fill="CCEEFF"/>
          </w:tcPr>
          <w:p>
            <w:pPr>
              <w:spacing w:after="0" w:line="156" w:lineRule="exact"/>
              <w:rPr>
                <w:rFonts w:ascii="Times New Roman" w:cs="Times New Roman" w:eastAsia="Times New Roman" w:hAnsi="Times New Roman"/>
                <w:sz w:val="18"/>
                <w:szCs w:val="18"/>
                <w:color w:val="0000FF"/>
                <w:w w:val="99"/>
              </w:rPr>
            </w:pPr>
            <w:hyperlink r:id="rId179">
              <w:r>
                <w:rPr>
                  <w:rFonts w:ascii="Times New Roman" w:cs="Times New Roman" w:eastAsia="Times New Roman" w:hAnsi="Times New Roman"/>
                  <w:sz w:val="18"/>
                  <w:szCs w:val="18"/>
                  <w:color w:val="0000FF"/>
                  <w:w w:val="99"/>
                </w:rPr>
                <w:t>10.</w:t>
              </w:r>
              <w:r>
                <w:rPr>
                  <w:rFonts w:ascii="Times New Roman" w:cs="Times New Roman" w:eastAsia="Times New Roman" w:hAnsi="Times New Roman"/>
                  <w:sz w:val="18"/>
                  <w:szCs w:val="18"/>
                  <w:u w:val="single" w:color="auto"/>
                  <w:color w:val="0000FF"/>
                  <w:w w:val="99"/>
                </w:rPr>
                <w:t>37</w:t>
              </w:r>
              <w:r>
                <w:rPr>
                  <w:rFonts w:ascii="Times New Roman" w:cs="Times New Roman" w:eastAsia="Times New Roman" w:hAnsi="Times New Roman"/>
                  <w:sz w:val="18"/>
                  <w:szCs w:val="18"/>
                  <w:color w:val="0000FF"/>
                  <w:w w:val="99"/>
                </w:rPr>
                <w:t xml:space="preserve"> to the Company's Annual Report on Form 10-K for the year ended December 31, 2004).</w:t>
              </w:r>
            </w:hyperlink>
          </w:p>
        </w:tc>
        <w:tc>
          <w:tcPr>
            <w:tcW w:w="2320" w:type="dxa"/>
            <w:vAlign w:val="bottom"/>
            <w:tcBorders>
              <w:top w:val="single" w:sz="8" w:color="0000FF"/>
              <w:bottom w:val="single" w:sz="8" w:color="CCEEFF"/>
              <w:right w:val="single" w:sz="8" w:color="CCEEFF"/>
            </w:tcBorders>
            <w:gridSpan w:val="10"/>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40" w:type="dxa"/>
            <w:vAlign w:val="bottom"/>
          </w:tcPr>
          <w:p>
            <w:pPr>
              <w:ind w:left="80"/>
              <w:spacing w:after="0" w:line="189" w:lineRule="exact"/>
              <w:rPr>
                <w:sz w:val="20"/>
                <w:szCs w:val="20"/>
                <w:color w:val="auto"/>
              </w:rPr>
            </w:pPr>
            <w:r>
              <w:rPr>
                <w:rFonts w:ascii="Times New Roman" w:cs="Times New Roman" w:eastAsia="Times New Roman" w:hAnsi="Times New Roman"/>
                <w:sz w:val="18"/>
                <w:szCs w:val="18"/>
                <w:color w:val="auto"/>
              </w:rPr>
              <w:t>10.29</w:t>
            </w:r>
          </w:p>
        </w:tc>
        <w:tc>
          <w:tcPr>
            <w:tcW w:w="640" w:type="dxa"/>
            <w:vAlign w:val="bottom"/>
          </w:tcPr>
          <w:p>
            <w:pPr>
              <w:jc w:val="right"/>
              <w:ind w:right="270"/>
              <w:spacing w:after="0" w:line="189" w:lineRule="exact"/>
              <w:rPr>
                <w:sz w:val="20"/>
                <w:szCs w:val="20"/>
                <w:color w:val="auto"/>
              </w:rPr>
            </w:pPr>
            <w:r>
              <w:rPr>
                <w:rFonts w:ascii="Times New Roman" w:cs="Times New Roman" w:eastAsia="Times New Roman" w:hAnsi="Times New Roman"/>
                <w:sz w:val="18"/>
                <w:szCs w:val="18"/>
                <w:color w:val="auto"/>
              </w:rPr>
              <w:t>*</w:t>
            </w:r>
          </w:p>
        </w:tc>
        <w:tc>
          <w:tcPr>
            <w:tcW w:w="9120" w:type="dxa"/>
            <w:vAlign w:val="bottom"/>
            <w:gridSpan w:val="22"/>
          </w:tcPr>
          <w:p>
            <w:pPr>
              <w:spacing w:after="0" w:line="189" w:lineRule="exact"/>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color w:val="0000FF"/>
                </w:rPr>
                <w:t>First Amendment to the Lear Corporation Pension Equalization Program, dated December 21, 2006 (incorporated by</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400" w:type="dxa"/>
            <w:vAlign w:val="bottom"/>
            <w:tcBorders>
              <w:top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color w:val="0000FF"/>
                </w:rPr>
                <w:t>reference to Exhibit 10.45 to the Company's Annual Report on Form 10-K for the year ended December 31, 2006).</w:t>
              </w:r>
            </w:hyperlink>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5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1860" w:type="dxa"/>
            <w:vAlign w:val="bottom"/>
            <w:tcBorders>
              <w:top w:val="single" w:sz="8" w:color="0000FF"/>
            </w:tcBorders>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86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680" w:type="dxa"/>
            <w:vAlign w:val="bottom"/>
            <w:tcBorders>
              <w:top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940" w:type="dxa"/>
            <w:vAlign w:val="bottom"/>
            <w:shd w:val="clear" w:color="auto" w:fill="CCEEFF"/>
          </w:tcPr>
          <w:p>
            <w:pPr>
              <w:ind w:left="80"/>
              <w:spacing w:after="0" w:line="189" w:lineRule="exact"/>
              <w:rPr>
                <w:sz w:val="20"/>
                <w:szCs w:val="20"/>
                <w:color w:val="auto"/>
              </w:rPr>
            </w:pPr>
            <w:r>
              <w:rPr>
                <w:rFonts w:ascii="Times New Roman" w:cs="Times New Roman" w:eastAsia="Times New Roman" w:hAnsi="Times New Roman"/>
                <w:sz w:val="18"/>
                <w:szCs w:val="18"/>
                <w:color w:val="auto"/>
              </w:rPr>
              <w:t>10.30</w:t>
            </w:r>
          </w:p>
        </w:tc>
        <w:tc>
          <w:tcPr>
            <w:tcW w:w="640" w:type="dxa"/>
            <w:vAlign w:val="bottom"/>
            <w:shd w:val="clear" w:color="auto" w:fill="CCEEFF"/>
          </w:tcPr>
          <w:p>
            <w:pPr>
              <w:jc w:val="right"/>
              <w:ind w:right="270"/>
              <w:spacing w:after="0" w:line="189" w:lineRule="exact"/>
              <w:rPr>
                <w:sz w:val="20"/>
                <w:szCs w:val="20"/>
                <w:color w:val="auto"/>
              </w:rPr>
            </w:pPr>
            <w:r>
              <w:rPr>
                <w:rFonts w:ascii="Times New Roman" w:cs="Times New Roman" w:eastAsia="Times New Roman" w:hAnsi="Times New Roman"/>
                <w:sz w:val="18"/>
                <w:szCs w:val="18"/>
                <w:color w:val="auto"/>
              </w:rPr>
              <w:t>*</w:t>
            </w:r>
          </w:p>
        </w:tc>
        <w:tc>
          <w:tcPr>
            <w:tcW w:w="9120" w:type="dxa"/>
            <w:vAlign w:val="bottom"/>
            <w:tcBorders>
              <w:right w:val="single" w:sz="8" w:color="CCEEFF"/>
            </w:tcBorders>
            <w:gridSpan w:val="22"/>
            <w:shd w:val="clear" w:color="auto" w:fill="CCEEFF"/>
          </w:tcPr>
          <w:p>
            <w:pPr>
              <w:spacing w:after="0" w:line="189" w:lineRule="exact"/>
              <w:rPr>
                <w:rFonts w:ascii="Times New Roman" w:cs="Times New Roman" w:eastAsia="Times New Roman" w:hAnsi="Times New Roman"/>
                <w:sz w:val="18"/>
                <w:szCs w:val="18"/>
                <w:color w:val="0000FF"/>
              </w:rPr>
            </w:pPr>
            <w:hyperlink r:id="rId181">
              <w:r>
                <w:rPr>
                  <w:rFonts w:ascii="Times New Roman" w:cs="Times New Roman" w:eastAsia="Times New Roman" w:hAnsi="Times New Roman"/>
                  <w:sz w:val="18"/>
                  <w:szCs w:val="18"/>
                  <w:color w:val="0000FF"/>
                </w:rPr>
                <w:t>Second Amendment to the Lear Corporation Pension Equalization Program, dated May 9, 2007 (incorporated by reference to</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40" w:type="dxa"/>
            <w:vAlign w:val="bottom"/>
            <w:tcBorders>
              <w:top w:val="single" w:sz="8" w:color="CCEEFF"/>
            </w:tcBorders>
            <w:shd w:val="clear" w:color="auto" w:fill="CCEEFF"/>
          </w:tcPr>
          <w:p>
            <w:pPr>
              <w:spacing w:after="0"/>
              <w:rPr>
                <w:sz w:val="13"/>
                <w:szCs w:val="13"/>
                <w:color w:val="auto"/>
              </w:rPr>
            </w:pPr>
          </w:p>
        </w:tc>
        <w:tc>
          <w:tcPr>
            <w:tcW w:w="94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CCEEFF"/>
            </w:tcBorders>
            <w:shd w:val="clear" w:color="auto" w:fill="CCEEFF"/>
          </w:tcPr>
          <w:p>
            <w:pPr>
              <w:spacing w:after="0"/>
              <w:rPr>
                <w:sz w:val="13"/>
                <w:szCs w:val="13"/>
                <w:color w:val="auto"/>
              </w:rPr>
            </w:pPr>
          </w:p>
        </w:tc>
        <w:tc>
          <w:tcPr>
            <w:tcW w:w="9120" w:type="dxa"/>
            <w:vAlign w:val="bottom"/>
            <w:tcBorders>
              <w:top w:val="single" w:sz="8" w:color="0000FF"/>
              <w:right w:val="single" w:sz="8" w:color="CCEEFF"/>
            </w:tcBorders>
            <w:gridSpan w:val="22"/>
            <w:shd w:val="clear" w:color="auto" w:fill="CCEEFF"/>
          </w:tcPr>
          <w:p>
            <w:pPr>
              <w:spacing w:after="0" w:line="156" w:lineRule="exact"/>
              <w:rPr>
                <w:rFonts w:ascii="Times New Roman" w:cs="Times New Roman" w:eastAsia="Times New Roman" w:hAnsi="Times New Roman"/>
                <w:sz w:val="18"/>
                <w:szCs w:val="18"/>
                <w:color w:val="0000FF"/>
              </w:rPr>
            </w:pPr>
            <w:hyperlink r:id="rId181">
              <w:r>
                <w:rPr>
                  <w:rFonts w:ascii="Times New Roman" w:cs="Times New Roman" w:eastAsia="Times New Roman" w:hAnsi="Times New Roman"/>
                  <w:sz w:val="18"/>
                  <w:szCs w:val="18"/>
                  <w:color w:val="0000FF"/>
                </w:rPr>
                <w:t>Exhibit 10.49 to the Company's Annual Report on Form 10-K for the year ended December 31, 2007).</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152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50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1860" w:type="dxa"/>
            <w:vAlign w:val="bottom"/>
            <w:tcBorders>
              <w:top w:val="single" w:sz="8" w:color="0000FF"/>
            </w:tcBorders>
            <w:shd w:val="clear" w:color="auto" w:fill="CCEEFF"/>
          </w:tcPr>
          <w:p>
            <w:pPr>
              <w:spacing w:after="0"/>
              <w:rPr>
                <w:sz w:val="2"/>
                <w:szCs w:val="2"/>
                <w:color w:val="auto"/>
              </w:rPr>
            </w:pPr>
          </w:p>
        </w:tc>
        <w:tc>
          <w:tcPr>
            <w:tcW w:w="52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860" w:type="dxa"/>
            <w:vAlign w:val="bottom"/>
            <w:tcBorders>
              <w:top w:val="single" w:sz="8" w:color="0000FF"/>
            </w:tcBorders>
            <w:shd w:val="clear" w:color="auto" w:fill="CCEEFF"/>
          </w:tcPr>
          <w:p>
            <w:pPr>
              <w:spacing w:after="0"/>
              <w:rPr>
                <w:sz w:val="2"/>
                <w:szCs w:val="2"/>
                <w:color w:val="auto"/>
              </w:rPr>
            </w:pPr>
          </w:p>
        </w:tc>
        <w:tc>
          <w:tcPr>
            <w:tcW w:w="380" w:type="dxa"/>
            <w:vAlign w:val="bottom"/>
            <w:tcBorders>
              <w:top w:val="single" w:sz="8" w:color="0000FF"/>
            </w:tcBorders>
            <w:shd w:val="clear" w:color="auto" w:fill="CCEEFF"/>
          </w:tcPr>
          <w:p>
            <w:pPr>
              <w:spacing w:after="0"/>
              <w:rPr>
                <w:sz w:val="2"/>
                <w:szCs w:val="2"/>
                <w:color w:val="auto"/>
              </w:rPr>
            </w:pPr>
          </w:p>
        </w:tc>
        <w:tc>
          <w:tcPr>
            <w:tcW w:w="46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56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right w:val="single" w:sz="8" w:color="CCEEFF"/>
            </w:tcBorders>
            <w:shd w:val="clear" w:color="auto" w:fill="CCEEFF"/>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40" w:type="dxa"/>
            <w:vAlign w:val="bottom"/>
          </w:tcPr>
          <w:p>
            <w:pPr>
              <w:ind w:left="80"/>
              <w:spacing w:after="0" w:line="189" w:lineRule="exact"/>
              <w:rPr>
                <w:sz w:val="20"/>
                <w:szCs w:val="20"/>
                <w:color w:val="auto"/>
              </w:rPr>
            </w:pPr>
            <w:r>
              <w:rPr>
                <w:rFonts w:ascii="Times New Roman" w:cs="Times New Roman" w:eastAsia="Times New Roman" w:hAnsi="Times New Roman"/>
                <w:sz w:val="18"/>
                <w:szCs w:val="18"/>
                <w:color w:val="auto"/>
              </w:rPr>
              <w:t>10.31</w:t>
            </w:r>
          </w:p>
        </w:tc>
        <w:tc>
          <w:tcPr>
            <w:tcW w:w="640" w:type="dxa"/>
            <w:vAlign w:val="bottom"/>
          </w:tcPr>
          <w:p>
            <w:pPr>
              <w:jc w:val="right"/>
              <w:ind w:right="270"/>
              <w:spacing w:after="0" w:line="189" w:lineRule="exact"/>
              <w:rPr>
                <w:sz w:val="20"/>
                <w:szCs w:val="20"/>
                <w:color w:val="auto"/>
              </w:rPr>
            </w:pPr>
            <w:r>
              <w:rPr>
                <w:rFonts w:ascii="Times New Roman" w:cs="Times New Roman" w:eastAsia="Times New Roman" w:hAnsi="Times New Roman"/>
                <w:sz w:val="18"/>
                <w:szCs w:val="18"/>
                <w:color w:val="auto"/>
              </w:rPr>
              <w:t>*</w:t>
            </w:r>
          </w:p>
        </w:tc>
        <w:tc>
          <w:tcPr>
            <w:tcW w:w="9120" w:type="dxa"/>
            <w:vAlign w:val="bottom"/>
            <w:gridSpan w:val="22"/>
          </w:tcPr>
          <w:p>
            <w:pPr>
              <w:spacing w:after="0" w:line="189" w:lineRule="exact"/>
              <w:rPr>
                <w:rFonts w:ascii="Times New Roman" w:cs="Times New Roman" w:eastAsia="Times New Roman" w:hAnsi="Times New Roman"/>
                <w:sz w:val="18"/>
                <w:szCs w:val="18"/>
                <w:color w:val="0000FF"/>
              </w:rPr>
            </w:pPr>
            <w:hyperlink r:id="rId182">
              <w:r>
                <w:rPr>
                  <w:rFonts w:ascii="Times New Roman" w:cs="Times New Roman" w:eastAsia="Times New Roman" w:hAnsi="Times New Roman"/>
                  <w:sz w:val="18"/>
                  <w:szCs w:val="18"/>
                  <w:color w:val="0000FF"/>
                </w:rPr>
                <w:t>Third Amendment to the Lear Corporation Pension Equalization Program, effective as of December 18, 2007 (incorporated</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120" w:type="dxa"/>
            <w:vAlign w:val="bottom"/>
            <w:tcBorders>
              <w:top w:val="single" w:sz="8" w:color="0000FF"/>
            </w:tcBorders>
            <w:gridSpan w:val="22"/>
          </w:tcPr>
          <w:p>
            <w:pPr>
              <w:spacing w:after="0" w:line="156" w:lineRule="exact"/>
              <w:rPr>
                <w:rFonts w:ascii="Times New Roman" w:cs="Times New Roman" w:eastAsia="Times New Roman" w:hAnsi="Times New Roman"/>
                <w:sz w:val="18"/>
                <w:szCs w:val="18"/>
                <w:color w:val="0000FF"/>
              </w:rPr>
            </w:pPr>
            <w:hyperlink r:id="rId182">
              <w:r>
                <w:rPr>
                  <w:rFonts w:ascii="Times New Roman" w:cs="Times New Roman" w:eastAsia="Times New Roman" w:hAnsi="Times New Roman"/>
                  <w:sz w:val="18"/>
                  <w:szCs w:val="18"/>
                  <w:color w:val="0000FF"/>
                </w:rPr>
                <w:t>by reference to Exhibit 10.1 to the Company's Current Report on Form 8-K filed on December 19, 2007).</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5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1860" w:type="dxa"/>
            <w:vAlign w:val="bottom"/>
            <w:tcBorders>
              <w:top w:val="single" w:sz="8" w:color="0000FF"/>
            </w:tcBorders>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86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940" w:type="dxa"/>
            <w:vAlign w:val="bottom"/>
            <w:shd w:val="clear" w:color="auto" w:fill="CCEEFF"/>
          </w:tcPr>
          <w:p>
            <w:pPr>
              <w:ind w:left="80"/>
              <w:spacing w:after="0" w:line="189" w:lineRule="exact"/>
              <w:rPr>
                <w:sz w:val="20"/>
                <w:szCs w:val="20"/>
                <w:color w:val="auto"/>
              </w:rPr>
            </w:pPr>
            <w:r>
              <w:rPr>
                <w:rFonts w:ascii="Times New Roman" w:cs="Times New Roman" w:eastAsia="Times New Roman" w:hAnsi="Times New Roman"/>
                <w:sz w:val="18"/>
                <w:szCs w:val="18"/>
                <w:color w:val="auto"/>
              </w:rPr>
              <w:t>10.32</w:t>
            </w:r>
          </w:p>
        </w:tc>
        <w:tc>
          <w:tcPr>
            <w:tcW w:w="640" w:type="dxa"/>
            <w:vAlign w:val="bottom"/>
            <w:shd w:val="clear" w:color="auto" w:fill="CCEEFF"/>
          </w:tcPr>
          <w:p>
            <w:pPr>
              <w:jc w:val="right"/>
              <w:ind w:right="270"/>
              <w:spacing w:after="0" w:line="189" w:lineRule="exact"/>
              <w:rPr>
                <w:sz w:val="20"/>
                <w:szCs w:val="20"/>
                <w:color w:val="auto"/>
              </w:rPr>
            </w:pPr>
            <w:r>
              <w:rPr>
                <w:rFonts w:ascii="Times New Roman" w:cs="Times New Roman" w:eastAsia="Times New Roman" w:hAnsi="Times New Roman"/>
                <w:sz w:val="18"/>
                <w:szCs w:val="18"/>
                <w:color w:val="auto"/>
              </w:rPr>
              <w:t>*</w:t>
            </w:r>
          </w:p>
        </w:tc>
        <w:tc>
          <w:tcPr>
            <w:tcW w:w="9120" w:type="dxa"/>
            <w:vAlign w:val="bottom"/>
            <w:tcBorders>
              <w:right w:val="single" w:sz="8" w:color="CCEEFF"/>
            </w:tcBorders>
            <w:gridSpan w:val="22"/>
            <w:shd w:val="clear" w:color="auto" w:fill="CCEEFF"/>
          </w:tcPr>
          <w:p>
            <w:pPr>
              <w:spacing w:after="0" w:line="189" w:lineRule="exact"/>
              <w:rPr>
                <w:rFonts w:ascii="Times New Roman" w:cs="Times New Roman" w:eastAsia="Times New Roman" w:hAnsi="Times New Roman"/>
                <w:sz w:val="18"/>
                <w:szCs w:val="18"/>
                <w:color w:val="0000FF"/>
              </w:rPr>
            </w:pPr>
            <w:hyperlink r:id="rId183">
              <w:r>
                <w:rPr>
                  <w:rFonts w:ascii="Times New Roman" w:cs="Times New Roman" w:eastAsia="Times New Roman" w:hAnsi="Times New Roman"/>
                  <w:sz w:val="18"/>
                  <w:szCs w:val="18"/>
                  <w:color w:val="0000FF"/>
                </w:rPr>
                <w:t>Lear Corporation Salaried Retirement Restoration Program (f/k/a Lear Corporation PSP Excess Plan), amended and restated</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40" w:type="dxa"/>
            <w:vAlign w:val="bottom"/>
            <w:tcBorders>
              <w:top w:val="single" w:sz="8" w:color="CCEEFF"/>
              <w:bottom w:val="single" w:sz="8" w:color="CCEEFF"/>
            </w:tcBorders>
            <w:shd w:val="clear" w:color="auto" w:fill="CCEEFF"/>
          </w:tcPr>
          <w:p>
            <w:pPr>
              <w:spacing w:after="0"/>
              <w:rPr>
                <w:sz w:val="13"/>
                <w:szCs w:val="13"/>
                <w:color w:val="auto"/>
              </w:rPr>
            </w:pPr>
          </w:p>
        </w:tc>
        <w:tc>
          <w:tcPr>
            <w:tcW w:w="940" w:type="dxa"/>
            <w:vAlign w:val="bottom"/>
            <w:tcBorders>
              <w:top w:val="single" w:sz="8" w:color="CCEEFF"/>
              <w:bottom w:val="single" w:sz="8" w:color="CCEEFF"/>
            </w:tcBorders>
            <w:shd w:val="clear" w:color="auto" w:fill="CCEEFF"/>
          </w:tcPr>
          <w:p>
            <w:pPr>
              <w:spacing w:after="0"/>
              <w:rPr>
                <w:sz w:val="13"/>
                <w:szCs w:val="13"/>
                <w:color w:val="auto"/>
              </w:rPr>
            </w:pPr>
          </w:p>
        </w:tc>
        <w:tc>
          <w:tcPr>
            <w:tcW w:w="640" w:type="dxa"/>
            <w:vAlign w:val="bottom"/>
            <w:tcBorders>
              <w:top w:val="single" w:sz="8" w:color="CCEEFF"/>
              <w:bottom w:val="single" w:sz="8" w:color="CCEEFF"/>
            </w:tcBorders>
            <w:shd w:val="clear" w:color="auto" w:fill="CCEEFF"/>
          </w:tcPr>
          <w:p>
            <w:pPr>
              <w:spacing w:after="0"/>
              <w:rPr>
                <w:sz w:val="13"/>
                <w:szCs w:val="13"/>
                <w:color w:val="auto"/>
              </w:rPr>
            </w:pPr>
          </w:p>
        </w:tc>
        <w:tc>
          <w:tcPr>
            <w:tcW w:w="9120" w:type="dxa"/>
            <w:vAlign w:val="bottom"/>
            <w:tcBorders>
              <w:top w:val="single" w:sz="8" w:color="0000FF"/>
              <w:bottom w:val="single" w:sz="8" w:color="0000FF"/>
              <w:right w:val="single" w:sz="8" w:color="CCEEFF"/>
            </w:tcBorders>
            <w:gridSpan w:val="22"/>
            <w:shd w:val="clear" w:color="auto" w:fill="CCEEFF"/>
          </w:tcPr>
          <w:p>
            <w:pPr>
              <w:spacing w:after="0" w:line="156" w:lineRule="exact"/>
              <w:rPr>
                <w:rFonts w:ascii="Times New Roman" w:cs="Times New Roman" w:eastAsia="Times New Roman" w:hAnsi="Times New Roman"/>
                <w:sz w:val="18"/>
                <w:szCs w:val="18"/>
                <w:color w:val="0000FF"/>
              </w:rPr>
            </w:pPr>
            <w:hyperlink r:id="rId183">
              <w:r>
                <w:rPr>
                  <w:rFonts w:ascii="Times New Roman" w:cs="Times New Roman" w:eastAsia="Times New Roman" w:hAnsi="Times New Roman"/>
                  <w:sz w:val="18"/>
                  <w:szCs w:val="18"/>
                  <w:color w:val="0000FF"/>
                </w:rPr>
                <w:t>effective December 29, 2017 (incorporated by reference to Exhibit 10.13 to the Company's Annual Report on Form 10-K for</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9120" w:type="dxa"/>
            <w:vAlign w:val="bottom"/>
            <w:tcBorders>
              <w:right w:val="single" w:sz="8" w:color="CCEEFF"/>
            </w:tcBorders>
            <w:gridSpan w:val="22"/>
            <w:shd w:val="clear" w:color="auto" w:fill="CCEEFF"/>
          </w:tcPr>
          <w:p>
            <w:pPr>
              <w:spacing w:after="0" w:line="169" w:lineRule="exact"/>
              <w:rPr>
                <w:rFonts w:ascii="Times New Roman" w:cs="Times New Roman" w:eastAsia="Times New Roman" w:hAnsi="Times New Roman"/>
                <w:sz w:val="18"/>
                <w:szCs w:val="18"/>
                <w:color w:val="0000FF"/>
              </w:rPr>
            </w:pPr>
            <w:hyperlink r:id="rId183">
              <w:r>
                <w:rPr>
                  <w:rFonts w:ascii="Times New Roman" w:cs="Times New Roman" w:eastAsia="Times New Roman" w:hAnsi="Times New Roman"/>
                  <w:sz w:val="18"/>
                  <w:szCs w:val="18"/>
                  <w:color w:val="0000FF"/>
                </w:rPr>
                <w:t>the year ended December 31, 2017).</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40" w:type="dxa"/>
            <w:vAlign w:val="bottom"/>
          </w:tcPr>
          <w:p>
            <w:pPr>
              <w:ind w:left="80"/>
              <w:spacing w:after="0" w:line="189" w:lineRule="exact"/>
              <w:rPr>
                <w:sz w:val="20"/>
                <w:szCs w:val="20"/>
                <w:color w:val="auto"/>
              </w:rPr>
            </w:pPr>
            <w:r>
              <w:rPr>
                <w:rFonts w:ascii="Times New Roman" w:cs="Times New Roman" w:eastAsia="Times New Roman" w:hAnsi="Times New Roman"/>
                <w:sz w:val="18"/>
                <w:szCs w:val="18"/>
                <w:color w:val="auto"/>
              </w:rPr>
              <w:t>10.33</w:t>
            </w:r>
          </w:p>
        </w:tc>
        <w:tc>
          <w:tcPr>
            <w:tcW w:w="640" w:type="dxa"/>
            <w:vAlign w:val="bottom"/>
          </w:tcPr>
          <w:p>
            <w:pPr>
              <w:jc w:val="right"/>
              <w:ind w:right="270"/>
              <w:spacing w:after="0" w:line="189" w:lineRule="exact"/>
              <w:rPr>
                <w:sz w:val="20"/>
                <w:szCs w:val="20"/>
                <w:color w:val="auto"/>
              </w:rPr>
            </w:pPr>
            <w:r>
              <w:rPr>
                <w:rFonts w:ascii="Times New Roman" w:cs="Times New Roman" w:eastAsia="Times New Roman" w:hAnsi="Times New Roman"/>
                <w:sz w:val="18"/>
                <w:szCs w:val="18"/>
                <w:color w:val="auto"/>
              </w:rPr>
              <w:t>*</w:t>
            </w:r>
          </w:p>
        </w:tc>
        <w:tc>
          <w:tcPr>
            <w:tcW w:w="9120" w:type="dxa"/>
            <w:vAlign w:val="bottom"/>
            <w:gridSpan w:val="22"/>
          </w:tcPr>
          <w:p>
            <w:pPr>
              <w:spacing w:after="0" w:line="189" w:lineRule="exact"/>
              <w:rPr>
                <w:rFonts w:ascii="Times New Roman" w:cs="Times New Roman" w:eastAsia="Times New Roman" w:hAnsi="Times New Roman"/>
                <w:sz w:val="18"/>
                <w:szCs w:val="18"/>
                <w:color w:val="0000FF"/>
              </w:rPr>
            </w:pPr>
            <w:hyperlink r:id="rId184">
              <w:r>
                <w:rPr>
                  <w:rFonts w:ascii="Times New Roman" w:cs="Times New Roman" w:eastAsia="Times New Roman" w:hAnsi="Times New Roman"/>
                  <w:sz w:val="18"/>
                  <w:szCs w:val="18"/>
                  <w:color w:val="0000FF"/>
                </w:rPr>
                <w:t>First Amendment to the Lear Corporation Salaried Retirement Restoration Program (amended and restated effective</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340" w:type="dxa"/>
            <w:vAlign w:val="bottom"/>
            <w:tcBorders>
              <w:top w:val="single" w:sz="8" w:color="0000FF"/>
            </w:tcBorders>
            <w:gridSpan w:val="16"/>
          </w:tcPr>
          <w:p>
            <w:pPr>
              <w:spacing w:after="0" w:line="156" w:lineRule="exact"/>
              <w:rPr>
                <w:rFonts w:ascii="Times New Roman" w:cs="Times New Roman" w:eastAsia="Times New Roman" w:hAnsi="Times New Roman"/>
                <w:sz w:val="18"/>
                <w:szCs w:val="18"/>
                <w:color w:val="0000FF"/>
                <w:w w:val="98"/>
              </w:rPr>
            </w:pPr>
            <w:hyperlink r:id="rId184">
              <w:r>
                <w:rPr>
                  <w:rFonts w:ascii="Times New Roman" w:cs="Times New Roman" w:eastAsia="Times New Roman" w:hAnsi="Times New Roman"/>
                  <w:sz w:val="18"/>
                  <w:szCs w:val="18"/>
                  <w:color w:val="0000FF"/>
                  <w:w w:val="98"/>
                </w:rPr>
                <w:t>December 29, 2017) effective as of November 18, 2020 (incorporated by reference to Exhibit 10.13 to the Company's</w:t>
              </w:r>
            </w:hyperlink>
          </w:p>
        </w:tc>
        <w:tc>
          <w:tcPr>
            <w:tcW w:w="1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gridSpan w:val="4"/>
          </w:tcPr>
          <w:p>
            <w:pPr>
              <w:spacing w:after="0" w:line="156" w:lineRule="exact"/>
              <w:rPr>
                <w:rFonts w:ascii="Times New Roman" w:cs="Times New Roman" w:eastAsia="Times New Roman" w:hAnsi="Times New Roman"/>
                <w:sz w:val="18"/>
                <w:szCs w:val="18"/>
                <w:color w:val="0000FF"/>
              </w:rPr>
            </w:pPr>
            <w:hyperlink r:id="rId184">
              <w:r>
                <w:rPr>
                  <w:rFonts w:ascii="Times New Roman" w:cs="Times New Roman" w:eastAsia="Times New Roman" w:hAnsi="Times New Roman"/>
                  <w:sz w:val="18"/>
                  <w:szCs w:val="18"/>
                  <w:color w:val="0000FF"/>
                </w:rPr>
                <w:t>Annual</w:t>
              </w:r>
            </w:hyperlink>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120" w:type="dxa"/>
            <w:vAlign w:val="bottom"/>
            <w:tcBorders>
              <w:top w:val="single" w:sz="8" w:color="0000FF"/>
            </w:tcBorders>
            <w:gridSpan w:val="22"/>
          </w:tcPr>
          <w:p>
            <w:pPr>
              <w:spacing w:after="0" w:line="169" w:lineRule="exact"/>
              <w:rPr>
                <w:rFonts w:ascii="Times New Roman" w:cs="Times New Roman" w:eastAsia="Times New Roman" w:hAnsi="Times New Roman"/>
                <w:sz w:val="18"/>
                <w:szCs w:val="18"/>
                <w:color w:val="0000FF"/>
              </w:rPr>
            </w:pPr>
            <w:hyperlink r:id="rId184">
              <w:r>
                <w:rPr>
                  <w:rFonts w:ascii="Times New Roman" w:cs="Times New Roman" w:eastAsia="Times New Roman" w:hAnsi="Times New Roman"/>
                  <w:sz w:val="18"/>
                  <w:szCs w:val="18"/>
                  <w:color w:val="0000FF"/>
                </w:rPr>
                <w:t>Report on Form 10-K for the year ended December 31, 2021).</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5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860" w:type="dxa"/>
            <w:vAlign w:val="bottom"/>
            <w:tcBorders>
              <w:top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940" w:type="dxa"/>
            <w:vAlign w:val="bottom"/>
            <w:shd w:val="clear" w:color="auto" w:fill="CCEEFF"/>
          </w:tcPr>
          <w:p>
            <w:pPr>
              <w:ind w:left="80"/>
              <w:spacing w:after="0" w:line="189" w:lineRule="exact"/>
              <w:rPr>
                <w:sz w:val="20"/>
                <w:szCs w:val="20"/>
                <w:color w:val="auto"/>
              </w:rPr>
            </w:pPr>
            <w:r>
              <w:rPr>
                <w:rFonts w:ascii="Times New Roman" w:cs="Times New Roman" w:eastAsia="Times New Roman" w:hAnsi="Times New Roman"/>
                <w:sz w:val="18"/>
                <w:szCs w:val="18"/>
                <w:color w:val="auto"/>
              </w:rPr>
              <w:t>10.34</w:t>
            </w:r>
          </w:p>
        </w:tc>
        <w:tc>
          <w:tcPr>
            <w:tcW w:w="640" w:type="dxa"/>
            <w:vAlign w:val="bottom"/>
            <w:shd w:val="clear" w:color="auto" w:fill="CCEEFF"/>
          </w:tcPr>
          <w:p>
            <w:pPr>
              <w:jc w:val="right"/>
              <w:ind w:right="270"/>
              <w:spacing w:after="0" w:line="189" w:lineRule="exact"/>
              <w:rPr>
                <w:sz w:val="20"/>
                <w:szCs w:val="20"/>
                <w:color w:val="auto"/>
              </w:rPr>
            </w:pPr>
            <w:r>
              <w:rPr>
                <w:rFonts w:ascii="Times New Roman" w:cs="Times New Roman" w:eastAsia="Times New Roman" w:hAnsi="Times New Roman"/>
                <w:sz w:val="18"/>
                <w:szCs w:val="18"/>
                <w:color w:val="auto"/>
              </w:rPr>
              <w:t>*</w:t>
            </w:r>
          </w:p>
        </w:tc>
        <w:tc>
          <w:tcPr>
            <w:tcW w:w="9120" w:type="dxa"/>
            <w:vAlign w:val="bottom"/>
            <w:tcBorders>
              <w:right w:val="single" w:sz="8" w:color="CCEEFF"/>
            </w:tcBorders>
            <w:gridSpan w:val="22"/>
            <w:shd w:val="clear" w:color="auto" w:fill="CCEEFF"/>
          </w:tcPr>
          <w:p>
            <w:pPr>
              <w:spacing w:after="0" w:line="189" w:lineRule="exact"/>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Lear Corporation Salaried Retirement Restoration Program, amended and restated effective December 31, 2024 (incorporated</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40" w:type="dxa"/>
            <w:vAlign w:val="bottom"/>
            <w:tcBorders>
              <w:top w:val="single" w:sz="8" w:color="CCEEFF"/>
            </w:tcBorders>
            <w:shd w:val="clear" w:color="auto" w:fill="CCEEFF"/>
          </w:tcPr>
          <w:p>
            <w:pPr>
              <w:spacing w:after="0"/>
              <w:rPr>
                <w:sz w:val="13"/>
                <w:szCs w:val="13"/>
                <w:color w:val="auto"/>
              </w:rPr>
            </w:pPr>
          </w:p>
        </w:tc>
        <w:tc>
          <w:tcPr>
            <w:tcW w:w="94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CCEEFF"/>
            </w:tcBorders>
            <w:shd w:val="clear" w:color="auto" w:fill="CCEEFF"/>
          </w:tcPr>
          <w:p>
            <w:pPr>
              <w:spacing w:after="0"/>
              <w:rPr>
                <w:sz w:val="13"/>
                <w:szCs w:val="13"/>
                <w:color w:val="auto"/>
              </w:rPr>
            </w:pPr>
          </w:p>
        </w:tc>
        <w:tc>
          <w:tcPr>
            <w:tcW w:w="9120" w:type="dxa"/>
            <w:vAlign w:val="bottom"/>
            <w:tcBorders>
              <w:top w:val="single" w:sz="8" w:color="0000FF"/>
              <w:right w:val="single" w:sz="8" w:color="CCEEFF"/>
            </w:tcBorders>
            <w:gridSpan w:val="22"/>
            <w:shd w:val="clear" w:color="auto" w:fill="CCEEFF"/>
          </w:tcPr>
          <w:p>
            <w:pPr>
              <w:spacing w:after="0" w:line="156" w:lineRule="exact"/>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by reference to Exhibit 10.2 to the Company's Quarterly Report on Form 10-Q for the quarter ended September 27, 2025).</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152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50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1860" w:type="dxa"/>
            <w:vAlign w:val="bottom"/>
            <w:tcBorders>
              <w:top w:val="single" w:sz="8" w:color="0000FF"/>
            </w:tcBorders>
            <w:shd w:val="clear" w:color="auto" w:fill="CCEEFF"/>
          </w:tcPr>
          <w:p>
            <w:pPr>
              <w:spacing w:after="0"/>
              <w:rPr>
                <w:sz w:val="2"/>
                <w:szCs w:val="2"/>
                <w:color w:val="auto"/>
              </w:rPr>
            </w:pPr>
          </w:p>
        </w:tc>
        <w:tc>
          <w:tcPr>
            <w:tcW w:w="52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860" w:type="dxa"/>
            <w:vAlign w:val="bottom"/>
            <w:tcBorders>
              <w:top w:val="single" w:sz="8" w:color="0000FF"/>
            </w:tcBorders>
            <w:shd w:val="clear" w:color="auto" w:fill="CCEEFF"/>
          </w:tcPr>
          <w:p>
            <w:pPr>
              <w:spacing w:after="0"/>
              <w:rPr>
                <w:sz w:val="2"/>
                <w:szCs w:val="2"/>
                <w:color w:val="auto"/>
              </w:rPr>
            </w:pPr>
          </w:p>
        </w:tc>
        <w:tc>
          <w:tcPr>
            <w:tcW w:w="380" w:type="dxa"/>
            <w:vAlign w:val="bottom"/>
            <w:tcBorders>
              <w:top w:val="single" w:sz="8" w:color="0000FF"/>
            </w:tcBorders>
            <w:shd w:val="clear" w:color="auto" w:fill="CCEEFF"/>
          </w:tcPr>
          <w:p>
            <w:pPr>
              <w:spacing w:after="0"/>
              <w:rPr>
                <w:sz w:val="2"/>
                <w:szCs w:val="2"/>
                <w:color w:val="auto"/>
              </w:rPr>
            </w:pPr>
          </w:p>
        </w:tc>
        <w:tc>
          <w:tcPr>
            <w:tcW w:w="46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56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68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560" w:type="dxa"/>
            <w:vAlign w:val="bottom"/>
            <w:tcBorders>
              <w:top w:val="single" w:sz="8" w:color="0000FF"/>
              <w:right w:val="single" w:sz="8" w:color="CCEEFF"/>
            </w:tcBorders>
            <w:shd w:val="clear" w:color="auto" w:fill="CCEEFF"/>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40" w:type="dxa"/>
            <w:vAlign w:val="bottom"/>
          </w:tcPr>
          <w:p>
            <w:pPr>
              <w:ind w:left="80"/>
              <w:spacing w:after="0" w:line="189" w:lineRule="exact"/>
              <w:rPr>
                <w:sz w:val="20"/>
                <w:szCs w:val="20"/>
                <w:color w:val="auto"/>
              </w:rPr>
            </w:pPr>
            <w:r>
              <w:rPr>
                <w:rFonts w:ascii="Times New Roman" w:cs="Times New Roman" w:eastAsia="Times New Roman" w:hAnsi="Times New Roman"/>
                <w:sz w:val="18"/>
                <w:szCs w:val="18"/>
                <w:color w:val="auto"/>
              </w:rPr>
              <w:t>10.35</w:t>
            </w:r>
          </w:p>
        </w:tc>
        <w:tc>
          <w:tcPr>
            <w:tcW w:w="640" w:type="dxa"/>
            <w:vAlign w:val="bottom"/>
          </w:tcPr>
          <w:p>
            <w:pPr>
              <w:jc w:val="right"/>
              <w:ind w:right="270"/>
              <w:spacing w:after="0" w:line="189" w:lineRule="exact"/>
              <w:rPr>
                <w:sz w:val="20"/>
                <w:szCs w:val="20"/>
                <w:color w:val="auto"/>
              </w:rPr>
            </w:pPr>
            <w:r>
              <w:rPr>
                <w:rFonts w:ascii="Times New Roman" w:cs="Times New Roman" w:eastAsia="Times New Roman" w:hAnsi="Times New Roman"/>
                <w:sz w:val="18"/>
                <w:szCs w:val="18"/>
                <w:color w:val="auto"/>
              </w:rPr>
              <w:t>*</w:t>
            </w:r>
          </w:p>
        </w:tc>
        <w:tc>
          <w:tcPr>
            <w:tcW w:w="9120" w:type="dxa"/>
            <w:vAlign w:val="bottom"/>
            <w:gridSpan w:val="22"/>
          </w:tcPr>
          <w:p>
            <w:pPr>
              <w:spacing w:after="0" w:line="189" w:lineRule="exact"/>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Lear Corporation Executive Retiree Health Reimbursement Account Plan (incorporated by reference to Exhibit 10.38 to the</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120" w:type="dxa"/>
            <w:vAlign w:val="bottom"/>
            <w:tcBorders>
              <w:top w:val="single" w:sz="8" w:color="0000FF"/>
            </w:tcBorders>
            <w:gridSpan w:val="22"/>
          </w:tcPr>
          <w:p>
            <w:pPr>
              <w:spacing w:after="0" w:line="156" w:lineRule="exact"/>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Company's Annual Report on Form 10-K for the year ended December 31, 2023).</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5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1860" w:type="dxa"/>
            <w:vAlign w:val="bottom"/>
            <w:tcBorders>
              <w:top w:val="single" w:sz="8" w:color="0000FF"/>
            </w:tcBorders>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860" w:type="dxa"/>
            <w:vAlign w:val="bottom"/>
            <w:tcBorders>
              <w:top w:val="single" w:sz="8" w:color="0000FF"/>
            </w:tcBorders>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54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w:t>
            </w:r>
          </w:p>
        </w:tc>
        <w:tc>
          <w:tcPr>
            <w:tcW w:w="940" w:type="dxa"/>
            <w:vAlign w:val="bottom"/>
            <w:shd w:val="clear" w:color="auto" w:fill="CCEEFF"/>
          </w:tcPr>
          <w:p>
            <w:pPr>
              <w:ind w:left="80"/>
              <w:spacing w:after="0" w:line="189" w:lineRule="exact"/>
              <w:rPr>
                <w:sz w:val="20"/>
                <w:szCs w:val="20"/>
                <w:color w:val="auto"/>
              </w:rPr>
            </w:pPr>
            <w:r>
              <w:rPr>
                <w:rFonts w:ascii="Times New Roman" w:cs="Times New Roman" w:eastAsia="Times New Roman" w:hAnsi="Times New Roman"/>
                <w:sz w:val="18"/>
                <w:szCs w:val="18"/>
                <w:color w:val="auto"/>
              </w:rPr>
              <w:t>19</w:t>
            </w:r>
          </w:p>
        </w:tc>
        <w:tc>
          <w:tcPr>
            <w:tcW w:w="640" w:type="dxa"/>
            <w:vAlign w:val="bottom"/>
            <w:shd w:val="clear" w:color="auto" w:fill="CCEEFF"/>
          </w:tcPr>
          <w:p>
            <w:pPr>
              <w:spacing w:after="0"/>
              <w:rPr>
                <w:sz w:val="16"/>
                <w:szCs w:val="16"/>
                <w:color w:val="auto"/>
              </w:rPr>
            </w:pPr>
          </w:p>
        </w:tc>
        <w:tc>
          <w:tcPr>
            <w:tcW w:w="9120" w:type="dxa"/>
            <w:vAlign w:val="bottom"/>
            <w:tcBorders>
              <w:right w:val="single" w:sz="8" w:color="CCEEFF"/>
            </w:tcBorders>
            <w:gridSpan w:val="2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Insider Trading Policy</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5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w:t>
            </w:r>
          </w:p>
        </w:tc>
        <w:tc>
          <w:tcPr>
            <w:tcW w:w="940" w:type="dxa"/>
            <w:vAlign w:val="bottom"/>
          </w:tcPr>
          <w:p>
            <w:pPr>
              <w:ind w:left="80"/>
              <w:spacing w:after="0" w:line="189" w:lineRule="exact"/>
              <w:rPr>
                <w:sz w:val="20"/>
                <w:szCs w:val="20"/>
                <w:color w:val="auto"/>
              </w:rPr>
            </w:pPr>
            <w:r>
              <w:rPr>
                <w:rFonts w:ascii="Times New Roman" w:cs="Times New Roman" w:eastAsia="Times New Roman" w:hAnsi="Times New Roman"/>
                <w:sz w:val="18"/>
                <w:szCs w:val="18"/>
                <w:color w:val="auto"/>
              </w:rPr>
              <w:t>21.1</w:t>
            </w:r>
          </w:p>
        </w:tc>
        <w:tc>
          <w:tcPr>
            <w:tcW w:w="640" w:type="dxa"/>
            <w:vAlign w:val="bottom"/>
          </w:tcPr>
          <w:p>
            <w:pPr>
              <w:spacing w:after="0"/>
              <w:rPr>
                <w:sz w:val="16"/>
                <w:szCs w:val="16"/>
                <w:color w:val="auto"/>
              </w:rPr>
            </w:pPr>
          </w:p>
        </w:tc>
        <w:tc>
          <w:tcPr>
            <w:tcW w:w="9120" w:type="dxa"/>
            <w:vAlign w:val="bottom"/>
            <w:gridSpan w:val="22"/>
          </w:tcPr>
          <w:p>
            <w:pPr>
              <w:spacing w:after="0" w:line="189" w:lineRule="exact"/>
              <w:rPr>
                <w:sz w:val="20"/>
                <w:szCs w:val="20"/>
                <w:color w:val="auto"/>
              </w:rPr>
            </w:pPr>
            <w:r>
              <w:rPr>
                <w:rFonts w:ascii="Times New Roman" w:cs="Times New Roman" w:eastAsia="Times New Roman" w:hAnsi="Times New Roman"/>
                <w:sz w:val="18"/>
                <w:szCs w:val="18"/>
                <w:color w:val="0000FF"/>
              </w:rPr>
              <w:t>List of subsidiaries of the Company.</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5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540" w:type="dxa"/>
            <w:vAlign w:val="bottom"/>
            <w:tcBorders>
              <w:bottom w:val="single" w:sz="8" w:color="CCEEFF"/>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w:t>
            </w:r>
          </w:p>
        </w:tc>
        <w:tc>
          <w:tcPr>
            <w:tcW w:w="940" w:type="dxa"/>
            <w:vAlign w:val="bottom"/>
            <w:tcBorders>
              <w:bottom w:val="single" w:sz="8" w:color="CCEEFF"/>
            </w:tcBorders>
            <w:shd w:val="clear" w:color="auto" w:fill="CCEEFF"/>
          </w:tcPr>
          <w:p>
            <w:pPr>
              <w:ind w:left="80"/>
              <w:spacing w:after="0" w:line="189" w:lineRule="exact"/>
              <w:rPr>
                <w:sz w:val="20"/>
                <w:szCs w:val="20"/>
                <w:color w:val="auto"/>
              </w:rPr>
            </w:pPr>
            <w:r>
              <w:rPr>
                <w:rFonts w:ascii="Times New Roman" w:cs="Times New Roman" w:eastAsia="Times New Roman" w:hAnsi="Times New Roman"/>
                <w:sz w:val="18"/>
                <w:szCs w:val="18"/>
                <w:color w:val="auto"/>
              </w:rPr>
              <w:t>23.1</w:t>
            </w:r>
          </w:p>
        </w:tc>
        <w:tc>
          <w:tcPr>
            <w:tcW w:w="640" w:type="dxa"/>
            <w:vAlign w:val="bottom"/>
            <w:tcBorders>
              <w:bottom w:val="single" w:sz="8" w:color="CCEEFF"/>
            </w:tcBorders>
            <w:shd w:val="clear" w:color="auto" w:fill="CCEEFF"/>
          </w:tcPr>
          <w:p>
            <w:pPr>
              <w:spacing w:after="0"/>
              <w:rPr>
                <w:sz w:val="18"/>
                <w:szCs w:val="18"/>
                <w:color w:val="auto"/>
              </w:rPr>
            </w:pPr>
          </w:p>
        </w:tc>
        <w:tc>
          <w:tcPr>
            <w:tcW w:w="2300" w:type="dxa"/>
            <w:vAlign w:val="bottom"/>
            <w:tcBorders>
              <w:bottom w:val="single" w:sz="8" w:color="0000FF"/>
            </w:tcBorders>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7"/>
              </w:rPr>
              <w:t>Consent of Ernst &amp; Young LLP.</w:t>
            </w:r>
          </w:p>
        </w:tc>
        <w:tc>
          <w:tcPr>
            <w:tcW w:w="6820" w:type="dxa"/>
            <w:vAlign w:val="bottom"/>
            <w:tcBorders>
              <w:bottom w:val="single" w:sz="8" w:color="CCEEFF"/>
              <w:right w:val="single" w:sz="8" w:color="CCEEFF"/>
            </w:tcBorders>
            <w:gridSpan w:val="18"/>
            <w:shd w:val="clear" w:color="auto" w:fill="CCEEFF"/>
          </w:tcPr>
          <w:p>
            <w:pPr>
              <w:spacing w:after="0"/>
              <w:rPr>
                <w:sz w:val="18"/>
                <w:szCs w:val="18"/>
                <w:color w:val="auto"/>
              </w:rPr>
            </w:pP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w:t>
            </w:r>
          </w:p>
        </w:tc>
        <w:tc>
          <w:tcPr>
            <w:tcW w:w="940" w:type="dxa"/>
            <w:vAlign w:val="bottom"/>
          </w:tcPr>
          <w:p>
            <w:pPr>
              <w:ind w:left="80"/>
              <w:spacing w:after="0" w:line="189" w:lineRule="exact"/>
              <w:rPr>
                <w:sz w:val="20"/>
                <w:szCs w:val="20"/>
                <w:color w:val="auto"/>
              </w:rPr>
            </w:pPr>
            <w:r>
              <w:rPr>
                <w:rFonts w:ascii="Times New Roman" w:cs="Times New Roman" w:eastAsia="Times New Roman" w:hAnsi="Times New Roman"/>
                <w:sz w:val="18"/>
                <w:szCs w:val="18"/>
                <w:color w:val="auto"/>
              </w:rPr>
              <w:t>31.1</w:t>
            </w:r>
          </w:p>
        </w:tc>
        <w:tc>
          <w:tcPr>
            <w:tcW w:w="640" w:type="dxa"/>
            <w:vAlign w:val="bottom"/>
          </w:tcPr>
          <w:p>
            <w:pPr>
              <w:spacing w:after="0"/>
              <w:rPr>
                <w:sz w:val="16"/>
                <w:szCs w:val="16"/>
                <w:color w:val="auto"/>
              </w:rPr>
            </w:pPr>
          </w:p>
        </w:tc>
        <w:tc>
          <w:tcPr>
            <w:tcW w:w="9120" w:type="dxa"/>
            <w:vAlign w:val="bottom"/>
            <w:gridSpan w:val="22"/>
          </w:tcPr>
          <w:p>
            <w:pPr>
              <w:spacing w:after="0" w:line="189" w:lineRule="exact"/>
              <w:rPr>
                <w:sz w:val="20"/>
                <w:szCs w:val="20"/>
                <w:color w:val="auto"/>
              </w:rPr>
            </w:pPr>
            <w:r>
              <w:rPr>
                <w:rFonts w:ascii="Times New Roman" w:cs="Times New Roman" w:eastAsia="Times New Roman" w:hAnsi="Times New Roman"/>
                <w:sz w:val="18"/>
                <w:szCs w:val="18"/>
                <w:color w:val="0000FF"/>
              </w:rPr>
              <w:t>Rule 13a-14(a)/15d-14(a) Certification of Principal Executive Officer.</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5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86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54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w:t>
            </w:r>
          </w:p>
        </w:tc>
        <w:tc>
          <w:tcPr>
            <w:tcW w:w="940" w:type="dxa"/>
            <w:vAlign w:val="bottom"/>
            <w:shd w:val="clear" w:color="auto" w:fill="CCEEFF"/>
          </w:tcPr>
          <w:p>
            <w:pPr>
              <w:ind w:left="80"/>
              <w:spacing w:after="0" w:line="189" w:lineRule="exact"/>
              <w:rPr>
                <w:sz w:val="20"/>
                <w:szCs w:val="20"/>
                <w:color w:val="auto"/>
              </w:rPr>
            </w:pPr>
            <w:r>
              <w:rPr>
                <w:rFonts w:ascii="Times New Roman" w:cs="Times New Roman" w:eastAsia="Times New Roman" w:hAnsi="Times New Roman"/>
                <w:sz w:val="18"/>
                <w:szCs w:val="18"/>
                <w:color w:val="auto"/>
              </w:rPr>
              <w:t>31.2</w:t>
            </w:r>
          </w:p>
        </w:tc>
        <w:tc>
          <w:tcPr>
            <w:tcW w:w="640" w:type="dxa"/>
            <w:vAlign w:val="bottom"/>
            <w:shd w:val="clear" w:color="auto" w:fill="CCEEFF"/>
          </w:tcPr>
          <w:p>
            <w:pPr>
              <w:spacing w:after="0"/>
              <w:rPr>
                <w:sz w:val="16"/>
                <w:szCs w:val="16"/>
                <w:color w:val="auto"/>
              </w:rPr>
            </w:pPr>
          </w:p>
        </w:tc>
        <w:tc>
          <w:tcPr>
            <w:tcW w:w="9120" w:type="dxa"/>
            <w:vAlign w:val="bottom"/>
            <w:tcBorders>
              <w:right w:val="single" w:sz="8" w:color="CCEEFF"/>
            </w:tcBorders>
            <w:gridSpan w:val="2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Rule 13a-14(a)/15d-14(a) Certification of Principal Financial Officer.</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86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5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w:t>
            </w:r>
          </w:p>
        </w:tc>
        <w:tc>
          <w:tcPr>
            <w:tcW w:w="940" w:type="dxa"/>
            <w:vAlign w:val="bottom"/>
          </w:tcPr>
          <w:p>
            <w:pPr>
              <w:ind w:left="80"/>
              <w:spacing w:after="0" w:line="189" w:lineRule="exact"/>
              <w:rPr>
                <w:sz w:val="20"/>
                <w:szCs w:val="20"/>
                <w:color w:val="auto"/>
              </w:rPr>
            </w:pPr>
            <w:r>
              <w:rPr>
                <w:rFonts w:ascii="Times New Roman" w:cs="Times New Roman" w:eastAsia="Times New Roman" w:hAnsi="Times New Roman"/>
                <w:sz w:val="18"/>
                <w:szCs w:val="18"/>
                <w:color w:val="auto"/>
              </w:rPr>
              <w:t>32.1</w:t>
            </w:r>
          </w:p>
        </w:tc>
        <w:tc>
          <w:tcPr>
            <w:tcW w:w="640" w:type="dxa"/>
            <w:vAlign w:val="bottom"/>
          </w:tcPr>
          <w:p>
            <w:pPr>
              <w:spacing w:after="0"/>
              <w:rPr>
                <w:sz w:val="16"/>
                <w:szCs w:val="16"/>
                <w:color w:val="auto"/>
              </w:rPr>
            </w:pPr>
          </w:p>
        </w:tc>
        <w:tc>
          <w:tcPr>
            <w:tcW w:w="9120" w:type="dxa"/>
            <w:vAlign w:val="bottom"/>
            <w:gridSpan w:val="22"/>
          </w:tcPr>
          <w:p>
            <w:pPr>
              <w:spacing w:after="0" w:line="189" w:lineRule="exact"/>
              <w:rPr>
                <w:sz w:val="20"/>
                <w:szCs w:val="20"/>
                <w:color w:val="auto"/>
              </w:rPr>
            </w:pPr>
            <w:r>
              <w:rPr>
                <w:rFonts w:ascii="Times New Roman" w:cs="Times New Roman" w:eastAsia="Times New Roman" w:hAnsi="Times New Roman"/>
                <w:sz w:val="18"/>
                <w:szCs w:val="18"/>
                <w:color w:val="0000FF"/>
              </w:rPr>
              <w:t>Certification by Chief Executive Officer pursuant to 18 U.S.C. Section 1350, as adopted pursuant to Section 906 of the</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560" w:type="dxa"/>
            <w:vAlign w:val="bottom"/>
            <w:tcBorders>
              <w:top w:val="single" w:sz="8" w:color="0000FF"/>
            </w:tcBorders>
            <w:gridSpan w:val="21"/>
          </w:tcPr>
          <w:p>
            <w:pPr>
              <w:spacing w:after="0" w:line="156" w:lineRule="exact"/>
              <w:rPr>
                <w:sz w:val="20"/>
                <w:szCs w:val="20"/>
                <w:color w:val="auto"/>
              </w:rPr>
            </w:pPr>
            <w:r>
              <w:rPr>
                <w:rFonts w:ascii="Times New Roman" w:cs="Times New Roman" w:eastAsia="Times New Roman" w:hAnsi="Times New Roman"/>
                <w:sz w:val="18"/>
                <w:szCs w:val="18"/>
                <w:color w:val="0000FF"/>
              </w:rPr>
              <w:t>Sarbanes-Oxley Act of 2002.</w:t>
            </w: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5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54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w:t>
            </w:r>
          </w:p>
        </w:tc>
        <w:tc>
          <w:tcPr>
            <w:tcW w:w="940" w:type="dxa"/>
            <w:vAlign w:val="bottom"/>
            <w:shd w:val="clear" w:color="auto" w:fill="CCEEFF"/>
          </w:tcPr>
          <w:p>
            <w:pPr>
              <w:ind w:left="80"/>
              <w:spacing w:after="0" w:line="189" w:lineRule="exact"/>
              <w:rPr>
                <w:sz w:val="20"/>
                <w:szCs w:val="20"/>
                <w:color w:val="auto"/>
              </w:rPr>
            </w:pPr>
            <w:r>
              <w:rPr>
                <w:rFonts w:ascii="Times New Roman" w:cs="Times New Roman" w:eastAsia="Times New Roman" w:hAnsi="Times New Roman"/>
                <w:sz w:val="18"/>
                <w:szCs w:val="18"/>
                <w:color w:val="auto"/>
              </w:rPr>
              <w:t>32.2</w:t>
            </w:r>
          </w:p>
        </w:tc>
        <w:tc>
          <w:tcPr>
            <w:tcW w:w="640" w:type="dxa"/>
            <w:vAlign w:val="bottom"/>
            <w:shd w:val="clear" w:color="auto" w:fill="CCEEFF"/>
          </w:tcPr>
          <w:p>
            <w:pPr>
              <w:spacing w:after="0"/>
              <w:rPr>
                <w:sz w:val="16"/>
                <w:szCs w:val="16"/>
                <w:color w:val="auto"/>
              </w:rPr>
            </w:pPr>
          </w:p>
        </w:tc>
        <w:tc>
          <w:tcPr>
            <w:tcW w:w="9120" w:type="dxa"/>
            <w:vAlign w:val="bottom"/>
            <w:tcBorders>
              <w:right w:val="single" w:sz="8" w:color="CCEEFF"/>
            </w:tcBorders>
            <w:gridSpan w:val="2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Certification by Chief Financial Officer pursuant to 18 U.S.C. Section 1350, as adopted pursuant to Section 906 of the</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40" w:type="dxa"/>
            <w:vAlign w:val="bottom"/>
            <w:tcBorders>
              <w:top w:val="single" w:sz="8" w:color="CCEEFF"/>
              <w:bottom w:val="single" w:sz="8" w:color="CCEEFF"/>
            </w:tcBorders>
            <w:shd w:val="clear" w:color="auto" w:fill="CCEEFF"/>
          </w:tcPr>
          <w:p>
            <w:pPr>
              <w:spacing w:after="0"/>
              <w:rPr>
                <w:sz w:val="16"/>
                <w:szCs w:val="16"/>
                <w:color w:val="auto"/>
              </w:rPr>
            </w:pPr>
          </w:p>
        </w:tc>
        <w:tc>
          <w:tcPr>
            <w:tcW w:w="940" w:type="dxa"/>
            <w:vAlign w:val="bottom"/>
            <w:tcBorders>
              <w:top w:val="single" w:sz="8" w:color="CCEEFF"/>
              <w:bottom w:val="single" w:sz="8" w:color="CCEEFF"/>
            </w:tcBorders>
            <w:shd w:val="clear" w:color="auto" w:fill="CCEEFF"/>
          </w:tcPr>
          <w:p>
            <w:pPr>
              <w:spacing w:after="0"/>
              <w:rPr>
                <w:sz w:val="16"/>
                <w:szCs w:val="16"/>
                <w:color w:val="auto"/>
              </w:rPr>
            </w:pPr>
          </w:p>
        </w:tc>
        <w:tc>
          <w:tcPr>
            <w:tcW w:w="640" w:type="dxa"/>
            <w:vAlign w:val="bottom"/>
            <w:tcBorders>
              <w:top w:val="single" w:sz="8" w:color="CCEEFF"/>
              <w:bottom w:val="single" w:sz="8" w:color="CCEEFF"/>
            </w:tcBorders>
            <w:shd w:val="clear" w:color="auto" w:fill="CCEEFF"/>
          </w:tcPr>
          <w:p>
            <w:pPr>
              <w:spacing w:after="0"/>
              <w:rPr>
                <w:sz w:val="16"/>
                <w:szCs w:val="16"/>
                <w:color w:val="auto"/>
              </w:rPr>
            </w:pPr>
          </w:p>
        </w:tc>
        <w:tc>
          <w:tcPr>
            <w:tcW w:w="2100" w:type="dxa"/>
            <w:vAlign w:val="bottom"/>
            <w:tcBorders>
              <w:top w:val="single" w:sz="8" w:color="0000FF"/>
              <w:bottom w:val="single" w:sz="8" w:color="0000FF"/>
            </w:tcBorders>
            <w:gridSpan w:val="3"/>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FF"/>
                <w:w w:val="99"/>
              </w:rPr>
              <w:t>Sarbanes-Oxley Act of 2002.</w:t>
            </w:r>
          </w:p>
        </w:tc>
        <w:tc>
          <w:tcPr>
            <w:tcW w:w="6420" w:type="dxa"/>
            <w:vAlign w:val="bottom"/>
            <w:tcBorders>
              <w:top w:val="single" w:sz="8" w:color="0000FF"/>
              <w:bottom w:val="single" w:sz="8" w:color="CCEEFF"/>
            </w:tcBorders>
            <w:gridSpan w:val="16"/>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580" w:type="dxa"/>
            <w:vAlign w:val="bottom"/>
            <w:tcBorders>
              <w:top w:val="single" w:sz="8" w:color="CCEEFF"/>
              <w:bottom w:val="single" w:sz="8" w:color="CCEEFF"/>
              <w:right w:val="single" w:sz="8" w:color="CCEEFF"/>
            </w:tcBorders>
            <w:gridSpan w:val="2"/>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40" w:type="dxa"/>
            <w:vAlign w:val="bottom"/>
          </w:tcPr>
          <w:p>
            <w:pPr>
              <w:ind w:left="80"/>
              <w:spacing w:after="0" w:line="189" w:lineRule="exact"/>
              <w:rPr>
                <w:sz w:val="20"/>
                <w:szCs w:val="20"/>
                <w:color w:val="auto"/>
              </w:rPr>
            </w:pPr>
            <w:r>
              <w:rPr>
                <w:rFonts w:ascii="Times New Roman" w:cs="Times New Roman" w:eastAsia="Times New Roman" w:hAnsi="Times New Roman"/>
                <w:sz w:val="18"/>
                <w:szCs w:val="18"/>
                <w:color w:val="auto"/>
              </w:rPr>
              <w:t>97.1</w:t>
            </w:r>
          </w:p>
        </w:tc>
        <w:tc>
          <w:tcPr>
            <w:tcW w:w="640" w:type="dxa"/>
            <w:vAlign w:val="bottom"/>
          </w:tcPr>
          <w:p>
            <w:pPr>
              <w:spacing w:after="0"/>
              <w:rPr>
                <w:sz w:val="16"/>
                <w:szCs w:val="16"/>
                <w:color w:val="auto"/>
              </w:rPr>
            </w:pPr>
          </w:p>
        </w:tc>
        <w:tc>
          <w:tcPr>
            <w:tcW w:w="9120" w:type="dxa"/>
            <w:vAlign w:val="bottom"/>
            <w:gridSpan w:val="22"/>
          </w:tcPr>
          <w:p>
            <w:pPr>
              <w:spacing w:after="0" w:line="189" w:lineRule="exact"/>
              <w:rPr>
                <w:rFonts w:ascii="Times New Roman" w:cs="Times New Roman" w:eastAsia="Times New Roman" w:hAnsi="Times New Roman"/>
                <w:sz w:val="18"/>
                <w:szCs w:val="18"/>
                <w:color w:val="0000FF"/>
              </w:rPr>
            </w:pPr>
            <w:hyperlink r:id="rId187">
              <w:r>
                <w:rPr>
                  <w:rFonts w:ascii="Times New Roman" w:cs="Times New Roman" w:eastAsia="Times New Roman" w:hAnsi="Times New Roman"/>
                  <w:sz w:val="18"/>
                  <w:szCs w:val="18"/>
                  <w:color w:val="0000FF"/>
                </w:rPr>
                <w:t>Lear Corporation Incentive Based Compensation Recoupment Policy (incorporated by reference to Exhibit 99.1 to the</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50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187">
              <w:r>
                <w:rPr>
                  <w:rFonts w:ascii="Times New Roman" w:cs="Times New Roman" w:eastAsia="Times New Roman" w:hAnsi="Times New Roman"/>
                  <w:sz w:val="18"/>
                  <w:szCs w:val="18"/>
                  <w:color w:val="0000FF"/>
                </w:rPr>
                <w:t>Company's Quarterly Report on Form 10-Q for the quarter ended September 30, 2023).</w:t>
              </w:r>
            </w:hyperlink>
          </w:p>
        </w:tc>
        <w:tc>
          <w:tcPr>
            <w:tcW w:w="40" w:type="dxa"/>
            <w:vAlign w:val="bottom"/>
            <w:gridSpan w:val="2"/>
          </w:tcPr>
          <w:p>
            <w:pPr>
              <w:spacing w:after="0"/>
              <w:rPr>
                <w:sz w:val="13"/>
                <w:szCs w:val="13"/>
                <w:color w:val="auto"/>
              </w:rPr>
            </w:pPr>
          </w:p>
        </w:tc>
        <w:tc>
          <w:tcPr>
            <w:tcW w:w="5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5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1860" w:type="dxa"/>
            <w:vAlign w:val="bottom"/>
            <w:tcBorders>
              <w:top w:val="single" w:sz="8" w:color="0000FF"/>
            </w:tcBorders>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86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940" w:type="dxa"/>
            <w:vAlign w:val="bottom"/>
            <w:shd w:val="clear" w:color="auto" w:fill="CCEEFF"/>
          </w:tcPr>
          <w:p>
            <w:pPr>
              <w:ind w:left="80"/>
              <w:spacing w:after="0" w:line="189" w:lineRule="exact"/>
              <w:rPr>
                <w:sz w:val="20"/>
                <w:szCs w:val="20"/>
                <w:color w:val="auto"/>
              </w:rPr>
            </w:pPr>
            <w:r>
              <w:rPr>
                <w:rFonts w:ascii="Times New Roman" w:cs="Times New Roman" w:eastAsia="Times New Roman" w:hAnsi="Times New Roman"/>
                <w:sz w:val="18"/>
                <w:szCs w:val="18"/>
                <w:color w:val="auto"/>
              </w:rPr>
              <w:t>99.1</w:t>
            </w:r>
          </w:p>
        </w:tc>
        <w:tc>
          <w:tcPr>
            <w:tcW w:w="640" w:type="dxa"/>
            <w:vAlign w:val="bottom"/>
            <w:shd w:val="clear" w:color="auto" w:fill="CCEEFF"/>
          </w:tcPr>
          <w:p>
            <w:pPr>
              <w:spacing w:after="0"/>
              <w:rPr>
                <w:sz w:val="16"/>
                <w:szCs w:val="16"/>
                <w:color w:val="auto"/>
              </w:rPr>
            </w:pPr>
          </w:p>
        </w:tc>
        <w:tc>
          <w:tcPr>
            <w:tcW w:w="9120" w:type="dxa"/>
            <w:vAlign w:val="bottom"/>
            <w:tcBorders>
              <w:right w:val="single" w:sz="8" w:color="CCEEFF"/>
            </w:tcBorders>
            <w:gridSpan w:val="22"/>
            <w:shd w:val="clear" w:color="auto" w:fill="CCEEFF"/>
          </w:tcPr>
          <w:p>
            <w:pPr>
              <w:spacing w:after="0" w:line="189" w:lineRule="exact"/>
              <w:rPr>
                <w:rFonts w:ascii="Times New Roman" w:cs="Times New Roman" w:eastAsia="Times New Roman" w:hAnsi="Times New Roman"/>
                <w:sz w:val="18"/>
                <w:szCs w:val="18"/>
                <w:color w:val="0000FF"/>
              </w:rPr>
            </w:pPr>
            <w:hyperlink r:id="rId188">
              <w:r>
                <w:rPr>
                  <w:rFonts w:ascii="Times New Roman" w:cs="Times New Roman" w:eastAsia="Times New Roman" w:hAnsi="Times New Roman"/>
                  <w:sz w:val="18"/>
                  <w:szCs w:val="18"/>
                  <w:color w:val="0000FF"/>
                </w:rPr>
                <w:t>Debtors' First Amended Joint Plan of Reorganization Under Chapter 11 of the Bankruptcy Code dated September 18, 2009</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40" w:type="dxa"/>
            <w:vAlign w:val="bottom"/>
            <w:tcBorders>
              <w:top w:val="single" w:sz="8" w:color="CCEEFF"/>
              <w:bottom w:val="single" w:sz="8" w:color="CCEEFF"/>
            </w:tcBorders>
            <w:shd w:val="clear" w:color="auto" w:fill="CCEEFF"/>
          </w:tcPr>
          <w:p>
            <w:pPr>
              <w:spacing w:after="0"/>
              <w:rPr>
                <w:sz w:val="16"/>
                <w:szCs w:val="16"/>
                <w:color w:val="auto"/>
              </w:rPr>
            </w:pPr>
          </w:p>
        </w:tc>
        <w:tc>
          <w:tcPr>
            <w:tcW w:w="940" w:type="dxa"/>
            <w:vAlign w:val="bottom"/>
            <w:tcBorders>
              <w:top w:val="single" w:sz="8" w:color="CCEEFF"/>
              <w:bottom w:val="single" w:sz="8" w:color="CCEEFF"/>
            </w:tcBorders>
            <w:shd w:val="clear" w:color="auto" w:fill="CCEEFF"/>
          </w:tcPr>
          <w:p>
            <w:pPr>
              <w:spacing w:after="0"/>
              <w:rPr>
                <w:sz w:val="16"/>
                <w:szCs w:val="16"/>
                <w:color w:val="auto"/>
              </w:rPr>
            </w:pPr>
          </w:p>
        </w:tc>
        <w:tc>
          <w:tcPr>
            <w:tcW w:w="640" w:type="dxa"/>
            <w:vAlign w:val="bottom"/>
            <w:tcBorders>
              <w:top w:val="single" w:sz="8" w:color="CCEEFF"/>
              <w:bottom w:val="single" w:sz="8" w:color="CCEEFF"/>
            </w:tcBorders>
            <w:shd w:val="clear" w:color="auto" w:fill="CCEEFF"/>
          </w:tcPr>
          <w:p>
            <w:pPr>
              <w:spacing w:after="0"/>
              <w:rPr>
                <w:sz w:val="16"/>
                <w:szCs w:val="16"/>
                <w:color w:val="auto"/>
              </w:rPr>
            </w:pPr>
          </w:p>
        </w:tc>
        <w:tc>
          <w:tcPr>
            <w:tcW w:w="8540" w:type="dxa"/>
            <w:vAlign w:val="bottom"/>
            <w:tcBorders>
              <w:top w:val="single" w:sz="8" w:color="0000FF"/>
              <w:bottom w:val="single" w:sz="8" w:color="0000FF"/>
            </w:tcBorders>
            <w:gridSpan w:val="20"/>
            <w:shd w:val="clear" w:color="auto" w:fill="CCEEFF"/>
          </w:tcPr>
          <w:p>
            <w:pPr>
              <w:spacing w:after="0" w:line="156" w:lineRule="exact"/>
              <w:rPr>
                <w:rFonts w:ascii="Times New Roman" w:cs="Times New Roman" w:eastAsia="Times New Roman" w:hAnsi="Times New Roman"/>
                <w:sz w:val="18"/>
                <w:szCs w:val="18"/>
                <w:color w:val="0000FF"/>
                <w:w w:val="99"/>
              </w:rPr>
            </w:pPr>
            <w:hyperlink r:id="rId188">
              <w:r>
                <w:rPr>
                  <w:rFonts w:ascii="Times New Roman" w:cs="Times New Roman" w:eastAsia="Times New Roman" w:hAnsi="Times New Roman"/>
                  <w:sz w:val="18"/>
                  <w:szCs w:val="18"/>
                  <w:color w:val="0000FF"/>
                  <w:w w:val="99"/>
                </w:rPr>
                <w:t>(incorporated by reference to Exhibit 99.1 to the Company's Current Report on Form 8-K filed on November 5, 2009).</w:t>
              </w:r>
            </w:hyperlink>
          </w:p>
        </w:tc>
        <w:tc>
          <w:tcPr>
            <w:tcW w:w="580" w:type="dxa"/>
            <w:vAlign w:val="bottom"/>
            <w:tcBorders>
              <w:top w:val="single" w:sz="8" w:color="0000FF"/>
              <w:bottom w:val="single" w:sz="8" w:color="CCEEFF"/>
              <w:right w:val="single" w:sz="8" w:color="CCEEFF"/>
            </w:tcBorders>
            <w:gridSpan w:val="2"/>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101.INS</w:t>
            </w:r>
          </w:p>
        </w:tc>
        <w:tc>
          <w:tcPr>
            <w:tcW w:w="640" w:type="dxa"/>
            <w:vAlign w:val="bottom"/>
          </w:tcPr>
          <w:p>
            <w:pPr>
              <w:spacing w:after="0"/>
              <w:rPr>
                <w:sz w:val="19"/>
                <w:szCs w:val="19"/>
                <w:color w:val="auto"/>
              </w:rPr>
            </w:pPr>
          </w:p>
        </w:tc>
        <w:tc>
          <w:tcPr>
            <w:tcW w:w="912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101.SCH</w:t>
            </w:r>
          </w:p>
        </w:tc>
        <w:tc>
          <w:tcPr>
            <w:tcW w:w="640" w:type="dxa"/>
            <w:vAlign w:val="bottom"/>
            <w:shd w:val="clear" w:color="auto" w:fill="CCEEFF"/>
          </w:tcPr>
          <w:p>
            <w:pPr>
              <w:spacing w:after="0"/>
              <w:rPr>
                <w:sz w:val="19"/>
                <w:szCs w:val="19"/>
                <w:color w:val="auto"/>
              </w:rPr>
            </w:pPr>
          </w:p>
        </w:tc>
        <w:tc>
          <w:tcPr>
            <w:tcW w:w="9120" w:type="dxa"/>
            <w:vAlign w:val="bottom"/>
            <w:tcBorders>
              <w:right w:val="single" w:sz="8" w:color="CCEEFF"/>
            </w:tcBorders>
            <w:gridSpan w:val="22"/>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64"/>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60" w:type="dxa"/>
            <w:vAlign w:val="bottom"/>
            <w:gridSpan w:val="6"/>
          </w:tcPr>
          <w:p>
            <w:pPr>
              <w:ind w:left="3360"/>
              <w:spacing w:after="0"/>
              <w:rPr>
                <w:sz w:val="20"/>
                <w:szCs w:val="20"/>
                <w:color w:val="auto"/>
              </w:rPr>
            </w:pPr>
            <w:r>
              <w:rPr>
                <w:rFonts w:ascii="Times New Roman" w:cs="Times New Roman" w:eastAsia="Times New Roman" w:hAnsi="Times New Roman"/>
                <w:sz w:val="18"/>
                <w:szCs w:val="18"/>
                <w:color w:val="auto"/>
              </w:rPr>
              <w:t>115</w:t>
            </w: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86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9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40" w:type="dxa"/>
            <w:vAlign w:val="bottom"/>
          </w:tcPr>
          <w:p>
            <w:pPr>
              <w:spacing w:after="0"/>
              <w:rPr>
                <w:sz w:val="20"/>
                <w:szCs w:val="20"/>
                <w:color w:val="auto"/>
              </w:rPr>
            </w:pPr>
          </w:p>
        </w:tc>
        <w:tc>
          <w:tcPr>
            <w:tcW w:w="116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9500" w:type="dxa"/>
            <w:vAlign w:val="bottom"/>
          </w:tcPr>
          <w:p>
            <w:pPr>
              <w:ind w:left="3000"/>
              <w:spacing w:after="0"/>
              <w:rPr>
                <w:sz w:val="20"/>
                <w:szCs w:val="20"/>
                <w:color w:val="auto"/>
              </w:rPr>
            </w:pPr>
            <w:r>
              <w:rPr>
                <w:rFonts w:ascii="Times New Roman" w:cs="Times New Roman" w:eastAsia="Times New Roman" w:hAnsi="Times New Roman"/>
                <w:sz w:val="18"/>
                <w:szCs w:val="18"/>
                <w:b w:val="1"/>
                <w:bCs w:val="1"/>
                <w:color w:val="auto"/>
              </w:rPr>
              <w:t>INDEX TO EXHIBITS</w:t>
            </w:r>
          </w:p>
        </w:tc>
        <w:tc>
          <w:tcPr>
            <w:tcW w:w="0" w:type="dxa"/>
            <w:vAlign w:val="bottom"/>
          </w:tcPr>
          <w:p>
            <w:pPr>
              <w:spacing w:after="0"/>
              <w:rPr>
                <w:sz w:val="1"/>
                <w:szCs w:val="1"/>
                <w:color w:val="auto"/>
              </w:rPr>
            </w:pPr>
          </w:p>
        </w:tc>
      </w:tr>
      <w:tr>
        <w:trPr>
          <w:trHeight w:val="137"/>
        </w:trPr>
        <w:tc>
          <w:tcPr>
            <w:tcW w:w="54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9500" w:type="dxa"/>
            <w:vAlign w:val="bottom"/>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Exhibit Name</w:t>
            </w:r>
          </w:p>
        </w:tc>
        <w:tc>
          <w:tcPr>
            <w:tcW w:w="0" w:type="dxa"/>
            <w:vAlign w:val="bottom"/>
          </w:tcPr>
          <w:p>
            <w:pPr>
              <w:spacing w:after="0"/>
              <w:rPr>
                <w:sz w:val="1"/>
                <w:szCs w:val="1"/>
                <w:color w:val="auto"/>
              </w:rPr>
            </w:pPr>
          </w:p>
        </w:tc>
      </w:tr>
      <w:tr>
        <w:trPr>
          <w:trHeight w:val="195"/>
        </w:trPr>
        <w:tc>
          <w:tcPr>
            <w:tcW w:w="5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95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101.CAL</w:t>
            </w:r>
          </w:p>
        </w:tc>
        <w:tc>
          <w:tcPr>
            <w:tcW w:w="95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29"/>
        </w:trPr>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101.LAB</w:t>
            </w:r>
          </w:p>
        </w:tc>
        <w:tc>
          <w:tcPr>
            <w:tcW w:w="95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0" w:type="dxa"/>
            <w:vAlign w:val="bottom"/>
          </w:tcPr>
          <w:p>
            <w:pPr>
              <w:spacing w:after="0"/>
              <w:rPr>
                <w:sz w:val="1"/>
                <w:szCs w:val="1"/>
                <w:color w:val="auto"/>
              </w:rPr>
            </w:pPr>
          </w:p>
        </w:tc>
      </w:tr>
      <w:tr>
        <w:trPr>
          <w:trHeight w:val="230"/>
        </w:trPr>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101.PRE</w:t>
            </w:r>
          </w:p>
        </w:tc>
        <w:tc>
          <w:tcPr>
            <w:tcW w:w="95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0" w:type="dxa"/>
            <w:vAlign w:val="bottom"/>
          </w:tcPr>
          <w:p>
            <w:pPr>
              <w:spacing w:after="0"/>
              <w:rPr>
                <w:sz w:val="1"/>
                <w:szCs w:val="1"/>
                <w:color w:val="auto"/>
              </w:rPr>
            </w:pPr>
          </w:p>
        </w:tc>
      </w:tr>
      <w:tr>
        <w:trPr>
          <w:trHeight w:val="229"/>
        </w:trPr>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101.DEF</w:t>
            </w:r>
          </w:p>
        </w:tc>
        <w:tc>
          <w:tcPr>
            <w:tcW w:w="95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34"/>
        </w:trPr>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104</w:t>
            </w:r>
          </w:p>
        </w:tc>
        <w:tc>
          <w:tcPr>
            <w:tcW w:w="95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Cover Page Interactive Data File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65405</wp:posOffset>
            </wp:positionV>
            <wp:extent cx="711517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9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86" w:lineRule="exact"/>
        <w:rPr>
          <w:sz w:val="20"/>
          <w:szCs w:val="20"/>
          <w:color w:val="auto"/>
        </w:rPr>
      </w:pPr>
    </w:p>
    <w:p>
      <w:pPr>
        <w:ind w:left="220" w:right="7900" w:firstLine="54"/>
        <w:spacing w:after="0" w:line="268" w:lineRule="auto"/>
        <w:tabs>
          <w:tab w:leader="none" w:pos="733"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Compensatory plan or arrangement. ** Filed herewith.</w:t>
      </w:r>
    </w:p>
    <w:p>
      <w:pPr>
        <w:spacing w:after="0" w:line="2" w:lineRule="exact"/>
        <w:rPr>
          <w:sz w:val="20"/>
          <w:szCs w:val="20"/>
          <w:color w:val="auto"/>
        </w:rPr>
      </w:pPr>
    </w:p>
    <w:p>
      <w:pPr>
        <w:ind w:left="740" w:right="420" w:hanging="557"/>
        <w:spacing w:after="0" w:line="234" w:lineRule="auto"/>
        <w:tabs>
          <w:tab w:leader="none" w:pos="7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XBRL Instance Document and Cover Page Interactive Data File do not appear in the Interactive Data File because their XBRL tags are embedded within the Inline XBRL document.</w:t>
      </w:r>
    </w:p>
    <w:p>
      <w:pPr>
        <w:spacing w:after="0" w:line="10" w:lineRule="exact"/>
        <w:rPr>
          <w:sz w:val="20"/>
          <w:szCs w:val="20"/>
          <w:color w:val="auto"/>
        </w:rPr>
      </w:pPr>
    </w:p>
    <w:p>
      <w:pPr>
        <w:ind w:left="740" w:hanging="601"/>
        <w:spacing w:after="0"/>
        <w:tabs>
          <w:tab w:leader="none" w:pos="7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Submitted electronically with the Report.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 on February 13, 2026.</w:t>
      </w:r>
    </w:p>
    <w:p>
      <w:pPr>
        <w:spacing w:after="0" w:line="297"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Lear Corporation</w:t>
      </w:r>
    </w:p>
    <w:p>
      <w:pPr>
        <w:spacing w:after="0" w:line="320" w:lineRule="exact"/>
        <w:rPr>
          <w:sz w:val="20"/>
          <w:szCs w:val="20"/>
          <w:color w:val="auto"/>
        </w:rPr>
      </w:pPr>
    </w:p>
    <w:tbl>
      <w:tblPr>
        <w:tblLayout w:type="fixed"/>
        <w:tblInd w:w="4140" w:type="dxa"/>
        <w:tblCellMar>
          <w:top w:w="0" w:type="dxa"/>
          <w:left w:w="0" w:type="dxa"/>
          <w:bottom w:w="0" w:type="dxa"/>
          <w:right w:w="0" w:type="dxa"/>
        </w:tblCellMar>
      </w:tblPr>
      <w:tr>
        <w:trPr>
          <w:trHeight w:val="261"/>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Raymond E. Scott</w:t>
            </w:r>
          </w:p>
        </w:tc>
      </w:tr>
      <w:tr>
        <w:trPr>
          <w:trHeight w:val="232"/>
        </w:trPr>
        <w:tc>
          <w:tcPr>
            <w:tcW w:w="1120" w:type="dxa"/>
            <w:vAlign w:val="bottom"/>
          </w:tcPr>
          <w:p>
            <w:pPr>
              <w:spacing w:after="0"/>
              <w:rPr>
                <w:sz w:val="20"/>
                <w:szCs w:val="20"/>
                <w:color w:val="auto"/>
              </w:rPr>
            </w:pPr>
          </w:p>
        </w:tc>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Raymond E. Scott</w:t>
            </w:r>
          </w:p>
        </w:tc>
      </w:tr>
      <w:tr>
        <w:trPr>
          <w:trHeight w:val="180"/>
        </w:trPr>
        <w:tc>
          <w:tcPr>
            <w:tcW w:w="1120" w:type="dxa"/>
            <w:vAlign w:val="bottom"/>
          </w:tcPr>
          <w:p>
            <w:pPr>
              <w:spacing w:after="0"/>
              <w:rPr>
                <w:sz w:val="15"/>
                <w:szCs w:val="15"/>
                <w:color w:val="auto"/>
              </w:rPr>
            </w:pPr>
          </w:p>
        </w:tc>
        <w:tc>
          <w:tcPr>
            <w:tcW w:w="598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President and Chief Executive Officer and a Director (Principal Executive</w:t>
            </w:r>
          </w:p>
        </w:tc>
      </w:tr>
      <w:tr>
        <w:trPr>
          <w:trHeight w:val="234"/>
        </w:trPr>
        <w:tc>
          <w:tcPr>
            <w:tcW w:w="1120" w:type="dxa"/>
            <w:vAlign w:val="bottom"/>
          </w:tcPr>
          <w:p>
            <w:pPr>
              <w:spacing w:after="0"/>
              <w:rPr>
                <w:sz w:val="20"/>
                <w:szCs w:val="20"/>
                <w:color w:val="auto"/>
              </w:rPr>
            </w:pPr>
          </w:p>
        </w:tc>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Officer)</w:t>
            </w:r>
          </w:p>
        </w:tc>
      </w:tr>
    </w:tbl>
    <w:p>
      <w:pPr>
        <w:spacing w:after="0" w:line="28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Report has been signed below by the following persons on behalf of Lear Corporation and in the capacities indicated on February 13, 2026.</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Raymond E. Scott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16293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93">
                      <a:extLst>
                        <a:ext uri="{28A0092B-C50C-407E-A947-70E740481C1C}"/>
                      </a:extLst>
                    </a:blip>
                    <a:srcRect/>
                    <a:stretch>
                      <a:fillRect/>
                    </a:stretch>
                  </pic:blipFill>
                  <pic:spPr bwMode="auto">
                    <a:xfrm>
                      <a:off x="0" y="0"/>
                      <a:ext cx="316293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Raymond E. Scott</w:t>
      </w:r>
    </w:p>
    <w:p>
      <w:pPr>
        <w:spacing w:after="0" w:line="27" w:lineRule="exact"/>
        <w:rPr>
          <w:sz w:val="20"/>
          <w:szCs w:val="20"/>
          <w:color w:val="auto"/>
        </w:rPr>
      </w:pPr>
    </w:p>
    <w:p>
      <w:pPr>
        <w:ind w:left="20" w:right="1640"/>
        <w:spacing w:after="0" w:line="292" w:lineRule="auto"/>
        <w:rPr>
          <w:sz w:val="20"/>
          <w:szCs w:val="20"/>
          <w:color w:val="auto"/>
        </w:rPr>
      </w:pPr>
      <w:r>
        <w:rPr>
          <w:rFonts w:ascii="Times New Roman" w:cs="Times New Roman" w:eastAsia="Times New Roman" w:hAnsi="Times New Roman"/>
          <w:sz w:val="18"/>
          <w:szCs w:val="18"/>
          <w:color w:val="auto"/>
        </w:rPr>
        <w:t>President and Chief Executive Officer and a Director (Principal Executive Officer)</w:t>
      </w:r>
    </w:p>
    <w:p>
      <w:pPr>
        <w:spacing w:after="0" w:line="2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Jason M. Cardew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16293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94">
                      <a:extLst>
                        <a:ext uri="{28A0092B-C50C-407E-A947-70E740481C1C}"/>
                      </a:extLst>
                    </a:blip>
                    <a:srcRect/>
                    <a:stretch>
                      <a:fillRect/>
                    </a:stretch>
                  </pic:blipFill>
                  <pic:spPr bwMode="auto">
                    <a:xfrm>
                      <a:off x="0" y="0"/>
                      <a:ext cx="316293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Jason M. Cardew</w:t>
      </w:r>
    </w:p>
    <w:p>
      <w:pPr>
        <w:spacing w:after="0" w:line="27" w:lineRule="exact"/>
        <w:rPr>
          <w:sz w:val="20"/>
          <w:szCs w:val="20"/>
          <w:color w:val="auto"/>
        </w:rPr>
      </w:pPr>
    </w:p>
    <w:p>
      <w:pPr>
        <w:ind w:left="20" w:right="1880"/>
        <w:spacing w:after="0" w:line="292" w:lineRule="auto"/>
        <w:rPr>
          <w:sz w:val="20"/>
          <w:szCs w:val="20"/>
          <w:color w:val="auto"/>
        </w:rPr>
      </w:pPr>
      <w:r>
        <w:rPr>
          <w:rFonts w:ascii="Times New Roman" w:cs="Times New Roman" w:eastAsia="Times New Roman" w:hAnsi="Times New Roman"/>
          <w:sz w:val="18"/>
          <w:szCs w:val="18"/>
          <w:color w:val="auto"/>
        </w:rPr>
        <w:t>Senior Vice President and Chief Financial Officer (Principal Financial Officer)</w:t>
      </w:r>
    </w:p>
    <w:p>
      <w:pPr>
        <w:spacing w:after="0" w:line="2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Amy A. Doyle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16293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95">
                      <a:extLst>
                        <a:ext uri="{28A0092B-C50C-407E-A947-70E740481C1C}"/>
                      </a:extLst>
                    </a:blip>
                    <a:srcRect/>
                    <a:stretch>
                      <a:fillRect/>
                    </a:stretch>
                  </pic:blipFill>
                  <pic:spPr bwMode="auto">
                    <a:xfrm>
                      <a:off x="0" y="0"/>
                      <a:ext cx="3162935"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Amy A. Doyle</w:t>
      </w:r>
    </w:p>
    <w:p>
      <w:pPr>
        <w:spacing w:after="0" w:line="27" w:lineRule="exact"/>
        <w:rPr>
          <w:sz w:val="20"/>
          <w:szCs w:val="20"/>
          <w:color w:val="auto"/>
        </w:rPr>
      </w:pPr>
    </w:p>
    <w:p>
      <w:pPr>
        <w:ind w:left="20" w:right="2220"/>
        <w:spacing w:after="0" w:line="292" w:lineRule="auto"/>
        <w:rPr>
          <w:sz w:val="20"/>
          <w:szCs w:val="20"/>
          <w:color w:val="auto"/>
        </w:rPr>
      </w:pPr>
      <w:r>
        <w:rPr>
          <w:rFonts w:ascii="Times New Roman" w:cs="Times New Roman" w:eastAsia="Times New Roman" w:hAnsi="Times New Roman"/>
          <w:sz w:val="18"/>
          <w:szCs w:val="18"/>
          <w:color w:val="auto"/>
        </w:rPr>
        <w:t>Vice President and Chief Accounting Officer (Principal Accounting Officer)</w:t>
      </w:r>
    </w:p>
    <w:p>
      <w:pPr>
        <w:spacing w:after="0" w:line="2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Julian G. Blissett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16293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96">
                      <a:extLst>
                        <a:ext uri="{28A0092B-C50C-407E-A947-70E740481C1C}"/>
                      </a:extLst>
                    </a:blip>
                    <a:srcRect/>
                    <a:stretch>
                      <a:fillRect/>
                    </a:stretch>
                  </pic:blipFill>
                  <pic:spPr bwMode="auto">
                    <a:xfrm>
                      <a:off x="0" y="0"/>
                      <a:ext cx="316293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Julian G. Blissett</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 Director</w:t>
      </w:r>
    </w:p>
    <w:p>
      <w:pPr>
        <w:spacing w:after="0" w:line="2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Jonathan F. Foster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16293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97">
                      <a:extLst>
                        <a:ext uri="{28A0092B-C50C-407E-A947-70E740481C1C}"/>
                      </a:extLst>
                    </a:blip>
                    <a:srcRect/>
                    <a:stretch>
                      <a:fillRect/>
                    </a:stretch>
                  </pic:blipFill>
                  <pic:spPr bwMode="auto">
                    <a:xfrm>
                      <a:off x="0" y="0"/>
                      <a:ext cx="3162935"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Jonathan F. Foster</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 Director</w:t>
      </w:r>
    </w:p>
    <w:p>
      <w:pPr>
        <w:spacing w:after="0" w:line="2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Bradley M. Halverson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16293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8">
                      <a:extLst>
                        <a:ext uri="{28A0092B-C50C-407E-A947-70E740481C1C}"/>
                      </a:extLst>
                    </a:blip>
                    <a:srcRect/>
                    <a:stretch>
                      <a:fillRect/>
                    </a:stretch>
                  </pic:blipFill>
                  <pic:spPr bwMode="auto">
                    <a:xfrm>
                      <a:off x="0" y="0"/>
                      <a:ext cx="316293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Bradley M. Halverson</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 Director</w:t>
      </w:r>
    </w:p>
    <w:p>
      <w:pPr>
        <w:spacing w:after="0" w:line="2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Mary Lou Jepsen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16293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99">
                      <a:extLst>
                        <a:ext uri="{28A0092B-C50C-407E-A947-70E740481C1C}"/>
                      </a:extLst>
                    </a:blip>
                    <a:srcRect/>
                    <a:stretch>
                      <a:fillRect/>
                    </a:stretch>
                  </pic:blipFill>
                  <pic:spPr bwMode="auto">
                    <a:xfrm>
                      <a:off x="0" y="0"/>
                      <a:ext cx="3162935"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Mary Lou Jepsen</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 Director</w:t>
      </w:r>
    </w:p>
    <w:p>
      <w:pPr>
        <w:spacing w:after="0" w:line="20" w:lineRule="exact"/>
        <w:rPr>
          <w:sz w:val="20"/>
          <w:szCs w:val="20"/>
          <w:color w:val="auto"/>
        </w:rPr>
      </w:pPr>
      <w:r>
        <w:rPr>
          <w:sz w:val="20"/>
          <w:szCs w:val="20"/>
          <w:color w:val="auto"/>
        </w:rPr>
        <w:br w:type="column"/>
      </w: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Roger A. Krone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1800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00">
                      <a:extLst>
                        <a:ext uri="{28A0092B-C50C-407E-A947-70E740481C1C}"/>
                      </a:extLst>
                    </a:blip>
                    <a:srcRect/>
                    <a:stretch>
                      <a:fillRect/>
                    </a:stretch>
                  </pic:blipFill>
                  <pic:spPr bwMode="auto">
                    <a:xfrm>
                      <a:off x="0" y="0"/>
                      <a:ext cx="318008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Roger A. Krone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Director</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Rod A. Lache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1800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01">
                      <a:extLst>
                        <a:ext uri="{28A0092B-C50C-407E-A947-70E740481C1C}"/>
                      </a:extLst>
                    </a:blip>
                    <a:srcRect/>
                    <a:stretch>
                      <a:fillRect/>
                    </a:stretch>
                  </pic:blipFill>
                  <pic:spPr bwMode="auto">
                    <a:xfrm>
                      <a:off x="0" y="0"/>
                      <a:ext cx="318008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Rod A. Lache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Director</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Patricia L. Lewis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18008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02">
                      <a:extLst>
                        <a:ext uri="{28A0092B-C50C-407E-A947-70E740481C1C}"/>
                      </a:extLst>
                    </a:blip>
                    <a:srcRect/>
                    <a:stretch>
                      <a:fillRect/>
                    </a:stretch>
                  </pic:blipFill>
                  <pic:spPr bwMode="auto">
                    <a:xfrm>
                      <a:off x="0" y="0"/>
                      <a:ext cx="318008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Patricia L. Lewis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Director</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Kathleen A. Ligocki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1800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03">
                      <a:extLst>
                        <a:ext uri="{28A0092B-C50C-407E-A947-70E740481C1C}"/>
                      </a:extLst>
                    </a:blip>
                    <a:srcRect/>
                    <a:stretch>
                      <a:fillRect/>
                    </a:stretch>
                  </pic:blipFill>
                  <pic:spPr bwMode="auto">
                    <a:xfrm>
                      <a:off x="0" y="0"/>
                      <a:ext cx="318008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Kathleen A. Ligocki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Director</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Conrad L. Mallett,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18008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04">
                      <a:extLst>
                        <a:ext uri="{28A0092B-C50C-407E-A947-70E740481C1C}"/>
                      </a:extLst>
                    </a:blip>
                    <a:srcRect/>
                    <a:stretch>
                      <a:fillRect/>
                    </a:stretch>
                  </pic:blipFill>
                  <pic:spPr bwMode="auto">
                    <a:xfrm>
                      <a:off x="0" y="0"/>
                      <a:ext cx="318008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Conrad L. Mallett, Jr.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Director</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Gregory C.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1800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05">
                      <a:extLst>
                        <a:ext uri="{28A0092B-C50C-407E-A947-70E740481C1C}"/>
                      </a:extLst>
                    </a:blip>
                    <a:srcRect/>
                    <a:stretch>
                      <a:fillRect/>
                    </a:stretch>
                  </pic:blipFill>
                  <pic:spPr bwMode="auto">
                    <a:xfrm>
                      <a:off x="0" y="0"/>
                      <a:ext cx="318008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Gregory C. Smith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Non-Executive Chairman of the Board of Directors and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Director</w:t>
      </w:r>
    </w:p>
    <w:p>
      <w:pPr>
        <w:spacing w:after="0" w:line="901" w:lineRule="exact"/>
        <w:rPr>
          <w:sz w:val="20"/>
          <w:szCs w:val="20"/>
          <w:color w:val="auto"/>
        </w:rPr>
      </w:pPr>
    </w:p>
    <w:p>
      <w:pPr>
        <w:sectPr>
          <w:pgSz w:w="11900" w:h="16838" w:orient="portrait"/>
          <w:cols w:equalWidth="0" w:num="2">
            <w:col w:w="5480" w:space="720"/>
            <w:col w:w="5040"/>
          </w:cols>
          <w:pgMar w:left="320" w:top="11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117</w:t>
      </w:r>
    </w:p>
    <w:p>
      <w:pPr>
        <w:sectPr>
          <w:pgSz w:w="11900" w:h="16838" w:orient="portrait"/>
          <w:cols w:equalWidth="0" w:num="1">
            <w:col w:w="11240"/>
          </w:cols>
          <w:pgMar w:left="320" w:top="117" w:right="339" w:bottom="1440" w:gutter="0" w:footer="0" w:header="0"/>
          <w:type w:val="continuous"/>
        </w:sectPr>
      </w:pPr>
    </w:p>
    <w:bookmarkStart w:id="117" w:name="page118"/>
    <w:bookmarkEnd w:id="117"/>
    <w:p>
      <w:pPr>
        <w:jc w:val="right"/>
        <w:spacing w:after="0"/>
        <w:rPr>
          <w:sz w:val="20"/>
          <w:szCs w:val="20"/>
          <w:color w:val="auto"/>
        </w:rPr>
      </w:pPr>
      <w:r>
        <w:rPr>
          <w:rFonts w:ascii="Times New Roman" w:cs="Times New Roman" w:eastAsia="Times New Roman" w:hAnsi="Times New Roman"/>
          <w:sz w:val="18"/>
          <w:szCs w:val="18"/>
          <w:b w:val="1"/>
          <w:bCs w:val="1"/>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LEAR CORPORATION</w:t>
      </w:r>
    </w:p>
    <w:p>
      <w:pPr>
        <w:spacing w:after="0" w:line="18"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1"/>
          <w:szCs w:val="21"/>
          <w:b w:val="1"/>
          <w:bCs w:val="1"/>
          <w:color w:val="auto"/>
        </w:rPr>
        <w:t>OUTSIDE DIRECTORS COMPENSATION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As Amended and Restated Effective May 14, 2026</w:t>
      </w:r>
    </w:p>
    <w:p>
      <w:pPr>
        <w:sectPr>
          <w:pgSz w:w="11900" w:h="16838" w:orient="portrait"/>
          <w:cols w:equalWidth="0" w:num="1">
            <w:col w:w="10120"/>
          </w:cols>
          <w:pgMar w:left="1440" w:top="1413" w:right="339" w:bottom="1440" w:gutter="0" w:footer="0" w:header="0"/>
        </w:sectPr>
      </w:pPr>
    </w:p>
    <w:bookmarkStart w:id="118" w:name="page119"/>
    <w:bookmarkEnd w:id="118"/>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LEAR CORPORATION</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OUTSIDE DIRECTORS COMPENSATION PLAN</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Article 1. Establishment, Objectives and Duration</w:t>
      </w:r>
    </w:p>
    <w:p>
      <w:pPr>
        <w:spacing w:after="0" w:line="220"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b w:val="1"/>
          <w:bCs w:val="1"/>
          <w:color w:val="auto"/>
        </w:rPr>
        <w:t xml:space="preserve">1.1 Amendment and Restatement of Plan. </w:t>
      </w:r>
      <w:r>
        <w:rPr>
          <w:rFonts w:ascii="Times New Roman" w:cs="Times New Roman" w:eastAsia="Times New Roman" w:hAnsi="Times New Roman"/>
          <w:sz w:val="22"/>
          <w:szCs w:val="22"/>
          <w:color w:val="auto"/>
        </w:rPr>
        <w:t>Lear Corporation, a Delaware corporation, hereby amends and restates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compensation plan for non-employee directors known as the “Lear Corporation Outside Directors Compensation Plan” (hereinafter referred to as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as set forth in this document.</w:t>
      </w:r>
    </w:p>
    <w:p>
      <w:pPr>
        <w:spacing w:after="0" w:line="161"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1.2 Plan Objectives. </w:t>
      </w:r>
      <w:r>
        <w:rPr>
          <w:rFonts w:ascii="Times New Roman" w:cs="Times New Roman" w:eastAsia="Times New Roman" w:hAnsi="Times New Roman"/>
          <w:sz w:val="22"/>
          <w:szCs w:val="22"/>
          <w:color w:val="auto"/>
        </w:rPr>
        <w:t>The objectives of the Plan are to give the Company an advantage in attracting and retaining Outside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Directors and to link the interests of Outside Directors to those of the Company’s stockholders.</w:t>
      </w:r>
    </w:p>
    <w:p>
      <w:pPr>
        <w:spacing w:after="0" w:line="149" w:lineRule="exact"/>
        <w:rPr>
          <w:sz w:val="20"/>
          <w:szCs w:val="20"/>
          <w:color w:val="auto"/>
        </w:rPr>
      </w:pPr>
    </w:p>
    <w:p>
      <w:pPr>
        <w:jc w:val="both"/>
        <w:ind w:right="20" w:firstLine="648"/>
        <w:spacing w:after="0" w:line="287" w:lineRule="auto"/>
        <w:rPr>
          <w:sz w:val="20"/>
          <w:szCs w:val="20"/>
          <w:color w:val="auto"/>
        </w:rPr>
      </w:pPr>
      <w:r>
        <w:rPr>
          <w:rFonts w:ascii="Times New Roman" w:cs="Times New Roman" w:eastAsia="Times New Roman" w:hAnsi="Times New Roman"/>
          <w:sz w:val="22"/>
          <w:szCs w:val="22"/>
          <w:b w:val="1"/>
          <w:bCs w:val="1"/>
          <w:color w:val="auto"/>
        </w:rPr>
        <w:t xml:space="preserve">1.3 Duration of the Plan. </w:t>
      </w:r>
      <w:r>
        <w:rPr>
          <w:rFonts w:ascii="Times New Roman" w:cs="Times New Roman" w:eastAsia="Times New Roman" w:hAnsi="Times New Roman"/>
          <w:sz w:val="22"/>
          <w:szCs w:val="22"/>
          <w:color w:val="auto"/>
        </w:rPr>
        <w:t>The Plan commenced on January 1, 2004 and will remain in effect until the Board of Directors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terminates it pursuant to Section 8.1.</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Article 2. Definitions</w:t>
      </w:r>
    </w:p>
    <w:p>
      <w:pPr>
        <w:spacing w:after="0" w:line="2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following defined terms have the meanings set forth below:</w:t>
      </w:r>
    </w:p>
    <w:p>
      <w:pPr>
        <w:spacing w:after="0" w:line="216" w:lineRule="exact"/>
        <w:rPr>
          <w:sz w:val="20"/>
          <w:szCs w:val="20"/>
          <w:color w:val="auto"/>
        </w:rPr>
      </w:pPr>
    </w:p>
    <w:p>
      <w:pPr>
        <w:jc w:val="both"/>
        <w:ind w:right="20"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“Account” </w:t>
      </w:r>
      <w:r>
        <w:rPr>
          <w:rFonts w:ascii="Times New Roman" w:cs="Times New Roman" w:eastAsia="Times New Roman" w:hAnsi="Times New Roman"/>
          <w:sz w:val="22"/>
          <w:szCs w:val="22"/>
          <w:color w:val="auto"/>
        </w:rPr>
        <w:t>means a notional account in the Outside Director’s name to which compensation not immediately payable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him or her and, if applicable, interest earned thereon, is credited.</w:t>
      </w:r>
    </w:p>
    <w:p>
      <w:pPr>
        <w:spacing w:after="0" w:line="163" w:lineRule="exact"/>
        <w:rPr>
          <w:sz w:val="20"/>
          <w:szCs w:val="20"/>
          <w:color w:val="auto"/>
        </w:rPr>
      </w:pPr>
    </w:p>
    <w:p>
      <w:pPr>
        <w:jc w:val="both"/>
        <w:ind w:right="20"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“Affiliate” </w:t>
      </w:r>
      <w:r>
        <w:rPr>
          <w:rFonts w:ascii="Times New Roman" w:cs="Times New Roman" w:eastAsia="Times New Roman" w:hAnsi="Times New Roman"/>
          <w:sz w:val="22"/>
          <w:szCs w:val="22"/>
          <w:color w:val="auto"/>
        </w:rPr>
        <w:t>means any person that, directly or indirectly, is in control of, is controlled by, or is under common control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 the Company.</w:t>
      </w:r>
    </w:p>
    <w:p>
      <w:pPr>
        <w:spacing w:after="0" w:line="149"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“Annual Retainer” </w:t>
      </w:r>
      <w:r>
        <w:rPr>
          <w:rFonts w:ascii="Times New Roman" w:cs="Times New Roman" w:eastAsia="Times New Roman" w:hAnsi="Times New Roman"/>
          <w:sz w:val="22"/>
          <w:szCs w:val="22"/>
          <w:color w:val="auto"/>
        </w:rPr>
        <w:t>means the retainer fee established by the Board in accordance with Section 5.1 and paid to 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Outside Director for services performed as a member of the Board of Directors for a Plan Year.</w:t>
      </w:r>
    </w:p>
    <w:p>
      <w:pPr>
        <w:spacing w:after="0" w:line="149"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“Beneficiary” </w:t>
      </w:r>
      <w:r>
        <w:rPr>
          <w:rFonts w:ascii="Times New Roman" w:cs="Times New Roman" w:eastAsia="Times New Roman" w:hAnsi="Times New Roman"/>
          <w:sz w:val="22"/>
          <w:szCs w:val="22"/>
          <w:color w:val="auto"/>
        </w:rPr>
        <w:t>means the person entitled under Section 6.5 to receive payment of the balances remaining in an Outside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Director’s Account in case the Outside Director dies before the entire balance in that Account has been paid.</w:t>
      </w:r>
    </w:p>
    <w:p>
      <w:pPr>
        <w:spacing w:after="0" w:line="1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“Board” </w:t>
      </w:r>
      <w:r>
        <w:rPr>
          <w:rFonts w:ascii="Times New Roman" w:cs="Times New Roman" w:eastAsia="Times New Roman" w:hAnsi="Times New Roman"/>
          <w:sz w:val="22"/>
          <w:szCs w:val="22"/>
          <w:color w:val="auto"/>
        </w:rPr>
        <w:t>or</w:t>
      </w:r>
      <w:r>
        <w:rPr>
          <w:rFonts w:ascii="Times New Roman" w:cs="Times New Roman" w:eastAsia="Times New Roman" w:hAnsi="Times New Roman"/>
          <w:sz w:val="22"/>
          <w:szCs w:val="22"/>
          <w:b w:val="1"/>
          <w:bCs w:val="1"/>
          <w:color w:val="auto"/>
        </w:rPr>
        <w:t xml:space="preserve"> “Board of Directors” </w:t>
      </w:r>
      <w:r>
        <w:rPr>
          <w:rFonts w:ascii="Times New Roman" w:cs="Times New Roman" w:eastAsia="Times New Roman" w:hAnsi="Times New Roman"/>
          <w:sz w:val="22"/>
          <w:szCs w:val="22"/>
          <w:color w:val="auto"/>
        </w:rPr>
        <w:t>means the Board of Directors of the Company.</w:t>
      </w:r>
    </w:p>
    <w:p>
      <w:pPr>
        <w:spacing w:after="0" w:line="220"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“Change in Control” </w:t>
      </w:r>
      <w:r>
        <w:rPr>
          <w:rFonts w:ascii="Times New Roman" w:cs="Times New Roman" w:eastAsia="Times New Roman" w:hAnsi="Times New Roman"/>
          <w:sz w:val="22"/>
          <w:szCs w:val="22"/>
          <w:color w:val="auto"/>
        </w:rPr>
        <w:t>of the Company will be deemed to have occurred (as of a particular day, as specified by the Board)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 of the first day any one or more of the following paragraphs is satisfied.</w:t>
      </w:r>
    </w:p>
    <w:p>
      <w:pPr>
        <w:spacing w:after="0" w:line="153" w:lineRule="exact"/>
        <w:rPr>
          <w:sz w:val="20"/>
          <w:szCs w:val="20"/>
          <w:color w:val="auto"/>
        </w:rPr>
      </w:pPr>
    </w:p>
    <w:p>
      <w:pPr>
        <w:jc w:val="both"/>
        <w:ind w:firstLine="656"/>
        <w:spacing w:after="0" w:line="263" w:lineRule="auto"/>
        <w:tabs>
          <w:tab w:leader="none" w:pos="942"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Person (other than the Company or a trustee or other fiduciary holding securities under an employee benefit plan of the Company, or a corporation owned directly or indirectly by the shareholders of the Company in substantially the same proportions as their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1440" w:right="339" w:bottom="1440" w:gutter="0" w:footer="0" w:header="0"/>
        </w:sectPr>
      </w:pPr>
    </w:p>
    <w:bookmarkStart w:id="119" w:name="page120"/>
    <w:bookmarkEnd w:id="119"/>
    <w:p>
      <w:pPr>
        <w:spacing w:after="0" w:line="90"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ownership of stock of the Company) becomes the Beneficial Owner, directly or indirectly, of securities of the Company, representing more than twenty percent (20%) of the combined voting power of the Company’s then outstanding securities.</w:t>
      </w:r>
    </w:p>
    <w:p>
      <w:pPr>
        <w:spacing w:after="0" w:line="158" w:lineRule="exact"/>
        <w:rPr>
          <w:sz w:val="20"/>
          <w:szCs w:val="20"/>
          <w:color w:val="auto"/>
        </w:rPr>
      </w:pPr>
    </w:p>
    <w:p>
      <w:pPr>
        <w:jc w:val="both"/>
        <w:ind w:firstLine="656"/>
        <w:spacing w:after="0" w:line="251" w:lineRule="auto"/>
        <w:tabs>
          <w:tab w:leader="none" w:pos="954"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any period of twenty-four (24) consecutive months beginning on or after the Effective Date, individuals who at the beginning of the period constituted the Board cease for any reason (other than death, Disability or Retirement) to constitute a majority of the Board. For this purpose, any new Director whose election by the Board, or nomination for election by the Company’s shareholders, was approved by a vote of at least two-thirds (2/3) of the Directors then still in office, and who either were Directors at the beginning of the period or whose election or nomination for election was so approved, will be deemed to have been a Director at the beginning of any twenty-four (24) month period under consideration.</w:t>
      </w:r>
    </w:p>
    <w:p>
      <w:pPr>
        <w:spacing w:after="0" w:line="194" w:lineRule="exact"/>
        <w:rPr>
          <w:rFonts w:ascii="Times New Roman" w:cs="Times New Roman" w:eastAsia="Times New Roman" w:hAnsi="Times New Roman"/>
          <w:sz w:val="22"/>
          <w:szCs w:val="22"/>
          <w:color w:val="auto"/>
        </w:rPr>
      </w:pPr>
    </w:p>
    <w:p>
      <w:pPr>
        <w:jc w:val="both"/>
        <w:ind w:firstLine="656"/>
        <w:spacing w:after="0" w:line="248" w:lineRule="auto"/>
        <w:tabs>
          <w:tab w:leader="none" w:pos="996"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Consummation of: (i) a sale or disposition of all or substantially all the Company’s assets; or (ii) a merger, consolidation or reorganization of the Company with or involving any other corporation, other than a merger, consolidation or reorganization that results in the voting securities of the Company outstanding immediately prior thereto continuing to represent (either by remaining outstanding or by being converted into voting securities of the surviving entity) at least fifty percent (50%) of the combined voting power of the voting securities of the Company (or such surviving entity) outstanding immediately after such merger, consolidation, or reorganization.</w:t>
      </w:r>
    </w:p>
    <w:p>
      <w:pPr>
        <w:spacing w:after="0" w:line="200" w:lineRule="exact"/>
        <w:rPr>
          <w:rFonts w:ascii="Times New Roman" w:cs="Times New Roman" w:eastAsia="Times New Roman" w:hAnsi="Times New Roman"/>
          <w:sz w:val="22"/>
          <w:szCs w:val="22"/>
          <w:color w:val="auto"/>
        </w:rPr>
      </w:pPr>
    </w:p>
    <w:p>
      <w:pPr>
        <w:ind w:left="960" w:hanging="304"/>
        <w:spacing w:after="0"/>
        <w:tabs>
          <w:tab w:leader="none" w:pos="96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shareholders of the Company approve a plan of complete liquidation or dissolution of the Company.</w:t>
      </w:r>
    </w:p>
    <w:p>
      <w:pPr>
        <w:spacing w:after="0" w:line="22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Notwithstanding the foregoing, if an amount is “deferred compensation” for purposes of Code Section 409A, and if payment of such amount would be accelerated or otherwise triggered upon a “Change in Control,” then the foregoing definition is modified, to the extent necessary to avoid the imposition of an excise tax under Code Section 409A, to mean a “change in control event” as such term is defined for purposes of Code Section 409A. For purposes of clarity, if an amount would, for example, vest and be paid on a “Change in Control” as defined herein but payment of such amount would violate the provisions of Code Section 409A, then the amount shall vest but will be paid only in compliance with its terms and Code Section 409A (</w:t>
      </w:r>
      <w:r>
        <w:rPr>
          <w:rFonts w:ascii="Times New Roman" w:cs="Times New Roman" w:eastAsia="Times New Roman" w:hAnsi="Times New Roman"/>
          <w:sz w:val="22"/>
          <w:szCs w:val="22"/>
          <w:i w:val="1"/>
          <w:iCs w:val="1"/>
          <w:color w:val="auto"/>
        </w:rPr>
        <w:t>i.e.</w:t>
      </w:r>
      <w:r>
        <w:rPr>
          <w:rFonts w:ascii="Times New Roman" w:cs="Times New Roman" w:eastAsia="Times New Roman" w:hAnsi="Times New Roman"/>
          <w:sz w:val="22"/>
          <w:szCs w:val="22"/>
          <w:color w:val="auto"/>
        </w:rPr>
        <w:t>, upon a permissible payment event).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“Code” </w:t>
      </w:r>
      <w:r>
        <w:rPr>
          <w:rFonts w:ascii="Times New Roman" w:cs="Times New Roman" w:eastAsia="Times New Roman" w:hAnsi="Times New Roman"/>
          <w:sz w:val="22"/>
          <w:szCs w:val="22"/>
          <w:color w:val="auto"/>
        </w:rPr>
        <w:t>means the Internal Revenue Code of 1986, as amended from time to time, or any successor to it.</w:t>
      </w:r>
    </w:p>
    <w:p>
      <w:pPr>
        <w:spacing w:after="0" w:line="220"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b w:val="1"/>
          <w:bCs w:val="1"/>
          <w:color w:val="auto"/>
        </w:rPr>
        <w:t xml:space="preserve">“Committee Meeting Fee” </w:t>
      </w:r>
      <w:r>
        <w:rPr>
          <w:rFonts w:ascii="Times New Roman" w:cs="Times New Roman" w:eastAsia="Times New Roman" w:hAnsi="Times New Roman"/>
          <w:sz w:val="22"/>
          <w:szCs w:val="22"/>
          <w:color w:val="auto"/>
        </w:rPr>
        <w:t>means the fee established by the Board in accordance with Section 5.1 and paid to an Outside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Director for each attendance at a meeting of a Board committee (including telephonic meetings but excluding execution of unanimous written consents).</w:t>
      </w:r>
    </w:p>
    <w:p>
      <w:pPr>
        <w:spacing w:after="0" w:line="161"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“Common Stock Fair Market Value” </w:t>
      </w:r>
      <w:r>
        <w:rPr>
          <w:rFonts w:ascii="Times New Roman" w:cs="Times New Roman" w:eastAsia="Times New Roman" w:hAnsi="Times New Roman"/>
          <w:sz w:val="22"/>
          <w:szCs w:val="22"/>
          <w:color w:val="auto"/>
        </w:rPr>
        <w:t>means the average of the high and low prices of publicly traded Shares on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national exchange on which the Shares are listed as of a particular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40" w:right="339" w:bottom="1440" w:gutter="0" w:footer="0" w:header="0"/>
        </w:sectPr>
      </w:pPr>
    </w:p>
    <w:bookmarkStart w:id="120" w:name="page121"/>
    <w:bookmarkEnd w:id="120"/>
    <w:p>
      <w:pPr>
        <w:spacing w:after="0" w:line="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“Company” </w:t>
      </w:r>
      <w:r>
        <w:rPr>
          <w:rFonts w:ascii="Times New Roman" w:cs="Times New Roman" w:eastAsia="Times New Roman" w:hAnsi="Times New Roman"/>
          <w:sz w:val="22"/>
          <w:szCs w:val="22"/>
          <w:color w:val="auto"/>
        </w:rPr>
        <w:t>means Lear Corporation, a Delaware corporation, and any successor thereto as provided in Section 8.3.</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“Deferral Election” </w:t>
      </w:r>
      <w:r>
        <w:rPr>
          <w:rFonts w:ascii="Times New Roman" w:cs="Times New Roman" w:eastAsia="Times New Roman" w:hAnsi="Times New Roman"/>
          <w:sz w:val="22"/>
          <w:szCs w:val="22"/>
          <w:color w:val="auto"/>
        </w:rPr>
        <w:t>has the meaning ascribed to it in Section 6.1.</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“Director” </w:t>
      </w:r>
      <w:r>
        <w:rPr>
          <w:rFonts w:ascii="Times New Roman" w:cs="Times New Roman" w:eastAsia="Times New Roman" w:hAnsi="Times New Roman"/>
          <w:sz w:val="22"/>
          <w:szCs w:val="22"/>
          <w:color w:val="auto"/>
        </w:rPr>
        <w:t>means any individual who is a member of the Board of Directors.</w:t>
      </w:r>
    </w:p>
    <w:p>
      <w:pPr>
        <w:spacing w:after="0" w:line="23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“Disability” </w:t>
      </w:r>
      <w:r>
        <w:rPr>
          <w:rFonts w:ascii="Times New Roman" w:cs="Times New Roman" w:eastAsia="Times New Roman" w:hAnsi="Times New Roman"/>
          <w:sz w:val="22"/>
          <w:szCs w:val="22"/>
          <w:color w:val="auto"/>
        </w:rPr>
        <w:t>means the individual is unable to engage in any substantial gainful activity by reason of any medically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determinable physical or mental impairment which can be expected to result in death or can be expected to last for a continuous period of not less than 12 months.</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“Effective Date” </w:t>
      </w:r>
      <w:r>
        <w:rPr>
          <w:rFonts w:ascii="Times New Roman" w:cs="Times New Roman" w:eastAsia="Times New Roman" w:hAnsi="Times New Roman"/>
          <w:sz w:val="22"/>
          <w:szCs w:val="22"/>
          <w:color w:val="auto"/>
        </w:rPr>
        <w:t>has the meaning ascribed to it in Article 7.</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“Exchange Act” </w:t>
      </w:r>
      <w:r>
        <w:rPr>
          <w:rFonts w:ascii="Times New Roman" w:cs="Times New Roman" w:eastAsia="Times New Roman" w:hAnsi="Times New Roman"/>
          <w:sz w:val="22"/>
          <w:szCs w:val="22"/>
          <w:color w:val="auto"/>
        </w:rPr>
        <w:t>means the Securities Exchange Act of 1934, as amended from time to time, or any successor to it.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“Installment Payment” </w:t>
      </w:r>
      <w:r>
        <w:rPr>
          <w:rFonts w:ascii="Times New Roman" w:cs="Times New Roman" w:eastAsia="Times New Roman" w:hAnsi="Times New Roman"/>
          <w:sz w:val="22"/>
          <w:szCs w:val="22"/>
          <w:color w:val="auto"/>
        </w:rPr>
        <w:t>has the meaning ascribed to it in Section 5.1.</w:t>
      </w:r>
    </w:p>
    <w:p>
      <w:pPr>
        <w:spacing w:after="0" w:line="220"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“Meeting Fee” </w:t>
      </w:r>
      <w:r>
        <w:rPr>
          <w:rFonts w:ascii="Times New Roman" w:cs="Times New Roman" w:eastAsia="Times New Roman" w:hAnsi="Times New Roman"/>
          <w:sz w:val="22"/>
          <w:szCs w:val="22"/>
          <w:color w:val="auto"/>
        </w:rPr>
        <w:t>means the fee established by the Board in accordance with Section 5.1 and paid to an Outside Director for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each attendance at a meeting of the Board of Directors (including telephonic meetings but excluding execution of unanimous written consents).</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“Non-Executive Chairman” </w:t>
      </w:r>
      <w:r>
        <w:rPr>
          <w:rFonts w:ascii="Times New Roman" w:cs="Times New Roman" w:eastAsia="Times New Roman" w:hAnsi="Times New Roman"/>
          <w:sz w:val="22"/>
          <w:szCs w:val="22"/>
          <w:color w:val="auto"/>
        </w:rPr>
        <w:t>means the Outside Director selected by the Board as the non-executive Chairman of the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Board.</w:t>
      </w:r>
    </w:p>
    <w:p>
      <w:pPr>
        <w:spacing w:after="0" w:line="205" w:lineRule="exact"/>
        <w:rPr>
          <w:sz w:val="20"/>
          <w:szCs w:val="20"/>
          <w:color w:val="auto"/>
        </w:rPr>
      </w:pPr>
    </w:p>
    <w:p>
      <w:pPr>
        <w:jc w:val="both"/>
        <w:ind w:right="20"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“Outside Director” </w:t>
      </w:r>
      <w:r>
        <w:rPr>
          <w:rFonts w:ascii="Times New Roman" w:cs="Times New Roman" w:eastAsia="Times New Roman" w:hAnsi="Times New Roman"/>
          <w:sz w:val="22"/>
          <w:szCs w:val="22"/>
          <w:color w:val="auto"/>
        </w:rPr>
        <w:t>means a Director who, at the time in question, is not an employee of the Company or any of 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Affiliates.</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“Plan” </w:t>
      </w:r>
      <w:r>
        <w:rPr>
          <w:rFonts w:ascii="Times New Roman" w:cs="Times New Roman" w:eastAsia="Times New Roman" w:hAnsi="Times New Roman"/>
          <w:sz w:val="22"/>
          <w:szCs w:val="22"/>
          <w:color w:val="auto"/>
        </w:rPr>
        <w:t>has the meaning ascribed to it in Section 1.1.</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“Plan Year” </w:t>
      </w:r>
      <w:r>
        <w:rPr>
          <w:rFonts w:ascii="Times New Roman" w:cs="Times New Roman" w:eastAsia="Times New Roman" w:hAnsi="Times New Roman"/>
          <w:sz w:val="22"/>
          <w:szCs w:val="22"/>
          <w:color w:val="auto"/>
        </w:rPr>
        <w:t>means the 12 month period beginning on January 1 and ending on the next following December 31.</w:t>
      </w:r>
    </w:p>
    <w:p>
      <w:pPr>
        <w:spacing w:after="0" w:line="220"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2"/>
          <w:szCs w:val="22"/>
          <w:b w:val="1"/>
          <w:bCs w:val="1"/>
          <w:color w:val="auto"/>
        </w:rPr>
        <w:t xml:space="preserve">“Plan Year Account” </w:t>
      </w:r>
      <w:r>
        <w:rPr>
          <w:rFonts w:ascii="Times New Roman" w:cs="Times New Roman" w:eastAsia="Times New Roman" w:hAnsi="Times New Roman"/>
          <w:sz w:val="22"/>
          <w:szCs w:val="22"/>
          <w:color w:val="auto"/>
        </w:rPr>
        <w:t>for a given Plan Year means the portion of a Participant’s Account attributable to compensation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deferred for such Plan Year.</w:t>
      </w:r>
    </w:p>
    <w:p>
      <w:pPr>
        <w:spacing w:after="0" w:line="137"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“Presiding Director” </w:t>
      </w:r>
      <w:r>
        <w:rPr>
          <w:rFonts w:ascii="Times New Roman" w:cs="Times New Roman" w:eastAsia="Times New Roman" w:hAnsi="Times New Roman"/>
          <w:sz w:val="22"/>
          <w:szCs w:val="22"/>
          <w:color w:val="auto"/>
        </w:rPr>
        <w:t>means the Outside Director selected by the other Outside Directors as the presiding Director at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meetings of the Outside Directors held in accordance with applicable rules of any securities exchange on which the Company’s securities are listed.</w:t>
      </w:r>
    </w:p>
    <w:p>
      <w:pPr>
        <w:spacing w:after="0" w:line="166"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b w:val="1"/>
          <w:bCs w:val="1"/>
          <w:color w:val="auto"/>
        </w:rPr>
        <w:t xml:space="preserve">“Retirement” </w:t>
      </w:r>
      <w:r>
        <w:rPr>
          <w:rFonts w:ascii="Times New Roman" w:cs="Times New Roman" w:eastAsia="Times New Roman" w:hAnsi="Times New Roman"/>
          <w:sz w:val="22"/>
          <w:szCs w:val="22"/>
          <w:color w:val="auto"/>
        </w:rPr>
        <w:t>means a Separation from Service (a) upon or after attaining 70 years of age, or (b) upon or after serving six</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years as a Director, or (c) upon such other circumstances that the Board, in its sole discretion, affirmatively determines not to be adverse to the best interests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40" w:right="339" w:bottom="1440" w:gutter="0" w:footer="0" w:header="0"/>
        </w:sectPr>
      </w:pPr>
    </w:p>
    <w:bookmarkStart w:id="121" w:name="page122"/>
    <w:bookmarkEnd w:id="121"/>
    <w:p>
      <w:pPr>
        <w:spacing w:after="0" w:line="8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“Separation from Service” </w:t>
      </w:r>
      <w:r>
        <w:rPr>
          <w:rFonts w:ascii="Times New Roman" w:cs="Times New Roman" w:eastAsia="Times New Roman" w:hAnsi="Times New Roman"/>
          <w:sz w:val="22"/>
          <w:szCs w:val="22"/>
          <w:color w:val="auto"/>
        </w:rPr>
        <w:t>or “Separate from Service” means ceasing to be a Director of the Company for any reason.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Notwithstanding anything to the contrary, the determination of whether an individual has had a Separation from Service will be made in accordance with Code Section 409A and the regulations thereunder.</w:t>
      </w:r>
    </w:p>
    <w:p>
      <w:pPr>
        <w:spacing w:after="0" w:line="180"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“Shares” </w:t>
      </w:r>
      <w:r>
        <w:rPr>
          <w:rFonts w:ascii="Times New Roman" w:cs="Times New Roman" w:eastAsia="Times New Roman" w:hAnsi="Times New Roman"/>
          <w:sz w:val="22"/>
          <w:szCs w:val="22"/>
          <w:color w:val="auto"/>
        </w:rPr>
        <w:t>means the shares of common stock, $.01 par value, of the Company, including their associated preferred share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purchase rights, if any.</w:t>
      </w:r>
    </w:p>
    <w:p>
      <w:pPr>
        <w:spacing w:after="0" w:line="149" w:lineRule="exact"/>
        <w:rPr>
          <w:sz w:val="20"/>
          <w:szCs w:val="20"/>
          <w:color w:val="auto"/>
        </w:rPr>
      </w:pPr>
    </w:p>
    <w:p>
      <w:pPr>
        <w:ind w:right="2100" w:firstLine="648"/>
        <w:spacing w:after="0" w:line="448" w:lineRule="auto"/>
        <w:rPr>
          <w:sz w:val="20"/>
          <w:szCs w:val="20"/>
          <w:color w:val="auto"/>
        </w:rPr>
      </w:pPr>
      <w:r>
        <w:rPr>
          <w:rFonts w:ascii="Times New Roman" w:cs="Times New Roman" w:eastAsia="Times New Roman" w:hAnsi="Times New Roman"/>
          <w:sz w:val="22"/>
          <w:szCs w:val="22"/>
          <w:b w:val="1"/>
          <w:bCs w:val="1"/>
          <w:color w:val="auto"/>
        </w:rPr>
        <w:t xml:space="preserve">“Termination Date” </w:t>
      </w:r>
      <w:r>
        <w:rPr>
          <w:rFonts w:ascii="Times New Roman" w:cs="Times New Roman" w:eastAsia="Times New Roman" w:hAnsi="Times New Roman"/>
          <w:sz w:val="22"/>
          <w:szCs w:val="22"/>
          <w:color w:val="auto"/>
        </w:rPr>
        <w:t>means the date on which an Outside Director has a Separation from Service.</w:t>
      </w:r>
      <w:r>
        <w:rPr>
          <w:rFonts w:ascii="Times New Roman" w:cs="Times New Roman" w:eastAsia="Times New Roman" w:hAnsi="Times New Roman"/>
          <w:sz w:val="22"/>
          <w:szCs w:val="22"/>
          <w:b w:val="1"/>
          <w:bCs w:val="1"/>
          <w:color w:val="auto"/>
        </w:rPr>
        <w:t xml:space="preserve"> Article 3. Administration</w:t>
      </w:r>
    </w:p>
    <w:p>
      <w:pPr>
        <w:spacing w:after="0" w:line="1" w:lineRule="exact"/>
        <w:rPr>
          <w:sz w:val="20"/>
          <w:szCs w:val="20"/>
          <w:color w:val="auto"/>
        </w:rPr>
      </w:pPr>
    </w:p>
    <w:p>
      <w:pPr>
        <w:jc w:val="both"/>
        <w:ind w:right="20" w:firstLine="648"/>
        <w:spacing w:after="0" w:line="265" w:lineRule="auto"/>
        <w:rPr>
          <w:sz w:val="20"/>
          <w:szCs w:val="20"/>
          <w:color w:val="auto"/>
        </w:rPr>
      </w:pPr>
      <w:r>
        <w:rPr>
          <w:rFonts w:ascii="Times New Roman" w:cs="Times New Roman" w:eastAsia="Times New Roman" w:hAnsi="Times New Roman"/>
          <w:sz w:val="22"/>
          <w:szCs w:val="22"/>
          <w:b w:val="1"/>
          <w:bCs w:val="1"/>
          <w:color w:val="auto"/>
        </w:rPr>
        <w:t xml:space="preserve">3.1 The Board of Directors. </w:t>
      </w:r>
      <w:r>
        <w:rPr>
          <w:rFonts w:ascii="Times New Roman" w:cs="Times New Roman" w:eastAsia="Times New Roman" w:hAnsi="Times New Roman"/>
          <w:sz w:val="22"/>
          <w:szCs w:val="22"/>
          <w:color w:val="auto"/>
        </w:rPr>
        <w:t>The Plan will be administered by the Board of Directors. The Board of Directors will act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 majority of its members at the time in office and eligible to vote on any particular matter, and may act either by a vote at a meeting or by unanimous written consent without a meeting.</w:t>
      </w:r>
    </w:p>
    <w:p>
      <w:pPr>
        <w:spacing w:after="0" w:line="16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b w:val="1"/>
          <w:bCs w:val="1"/>
          <w:color w:val="auto"/>
        </w:rPr>
        <w:t xml:space="preserve">3.2 Authority of the Board of Directors. </w:t>
      </w:r>
      <w:r>
        <w:rPr>
          <w:rFonts w:ascii="Times New Roman" w:cs="Times New Roman" w:eastAsia="Times New Roman" w:hAnsi="Times New Roman"/>
          <w:sz w:val="22"/>
          <w:szCs w:val="22"/>
          <w:color w:val="auto"/>
        </w:rPr>
        <w:t>Except as limited by law and subject to the provisions herein, the Board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Directors has full power to: construe and interpret the Plan and any agreement or instrument entered into under the Plan; establish, amend or waive rules and regulations for the Plan’s administration; and amend the terms and conditions of the Plan. Further, the Board of Directors will make all other determinations which may be necessary or advisable for the administration of the Plan. As permitted by law and consistent with Section 3.1, the Board of Directors may delegate some or all of its authority under this Plan.</w:t>
      </w:r>
    </w:p>
    <w:p>
      <w:pPr>
        <w:spacing w:after="0" w:line="175" w:lineRule="exact"/>
        <w:rPr>
          <w:sz w:val="20"/>
          <w:szCs w:val="20"/>
          <w:color w:val="auto"/>
        </w:rPr>
      </w:pPr>
    </w:p>
    <w:p>
      <w:pPr>
        <w:jc w:val="both"/>
        <w:ind w:right="20" w:firstLine="648"/>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3.3 Decisions Binding. </w:t>
      </w:r>
      <w:r>
        <w:rPr>
          <w:rFonts w:ascii="Times New Roman" w:cs="Times New Roman" w:eastAsia="Times New Roman" w:hAnsi="Times New Roman"/>
          <w:sz w:val="22"/>
          <w:szCs w:val="22"/>
          <w:color w:val="auto"/>
        </w:rPr>
        <w:t>All determinations and decisions made by the Board of Directors pursuant to the provisions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Plan will be final, conclusive and binding on all persons, including the Company, its stockholders, all Affiliates, Outside Directors and their estates and beneficiaries.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Article 4. Eligibility</w:t>
      </w:r>
    </w:p>
    <w:p>
      <w:pPr>
        <w:spacing w:after="0" w:line="2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Each Outside Director of the Board during a Plan Year will participate in the Plan for that year.</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Article 5. Annual Retainer and RSU Grant</w:t>
      </w:r>
    </w:p>
    <w:p>
      <w:pPr>
        <w:spacing w:after="0" w:line="22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b w:val="1"/>
          <w:bCs w:val="1"/>
          <w:color w:val="auto"/>
        </w:rPr>
        <w:t xml:space="preserve">5.1 Amount Payable in Cash. </w:t>
      </w:r>
      <w:r>
        <w:rPr>
          <w:rFonts w:ascii="Times New Roman" w:cs="Times New Roman" w:eastAsia="Times New Roman" w:hAnsi="Times New Roman"/>
          <w:sz w:val="22"/>
          <w:szCs w:val="22"/>
          <w:color w:val="auto"/>
        </w:rPr>
        <w:t>Each Outside Director will be entitled to receive an Annual Retainer in the amount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determined from time to time by the Board. Until changed by resolution of the Board of Directors, the Annual Retainer will be $135,000 for each Outside Director, provided that the Annual Retainer for the Presiding Director will be $135,000 plus an additional $10,000 (totaling $145,000) and the Annual Retainer for the Non-Executive Chairman will be $135,000 plus an additional $80,000 (totaling $215,000). In addition, the Annual Retainer for the chair of the Audit Committee will be $135,000 plus an additional $30,000 (totaling $165,000), the Annual Retainer for the chair of the People and Compensation Committee will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40" w:right="339" w:bottom="1440" w:gutter="0" w:footer="0" w:header="0"/>
        </w:sectPr>
      </w:pPr>
    </w:p>
    <w:bookmarkStart w:id="122" w:name="page123"/>
    <w:bookmarkEnd w:id="122"/>
    <w:p>
      <w:pPr>
        <w:spacing w:after="0" w:line="9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$135,000 plus an additional $25,000 (totaling $160,000), and the Annual Retainer for the chair of the Governance and Sustainability Committee will be $135,000 plus an additional $25,000 (totaling ($160,000).</w:t>
      </w:r>
    </w:p>
    <w:p>
      <w:pPr>
        <w:spacing w:after="0" w:line="158"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To the extent the Outside Director has not made a Deferral Election with respect to the Annual Retainer, it will be paid in monthly cash installments (the “</w:t>
      </w:r>
      <w:r>
        <w:rPr>
          <w:rFonts w:ascii="Times New Roman" w:cs="Times New Roman" w:eastAsia="Times New Roman" w:hAnsi="Times New Roman"/>
          <w:sz w:val="22"/>
          <w:szCs w:val="22"/>
          <w:u w:val="single" w:color="auto"/>
          <w:color w:val="auto"/>
        </w:rPr>
        <w:t>Installment Payments</w:t>
      </w:r>
      <w:r>
        <w:rPr>
          <w:rFonts w:ascii="Times New Roman" w:cs="Times New Roman" w:eastAsia="Times New Roman" w:hAnsi="Times New Roman"/>
          <w:sz w:val="22"/>
          <w:szCs w:val="22"/>
          <w:color w:val="auto"/>
        </w:rPr>
        <w:t>”) to the Outside Director, payable on the last business day of the month preceding the month to which the installment applies. Each Installment Payment to an Outside Director will equal the quotient of the Outside Director’s Annual Retainer divided by twelve. Any Outside Director who first becomes an Outside Director during a calendar month will be entitled to an Installment Payment for that month unless, immediately before becoming an Outside Director, he or she was a Director who was an employee of the Company or any of its Affiliates.</w:t>
      </w:r>
    </w:p>
    <w:p>
      <w:pPr>
        <w:spacing w:after="0" w:line="195"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No Meeting Fees shall be paid with respect to the first twelve meetings of the Board attended by an Outside Director in any Plan Year. Each Outside Director will be entitled to receive a Meeting Fee, in the amount determined from time to time by the Board, for each meeting of the Board he or she attends that is in excess of twelve meetings within a Plan Year (including telephonic meetings but excluding execution of unanimous written consents). Until changed by resolution of the Board of Directors, the Meeting Fee will be $1,500. Unless the Outside Director has made a Deferral Election with respect to them, Meeting Fees, if any, will be paid on the last business day of the month in which the meeting was attended (at the same time as the Installment Payment for the next month). No Meeting Fees shall be paid with respect to meetings of any standing committee of the Board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Audit Committee, People and Compensation Committee and Governance and Sustainability Committee) attended by an Outside Director. Committee Meeting Fees for meetings of any special committee of the Board will be established at the time the Board establishes such committee.</w:t>
      </w:r>
    </w:p>
    <w:p>
      <w:pPr>
        <w:spacing w:after="0" w:line="187"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b w:val="1"/>
          <w:bCs w:val="1"/>
          <w:color w:val="auto"/>
        </w:rPr>
        <w:t xml:space="preserve">5.2 RSU Grant. </w:t>
      </w:r>
      <w:r>
        <w:rPr>
          <w:rFonts w:ascii="Times New Roman" w:cs="Times New Roman" w:eastAsia="Times New Roman" w:hAnsi="Times New Roman"/>
          <w:sz w:val="22"/>
          <w:szCs w:val="22"/>
          <w:color w:val="auto"/>
        </w:rPr>
        <w:t>Each Outside Director will be entitled to receive a grant of restricted stock units (“</w:t>
      </w:r>
      <w:r>
        <w:rPr>
          <w:rFonts w:ascii="Times New Roman" w:cs="Times New Roman" w:eastAsia="Times New Roman" w:hAnsi="Times New Roman"/>
          <w:sz w:val="22"/>
          <w:szCs w:val="22"/>
          <w:u w:val="single" w:color="auto"/>
          <w:color w:val="auto"/>
        </w:rPr>
        <w:t>RSUs</w:t>
      </w:r>
      <w:r>
        <w:rPr>
          <w:rFonts w:ascii="Times New Roman" w:cs="Times New Roman" w:eastAsia="Times New Roman" w:hAnsi="Times New Roman"/>
          <w:sz w:val="22"/>
          <w:szCs w:val="22"/>
          <w:color w:val="auto"/>
        </w:rPr>
        <w:t>”), which grant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will be made under the Lear Corporation 2019 Long-Term Stock Incentive Plan (As Amended and Restated as of May 18, 2023), or a successor plan (the “</w:t>
      </w:r>
      <w:r>
        <w:rPr>
          <w:rFonts w:ascii="Times New Roman" w:cs="Times New Roman" w:eastAsia="Times New Roman" w:hAnsi="Times New Roman"/>
          <w:sz w:val="22"/>
          <w:szCs w:val="22"/>
          <w:u w:val="single" w:color="auto"/>
          <w:color w:val="auto"/>
        </w:rPr>
        <w:t>LTSIP</w:t>
      </w:r>
      <w:r>
        <w:rPr>
          <w:rFonts w:ascii="Times New Roman" w:cs="Times New Roman" w:eastAsia="Times New Roman" w:hAnsi="Times New Roman"/>
          <w:sz w:val="22"/>
          <w:szCs w:val="22"/>
          <w:color w:val="auto"/>
        </w:rPr>
        <w:t>”), as of the date of any annual meeting of the stockholders of the Company at which such Outside Director is elected or re-elected to serve in such position. Each RSU is a notional amount that represents one unvested Share and constitutes the right, subject to the terms and conditions of the LTSIP and the applicable award agreement thereunder, to distribution of a Share if and when the RSU vests. The amount of the RSU grant will be determined from time to time by the Board. Until changed by resolution of the Board of Directors, the number of Shares subject to each RSU grant for each Outside Director will be equal to $185,000 divided by the Common Stock Fair Market Value on the date of the grant, provided that the grant date value of the grant of RSUs for the Non-Executive Chairman shall be an additional $120,000. The grant of RSUs shall vest on the earlier of (i) the first (1</w:t>
      </w:r>
      <w:r>
        <w:rPr>
          <w:rFonts w:ascii="Times New Roman" w:cs="Times New Roman" w:eastAsia="Times New Roman" w:hAnsi="Times New Roman"/>
          <w:sz w:val="11"/>
          <w:szCs w:val="11"/>
          <w:color w:val="auto"/>
        </w:rPr>
        <w:t>st</w:t>
      </w:r>
      <w:r>
        <w:rPr>
          <w:rFonts w:ascii="Times New Roman" w:cs="Times New Roman" w:eastAsia="Times New Roman" w:hAnsi="Times New Roman"/>
          <w:sz w:val="22"/>
          <w:szCs w:val="22"/>
          <w:color w:val="auto"/>
        </w:rPr>
        <w:t>) anniversary of the date of grant and (ii) the date of the next annual meeting of the stockholders of the Company following the date of grant that is at least fifty (50) weeks following the immediately preceding year’s annual meeting, subject to forfeiture in the event that an Outside Director ceases to be an Outside Director for any reason, including resignation or removal (with or without cause). Notwithstanding anything herein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40" w:right="339" w:bottom="1440" w:gutter="0" w:footer="0" w:header="0"/>
        </w:sectPr>
      </w:pPr>
    </w:p>
    <w:bookmarkStart w:id="123" w:name="page124"/>
    <w:bookmarkEnd w:id="123"/>
    <w:p>
      <w:pPr>
        <w:spacing w:after="0" w:line="90"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contrary, each RSU grant made pursuant to this Section 5.2 will be subject to the terms and conditions of the LTSIP and the applicable award agreement thereunder.</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Article 6. Deferral</w:t>
      </w:r>
    </w:p>
    <w:p>
      <w:pPr>
        <w:spacing w:after="0" w:line="233"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b w:val="1"/>
          <w:bCs w:val="1"/>
          <w:color w:val="auto"/>
        </w:rPr>
        <w:t xml:space="preserve">6.1 Deferral Election. </w:t>
      </w:r>
      <w:r>
        <w:rPr>
          <w:rFonts w:ascii="Times New Roman" w:cs="Times New Roman" w:eastAsia="Times New Roman" w:hAnsi="Times New Roman"/>
          <w:sz w:val="22"/>
          <w:szCs w:val="22"/>
          <w:color w:val="auto"/>
        </w:rPr>
        <w:t>Any Outside Director may elect to defer all or a portion of the compensation payable to him or 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under Section 5.1 for the Plan Year by filing with the Secretary of the Company a written notice to that effect (a “</w:t>
      </w:r>
      <w:r>
        <w:rPr>
          <w:rFonts w:ascii="Times New Roman" w:cs="Times New Roman" w:eastAsia="Times New Roman" w:hAnsi="Times New Roman"/>
          <w:sz w:val="22"/>
          <w:szCs w:val="22"/>
          <w:u w:val="single" w:color="auto"/>
          <w:color w:val="auto"/>
        </w:rPr>
        <w:t>Deferral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Election</w:t>
      </w:r>
      <w:r>
        <w:rPr>
          <w:rFonts w:ascii="Times New Roman" w:cs="Times New Roman" w:eastAsia="Times New Roman" w:hAnsi="Times New Roman"/>
          <w:sz w:val="22"/>
          <w:szCs w:val="22"/>
          <w:color w:val="auto"/>
        </w:rPr>
        <w:t>”), on a form provided by the Company. A Deferral Election must be filed before the first day of the Plan Year to which it relates. Notwithstanding the foregoing, an election may be filed within 30 days after a Director first becomes an Outside Director; provided, however, the amount of compensation deferred pursuant to such election will not exceed the portion of the Outside Director’s compensation earned after the date the election is made. A Deferral Election may not be revoked or modified with respect to compensation payable for any Plan Year for which it is effective. An Outside Director may terminate or modify his or her current Deferral Election by filing a new Deferral Election before the first day of the Plan Year to which such termination or modification applies.</w:t>
      </w:r>
    </w:p>
    <w:p>
      <w:pPr>
        <w:spacing w:after="0" w:line="18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b w:val="1"/>
          <w:bCs w:val="1"/>
          <w:color w:val="auto"/>
        </w:rPr>
        <w:t xml:space="preserve">6.2 Interest. </w:t>
      </w:r>
      <w:r>
        <w:rPr>
          <w:rFonts w:ascii="Times New Roman" w:cs="Times New Roman" w:eastAsia="Times New Roman" w:hAnsi="Times New Roman"/>
          <w:sz w:val="22"/>
          <w:szCs w:val="22"/>
          <w:color w:val="auto"/>
        </w:rPr>
        <w:t>All amounts deferred pursuant to Section 6.1 will be credited to the Outside Director’s applicable Plan Year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Account as of the date the compensation would otherwise have been payable, notwithstanding the Deferral Election. The amounts credited to the Plan Year Account will be credited with interest, compounded monthly, from the date the compensation would otherwise have been payable under Section 5.1 until the amount credited to the Account is paid to the Outside Director. The rate of interest credited under the previous sentence will be the prime rate of interest as reported by the Wall Street Journal for the second business day of each quarter on an annual basis.</w:t>
      </w:r>
    </w:p>
    <w:p>
      <w:pPr>
        <w:spacing w:after="0" w:line="175" w:lineRule="exact"/>
        <w:rPr>
          <w:sz w:val="20"/>
          <w:szCs w:val="20"/>
          <w:color w:val="auto"/>
        </w:rPr>
      </w:pPr>
    </w:p>
    <w:p>
      <w:pPr>
        <w:jc w:val="both"/>
        <w:ind w:right="20" w:firstLine="648"/>
        <w:spacing w:after="0" w:line="287" w:lineRule="auto"/>
        <w:rPr>
          <w:sz w:val="20"/>
          <w:szCs w:val="20"/>
          <w:color w:val="auto"/>
        </w:rPr>
      </w:pPr>
      <w:r>
        <w:rPr>
          <w:rFonts w:ascii="Times New Roman" w:cs="Times New Roman" w:eastAsia="Times New Roman" w:hAnsi="Times New Roman"/>
          <w:sz w:val="22"/>
          <w:szCs w:val="22"/>
          <w:b w:val="1"/>
          <w:bCs w:val="1"/>
          <w:color w:val="auto"/>
        </w:rPr>
        <w:t xml:space="preserve">6.3 Distributions. </w:t>
      </w:r>
      <w:r>
        <w:rPr>
          <w:rFonts w:ascii="Times New Roman" w:cs="Times New Roman" w:eastAsia="Times New Roman" w:hAnsi="Times New Roman"/>
          <w:sz w:val="22"/>
          <w:szCs w:val="22"/>
          <w:color w:val="auto"/>
        </w:rPr>
        <w:t>The value of an Outside Director’s Plan Year Accounts will be distributed, or will begin to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distributed, to him or her or, in the event of his or her death, to his or her Beneficiary, within 10 days following the earliest of:</w:t>
      </w:r>
    </w:p>
    <w:p>
      <w:pPr>
        <w:spacing w:after="0" w:line="141" w:lineRule="exact"/>
        <w:rPr>
          <w:sz w:val="20"/>
          <w:szCs w:val="20"/>
          <w:color w:val="auto"/>
        </w:rPr>
      </w:pPr>
    </w:p>
    <w:p>
      <w:pPr>
        <w:ind w:left="940" w:hanging="284"/>
        <w:spacing w:after="0"/>
        <w:tabs>
          <w:tab w:leader="none" w:pos="94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date specified by the Outside Director in his or her Deferral Election for each such Plan Year Account;</w:t>
      </w:r>
    </w:p>
    <w:p>
      <w:pPr>
        <w:spacing w:after="0" w:line="219" w:lineRule="exact"/>
        <w:rPr>
          <w:rFonts w:ascii="Times New Roman" w:cs="Times New Roman" w:eastAsia="Times New Roman" w:hAnsi="Times New Roman"/>
          <w:sz w:val="22"/>
          <w:szCs w:val="22"/>
          <w:color w:val="auto"/>
        </w:rPr>
      </w:pPr>
    </w:p>
    <w:p>
      <w:pPr>
        <w:ind w:left="960" w:hanging="304"/>
        <w:spacing w:after="0"/>
        <w:tabs>
          <w:tab w:leader="none" w:pos="96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Outside Director’s Termination Date; and</w:t>
      </w:r>
    </w:p>
    <w:p>
      <w:pPr>
        <w:spacing w:after="0" w:line="219" w:lineRule="exact"/>
        <w:rPr>
          <w:rFonts w:ascii="Times New Roman" w:cs="Times New Roman" w:eastAsia="Times New Roman" w:hAnsi="Times New Roman"/>
          <w:sz w:val="22"/>
          <w:szCs w:val="22"/>
          <w:color w:val="auto"/>
        </w:rPr>
      </w:pPr>
    </w:p>
    <w:p>
      <w:pPr>
        <w:ind w:left="940" w:hanging="284"/>
        <w:spacing w:after="0"/>
        <w:tabs>
          <w:tab w:leader="none" w:pos="94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date on which a Change in Control occurs.</w:t>
      </w:r>
    </w:p>
    <w:p>
      <w:pPr>
        <w:spacing w:after="0" w:line="22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Each Plan Year Account will be paid to the Outside Director in a lump sum or in annual installments in accordance with his or her Deferral Election for such Plan Year Account. If an Outside Director fails to elect a payout form for any Plan Year, his or her Plan Year Account with respect to any such Plan Year will be paid in a single lump sum.</w:t>
      </w:r>
    </w:p>
    <w:p>
      <w:pPr>
        <w:spacing w:after="0" w:line="167" w:lineRule="exact"/>
        <w:rPr>
          <w:sz w:val="20"/>
          <w:szCs w:val="20"/>
          <w:color w:val="auto"/>
        </w:rPr>
      </w:pPr>
    </w:p>
    <w:p>
      <w:pPr>
        <w:jc w:val="both"/>
        <w:ind w:firstLine="783"/>
        <w:spacing w:after="0" w:line="257" w:lineRule="auto"/>
        <w:rPr>
          <w:sz w:val="20"/>
          <w:szCs w:val="20"/>
          <w:color w:val="auto"/>
        </w:rPr>
      </w:pPr>
      <w:r>
        <w:rPr>
          <w:rFonts w:ascii="Times New Roman" w:cs="Times New Roman" w:eastAsia="Times New Roman" w:hAnsi="Times New Roman"/>
          <w:sz w:val="22"/>
          <w:szCs w:val="22"/>
          <w:color w:val="auto"/>
        </w:rPr>
        <w:t>If an Outside Director elects to receive payment of a Plan Year Account in annual installments, the payment period for the annual installments will not exceed five years. The amount of each annual installment payment will equal the product of (a) the balance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40" w:right="339" w:bottom="1440" w:gutter="0" w:footer="0" w:header="0"/>
        </w:sectPr>
      </w:pPr>
    </w:p>
    <w:bookmarkStart w:id="124" w:name="page125"/>
    <w:bookmarkEnd w:id="124"/>
    <w:p>
      <w:pPr>
        <w:spacing w:after="0" w:line="9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Outside Director’s Plan Year Account on the date the payment is made multiplied by (b) a fraction, the numerator of which is one and the denominator of which is the number of unpaid remaining annual installments. The balance of the Plan Year Account will be appropriately reduced to reflect any Installment Payments already made hereunder. Notwithstanding the foregoing, in the event of a Change in Control, the balance remaining in an Outside Director’s Account will be paid in a single lump sum payment within 10 days following the Change in Control.</w:t>
      </w:r>
    </w:p>
    <w:p>
      <w:pPr>
        <w:spacing w:after="0" w:line="179" w:lineRule="exact"/>
        <w:rPr>
          <w:sz w:val="20"/>
          <w:szCs w:val="20"/>
          <w:color w:val="auto"/>
        </w:rPr>
      </w:pPr>
    </w:p>
    <w:p>
      <w:pPr>
        <w:jc w:val="both"/>
        <w:ind w:firstLine="783"/>
        <w:spacing w:after="0" w:line="257" w:lineRule="auto"/>
        <w:rPr>
          <w:sz w:val="20"/>
          <w:szCs w:val="20"/>
          <w:color w:val="auto"/>
        </w:rPr>
      </w:pPr>
      <w:r>
        <w:rPr>
          <w:rFonts w:ascii="Times New Roman" w:cs="Times New Roman" w:eastAsia="Times New Roman" w:hAnsi="Times New Roman"/>
          <w:sz w:val="22"/>
          <w:szCs w:val="22"/>
          <w:color w:val="auto"/>
        </w:rPr>
        <w:t>If an Outside Director dies before he or she has received payment of all amounts due hereunder, the balances remaining in the Outside Director’s Account will be distributed to his or her Beneficiary in a single lump sum payment within 90 days following the Outside Director’s death.</w:t>
      </w:r>
    </w:p>
    <w:p>
      <w:pPr>
        <w:spacing w:after="0" w:line="182"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6.4 RSU Grant Deferral. </w:t>
      </w:r>
      <w:r>
        <w:rPr>
          <w:rFonts w:ascii="Times New Roman" w:cs="Times New Roman" w:eastAsia="Times New Roman" w:hAnsi="Times New Roman"/>
          <w:sz w:val="22"/>
          <w:szCs w:val="22"/>
          <w:color w:val="auto"/>
        </w:rPr>
        <w:t>The Board may establish rules and procedures to permit Outside Directors to defer RSU grants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made pursuant to Section 5.2, as it deems appropriate and in compliance with Code Section 409A.</w:t>
      </w:r>
    </w:p>
    <w:p>
      <w:pPr>
        <w:spacing w:after="0" w:line="14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2"/>
          <w:szCs w:val="22"/>
          <w:b w:val="1"/>
          <w:bCs w:val="1"/>
          <w:color w:val="auto"/>
        </w:rPr>
        <w:t xml:space="preserve">6.5 Beneficiary. </w:t>
      </w:r>
      <w:r>
        <w:rPr>
          <w:rFonts w:ascii="Times New Roman" w:cs="Times New Roman" w:eastAsia="Times New Roman" w:hAnsi="Times New Roman"/>
          <w:sz w:val="22"/>
          <w:szCs w:val="22"/>
          <w:color w:val="auto"/>
        </w:rPr>
        <w:t>An Outside Director may designate any person to whom payments are to be made if the Outside Director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dies before receiving payment of all amounts due hereunder. A Beneficiary Designation form becomes effective only after the signed form is filed with the Secretary of the Company while the Outside Director is alive, and will cancel any prior Beneficiary Designation form. If the Outside Director fails to designate a Beneficiary or if all designated Beneficiaries predecease the Outside Director, the Outside Director’s Beneficiary will be his or her estate.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Article 7. Effective Date.</w:t>
      </w:r>
    </w:p>
    <w:p>
      <w:pPr>
        <w:spacing w:after="0" w:line="224"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This amended and restated Plan is effective as of May 14, 2026 (the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and will remain in effect as provided in Section 1.3 hereof.</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Article 8. Miscellaneous</w:t>
      </w:r>
    </w:p>
    <w:p>
      <w:pPr>
        <w:spacing w:after="0" w:line="233" w:lineRule="exact"/>
        <w:rPr>
          <w:sz w:val="20"/>
          <w:szCs w:val="20"/>
          <w:color w:val="auto"/>
        </w:rPr>
      </w:pPr>
    </w:p>
    <w:p>
      <w:pPr>
        <w:jc w:val="both"/>
        <w:ind w:right="20"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8.1 Modification and Termination. </w:t>
      </w:r>
      <w:r>
        <w:rPr>
          <w:rFonts w:ascii="Times New Roman" w:cs="Times New Roman" w:eastAsia="Times New Roman" w:hAnsi="Times New Roman"/>
          <w:sz w:val="22"/>
          <w:szCs w:val="22"/>
          <w:color w:val="auto"/>
        </w:rPr>
        <w:t>The Board may at any time and from time to time, alter, amend, modify or terminate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Plan in whole or in part.</w:t>
      </w:r>
    </w:p>
    <w:p>
      <w:pPr>
        <w:spacing w:after="0" w:line="149"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b w:val="1"/>
          <w:bCs w:val="1"/>
          <w:color w:val="auto"/>
        </w:rPr>
        <w:t xml:space="preserve">8.2 Indemnification. </w:t>
      </w:r>
      <w:r>
        <w:rPr>
          <w:rFonts w:ascii="Times New Roman" w:cs="Times New Roman" w:eastAsia="Times New Roman" w:hAnsi="Times New Roman"/>
          <w:sz w:val="22"/>
          <w:szCs w:val="22"/>
          <w:color w:val="auto"/>
        </w:rPr>
        <w:t>To the extent permissible under applicable law and under the Company’s Certificate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Incorporation and By-Laws, each person who is or has been a member of the Board will be indemnified and held harmless by the Company against and from any loss, cost, liability, or expense that may be imposed upon or reasonably incurred by that person in connection with or resulting from any claim, action, suit, or proceeding to which that person may be a party or in which that person may be involved by reason of any action taken or failure to act under the Plan and against and from any and all amounts paid by that person in a settlement approved by the Company, or paid by that person in satisfaction of any judgment in any such action, suit, or proceeding against that person, provided he or she gives the Company an opportunity, at its own expense, to handle and defend the action, suit or proceeding before that person undertakes to handle and defend it. The foregoing right of indemnification will not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40" w:right="339" w:bottom="1440" w:gutter="0" w:footer="0" w:header="0"/>
        </w:sectPr>
      </w:pPr>
    </w:p>
    <w:bookmarkStart w:id="125" w:name="page126"/>
    <w:bookmarkEnd w:id="125"/>
    <w:p>
      <w:pPr>
        <w:spacing w:after="0" w:line="9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exclusive of any other rights of indemnification to which an individual may be entitled under the Company’s Certificate of Incorporation or By-Laws, as a matter of law, or otherwise, or any power that the Company may have to indemnify him or her or hold him or her harmless.</w:t>
      </w:r>
    </w:p>
    <w:p>
      <w:pPr>
        <w:spacing w:after="0" w:line="18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8.3 Successors. </w:t>
      </w:r>
      <w:r>
        <w:rPr>
          <w:rFonts w:ascii="Times New Roman" w:cs="Times New Roman" w:eastAsia="Times New Roman" w:hAnsi="Times New Roman"/>
          <w:sz w:val="22"/>
          <w:szCs w:val="22"/>
          <w:color w:val="auto"/>
        </w:rPr>
        <w:t>All obligations of the Company under the Plan with respect to a given Plan Year will be binding on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successor to the Company, whether the existence of the successor is the result of a direct or indirect purchase of all or substantially all of the business and/or assets of the Company, or a merger, consolidation, or otherwise.</w:t>
      </w:r>
    </w:p>
    <w:p>
      <w:pPr>
        <w:spacing w:after="0" w:line="166"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8.4 Reservation of Rights. </w:t>
      </w:r>
      <w:r>
        <w:rPr>
          <w:rFonts w:ascii="Times New Roman" w:cs="Times New Roman" w:eastAsia="Times New Roman" w:hAnsi="Times New Roman"/>
          <w:sz w:val="22"/>
          <w:szCs w:val="22"/>
          <w:color w:val="auto"/>
        </w:rPr>
        <w:t>Nothing in this Plan or in any award agreement hereunder will be construed to limit in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way the right of the Company’s stockholders to remove an Outside Director from the Board of Directors.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Article 9. Legal Construction</w:t>
      </w:r>
    </w:p>
    <w:p>
      <w:pPr>
        <w:spacing w:after="0" w:line="220"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9.1 Gender and Number. </w:t>
      </w:r>
      <w:r>
        <w:rPr>
          <w:rFonts w:ascii="Times New Roman" w:cs="Times New Roman" w:eastAsia="Times New Roman" w:hAnsi="Times New Roman"/>
          <w:sz w:val="22"/>
          <w:szCs w:val="22"/>
          <w:color w:val="auto"/>
        </w:rPr>
        <w:t>Except where otherwise indicated by the context, any masculine term used herein will also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include the feminine; the plural will include the singular and the singular will include the plural.</w:t>
      </w:r>
    </w:p>
    <w:p>
      <w:pPr>
        <w:spacing w:after="0" w:line="14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9.2 Severability. </w:t>
      </w:r>
      <w:r>
        <w:rPr>
          <w:rFonts w:ascii="Times New Roman" w:cs="Times New Roman" w:eastAsia="Times New Roman" w:hAnsi="Times New Roman"/>
          <w:sz w:val="22"/>
          <w:szCs w:val="22"/>
          <w:color w:val="auto"/>
        </w:rPr>
        <w:t>If any provision of the Plan is held illegal or invalid for any reason, the illegality or invalidity will not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affect the remaining parts of the Plan, and the Plan will be construed and enforced as if the illegal or invalid provision had not been included.</w:t>
      </w:r>
    </w:p>
    <w:p>
      <w:pPr>
        <w:spacing w:after="0" w:line="180"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9.3 Requirements of Law. </w:t>
      </w:r>
      <w:r>
        <w:rPr>
          <w:rFonts w:ascii="Times New Roman" w:cs="Times New Roman" w:eastAsia="Times New Roman" w:hAnsi="Times New Roman"/>
          <w:sz w:val="22"/>
          <w:szCs w:val="22"/>
          <w:color w:val="auto"/>
        </w:rPr>
        <w:t>The issuance of payments under the Plan will be subject to all applicable laws, rules,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regulations, and to any approvals required by any governmental agencies or national securities exchanges.</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9.4 Securities Law and Tax Law Compliance.</w:t>
      </w:r>
    </w:p>
    <w:p>
      <w:pPr>
        <w:spacing w:after="0" w:line="220" w:lineRule="exact"/>
        <w:rPr>
          <w:sz w:val="20"/>
          <w:szCs w:val="20"/>
          <w:color w:val="auto"/>
        </w:rPr>
      </w:pPr>
    </w:p>
    <w:p>
      <w:pPr>
        <w:jc w:val="both"/>
        <w:ind w:firstLine="656"/>
        <w:spacing w:after="0" w:line="265" w:lineRule="auto"/>
        <w:tabs>
          <w:tab w:leader="none" w:pos="942"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Insider Trading. </w:t>
      </w:r>
      <w:r>
        <w:rPr>
          <w:rFonts w:ascii="Times New Roman" w:cs="Times New Roman" w:eastAsia="Times New Roman" w:hAnsi="Times New Roman"/>
          <w:sz w:val="22"/>
          <w:szCs w:val="22"/>
          <w:color w:val="auto"/>
        </w:rPr>
        <w:t>To the extent any provision of the Plan or action by the Board would subject any Outside Director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liability under Section 16(b) of the Exchange Act, it will be deemed null and void, to the extent permitted by law and deemed advisable by the Board.</w:t>
      </w:r>
    </w:p>
    <w:p>
      <w:pPr>
        <w:spacing w:after="0" w:line="161" w:lineRule="exact"/>
        <w:rPr>
          <w:rFonts w:ascii="Times New Roman" w:cs="Times New Roman" w:eastAsia="Times New Roman" w:hAnsi="Times New Roman"/>
          <w:sz w:val="22"/>
          <w:szCs w:val="22"/>
          <w:color w:val="auto"/>
        </w:rPr>
      </w:pPr>
    </w:p>
    <w:p>
      <w:pPr>
        <w:jc w:val="both"/>
        <w:ind w:firstLine="656"/>
        <w:spacing w:after="0" w:line="252" w:lineRule="auto"/>
        <w:tabs>
          <w:tab w:leader="none" w:pos="967"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Section 409A. </w:t>
      </w:r>
      <w:r>
        <w:rPr>
          <w:rFonts w:ascii="Times New Roman" w:cs="Times New Roman" w:eastAsia="Times New Roman" w:hAnsi="Times New Roman"/>
          <w:sz w:val="22"/>
          <w:szCs w:val="22"/>
          <w:color w:val="auto"/>
        </w:rPr>
        <w:t>This Plan is intended to comply with Code Section 409A and the regulations thereunder, and will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administered and interpreted in accordance with such intent. If the Company determines that any provision of the Plan is or might be inconsistent with the requirements of Code Section 409A, it will attempt in good faith to make such changes to the Plan as may be necessary or appropriate to avoid an Outside Director becoming subject to adverse tax consequences under Code Section 409A. No provision of the Plan will be interpreted to transfer any liability for a failure to comply with Code Section 409A from an Outside Director or any other individual to the Company.</w:t>
      </w:r>
    </w:p>
    <w:p>
      <w:pPr>
        <w:spacing w:after="0" w:line="17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9.5 Unfunded Status of the Plan. </w:t>
      </w:r>
      <w:r>
        <w:rPr>
          <w:rFonts w:ascii="Times New Roman" w:cs="Times New Roman" w:eastAsia="Times New Roman" w:hAnsi="Times New Roman"/>
          <w:sz w:val="22"/>
          <w:szCs w:val="22"/>
          <w:color w:val="auto"/>
        </w:rPr>
        <w:t>The Plan is intended to constitute an “unfunded” plan. With respect to any payments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not yet made to an Outside Director by the Company, nothing contained herein will give any rights to an Outside Director that are greater than those of a general creditor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440" w:right="339" w:bottom="1440" w:gutter="0" w:footer="0" w:header="0"/>
        </w:sectPr>
      </w:pPr>
    </w:p>
    <w:bookmarkStart w:id="126" w:name="page127"/>
    <w:bookmarkEnd w:id="126"/>
    <w:p>
      <w:pPr>
        <w:spacing w:after="0" w:line="86"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9.6 Governing Law. </w:t>
      </w:r>
      <w:r>
        <w:rPr>
          <w:rFonts w:ascii="Times New Roman" w:cs="Times New Roman" w:eastAsia="Times New Roman" w:hAnsi="Times New Roman"/>
          <w:sz w:val="22"/>
          <w:szCs w:val="22"/>
          <w:color w:val="auto"/>
        </w:rPr>
        <w:t>The Plan will be construed in accordance with and governed by the laws of the State of Michigan,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determined without regard to its conflict of law rules.</w:t>
      </w:r>
    </w:p>
    <w:p>
      <w:pPr>
        <w:spacing w:after="0" w:line="14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b w:val="1"/>
          <w:bCs w:val="1"/>
          <w:color w:val="auto"/>
        </w:rPr>
        <w:t xml:space="preserve">9.7 Nontransferability. </w:t>
      </w:r>
      <w:r>
        <w:rPr>
          <w:rFonts w:ascii="Times New Roman" w:cs="Times New Roman" w:eastAsia="Times New Roman" w:hAnsi="Times New Roman"/>
          <w:sz w:val="22"/>
          <w:szCs w:val="22"/>
          <w:color w:val="auto"/>
        </w:rPr>
        <w:t>An Outside Director’s Account and any RSUs granted hereunder may not be sold, transferred,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pledged, assigned, or otherwise alienated or hypothecated, other than by will or by the laws of descent and distribution, or pursuant to a domestic relations order (as defined in Code Section 414(p)). All rights with respect to Accounts and RSUs will be available during the Outside Director’s lifetime only to the Outside Director or the Outside Director’s guardian or legal representative. The Board of Directors may, in its discretion, require an Outside Director’s guardian or legal representative to supply it with evidence the Board of Directors deems necessary to establish the authority of the guardian or legal representative to act on behalf of the Outside Director.</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440" w:right="339" w:bottom="1440" w:gutter="0" w:footer="0" w:header="0"/>
        </w:sectPr>
      </w:pPr>
    </w:p>
    <w:bookmarkStart w:id="127" w:name="page128"/>
    <w:bookmarkEnd w:id="127"/>
    <w:p>
      <w:pPr>
        <w:jc w:val="right"/>
        <w:spacing w:after="0"/>
        <w:rPr>
          <w:sz w:val="20"/>
          <w:szCs w:val="20"/>
          <w:color w:val="auto"/>
        </w:rPr>
      </w:pPr>
      <w:r>
        <w:rPr>
          <w:rFonts w:ascii="Times New Roman" w:cs="Times New Roman" w:eastAsia="Times New Roman" w:hAnsi="Times New Roman"/>
          <w:sz w:val="18"/>
          <w:szCs w:val="18"/>
          <w:b w:val="1"/>
          <w:bCs w:val="1"/>
          <w:color w:val="auto"/>
        </w:rPr>
        <w:t>Exhibit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1014095</wp:posOffset>
            </wp:positionV>
            <wp:extent cx="1714500" cy="43751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06">
                      <a:extLst>
                        <a:ext uri="{28A0092B-C50C-407E-A947-70E740481C1C}"/>
                      </a:extLst>
                    </a:blip>
                    <a:srcRect/>
                    <a:stretch>
                      <a:fillRect/>
                    </a:stretch>
                  </pic:blipFill>
                  <pic:spPr bwMode="auto">
                    <a:xfrm>
                      <a:off x="0" y="0"/>
                      <a:ext cx="1714500" cy="437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left="2760"/>
        <w:spacing w:after="0"/>
        <w:rPr>
          <w:sz w:val="20"/>
          <w:szCs w:val="20"/>
          <w:color w:val="auto"/>
        </w:rPr>
      </w:pPr>
      <w:r>
        <w:rPr>
          <w:rFonts w:ascii="Times New Roman" w:cs="Times New Roman" w:eastAsia="Times New Roman" w:hAnsi="Times New Roman"/>
          <w:sz w:val="22"/>
          <w:szCs w:val="22"/>
          <w:b w:val="1"/>
          <w:bCs w:val="1"/>
          <w:color w:val="auto"/>
        </w:rPr>
        <w:t>INSIDER TRADING POLICY</w:t>
      </w:r>
    </w:p>
    <w:p>
      <w:pPr>
        <w:spacing w:after="0" w:line="8" w:lineRule="exact"/>
        <w:rPr>
          <w:sz w:val="20"/>
          <w:szCs w:val="20"/>
          <w:color w:val="auto"/>
        </w:rPr>
      </w:pPr>
    </w:p>
    <w:p>
      <w:pPr>
        <w:jc w:val="center"/>
        <w:ind w:left="2760"/>
        <w:spacing w:after="0"/>
        <w:rPr>
          <w:sz w:val="20"/>
          <w:szCs w:val="20"/>
          <w:color w:val="auto"/>
        </w:rPr>
      </w:pPr>
      <w:r>
        <w:rPr>
          <w:rFonts w:ascii="Times New Roman" w:cs="Times New Roman" w:eastAsia="Times New Roman" w:hAnsi="Times New Roman"/>
          <w:sz w:val="22"/>
          <w:szCs w:val="22"/>
          <w:b w:val="1"/>
          <w:bCs w:val="1"/>
          <w:color w:val="auto"/>
        </w:rPr>
        <w:t>OF</w:t>
      </w:r>
    </w:p>
    <w:p>
      <w:pPr>
        <w:jc w:val="center"/>
        <w:ind w:left="2760"/>
        <w:spacing w:after="0"/>
        <w:rPr>
          <w:sz w:val="20"/>
          <w:szCs w:val="20"/>
          <w:color w:val="auto"/>
        </w:rPr>
      </w:pPr>
      <w:r>
        <w:rPr>
          <w:rFonts w:ascii="Times New Roman" w:cs="Times New Roman" w:eastAsia="Times New Roman" w:hAnsi="Times New Roman"/>
          <w:sz w:val="22"/>
          <w:szCs w:val="22"/>
          <w:b w:val="1"/>
          <w:bCs w:val="1"/>
          <w:color w:val="auto"/>
        </w:rPr>
        <w:t>LEAR CORPORATION</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As adopted by the Board of Directors, effective September 21, 2023</w:t>
      </w:r>
    </w:p>
    <w:p>
      <w:pPr>
        <w:spacing w:after="0" w:line="237" w:lineRule="exact"/>
        <w:rPr>
          <w:sz w:val="20"/>
          <w:szCs w:val="20"/>
          <w:color w:val="auto"/>
        </w:rPr>
      </w:pPr>
    </w:p>
    <w:p>
      <w:pPr>
        <w:jc w:val="both"/>
        <w:ind w:firstLine="737"/>
        <w:spacing w:after="0" w:line="235" w:lineRule="auto"/>
        <w:rPr>
          <w:sz w:val="20"/>
          <w:szCs w:val="20"/>
          <w:color w:val="auto"/>
        </w:rPr>
      </w:pPr>
      <w:r>
        <w:rPr>
          <w:rFonts w:ascii="Times New Roman" w:cs="Times New Roman" w:eastAsia="Times New Roman" w:hAnsi="Times New Roman"/>
          <w:sz w:val="22"/>
          <w:szCs w:val="22"/>
          <w:color w:val="auto"/>
        </w:rPr>
        <w:t>Lear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has adopted this Insider Trading Policy (this “</w:t>
      </w:r>
      <w:r>
        <w:rPr>
          <w:rFonts w:ascii="Times New Roman" w:cs="Times New Roman" w:eastAsia="Times New Roman" w:hAnsi="Times New Roman"/>
          <w:sz w:val="22"/>
          <w:szCs w:val="22"/>
          <w:u w:val="single" w:color="auto"/>
          <w:color w:val="auto"/>
        </w:rPr>
        <w:t>Policy</w:t>
      </w:r>
      <w:r>
        <w:rPr>
          <w:rFonts w:ascii="Times New Roman" w:cs="Times New Roman" w:eastAsia="Times New Roman" w:hAnsi="Times New Roman"/>
          <w:sz w:val="22"/>
          <w:szCs w:val="22"/>
          <w:color w:val="auto"/>
        </w:rPr>
        <w:t>”) both to satisfy its obligation to prevent insider trading and to help the persons subject to this Policy avoid the severe consequences associated with violations of the insider trading laws. The Policy also is intended to prevent even the appearance of improper conduct on the part of anyone subject to this Policy. For the categories of individuals set forth below in the definition of “Persons Covered,” this Policy supplements the insider trading discussion in the Company’s Code of Business Conduct &amp; Ethics.</w:t>
      </w:r>
    </w:p>
    <w:p>
      <w:pPr>
        <w:spacing w:after="0" w:line="20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b w:val="1"/>
          <w:bCs w:val="1"/>
          <w:u w:val="single" w:color="auto"/>
          <w:color w:val="auto"/>
        </w:rPr>
        <w:t>Scope of Policy</w:t>
      </w:r>
    </w:p>
    <w:p>
      <w:pPr>
        <w:spacing w:after="0" w:line="233" w:lineRule="exact"/>
        <w:rPr>
          <w:sz w:val="20"/>
          <w:szCs w:val="20"/>
          <w:color w:val="auto"/>
        </w:rPr>
      </w:pPr>
    </w:p>
    <w:p>
      <w:pPr>
        <w:jc w:val="both"/>
        <w:ind w:firstLine="737"/>
        <w:spacing w:after="0" w:line="238" w:lineRule="auto"/>
        <w:rPr>
          <w:sz w:val="20"/>
          <w:szCs w:val="20"/>
          <w:color w:val="auto"/>
        </w:rPr>
      </w:pPr>
      <w:r>
        <w:rPr>
          <w:rFonts w:ascii="Times New Roman" w:cs="Times New Roman" w:eastAsia="Times New Roman" w:hAnsi="Times New Roman"/>
          <w:sz w:val="22"/>
          <w:szCs w:val="22"/>
          <w:i w:val="1"/>
          <w:iCs w:val="1"/>
          <w:u w:val="single" w:color="auto"/>
          <w:color w:val="auto"/>
        </w:rPr>
        <w:t>Persons Covered</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This Policy applies to all directors and officers (collectively, the “</w:t>
      </w:r>
      <w:r>
        <w:rPr>
          <w:rFonts w:ascii="Times New Roman" w:cs="Times New Roman" w:eastAsia="Times New Roman" w:hAnsi="Times New Roman"/>
          <w:sz w:val="22"/>
          <w:szCs w:val="22"/>
          <w:u w:val="single" w:color="auto"/>
          <w:color w:val="auto"/>
        </w:rPr>
        <w:t>D&amp;Os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of the Company and certain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other employees who may be designated by the General Counsel from time to time (“</w:t>
      </w:r>
      <w:r>
        <w:rPr>
          <w:rFonts w:ascii="Times New Roman" w:cs="Times New Roman" w:eastAsia="Times New Roman" w:hAnsi="Times New Roman"/>
          <w:sz w:val="22"/>
          <w:szCs w:val="22"/>
          <w:u w:val="single" w:color="auto"/>
          <w:color w:val="auto"/>
        </w:rPr>
        <w:t>Designated Individuals</w:t>
      </w:r>
      <w:r>
        <w:rPr>
          <w:rFonts w:ascii="Times New Roman" w:cs="Times New Roman" w:eastAsia="Times New Roman" w:hAnsi="Times New Roman"/>
          <w:sz w:val="22"/>
          <w:szCs w:val="22"/>
          <w:color w:val="auto"/>
        </w:rPr>
        <w:t>”) because of their periodic access to certain material nonpublic information, as well as the Family Members and Controlled Entities of the foregoing. Unless a provision is specified as only applying to D&amp;Os, the provisions of this Policy apply to both D&amp;Os and Designated Individuals.</w:t>
      </w:r>
    </w:p>
    <w:p>
      <w:pPr>
        <w:spacing w:after="0" w:line="194" w:lineRule="exact"/>
        <w:rPr>
          <w:sz w:val="20"/>
          <w:szCs w:val="20"/>
          <w:color w:val="auto"/>
        </w:rPr>
      </w:pPr>
    </w:p>
    <w:p>
      <w:pPr>
        <w:jc w:val="both"/>
        <w:ind w:firstLine="73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Family Members</w:t>
      </w:r>
      <w:r>
        <w:rPr>
          <w:rFonts w:ascii="Times New Roman" w:cs="Times New Roman" w:eastAsia="Times New Roman" w:hAnsi="Times New Roman"/>
          <w:sz w:val="22"/>
          <w:szCs w:val="22"/>
          <w:color w:val="auto"/>
        </w:rPr>
        <w:t>” include a person’s spouse or life-partner, parents, stepparents, children, stepchildren, siblings, mothers- and fathers-in-law, sons- and daughters-in-law, and brothers- and sisters-in-law and anyone residing in the home of the director or officer of the Company (other than a tenant or employee).</w:t>
      </w:r>
    </w:p>
    <w:p>
      <w:pPr>
        <w:spacing w:after="0" w:line="20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Controlled Entities</w:t>
      </w:r>
      <w:r>
        <w:rPr>
          <w:rFonts w:ascii="Times New Roman" w:cs="Times New Roman" w:eastAsia="Times New Roman" w:hAnsi="Times New Roman"/>
          <w:sz w:val="22"/>
          <w:szCs w:val="22"/>
          <w:color w:val="auto"/>
        </w:rPr>
        <w:t>” include any legal entities controlled by a person, such as any corporations, partnerships, or trusts.</w:t>
      </w:r>
    </w:p>
    <w:p>
      <w:pPr>
        <w:spacing w:after="0" w:line="229" w:lineRule="exact"/>
        <w:rPr>
          <w:sz w:val="20"/>
          <w:szCs w:val="20"/>
          <w:color w:val="auto"/>
        </w:rPr>
      </w:pPr>
    </w:p>
    <w:p>
      <w:pPr>
        <w:jc w:val="both"/>
        <w:ind w:firstLine="737"/>
        <w:spacing w:after="0" w:line="237" w:lineRule="auto"/>
        <w:rPr>
          <w:sz w:val="20"/>
          <w:szCs w:val="20"/>
          <w:color w:val="auto"/>
        </w:rPr>
      </w:pPr>
      <w:r>
        <w:rPr>
          <w:rFonts w:ascii="Times New Roman" w:cs="Times New Roman" w:eastAsia="Times New Roman" w:hAnsi="Times New Roman"/>
          <w:sz w:val="22"/>
          <w:szCs w:val="22"/>
          <w:i w:val="1"/>
          <w:iCs w:val="1"/>
          <w:u w:val="single" w:color="auto"/>
          <w:color w:val="auto"/>
        </w:rPr>
        <w:t>Securities Covered</w:t>
      </w:r>
      <w:r>
        <w:rPr>
          <w:rFonts w:ascii="Times New Roman" w:cs="Times New Roman" w:eastAsia="Times New Roman" w:hAnsi="Times New Roman"/>
          <w:sz w:val="22"/>
          <w:szCs w:val="22"/>
          <w:color w:val="auto"/>
        </w:rPr>
        <w:t>. Although it is most likely that the “material, nonpublic information” a person subject to this Policy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possesses will relate to the common stock of the Company, the Company may from time to time issue other securities that are publicly traded and, therefore, subject to this Policy. In addition, this Policy applies to purchases and sales of the securities of other entities, including those of suppliers of the Company and entities with which the Company may be negotiating major transactions (such as an acquisition, investment or sale of assets). Information that is not material to the Company may nevertheless be material to those entities.</w:t>
      </w:r>
    </w:p>
    <w:p>
      <w:pPr>
        <w:spacing w:after="0" w:line="20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b w:val="1"/>
          <w:bCs w:val="1"/>
          <w:u w:val="single" w:color="auto"/>
          <w:color w:val="auto"/>
        </w:rPr>
        <w:t>Statement of Policy</w:t>
      </w:r>
    </w:p>
    <w:p>
      <w:pPr>
        <w:spacing w:after="0" w:line="220" w:lineRule="exact"/>
        <w:rPr>
          <w:sz w:val="20"/>
          <w:szCs w:val="20"/>
          <w:color w:val="auto"/>
        </w:rPr>
      </w:pPr>
    </w:p>
    <w:p>
      <w:pPr>
        <w:jc w:val="both"/>
        <w:ind w:firstLine="737"/>
        <w:spacing w:after="0" w:line="262" w:lineRule="auto"/>
        <w:rPr>
          <w:sz w:val="20"/>
          <w:szCs w:val="20"/>
          <w:color w:val="auto"/>
        </w:rPr>
      </w:pPr>
      <w:r>
        <w:rPr>
          <w:rFonts w:ascii="Times New Roman" w:cs="Times New Roman" w:eastAsia="Times New Roman" w:hAnsi="Times New Roman"/>
          <w:sz w:val="22"/>
          <w:szCs w:val="22"/>
          <w:i w:val="1"/>
          <w:iCs w:val="1"/>
          <w:u w:val="single" w:color="auto"/>
          <w:color w:val="auto"/>
        </w:rPr>
        <w:t>No Trading on “Material, Nonpublic Information.”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If a person subject to this Policy possesses “material, nonpublic</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information” relating to the Company, its subsidiaries or any other</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117" w:right="339" w:bottom="1440" w:gutter="0" w:footer="0" w:header="0"/>
        </w:sectPr>
      </w:pPr>
    </w:p>
    <w:bookmarkStart w:id="128" w:name="page129"/>
    <w:bookmarkEnd w:id="128"/>
    <w:p>
      <w:pPr>
        <w:jc w:val="right"/>
        <w:spacing w:after="0"/>
        <w:rPr>
          <w:sz w:val="20"/>
          <w:szCs w:val="20"/>
          <w:color w:val="auto"/>
        </w:rPr>
      </w:pPr>
      <w:r>
        <w:rPr>
          <w:rFonts w:ascii="Times New Roman" w:cs="Times New Roman" w:eastAsia="Times New Roman" w:hAnsi="Times New Roman"/>
          <w:sz w:val="18"/>
          <w:szCs w:val="18"/>
          <w:b w:val="1"/>
          <w:bCs w:val="1"/>
          <w:color w:val="auto"/>
        </w:rPr>
        <w:t>Exhibit 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entity, such person may not (a) purchase or sell securities of the Company or such other entity,</w:t>
      </w:r>
    </w:p>
    <w:p>
      <w:pPr>
        <w:spacing w:after="0" w:line="14" w:lineRule="exact"/>
        <w:rPr>
          <w:sz w:val="20"/>
          <w:szCs w:val="20"/>
          <w:color w:val="auto"/>
        </w:rPr>
      </w:pPr>
    </w:p>
    <w:p>
      <w:pPr>
        <w:ind w:right="440" w:firstLine="98"/>
        <w:spacing w:after="0" w:line="237" w:lineRule="auto"/>
        <w:tabs>
          <w:tab w:leader="none" w:pos="396"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direct any other person to purchase or sell such securities or (c) disclose the information to anyone outside the Company except as permitted by this Policy.</w:t>
      </w:r>
    </w:p>
    <w:p>
      <w:pPr>
        <w:spacing w:after="0" w:line="201" w:lineRule="exact"/>
        <w:rPr>
          <w:sz w:val="20"/>
          <w:szCs w:val="20"/>
          <w:color w:val="auto"/>
        </w:rPr>
      </w:pPr>
    </w:p>
    <w:p>
      <w:pPr>
        <w:jc w:val="both"/>
        <w:ind w:firstLine="737"/>
        <w:spacing w:after="0" w:line="241" w:lineRule="auto"/>
        <w:rPr>
          <w:sz w:val="20"/>
          <w:szCs w:val="20"/>
          <w:color w:val="auto"/>
        </w:rPr>
      </w:pPr>
      <w:r>
        <w:rPr>
          <w:rFonts w:ascii="Times New Roman" w:cs="Times New Roman" w:eastAsia="Times New Roman" w:hAnsi="Times New Roman"/>
          <w:sz w:val="22"/>
          <w:szCs w:val="22"/>
          <w:i w:val="1"/>
          <w:iCs w:val="1"/>
          <w:u w:val="single" w:color="auto"/>
          <w:color w:val="auto"/>
        </w:rPr>
        <w:t>Material, Nonpublic Information</w:t>
      </w:r>
      <w:r>
        <w:rPr>
          <w:rFonts w:ascii="Times New Roman" w:cs="Times New Roman" w:eastAsia="Times New Roman" w:hAnsi="Times New Roman"/>
          <w:sz w:val="22"/>
          <w:szCs w:val="22"/>
          <w:color w:val="auto"/>
        </w:rPr>
        <w:t>. “Material, nonpublic information” is information that is not generally available to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public that could affect the market price of a security and which a reasonable investor would regard as important in deciding whether to buy, sell or hold the security. Either positive or negative information may be material. Common examples of material information may include:</w:t>
      </w:r>
    </w:p>
    <w:p>
      <w:pPr>
        <w:spacing w:after="0" w:line="230" w:lineRule="exact"/>
        <w:rPr>
          <w:sz w:val="20"/>
          <w:szCs w:val="20"/>
          <w:color w:val="auto"/>
        </w:rPr>
      </w:pPr>
    </w:p>
    <w:p>
      <w:pPr>
        <w:ind w:left="640" w:hanging="308"/>
        <w:spacing w:after="0"/>
        <w:tabs>
          <w:tab w:leader="none" w:pos="640" w:val="left"/>
        </w:tabs>
        <w:numPr>
          <w:ilvl w:val="0"/>
          <w:numId w:val="56"/>
        </w:numPr>
        <w:rPr>
          <w:rFonts w:ascii="Arial" w:cs="Arial" w:eastAsia="Arial" w:hAnsi="Arial"/>
          <w:sz w:val="20"/>
          <w:szCs w:val="20"/>
          <w:color w:val="auto"/>
        </w:rPr>
      </w:pPr>
      <w:r>
        <w:rPr>
          <w:rFonts w:ascii="Times New Roman" w:cs="Times New Roman" w:eastAsia="Times New Roman" w:hAnsi="Times New Roman"/>
          <w:sz w:val="22"/>
          <w:szCs w:val="22"/>
          <w:color w:val="auto"/>
        </w:rPr>
        <w:t>a dividend increase or decrease, or a change in dividend policy;</w:t>
      </w:r>
    </w:p>
    <w:p>
      <w:pPr>
        <w:spacing w:after="0" w:line="27" w:lineRule="exact"/>
        <w:rPr>
          <w:rFonts w:ascii="Arial" w:cs="Arial" w:eastAsia="Arial" w:hAnsi="Arial"/>
          <w:sz w:val="20"/>
          <w:szCs w:val="20"/>
          <w:color w:val="auto"/>
        </w:rPr>
      </w:pPr>
    </w:p>
    <w:p>
      <w:pPr>
        <w:ind w:left="640" w:hanging="308"/>
        <w:spacing w:after="0"/>
        <w:tabs>
          <w:tab w:leader="none" w:pos="64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the announcement of a share purchase program, or an increase in an existing share repurchase authorization;</w:t>
      </w:r>
    </w:p>
    <w:p>
      <w:pPr>
        <w:spacing w:after="0" w:line="5"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financial and operational results from a previously completed quarter or year;</w:t>
      </w:r>
    </w:p>
    <w:p>
      <w:pPr>
        <w:spacing w:after="0" w:line="15" w:lineRule="exact"/>
        <w:rPr>
          <w:rFonts w:ascii="Times New Roman" w:cs="Times New Roman" w:eastAsia="Times New Roman" w:hAnsi="Times New Roman"/>
          <w:sz w:val="20"/>
          <w:szCs w:val="20"/>
          <w:color w:val="auto"/>
        </w:rPr>
      </w:pPr>
    </w:p>
    <w:p>
      <w:pPr>
        <w:ind w:left="640" w:hanging="308"/>
        <w:spacing w:after="0" w:line="217" w:lineRule="auto"/>
        <w:tabs>
          <w:tab w:leader="none" w:pos="64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forecasts, estimates or projections of earnings or results of operations for current or future periods;</w:t>
      </w:r>
    </w:p>
    <w:p>
      <w:pPr>
        <w:ind w:left="640" w:hanging="308"/>
        <w:spacing w:after="0" w:line="217" w:lineRule="auto"/>
        <w:tabs>
          <w:tab w:leader="none" w:pos="64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news of a pending or proposed merger, acquisition, tender offer, divestiture or disposition of significant assets;</w:t>
      </w:r>
    </w:p>
    <w:p>
      <w:pPr>
        <w:ind w:left="640" w:hanging="308"/>
        <w:spacing w:after="0"/>
        <w:tabs>
          <w:tab w:leader="none" w:pos="64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a significant increase or decrease in business, such as a significant new business award or lost program;</w:t>
      </w:r>
    </w:p>
    <w:p>
      <w:pPr>
        <w:spacing w:after="0" w:line="5"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actual or threatened major litigation, or the resolution of such litigation;</w:t>
      </w:r>
    </w:p>
    <w:p>
      <w:pPr>
        <w:spacing w:after="0" w:line="17" w:lineRule="exact"/>
        <w:rPr>
          <w:rFonts w:ascii="Times New Roman" w:cs="Times New Roman" w:eastAsia="Times New Roman" w:hAnsi="Times New Roman"/>
          <w:sz w:val="20"/>
          <w:szCs w:val="20"/>
          <w:color w:val="auto"/>
        </w:rPr>
      </w:pPr>
    </w:p>
    <w:p>
      <w:pPr>
        <w:ind w:left="660" w:right="100" w:hanging="328"/>
        <w:spacing w:after="0" w:line="242" w:lineRule="auto"/>
        <w:tabs>
          <w:tab w:leader="none" w:pos="648"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major events regarding securities, including the declaration of a stock split or the offering of additional securities (debt or equity);</w:t>
      </w:r>
    </w:p>
    <w:p>
      <w:pPr>
        <w:ind w:left="640" w:hanging="308"/>
        <w:spacing w:after="0"/>
        <w:tabs>
          <w:tab w:leader="none" w:pos="64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new major contracts or finance sources, or the loss thereof;</w:t>
      </w:r>
    </w:p>
    <w:p>
      <w:pPr>
        <w:spacing w:after="0" w:line="20"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a significant change in management or the Board;</w:t>
      </w:r>
    </w:p>
    <w:p>
      <w:pPr>
        <w:spacing w:after="0" w:line="27"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a change in auditors or notification that an auditor report can no longer be relied upon;</w:t>
      </w:r>
    </w:p>
    <w:p>
      <w:pPr>
        <w:spacing w:after="0" w:line="3"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financial liquidity problems; or</w:t>
      </w:r>
    </w:p>
    <w:p>
      <w:pPr>
        <w:spacing w:after="0" w:line="20"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major cybersecurity risks or incidents, including vulnerabilities and breaches.</w:t>
      </w:r>
    </w:p>
    <w:p>
      <w:pPr>
        <w:spacing w:after="0" w:line="247" w:lineRule="exact"/>
        <w:rPr>
          <w:sz w:val="20"/>
          <w:szCs w:val="20"/>
          <w:color w:val="auto"/>
        </w:rPr>
      </w:pPr>
    </w:p>
    <w:p>
      <w:pPr>
        <w:jc w:val="both"/>
        <w:ind w:firstLine="737"/>
        <w:spacing w:after="0" w:line="235" w:lineRule="auto"/>
        <w:rPr>
          <w:sz w:val="20"/>
          <w:szCs w:val="20"/>
          <w:color w:val="auto"/>
        </w:rPr>
      </w:pPr>
      <w:r>
        <w:rPr>
          <w:rFonts w:ascii="Times New Roman" w:cs="Times New Roman" w:eastAsia="Times New Roman" w:hAnsi="Times New Roman"/>
          <w:sz w:val="22"/>
          <w:szCs w:val="22"/>
          <w:color w:val="auto"/>
        </w:rPr>
        <w:t>This list is not exhaustive; these and other types of information may be material at any particular time, depending on the circumstances. If a person subject to this Policy is unsure whether information is material, he or she should consult the General Counsel or its designee before making any decision to trade in or recommend securities to which that information relates or to disclose such information (other than to persons who need to know it and are subject to obligations of confidentiality), or assume that the information is material. Keep in mind that trading that receives scrutiny will be evaluated after the fact with the benefit of hindsight, including the ability to assess the extent to which a security’s trading price changed after the public release of the information.</w:t>
      </w:r>
    </w:p>
    <w:p>
      <w:pPr>
        <w:spacing w:after="0" w:line="206" w:lineRule="exact"/>
        <w:rPr>
          <w:sz w:val="20"/>
          <w:szCs w:val="20"/>
          <w:color w:val="auto"/>
        </w:rPr>
      </w:pPr>
    </w:p>
    <w:p>
      <w:pPr>
        <w:jc w:val="both"/>
        <w:ind w:firstLine="737"/>
        <w:spacing w:after="0" w:line="236" w:lineRule="auto"/>
        <w:rPr>
          <w:sz w:val="20"/>
          <w:szCs w:val="20"/>
          <w:color w:val="auto"/>
        </w:rPr>
      </w:pPr>
      <w:r>
        <w:rPr>
          <w:rFonts w:ascii="Times New Roman" w:cs="Times New Roman" w:eastAsia="Times New Roman" w:hAnsi="Times New Roman"/>
          <w:sz w:val="22"/>
          <w:szCs w:val="22"/>
          <w:i w:val="1"/>
          <w:iCs w:val="1"/>
          <w:u w:val="single" w:color="auto"/>
          <w:color w:val="auto"/>
        </w:rPr>
        <w:t>Public Information</w:t>
      </w:r>
      <w:r>
        <w:rPr>
          <w:rFonts w:ascii="Times New Roman" w:cs="Times New Roman" w:eastAsia="Times New Roman" w:hAnsi="Times New Roman"/>
          <w:sz w:val="22"/>
          <w:szCs w:val="22"/>
          <w:color w:val="auto"/>
        </w:rPr>
        <w:t>. Information is considered to be available to the public only when it has been released to the public</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through appropriate channels (for example, by means of a press release, a publicly accessible conference call or a governmental filing) </w:t>
      </w:r>
      <w:r>
        <w:rPr>
          <w:rFonts w:ascii="Times New Roman" w:cs="Times New Roman" w:eastAsia="Times New Roman" w:hAnsi="Times New Roman"/>
          <w:sz w:val="22"/>
          <w:szCs w:val="22"/>
          <w:u w:val="single" w:color="auto"/>
          <w:color w:val="auto"/>
        </w:rPr>
        <w:t>and</w:t>
      </w:r>
      <w:r>
        <w:rPr>
          <w:rFonts w:ascii="Times New Roman" w:cs="Times New Roman" w:eastAsia="Times New Roman" w:hAnsi="Times New Roman"/>
          <w:sz w:val="22"/>
          <w:szCs w:val="22"/>
          <w:color w:val="auto"/>
        </w:rPr>
        <w:t xml:space="preserve"> enough time has elapsed to permit the investment market to absorb and evaluate the information. As a general rule, information is considered absorbed and evaluated after the completion of the second trading day after the information is released. Nonpublic information may include: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17" w:right="339" w:bottom="1440" w:gutter="0" w:footer="0" w:header="0"/>
        </w:sectPr>
      </w:pPr>
    </w:p>
    <w:bookmarkStart w:id="129" w:name="page130"/>
    <w:bookmarkEnd w:id="129"/>
    <w:p>
      <w:pPr>
        <w:jc w:val="right"/>
        <w:spacing w:after="0"/>
        <w:rPr>
          <w:sz w:val="20"/>
          <w:szCs w:val="20"/>
          <w:color w:val="auto"/>
        </w:rPr>
      </w:pPr>
      <w:r>
        <w:rPr>
          <w:rFonts w:ascii="Times New Roman" w:cs="Times New Roman" w:eastAsia="Times New Roman" w:hAnsi="Times New Roman"/>
          <w:sz w:val="18"/>
          <w:szCs w:val="18"/>
          <w:b w:val="1"/>
          <w:bCs w:val="1"/>
          <w:color w:val="auto"/>
        </w:rPr>
        <w:t>Exhibit 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640" w:hanging="308"/>
        <w:spacing w:after="0"/>
        <w:tabs>
          <w:tab w:leader="none" w:pos="64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information available to a select group of persons subject to confidentiality obligations to the Company;</w:t>
      </w:r>
    </w:p>
    <w:p>
      <w:pPr>
        <w:spacing w:after="0" w:line="14" w:lineRule="exact"/>
        <w:rPr>
          <w:rFonts w:ascii="Times New Roman" w:cs="Times New Roman" w:eastAsia="Times New Roman" w:hAnsi="Times New Roman"/>
          <w:sz w:val="20"/>
          <w:szCs w:val="20"/>
          <w:color w:val="auto"/>
        </w:rPr>
      </w:pPr>
    </w:p>
    <w:p>
      <w:pPr>
        <w:ind w:left="640" w:hanging="308"/>
        <w:spacing w:after="0" w:line="230" w:lineRule="auto"/>
        <w:tabs>
          <w:tab w:leader="none" w:pos="64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undisclosed facts that are the subject of rumors, even if the rumors are widely circulated; and</w:t>
      </w:r>
    </w:p>
    <w:p>
      <w:pPr>
        <w:jc w:val="both"/>
        <w:ind w:left="660" w:right="20" w:hanging="328"/>
        <w:spacing w:after="0" w:line="230" w:lineRule="auto"/>
        <w:tabs>
          <w:tab w:leader="none" w:pos="648"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information that has been entrusted to the Company on a confidential basis until a public announcement of the information has been made and enough time has elapsed to permit the investment market to absorb and evaluate the information.</w:t>
      </w:r>
    </w:p>
    <w:p>
      <w:pPr>
        <w:ind w:left="340"/>
        <w:spacing w:after="0" w:line="232" w:lineRule="auto"/>
        <w:rPr>
          <w:sz w:val="20"/>
          <w:szCs w:val="20"/>
          <w:color w:val="auto"/>
        </w:rPr>
      </w:pPr>
      <w:r>
        <w:rPr>
          <w:rFonts w:ascii="Times New Roman" w:cs="Times New Roman" w:eastAsia="Times New Roman" w:hAnsi="Times New Roman"/>
          <w:sz w:val="22"/>
          <w:szCs w:val="22"/>
          <w:color w:val="auto"/>
        </w:rPr>
        <w:t>•</w:t>
      </w:r>
    </w:p>
    <w:p>
      <w:pPr>
        <w:jc w:val="both"/>
        <w:ind w:firstLine="737"/>
        <w:spacing w:after="0" w:line="230" w:lineRule="auto"/>
        <w:rPr>
          <w:sz w:val="20"/>
          <w:szCs w:val="20"/>
          <w:color w:val="auto"/>
        </w:rPr>
      </w:pPr>
      <w:r>
        <w:rPr>
          <w:rFonts w:ascii="Times New Roman" w:cs="Times New Roman" w:eastAsia="Times New Roman" w:hAnsi="Times New Roman"/>
          <w:sz w:val="22"/>
          <w:szCs w:val="22"/>
          <w:i w:val="1"/>
          <w:iCs w:val="1"/>
          <w:u w:val="single" w:color="auto"/>
          <w:color w:val="auto"/>
        </w:rPr>
        <w:t>Improper Disclosure</w:t>
      </w:r>
      <w:r>
        <w:rPr>
          <w:rFonts w:ascii="Times New Roman" w:cs="Times New Roman" w:eastAsia="Times New Roman" w:hAnsi="Times New Roman"/>
          <w:sz w:val="22"/>
          <w:szCs w:val="22"/>
          <w:color w:val="auto"/>
        </w:rPr>
        <w:t>. The Company has authorized only certain individuals to release material, nonpublic information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public. Outside of these authorized public releases, individuals subject to this Policy must refrain from discussing or otherwise disclosing material, nonpublic information with anyone outside the Company unless (a) they are authorized to do so in the performance of their job duties for the Company and (b) the outsider is subject to an obligation of confidentiality to the Company covering the information being disclosed. If information is improperly disclosed to outsiders, the Company may be forced to release it publicly. For example, an improper disclosure which results in a news story about a pending acquisition may require public release of plans that could upset the transaction. Therefore, a person subject to this Policy should avoid discussing such information in public and should ensure that documents containing sensitive information about the Company are secure and are not distributed improperly.</w:t>
      </w:r>
    </w:p>
    <w:p>
      <w:pPr>
        <w:spacing w:after="0" w:line="20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b w:val="1"/>
          <w:bCs w:val="1"/>
          <w:u w:val="single" w:color="auto"/>
          <w:color w:val="auto"/>
        </w:rPr>
        <w:t>“Black Out” Periods</w:t>
      </w:r>
    </w:p>
    <w:p>
      <w:pPr>
        <w:spacing w:after="0" w:line="237" w:lineRule="exact"/>
        <w:rPr>
          <w:sz w:val="20"/>
          <w:szCs w:val="20"/>
          <w:color w:val="auto"/>
        </w:rPr>
      </w:pPr>
    </w:p>
    <w:p>
      <w:pPr>
        <w:jc w:val="both"/>
        <w:ind w:firstLine="737"/>
        <w:spacing w:after="0" w:line="235" w:lineRule="auto"/>
        <w:rPr>
          <w:sz w:val="20"/>
          <w:szCs w:val="20"/>
          <w:color w:val="auto"/>
        </w:rPr>
      </w:pPr>
      <w:r>
        <w:rPr>
          <w:rFonts w:ascii="Times New Roman" w:cs="Times New Roman" w:eastAsia="Times New Roman" w:hAnsi="Times New Roman"/>
          <w:sz w:val="22"/>
          <w:szCs w:val="22"/>
          <w:color w:val="auto"/>
        </w:rPr>
        <w:t>A “black out” period is a period during which a person subject to this Policy may not execute transactions in Company securities. Please bear in mind that even if a black out period is not in effect, at no time may such person trade in Company securities if such person is aware of material, nonpublic information about the Company. For example, if the Company issues a quarterly earnings release and a person subject to this Policy is aware of other material, nonpublic information not disclosed in the earnings release, such person may not trade in Company securities.</w:t>
      </w:r>
    </w:p>
    <w:p>
      <w:pPr>
        <w:spacing w:after="0" w:line="202" w:lineRule="exact"/>
        <w:rPr>
          <w:sz w:val="20"/>
          <w:szCs w:val="20"/>
          <w:color w:val="auto"/>
        </w:rPr>
      </w:pPr>
    </w:p>
    <w:p>
      <w:pPr>
        <w:jc w:val="both"/>
        <w:ind w:firstLine="737"/>
        <w:spacing w:after="0" w:line="233" w:lineRule="auto"/>
        <w:rPr>
          <w:sz w:val="20"/>
          <w:szCs w:val="20"/>
          <w:color w:val="auto"/>
        </w:rPr>
      </w:pPr>
      <w:r>
        <w:rPr>
          <w:rFonts w:ascii="Times New Roman" w:cs="Times New Roman" w:eastAsia="Times New Roman" w:hAnsi="Times New Roman"/>
          <w:sz w:val="22"/>
          <w:szCs w:val="22"/>
          <w:i w:val="1"/>
          <w:iCs w:val="1"/>
          <w:u w:val="single" w:color="auto"/>
          <w:color w:val="auto"/>
        </w:rPr>
        <w:t>Earnings Black Out Periods</w:t>
      </w:r>
      <w:r>
        <w:rPr>
          <w:rFonts w:ascii="Times New Roman" w:cs="Times New Roman" w:eastAsia="Times New Roman" w:hAnsi="Times New Roman"/>
          <w:sz w:val="22"/>
          <w:szCs w:val="22"/>
          <w:color w:val="auto"/>
        </w:rPr>
        <w:t>. These black out periods specifically apply to all directors, officers who have been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designated as “officers” for purposes of Section 16 under the Securities Exchange Act of 1934, as amended (the “</w:t>
      </w:r>
      <w:r>
        <w:rPr>
          <w:rFonts w:ascii="Times New Roman" w:cs="Times New Roman" w:eastAsia="Times New Roman" w:hAnsi="Times New Roman"/>
          <w:sz w:val="22"/>
          <w:szCs w:val="22"/>
          <w:u w:val="single" w:color="auto"/>
          <w:color w:val="auto"/>
        </w:rPr>
        <w:t>Exchange Act</w:t>
      </w:r>
      <w:r>
        <w:rPr>
          <w:rFonts w:ascii="Times New Roman" w:cs="Times New Roman" w:eastAsia="Times New Roman" w:hAnsi="Times New Roman"/>
          <w:sz w:val="22"/>
          <w:szCs w:val="22"/>
          <w:color w:val="auto"/>
        </w:rPr>
        <w:t>”) (collectively with the directors, the “</w:t>
      </w:r>
      <w:r>
        <w:rPr>
          <w:rFonts w:ascii="Times New Roman" w:cs="Times New Roman" w:eastAsia="Times New Roman" w:hAnsi="Times New Roman"/>
          <w:sz w:val="22"/>
          <w:szCs w:val="22"/>
          <w:u w:val="single" w:color="auto"/>
          <w:color w:val="auto"/>
        </w:rPr>
        <w:t>Section 16 Reporting Persons</w:t>
      </w:r>
      <w:r>
        <w:rPr>
          <w:rFonts w:ascii="Times New Roman" w:cs="Times New Roman" w:eastAsia="Times New Roman" w:hAnsi="Times New Roman"/>
          <w:sz w:val="22"/>
          <w:szCs w:val="22"/>
          <w:color w:val="auto"/>
        </w:rPr>
        <w:t>”) and Designated Individuals. During earnings black out periods, Section 16 Reporting Persons and Designated Individuals may not buy or sell Company securities during the period beginning on the last day of the fiscal quarter or fiscal year of the Company and ending two full market trading days following the public release of the financial results for such fiscal quarter or year (for example, by means of a press release, a publicly accessible conference call or a governmental filing). For example, if material, non-public information (including quarterly or annual earnings) is disclosed at (a) 8:00 a.m., Eastern Time, on a Monday, then trading may commence after 4:00 p.m., Eastern Time, on Tuesday, (b) 10:00 a.m., Eastern Time, on Monday, then trading may commence after 4:00 p.m., Eastern Time, on Wednesday or (c) 5:00 p.m., Eastern Time, on Monday, then trading may commence after 4:00 p.m., Eastern Time, on Wednesday.</w:t>
      </w:r>
    </w:p>
    <w:p>
      <w:pPr>
        <w:spacing w:after="0" w:line="201" w:lineRule="exact"/>
        <w:rPr>
          <w:sz w:val="20"/>
          <w:szCs w:val="20"/>
          <w:color w:val="auto"/>
        </w:rPr>
      </w:pPr>
    </w:p>
    <w:p>
      <w:pPr>
        <w:jc w:val="both"/>
        <w:ind w:firstLine="737"/>
        <w:spacing w:after="0" w:line="241" w:lineRule="auto"/>
        <w:rPr>
          <w:sz w:val="20"/>
          <w:szCs w:val="20"/>
          <w:color w:val="auto"/>
        </w:rPr>
      </w:pPr>
      <w:r>
        <w:rPr>
          <w:rFonts w:ascii="Times New Roman" w:cs="Times New Roman" w:eastAsia="Times New Roman" w:hAnsi="Times New Roman"/>
          <w:sz w:val="22"/>
          <w:szCs w:val="22"/>
          <w:i w:val="1"/>
          <w:iCs w:val="1"/>
          <w:u w:val="single" w:color="auto"/>
          <w:color w:val="auto"/>
        </w:rPr>
        <w:t>Event-Specific Black Out Periods</w:t>
      </w:r>
      <w:r>
        <w:rPr>
          <w:rFonts w:ascii="Times New Roman" w:cs="Times New Roman" w:eastAsia="Times New Roman" w:hAnsi="Times New Roman"/>
          <w:sz w:val="22"/>
          <w:szCs w:val="22"/>
          <w:color w:val="auto"/>
        </w:rPr>
        <w:t>. The Company reserves the right to impose trading black out periods from time to time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when, in the judgment of the Company, a black out period is warranted. A black out period may be imposed for any reason, including the Company’s involvement in a material transaction, the anticipated issuance of interim earnings guidance or other material public announcements. The existence of an event-specific black out period may not be</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17" w:right="339" w:bottom="1440" w:gutter="0" w:footer="0" w:header="0"/>
        </w:sectPr>
      </w:pPr>
    </w:p>
    <w:bookmarkStart w:id="130" w:name="page131"/>
    <w:bookmarkEnd w:id="130"/>
    <w:p>
      <w:pPr>
        <w:jc w:val="right"/>
        <w:spacing w:after="0"/>
        <w:rPr>
          <w:sz w:val="20"/>
          <w:szCs w:val="20"/>
          <w:color w:val="auto"/>
        </w:rPr>
      </w:pPr>
      <w:r>
        <w:rPr>
          <w:rFonts w:ascii="Times New Roman" w:cs="Times New Roman" w:eastAsia="Times New Roman" w:hAnsi="Times New Roman"/>
          <w:sz w:val="18"/>
          <w:szCs w:val="18"/>
          <w:b w:val="1"/>
          <w:bCs w:val="1"/>
          <w:color w:val="auto"/>
        </w:rPr>
        <w:t>Exhibit 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announced, or may be announced only to those who are aware of the transaction or event giving rise to the black out period. If a person subject to this Policy is made aware of the existence of an event-specific black out period, such person should not disclose the existence of such black out period to any other person. Individuals that are subject to event-specific black out periods will be contacted when these periods are instituted from time to time.</w:t>
      </w:r>
    </w:p>
    <w:p>
      <w:pPr>
        <w:spacing w:after="0" w:line="203" w:lineRule="exact"/>
        <w:rPr>
          <w:sz w:val="20"/>
          <w:szCs w:val="20"/>
          <w:color w:val="auto"/>
        </w:rPr>
      </w:pPr>
    </w:p>
    <w:p>
      <w:pPr>
        <w:jc w:val="both"/>
        <w:ind w:firstLine="737"/>
        <w:spacing w:after="0" w:line="235" w:lineRule="auto"/>
        <w:rPr>
          <w:sz w:val="20"/>
          <w:szCs w:val="20"/>
          <w:color w:val="auto"/>
        </w:rPr>
      </w:pPr>
      <w:r>
        <w:rPr>
          <w:rFonts w:ascii="Times New Roman" w:cs="Times New Roman" w:eastAsia="Times New Roman" w:hAnsi="Times New Roman"/>
          <w:sz w:val="22"/>
          <w:szCs w:val="22"/>
          <w:i w:val="1"/>
          <w:iCs w:val="1"/>
          <w:u w:val="single" w:color="auto"/>
          <w:color w:val="auto"/>
        </w:rPr>
        <w:t>Pension Fund Black Out Periods</w:t>
      </w:r>
      <w:r>
        <w:rPr>
          <w:rFonts w:ascii="Times New Roman" w:cs="Times New Roman" w:eastAsia="Times New Roman" w:hAnsi="Times New Roman"/>
          <w:sz w:val="22"/>
          <w:szCs w:val="22"/>
          <w:color w:val="auto"/>
        </w:rPr>
        <w:t>. The Sarbanes-Oxley Act of 2002 prohibits all purchases, sales or transfers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Company securities by D&amp;Os of the Company during a “pension fund black out period.” A pension fund black out period exists whenever 50% or more of the participants in a Company benefit plan are unable to conduct transactions in their Company common stock accounts for more than three consecutive business days. These black out periods typically occur when there is a change in the benefit plan’s trustee, record keeper or investment manager. Individuals that are subject to these black out periods will be contacted when these periods are instituted from time to time.</w:t>
      </w:r>
    </w:p>
    <w:p>
      <w:pPr>
        <w:spacing w:after="0" w:line="201" w:lineRule="exact"/>
        <w:rPr>
          <w:sz w:val="20"/>
          <w:szCs w:val="20"/>
          <w:color w:val="auto"/>
        </w:rPr>
      </w:pPr>
    </w:p>
    <w:p>
      <w:pPr>
        <w:jc w:val="both"/>
        <w:ind w:firstLine="737"/>
        <w:spacing w:after="0" w:line="246" w:lineRule="auto"/>
        <w:rPr>
          <w:sz w:val="20"/>
          <w:szCs w:val="20"/>
          <w:color w:val="auto"/>
        </w:rPr>
      </w:pPr>
      <w:r>
        <w:rPr>
          <w:rFonts w:ascii="Times New Roman" w:cs="Times New Roman" w:eastAsia="Times New Roman" w:hAnsi="Times New Roman"/>
          <w:sz w:val="22"/>
          <w:szCs w:val="22"/>
          <w:i w:val="1"/>
          <w:iCs w:val="1"/>
          <w:u w:val="single" w:color="auto"/>
          <w:color w:val="auto"/>
        </w:rPr>
        <w:t>Share Repurchase Program Black Out Periods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Company has determined that purchases, sales or transfers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Company securities by D&amp;Os within the four business days before or after the Company’s announcement of a share repurchase program or an increase to an existing share repurchase program are prohibited.</w:t>
      </w:r>
    </w:p>
    <w:p>
      <w:pPr>
        <w:spacing w:after="0" w:line="194" w:lineRule="exact"/>
        <w:rPr>
          <w:sz w:val="20"/>
          <w:szCs w:val="20"/>
          <w:color w:val="auto"/>
        </w:rPr>
      </w:pPr>
    </w:p>
    <w:p>
      <w:pPr>
        <w:jc w:val="both"/>
        <w:ind w:firstLine="737"/>
        <w:spacing w:after="0" w:line="241" w:lineRule="auto"/>
        <w:rPr>
          <w:sz w:val="20"/>
          <w:szCs w:val="20"/>
          <w:color w:val="auto"/>
        </w:rPr>
      </w:pPr>
      <w:r>
        <w:rPr>
          <w:rFonts w:ascii="Times New Roman" w:cs="Times New Roman" w:eastAsia="Times New Roman" w:hAnsi="Times New Roman"/>
          <w:sz w:val="22"/>
          <w:szCs w:val="22"/>
          <w:i w:val="1"/>
          <w:iCs w:val="1"/>
          <w:u w:val="single" w:color="auto"/>
          <w:color w:val="auto"/>
        </w:rPr>
        <w:t>Hardship Exceptions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If a person subject to this Policy has an unexpected and urgent need to sell Company securities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order to generate cash such person may, in appropriate circumstances, be permitted to sell Company securities during a black out period. Hardship exceptions may be granted only by the General Counsel or its designee and must be requested at least two business days in advance of the proposed transaction.</w:t>
      </w:r>
    </w:p>
    <w:p>
      <w:pPr>
        <w:spacing w:after="0" w:line="19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b w:val="1"/>
          <w:bCs w:val="1"/>
          <w:u w:val="single" w:color="auto"/>
          <w:color w:val="auto"/>
        </w:rPr>
        <w:t>Other Trading Restrictions</w:t>
      </w:r>
    </w:p>
    <w:p>
      <w:pPr>
        <w:spacing w:after="0" w:line="237" w:lineRule="exact"/>
        <w:rPr>
          <w:sz w:val="20"/>
          <w:szCs w:val="20"/>
          <w:color w:val="auto"/>
        </w:rPr>
      </w:pPr>
    </w:p>
    <w:p>
      <w:pPr>
        <w:jc w:val="both"/>
        <w:ind w:firstLine="737"/>
        <w:spacing w:after="0" w:line="236" w:lineRule="auto"/>
        <w:rPr>
          <w:sz w:val="20"/>
          <w:szCs w:val="20"/>
          <w:color w:val="auto"/>
        </w:rPr>
      </w:pPr>
      <w:r>
        <w:rPr>
          <w:rFonts w:ascii="Times New Roman" w:cs="Times New Roman" w:eastAsia="Times New Roman" w:hAnsi="Times New Roman"/>
          <w:sz w:val="22"/>
          <w:szCs w:val="22"/>
          <w:color w:val="auto"/>
        </w:rPr>
        <w:t>The Company considers it improper and inappropriate for D&amp;Os subject to this Policy to engage in short-term or speculative transactions in Company securities or in other transactions in Company securities that may lead to inadvertent violations of the U.S. insider trading laws. Accordingly, transactions in Company securities by D&amp;Os are subject to the following guidance.</w:t>
      </w:r>
    </w:p>
    <w:p>
      <w:pPr>
        <w:spacing w:after="0" w:line="202" w:lineRule="exact"/>
        <w:rPr>
          <w:sz w:val="20"/>
          <w:szCs w:val="20"/>
          <w:color w:val="auto"/>
        </w:rPr>
      </w:pPr>
    </w:p>
    <w:p>
      <w:pPr>
        <w:jc w:val="both"/>
        <w:ind w:firstLine="737"/>
        <w:spacing w:after="0" w:line="241" w:lineRule="auto"/>
        <w:rPr>
          <w:sz w:val="20"/>
          <w:szCs w:val="20"/>
          <w:color w:val="auto"/>
        </w:rPr>
      </w:pPr>
      <w:r>
        <w:rPr>
          <w:rFonts w:ascii="Times New Roman" w:cs="Times New Roman" w:eastAsia="Times New Roman" w:hAnsi="Times New Roman"/>
          <w:sz w:val="22"/>
          <w:szCs w:val="22"/>
          <w:i w:val="1"/>
          <w:iCs w:val="1"/>
          <w:u w:val="single" w:color="auto"/>
          <w:color w:val="auto"/>
        </w:rPr>
        <w:t>Speculating</w:t>
      </w:r>
      <w:r>
        <w:rPr>
          <w:rFonts w:ascii="Times New Roman" w:cs="Times New Roman" w:eastAsia="Times New Roman" w:hAnsi="Times New Roman"/>
          <w:sz w:val="22"/>
          <w:szCs w:val="22"/>
          <w:color w:val="auto"/>
        </w:rPr>
        <w:t>. D&amp;Os subject to this Policy may not undertake speculating in securities of the Company, which may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include buying with the intention of quickly reselling such securities, or selling securities of the Company with the intention of quickly buying such securities (other than in connection with the acquisition and sale of shares issued under the Amended and Restated Lear Corporation 2019 Long-Term Incentive Plan (the “</w:t>
      </w:r>
      <w:r>
        <w:rPr>
          <w:rFonts w:ascii="Times New Roman" w:cs="Times New Roman" w:eastAsia="Times New Roman" w:hAnsi="Times New Roman"/>
          <w:sz w:val="22"/>
          <w:szCs w:val="22"/>
          <w:u w:val="single" w:color="auto"/>
          <w:color w:val="auto"/>
        </w:rPr>
        <w:t>LTIP</w:t>
      </w:r>
      <w:r>
        <w:rPr>
          <w:rFonts w:ascii="Times New Roman" w:cs="Times New Roman" w:eastAsia="Times New Roman" w:hAnsi="Times New Roman"/>
          <w:sz w:val="22"/>
          <w:szCs w:val="22"/>
          <w:color w:val="auto"/>
        </w:rPr>
        <w:t>”) or any other Company benefit plan or arrangement).</w:t>
      </w:r>
    </w:p>
    <w:p>
      <w:pPr>
        <w:spacing w:after="0" w:line="199" w:lineRule="exact"/>
        <w:rPr>
          <w:sz w:val="20"/>
          <w:szCs w:val="20"/>
          <w:color w:val="auto"/>
        </w:rPr>
      </w:pPr>
    </w:p>
    <w:p>
      <w:pPr>
        <w:jc w:val="both"/>
        <w:ind w:firstLine="737"/>
        <w:spacing w:after="0" w:line="246" w:lineRule="auto"/>
        <w:rPr>
          <w:sz w:val="20"/>
          <w:szCs w:val="20"/>
          <w:color w:val="auto"/>
        </w:rPr>
      </w:pPr>
      <w:r>
        <w:rPr>
          <w:rFonts w:ascii="Times New Roman" w:cs="Times New Roman" w:eastAsia="Times New Roman" w:hAnsi="Times New Roman"/>
          <w:sz w:val="22"/>
          <w:szCs w:val="22"/>
          <w:i w:val="1"/>
          <w:iCs w:val="1"/>
          <w:u w:val="single" w:color="auto"/>
          <w:color w:val="auto"/>
        </w:rPr>
        <w:t>Short Sales</w:t>
      </w:r>
      <w:r>
        <w:rPr>
          <w:rFonts w:ascii="Times New Roman" w:cs="Times New Roman" w:eastAsia="Times New Roman" w:hAnsi="Times New Roman"/>
          <w:sz w:val="22"/>
          <w:szCs w:val="22"/>
          <w:color w:val="auto"/>
        </w:rPr>
        <w:t>. D&amp;Os subject to this Policy may not engage in short sales of Company securities (sales of securities that are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not then owned), including a “sale against the box” (a sale with delayed delivery). In addition, Section 16(c) of the Exchange Act prohibits D&amp;Os from engaging in short sales.</w:t>
      </w:r>
    </w:p>
    <w:p>
      <w:pPr>
        <w:spacing w:after="0" w:line="194" w:lineRule="exact"/>
        <w:rPr>
          <w:sz w:val="20"/>
          <w:szCs w:val="20"/>
          <w:color w:val="auto"/>
        </w:rPr>
      </w:pPr>
    </w:p>
    <w:p>
      <w:pPr>
        <w:jc w:val="both"/>
        <w:ind w:firstLine="737"/>
        <w:spacing w:after="0" w:line="249" w:lineRule="auto"/>
        <w:rPr>
          <w:sz w:val="20"/>
          <w:szCs w:val="20"/>
          <w:color w:val="auto"/>
        </w:rPr>
      </w:pPr>
      <w:r>
        <w:rPr>
          <w:rFonts w:ascii="Times New Roman" w:cs="Times New Roman" w:eastAsia="Times New Roman" w:hAnsi="Times New Roman"/>
          <w:sz w:val="22"/>
          <w:szCs w:val="22"/>
          <w:i w:val="1"/>
          <w:iCs w:val="1"/>
          <w:u w:val="single" w:color="auto"/>
          <w:color w:val="auto"/>
        </w:rPr>
        <w:t>Publicly Traded Options</w:t>
      </w:r>
      <w:r>
        <w:rPr>
          <w:rFonts w:ascii="Times New Roman" w:cs="Times New Roman" w:eastAsia="Times New Roman" w:hAnsi="Times New Roman"/>
          <w:sz w:val="22"/>
          <w:szCs w:val="22"/>
          <w:color w:val="auto"/>
        </w:rPr>
        <w:t>. D&amp;Os subject to this Policy may not engage in transactions in publicly traded options 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Company securities (such as puts, calls and other derivative securities) on an exchange or in any other organized market.</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17" w:right="339" w:bottom="1440" w:gutter="0" w:footer="0" w:header="0"/>
        </w:sectPr>
      </w:pPr>
    </w:p>
    <w:bookmarkStart w:id="131" w:name="page132"/>
    <w:bookmarkEnd w:id="131"/>
    <w:p>
      <w:pPr>
        <w:jc w:val="right"/>
        <w:spacing w:after="0"/>
        <w:rPr>
          <w:sz w:val="20"/>
          <w:szCs w:val="20"/>
          <w:color w:val="auto"/>
        </w:rPr>
      </w:pPr>
      <w:r>
        <w:rPr>
          <w:rFonts w:ascii="Times New Roman" w:cs="Times New Roman" w:eastAsia="Times New Roman" w:hAnsi="Times New Roman"/>
          <w:sz w:val="18"/>
          <w:szCs w:val="18"/>
          <w:b w:val="1"/>
          <w:bCs w:val="1"/>
          <w:color w:val="auto"/>
        </w:rPr>
        <w:t>Exhibit 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both"/>
        <w:ind w:firstLine="729"/>
        <w:spacing w:after="0" w:line="238" w:lineRule="auto"/>
        <w:rPr>
          <w:sz w:val="20"/>
          <w:szCs w:val="20"/>
          <w:color w:val="auto"/>
        </w:rPr>
      </w:pPr>
      <w:r>
        <w:rPr>
          <w:rFonts w:ascii="Times New Roman" w:cs="Times New Roman" w:eastAsia="Times New Roman" w:hAnsi="Times New Roman"/>
          <w:sz w:val="22"/>
          <w:szCs w:val="22"/>
          <w:i w:val="1"/>
          <w:iCs w:val="1"/>
          <w:u w:val="single" w:color="auto"/>
          <w:color w:val="auto"/>
        </w:rPr>
        <w:t>Standing Orders</w:t>
      </w:r>
      <w:r>
        <w:rPr>
          <w:rFonts w:ascii="Times New Roman" w:cs="Times New Roman" w:eastAsia="Times New Roman" w:hAnsi="Times New Roman"/>
          <w:sz w:val="22"/>
          <w:szCs w:val="22"/>
          <w:color w:val="auto"/>
        </w:rPr>
        <w:t>. Standing orders (except under approved Rule 10b5-1 plans, see below) that extend beyond the date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order is placed should not be used. A standing order placed with a broker to sell or purchase stock at a specified price leaves persons with no control over the timing of the transaction. A standing order transaction executed by the broker when a D&amp;O subject to this Policy is aware of material, nonpublic information may result in unlawful insider trading even if the standing order was placed at a time when such person did not possess material, nonpublic information.</w:t>
      </w:r>
    </w:p>
    <w:p>
      <w:pPr>
        <w:spacing w:after="0" w:line="204" w:lineRule="exact"/>
        <w:rPr>
          <w:sz w:val="20"/>
          <w:szCs w:val="20"/>
          <w:color w:val="auto"/>
        </w:rPr>
      </w:pPr>
    </w:p>
    <w:p>
      <w:pPr>
        <w:jc w:val="both"/>
        <w:ind w:firstLine="737"/>
        <w:spacing w:after="0" w:line="236" w:lineRule="auto"/>
        <w:rPr>
          <w:sz w:val="20"/>
          <w:szCs w:val="20"/>
          <w:color w:val="auto"/>
        </w:rPr>
      </w:pPr>
      <w:r>
        <w:rPr>
          <w:rFonts w:ascii="Times New Roman" w:cs="Times New Roman" w:eastAsia="Times New Roman" w:hAnsi="Times New Roman"/>
          <w:sz w:val="22"/>
          <w:szCs w:val="22"/>
          <w:i w:val="1"/>
          <w:iCs w:val="1"/>
          <w:u w:val="single" w:color="auto"/>
          <w:color w:val="auto"/>
        </w:rPr>
        <w:t>Margin Accounts and Pledges</w:t>
      </w:r>
      <w:r>
        <w:rPr>
          <w:rFonts w:ascii="Times New Roman" w:cs="Times New Roman" w:eastAsia="Times New Roman" w:hAnsi="Times New Roman"/>
          <w:sz w:val="22"/>
          <w:szCs w:val="22"/>
          <w:color w:val="auto"/>
        </w:rPr>
        <w:t>. D&amp;Os subject to this Policy may not pledge any Company securities as collateral for 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loan and such person may not hold Company securities as collateral in a margin account. Such persons may not have control over these transactions as the securities may be sold at certain times without such person’s consent. A margin or foreclosure sale that occurs when a D&amp;O subject to this Policy is aware of material, nonpublic information may, under some circumstances, result in unlawful insider trading.</w:t>
      </w:r>
    </w:p>
    <w:p>
      <w:pPr>
        <w:spacing w:after="0" w:line="201" w:lineRule="exact"/>
        <w:rPr>
          <w:sz w:val="20"/>
          <w:szCs w:val="20"/>
          <w:color w:val="auto"/>
        </w:rPr>
      </w:pPr>
    </w:p>
    <w:p>
      <w:pPr>
        <w:jc w:val="both"/>
        <w:ind w:firstLine="737"/>
        <w:spacing w:after="0" w:line="238" w:lineRule="auto"/>
        <w:rPr>
          <w:sz w:val="20"/>
          <w:szCs w:val="20"/>
          <w:color w:val="auto"/>
        </w:rPr>
      </w:pPr>
      <w:r>
        <w:rPr>
          <w:rFonts w:ascii="Times New Roman" w:cs="Times New Roman" w:eastAsia="Times New Roman" w:hAnsi="Times New Roman"/>
          <w:sz w:val="22"/>
          <w:szCs w:val="22"/>
          <w:i w:val="1"/>
          <w:iCs w:val="1"/>
          <w:u w:val="single" w:color="auto"/>
          <w:color w:val="auto"/>
        </w:rPr>
        <w:t>Hedges and Monetization Transactions</w:t>
      </w:r>
      <w:r>
        <w:rPr>
          <w:rFonts w:ascii="Times New Roman" w:cs="Times New Roman" w:eastAsia="Times New Roman" w:hAnsi="Times New Roman"/>
          <w:sz w:val="22"/>
          <w:szCs w:val="22"/>
          <w:color w:val="auto"/>
        </w:rPr>
        <w:t>. D&amp;Os subject to this Policy may not engage in hedging or monetization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transactions through transactions in Company securities or through the use of financial instruments designed for such purpose. Such hedging and monetization transactions may permit a D&amp;O to own Company securities, but without the full risks and rewards of ownership. When that occurs, the D&amp;O may no longer have the same objectives as the Company’s stockholders generally.</w:t>
      </w:r>
    </w:p>
    <w:p>
      <w:pPr>
        <w:spacing w:after="0" w:line="20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b w:val="1"/>
          <w:bCs w:val="1"/>
          <w:u w:val="single" w:color="auto"/>
          <w:color w:val="auto"/>
        </w:rPr>
        <w:t>Transactions Under Company Benefit Plans</w:t>
      </w:r>
    </w:p>
    <w:p>
      <w:pPr>
        <w:spacing w:after="0" w:line="237" w:lineRule="exact"/>
        <w:rPr>
          <w:sz w:val="20"/>
          <w:szCs w:val="20"/>
          <w:color w:val="auto"/>
        </w:rPr>
      </w:pPr>
    </w:p>
    <w:p>
      <w:pPr>
        <w:jc w:val="both"/>
        <w:ind w:firstLine="737"/>
        <w:spacing w:after="0" w:line="258" w:lineRule="auto"/>
        <w:rPr>
          <w:sz w:val="20"/>
          <w:szCs w:val="20"/>
          <w:color w:val="auto"/>
        </w:rPr>
      </w:pPr>
      <w:r>
        <w:rPr>
          <w:rFonts w:ascii="Times New Roman" w:cs="Times New Roman" w:eastAsia="Times New Roman" w:hAnsi="Times New Roman"/>
          <w:sz w:val="22"/>
          <w:szCs w:val="22"/>
          <w:color w:val="auto"/>
        </w:rPr>
        <w:t>The U.S. insider trading laws also restrict the ability of persons subject to this Policy to engage in certain transactions under the Company’s benefit plans, as described below:</w:t>
      </w:r>
    </w:p>
    <w:p>
      <w:pPr>
        <w:spacing w:after="0" w:line="181" w:lineRule="exact"/>
        <w:rPr>
          <w:sz w:val="20"/>
          <w:szCs w:val="20"/>
          <w:color w:val="auto"/>
        </w:rPr>
      </w:pPr>
    </w:p>
    <w:p>
      <w:pPr>
        <w:jc w:val="both"/>
        <w:ind w:firstLine="737"/>
        <w:spacing w:after="0" w:line="234" w:lineRule="auto"/>
        <w:rPr>
          <w:sz w:val="20"/>
          <w:szCs w:val="20"/>
          <w:color w:val="auto"/>
        </w:rPr>
      </w:pPr>
      <w:r>
        <w:rPr>
          <w:rFonts w:ascii="Times New Roman" w:cs="Times New Roman" w:eastAsia="Times New Roman" w:hAnsi="Times New Roman"/>
          <w:sz w:val="22"/>
          <w:szCs w:val="22"/>
          <w:i w:val="1"/>
          <w:iCs w:val="1"/>
          <w:u w:val="single" w:color="auto"/>
          <w:color w:val="auto"/>
        </w:rPr>
        <w:t>Stock Option Exercises</w:t>
      </w:r>
      <w:r>
        <w:rPr>
          <w:rFonts w:ascii="Times New Roman" w:cs="Times New Roman" w:eastAsia="Times New Roman" w:hAnsi="Times New Roman"/>
          <w:sz w:val="22"/>
          <w:szCs w:val="22"/>
          <w:color w:val="auto"/>
        </w:rPr>
        <w:t>. This Policy does not apply to the exercise of an employee stock option acquired pursuant to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Company’s plans, or to the exercise of a tax withholding right pursuant to which a person has elected to have the Company withhold shares subject to an option to satisfy tax withholding requirements;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exercises by Section 16 Reporting Persons and Designated Individuals are subject to the pre-clearance procedures set forth below under the caption “Pre-Clearance Procedures for Section 16 Reporting Persons.” This Policy does apply, however, to any sale of stock as part of a broker-assisted cashless exercise of an option, or any other market sale for the purpose of generating the cash needed to pay the exercise price of an option.</w:t>
      </w:r>
    </w:p>
    <w:p>
      <w:pPr>
        <w:spacing w:after="0" w:line="204" w:lineRule="exact"/>
        <w:rPr>
          <w:sz w:val="20"/>
          <w:szCs w:val="20"/>
          <w:color w:val="auto"/>
        </w:rPr>
      </w:pPr>
    </w:p>
    <w:p>
      <w:pPr>
        <w:jc w:val="both"/>
        <w:ind w:firstLine="737"/>
        <w:spacing w:after="0" w:line="234" w:lineRule="auto"/>
        <w:rPr>
          <w:sz w:val="20"/>
          <w:szCs w:val="20"/>
          <w:color w:val="auto"/>
        </w:rPr>
      </w:pPr>
      <w:r>
        <w:rPr>
          <w:rFonts w:ascii="Times New Roman" w:cs="Times New Roman" w:eastAsia="Times New Roman" w:hAnsi="Times New Roman"/>
          <w:sz w:val="22"/>
          <w:szCs w:val="22"/>
          <w:i w:val="1"/>
          <w:iCs w:val="1"/>
          <w:u w:val="single" w:color="auto"/>
          <w:color w:val="auto"/>
        </w:rPr>
        <w:t>Incentive Plan</w:t>
      </w:r>
      <w:r>
        <w:rPr>
          <w:rFonts w:ascii="Times New Roman" w:cs="Times New Roman" w:eastAsia="Times New Roman" w:hAnsi="Times New Roman"/>
          <w:sz w:val="22"/>
          <w:szCs w:val="22"/>
          <w:color w:val="auto"/>
        </w:rPr>
        <w:t>. Persons subject to this Policy may be granted stock-based compensation awards, including restricted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stock units, under the LTIP. Such persons may not, however, sell in the open market any Company stock granted under the LTIP during any black out period that applies to such person or while such person possesses material, nonpublic information. This Policy does not apply to the exercise of a tax withholding right pursuant to which a person subject to this Policy elects to have the Company withhold shares of stock to satisfy tax withholding requirements upon the vesting of any restricted stock;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exercise by Section 16 Reporting Persons and, in this instance, Designated Individuals is subject to the pre-clearance procedures set forth below under the caption “Pre-Clearance Procedures for Section 16 Reporting Persons.”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17" w:right="339" w:bottom="1440" w:gutter="0" w:footer="0" w:header="0"/>
        </w:sectPr>
      </w:pPr>
    </w:p>
    <w:bookmarkStart w:id="132" w:name="page133"/>
    <w:bookmarkEnd w:id="132"/>
    <w:p>
      <w:pPr>
        <w:jc w:val="right"/>
        <w:spacing w:after="0"/>
        <w:rPr>
          <w:sz w:val="20"/>
          <w:szCs w:val="20"/>
          <w:color w:val="auto"/>
        </w:rPr>
      </w:pPr>
      <w:r>
        <w:rPr>
          <w:rFonts w:ascii="Times New Roman" w:cs="Times New Roman" w:eastAsia="Times New Roman" w:hAnsi="Times New Roman"/>
          <w:sz w:val="18"/>
          <w:szCs w:val="18"/>
          <w:b w:val="1"/>
          <w:bCs w:val="1"/>
          <w:color w:val="auto"/>
        </w:rPr>
        <w:t>Exhibit 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b w:val="1"/>
          <w:bCs w:val="1"/>
          <w:u w:val="single" w:color="auto"/>
          <w:color w:val="auto"/>
        </w:rPr>
        <w:t>Rule 10b5-1 Plans</w:t>
      </w:r>
    </w:p>
    <w:p>
      <w:pPr>
        <w:spacing w:after="0" w:line="237" w:lineRule="exact"/>
        <w:rPr>
          <w:sz w:val="20"/>
          <w:szCs w:val="20"/>
          <w:color w:val="auto"/>
        </w:rPr>
      </w:pPr>
    </w:p>
    <w:p>
      <w:pPr>
        <w:jc w:val="both"/>
        <w:ind w:firstLine="737"/>
        <w:spacing w:after="0" w:line="248" w:lineRule="auto"/>
        <w:rPr>
          <w:sz w:val="20"/>
          <w:szCs w:val="20"/>
          <w:color w:val="auto"/>
        </w:rPr>
      </w:pPr>
      <w:r>
        <w:rPr>
          <w:rFonts w:ascii="Times New Roman" w:cs="Times New Roman" w:eastAsia="Times New Roman" w:hAnsi="Times New Roman"/>
          <w:sz w:val="21"/>
          <w:szCs w:val="21"/>
          <w:color w:val="auto"/>
        </w:rPr>
        <w:t>Transactions in Company securities under a plan that complies with Rule 10b5-1 under the Exchange Act are not subject to the prohibition on trades during black out periods or the prohibition on trading while being aware of material, nonpublic information described above. In general, a Rule 10b5-1 plan specifies, including by the use of a formula, the amount, pricing and timing of transactions in Company securities in advance, or delegates discretion on those matters to an independent third party. Once the plan is adopted, the adopting individual must not exercise any influence over the amount of securities to be traded, the price at which they are to be traded or the date of any trade, and must act in good faith with respect to the plan. Each individual may only enter into one single-trade Rule 10b5-1 plan per 12-month period, and overlapping plans are not permitted.</w:t>
      </w:r>
    </w:p>
    <w:p>
      <w:pPr>
        <w:spacing w:after="0" w:line="184" w:lineRule="exact"/>
        <w:rPr>
          <w:sz w:val="20"/>
          <w:szCs w:val="20"/>
          <w:color w:val="auto"/>
        </w:rPr>
      </w:pPr>
    </w:p>
    <w:p>
      <w:pPr>
        <w:jc w:val="both"/>
        <w:ind w:firstLine="737"/>
        <w:spacing w:after="0" w:line="238" w:lineRule="auto"/>
        <w:rPr>
          <w:sz w:val="20"/>
          <w:szCs w:val="20"/>
          <w:color w:val="auto"/>
        </w:rPr>
      </w:pPr>
      <w:r>
        <w:rPr>
          <w:rFonts w:ascii="Times New Roman" w:cs="Times New Roman" w:eastAsia="Times New Roman" w:hAnsi="Times New Roman"/>
          <w:sz w:val="22"/>
          <w:szCs w:val="22"/>
          <w:color w:val="auto"/>
        </w:rPr>
        <w:t>Rule 10b5-1 plans may only be entered into or modified when the adopting individual is not aware of material, nonpublic information, and may not be adopted or modified during a black out period applicable to such individual. Furthermore, any Section 16 Reporting Person must certify in the Rule 10b5-1 plan at adoption or modification that he/she: (a) is not aware of material nonpublic information about the Company or its securities and (b) is adopting or modifying the plan in good faith and not as part of a plan or scheme to evade the prohibitions of Exchange Act Rule 10b-5.</w:t>
      </w:r>
    </w:p>
    <w:p>
      <w:pPr>
        <w:spacing w:after="0" w:line="204" w:lineRule="exact"/>
        <w:rPr>
          <w:sz w:val="20"/>
          <w:szCs w:val="20"/>
          <w:color w:val="auto"/>
        </w:rPr>
      </w:pPr>
    </w:p>
    <w:p>
      <w:pPr>
        <w:jc w:val="both"/>
        <w:ind w:firstLine="737"/>
        <w:spacing w:after="0" w:line="238" w:lineRule="auto"/>
        <w:rPr>
          <w:sz w:val="20"/>
          <w:szCs w:val="20"/>
          <w:color w:val="auto"/>
        </w:rPr>
      </w:pPr>
      <w:r>
        <w:rPr>
          <w:rFonts w:ascii="Times New Roman" w:cs="Times New Roman" w:eastAsia="Times New Roman" w:hAnsi="Times New Roman"/>
          <w:sz w:val="22"/>
          <w:szCs w:val="22"/>
          <w:color w:val="auto"/>
        </w:rPr>
        <w:t>Rule 10b5-1 plans are also subject to mandatory “cooling-off” periods, which require individuals to wait a specified period of time after adopting or amending a plan to begin trading under such plan or amended plan. For Section 16 Reporting Persons, the cooling-off period ends on the later of (i) 90 days following the adopting or modification of a Rule 10b5-1 plan or</w:t>
      </w:r>
    </w:p>
    <w:p>
      <w:pPr>
        <w:jc w:val="both"/>
        <w:ind w:firstLine="8"/>
        <w:spacing w:after="0" w:line="230" w:lineRule="auto"/>
        <w:tabs>
          <w:tab w:leader="none" w:pos="329"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two business days following the release of the Company’s Annual Report on Form 10-K or Quarterly Report on Form 10-Q containing the financial results for the quarter in which the Rule 10b5-1 plan was adopted or modified (not to exceed 120 days following the adoption or modification of the plan). The cooling-off period for all other individuals ends 30 days following the adoption or modification of a Rule 10b5-1 plan.</w:t>
      </w:r>
    </w:p>
    <w:p>
      <w:pPr>
        <w:spacing w:after="0" w:line="204" w:lineRule="exact"/>
        <w:rPr>
          <w:sz w:val="20"/>
          <w:szCs w:val="20"/>
          <w:color w:val="auto"/>
        </w:rPr>
      </w:pPr>
    </w:p>
    <w:p>
      <w:pPr>
        <w:jc w:val="both"/>
        <w:ind w:firstLine="737"/>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The Company requires that all Rule 10b5-1 plans be approved in writing and in advance by the Company’s General Counsel or its designee. </w:t>
      </w:r>
      <w:r>
        <w:rPr>
          <w:rFonts w:ascii="Times New Roman" w:cs="Times New Roman" w:eastAsia="Times New Roman" w:hAnsi="Times New Roman"/>
          <w:sz w:val="22"/>
          <w:szCs w:val="22"/>
          <w:color w:val="auto"/>
        </w:rPr>
        <w:t>Each participant in a Rule 10b5- 1 plan must provide any and all information required to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disclosed by the Company in its annual and quarterly reports.</w:t>
      </w:r>
    </w:p>
    <w:p>
      <w:pPr>
        <w:spacing w:after="0" w:line="19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b w:val="1"/>
          <w:bCs w:val="1"/>
          <w:u w:val="single" w:color="auto"/>
          <w:color w:val="auto"/>
        </w:rPr>
        <w:t>Pre-Clearance Procedures</w:t>
      </w:r>
    </w:p>
    <w:p>
      <w:pPr>
        <w:spacing w:after="0" w:line="237" w:lineRule="exact"/>
        <w:rPr>
          <w:sz w:val="20"/>
          <w:szCs w:val="20"/>
          <w:color w:val="auto"/>
        </w:rPr>
      </w:pPr>
    </w:p>
    <w:p>
      <w:pPr>
        <w:jc w:val="both"/>
        <w:ind w:firstLine="737"/>
        <w:spacing w:after="0" w:line="239" w:lineRule="auto"/>
        <w:rPr>
          <w:sz w:val="20"/>
          <w:szCs w:val="20"/>
          <w:color w:val="auto"/>
        </w:rPr>
      </w:pPr>
      <w:r>
        <w:rPr>
          <w:rFonts w:ascii="Times New Roman" w:cs="Times New Roman" w:eastAsia="Times New Roman" w:hAnsi="Times New Roman"/>
          <w:sz w:val="22"/>
          <w:szCs w:val="22"/>
          <w:color w:val="auto"/>
        </w:rPr>
        <w:t>Section 16 Reporting Persons may not engage in any transaction involving Company securities (including an LTIP transaction such as an option exercise, a gift, loan, pledge or hedge, contribution to a trust or any other transfer) without first obtaining pre-clearance of the transaction from the General Counsel or its designee. A request for pre-clearance should be submitted to the</w:t>
      </w:r>
    </w:p>
    <w:p>
      <w:pPr>
        <w:spacing w:after="0" w:line="207" w:lineRule="exact"/>
        <w:rPr>
          <w:sz w:val="20"/>
          <w:szCs w:val="20"/>
          <w:color w:val="auto"/>
        </w:rPr>
      </w:pPr>
    </w:p>
    <w:p>
      <w:pPr>
        <w:jc w:val="both"/>
        <w:ind w:firstLine="90"/>
        <w:spacing w:after="0" w:line="236" w:lineRule="auto"/>
        <w:rPr>
          <w:sz w:val="20"/>
          <w:szCs w:val="20"/>
          <w:color w:val="auto"/>
        </w:rPr>
      </w:pPr>
      <w:r>
        <w:rPr>
          <w:rFonts w:ascii="Times New Roman" w:cs="Times New Roman" w:eastAsia="Times New Roman" w:hAnsi="Times New Roman"/>
          <w:sz w:val="22"/>
          <w:szCs w:val="22"/>
          <w:color w:val="auto"/>
        </w:rPr>
        <w:t>General Counsel or its designee at least two business days in advance of the proposed transaction. A request for pre-clearance should contain a description of the proposed transaction, the date of the proposed transaction and the number of securities involved in the transaction. Section 16 Reporting Persons should also seek pre-clearance at least five business days in advance of adopting or modifying a 10b5-1 plan. A request for pre-clearance for a Rule 10b5-1 plan should include a</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17" w:right="339" w:bottom="1440" w:gutter="0" w:footer="0" w:header="0"/>
        </w:sectPr>
      </w:pPr>
    </w:p>
    <w:bookmarkStart w:id="133" w:name="page134"/>
    <w:bookmarkEnd w:id="133"/>
    <w:p>
      <w:pPr>
        <w:ind w:left="10440"/>
        <w:spacing w:after="0"/>
        <w:rPr>
          <w:sz w:val="20"/>
          <w:szCs w:val="20"/>
          <w:color w:val="auto"/>
        </w:rPr>
      </w:pPr>
      <w:r>
        <w:rPr>
          <w:rFonts w:ascii="Times New Roman" w:cs="Times New Roman" w:eastAsia="Times New Roman" w:hAnsi="Times New Roman"/>
          <w:sz w:val="18"/>
          <w:szCs w:val="18"/>
          <w:b w:val="1"/>
          <w:bCs w:val="1"/>
          <w:color w:val="auto"/>
        </w:rPr>
        <w:t>Exhibit 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description of the proposed plan, the date of the proposed plan, the number of securities subject to the plan and an affidavit including the requirements under Rule 10b5-1. The General Counsel or its designee are under no obligation to approve a transaction or Rule 10b5-1 plan submitted for pre-clearance and may determine not to permit the transaction or plan. If pre-clearance is granted, such pre-clearance is effective only for two business days and if the transaction is not executed or Rule 10b5-1 plan adopted or modified, as applicable, during that period, another request for pre- clearance must be submitted in accordance with the procedures set forth above. The General Counsel or its designee may not execute a transaction in Company securities unless the Chief Executive Officer or its designee has approved the transaction(s) in accordance with the procedures set forth above. This pre-clearance procedure is designed to prevent violations of Section 16(a) and Section 16(b) of the Exchange Act.</w:t>
      </w:r>
    </w:p>
    <w:p>
      <w:pPr>
        <w:spacing w:after="0" w:line="20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b w:val="1"/>
          <w:bCs w:val="1"/>
          <w:u w:val="single" w:color="auto"/>
          <w:color w:val="auto"/>
        </w:rPr>
        <w:t>Post-Transaction Reporting Requirements for Section 16 Reporting Persons</w:t>
      </w:r>
    </w:p>
    <w:p>
      <w:pPr>
        <w:spacing w:after="0" w:line="237" w:lineRule="exact"/>
        <w:rPr>
          <w:sz w:val="20"/>
          <w:szCs w:val="20"/>
          <w:color w:val="auto"/>
        </w:rPr>
      </w:pPr>
    </w:p>
    <w:p>
      <w:pPr>
        <w:jc w:val="both"/>
        <w:ind w:firstLine="737"/>
        <w:spacing w:after="0" w:line="232" w:lineRule="auto"/>
        <w:rPr>
          <w:sz w:val="20"/>
          <w:szCs w:val="20"/>
          <w:color w:val="auto"/>
        </w:rPr>
      </w:pPr>
      <w:r>
        <w:rPr>
          <w:rFonts w:ascii="Times New Roman" w:cs="Times New Roman" w:eastAsia="Times New Roman" w:hAnsi="Times New Roman"/>
          <w:sz w:val="22"/>
          <w:szCs w:val="22"/>
          <w:color w:val="auto"/>
        </w:rPr>
        <w:t>Section 16(a) of the Exchange Act requires that certain transactions in Company securities by Section 16 Reporting Persons must be reported on Form 4 and filed with the Securities and Exchange Commission (the “</w:t>
      </w:r>
      <w:r>
        <w:rPr>
          <w:rFonts w:ascii="Times New Roman" w:cs="Times New Roman" w:eastAsia="Times New Roman" w:hAnsi="Times New Roman"/>
          <w:sz w:val="22"/>
          <w:szCs w:val="22"/>
          <w:u w:val="single" w:color="auto"/>
          <w:color w:val="auto"/>
        </w:rPr>
        <w:t>SEC</w:t>
      </w:r>
      <w:r>
        <w:rPr>
          <w:rFonts w:ascii="Times New Roman" w:cs="Times New Roman" w:eastAsia="Times New Roman" w:hAnsi="Times New Roman"/>
          <w:sz w:val="22"/>
          <w:szCs w:val="22"/>
          <w:color w:val="auto"/>
        </w:rPr>
        <w:t>”) within two business days following the date of the transaction. This Policy requires not only pre-clearance of transactions in Company securities, but also advance notification of sufficient details of the transaction to give the Company time to prepare and file the required reports within the applicable deadline. To ensure that the Company has sufficient time to prepare and file the Form 4 with the SEC, Section 16 Reporting Persons must report the details of the transaction to the General Counsel at least by the close of business on the date the transaction occurred. Due to the short, two-business day period in which to file the reports, the Company may have the Form 4 executed and filed with the SEC on a Section 16 Reporting Person’s behalf using the power of attorney granted to the Company for this purpose. Section 16 Reporting Persons should contact the General Counsel immediately if they believe there may be any errors in a filing.</w:t>
      </w:r>
    </w:p>
    <w:p>
      <w:pPr>
        <w:spacing w:after="0" w:line="214" w:lineRule="exact"/>
        <w:rPr>
          <w:sz w:val="20"/>
          <w:szCs w:val="20"/>
          <w:color w:val="auto"/>
        </w:rPr>
      </w:pPr>
    </w:p>
    <w:p>
      <w:pPr>
        <w:jc w:val="both"/>
        <w:ind w:firstLine="737"/>
        <w:spacing w:after="0" w:line="239" w:lineRule="auto"/>
        <w:rPr>
          <w:sz w:val="20"/>
          <w:szCs w:val="20"/>
          <w:color w:val="auto"/>
        </w:rPr>
      </w:pPr>
      <w:r>
        <w:rPr>
          <w:rFonts w:ascii="Times New Roman" w:cs="Times New Roman" w:eastAsia="Times New Roman" w:hAnsi="Times New Roman"/>
          <w:sz w:val="22"/>
          <w:szCs w:val="22"/>
          <w:color w:val="auto"/>
        </w:rPr>
        <w:t>Section 16(b) provides that Section 16 Reporting Persons are liable to the Company for any “short-swing profits” resulting from a non-exempt purchase and/or sale of Company securities that occurs within a period of less than six months. The SEC may cause the Company to contribute these disgorged profits into a public fund to be used for restitution to the victims of such violations.</w:t>
      </w:r>
    </w:p>
    <w:p>
      <w:pPr>
        <w:spacing w:after="0" w:line="207" w:lineRule="exact"/>
        <w:rPr>
          <w:sz w:val="20"/>
          <w:szCs w:val="20"/>
          <w:color w:val="auto"/>
        </w:rPr>
      </w:pPr>
    </w:p>
    <w:p>
      <w:pPr>
        <w:jc w:val="both"/>
        <w:ind w:firstLine="737"/>
        <w:spacing w:after="0" w:line="244" w:lineRule="auto"/>
        <w:rPr>
          <w:sz w:val="20"/>
          <w:szCs w:val="20"/>
          <w:color w:val="auto"/>
        </w:rPr>
      </w:pPr>
      <w:r>
        <w:rPr>
          <w:rFonts w:ascii="Times New Roman" w:cs="Times New Roman" w:eastAsia="Times New Roman" w:hAnsi="Times New Roman"/>
          <w:sz w:val="22"/>
          <w:szCs w:val="22"/>
          <w:color w:val="auto"/>
        </w:rPr>
        <w:t>Although compliance with Section 16(a), Section 16(b) and other restricted trading periods is the responsibility of each Section 16 Reporting Person, the pre-clearance of all trades will allow the Company to assist in preventing any inadvertent violations.</w:t>
      </w:r>
    </w:p>
    <w:p>
      <w:pPr>
        <w:spacing w:after="0" w:line="19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b w:val="1"/>
          <w:bCs w:val="1"/>
          <w:u w:val="single" w:color="auto"/>
          <w:color w:val="auto"/>
        </w:rPr>
        <w:t>Gift-Giving</w:t>
      </w:r>
    </w:p>
    <w:p>
      <w:pPr>
        <w:spacing w:after="0" w:line="237" w:lineRule="exact"/>
        <w:rPr>
          <w:sz w:val="20"/>
          <w:szCs w:val="20"/>
          <w:color w:val="auto"/>
        </w:rPr>
      </w:pPr>
    </w:p>
    <w:p>
      <w:pPr>
        <w:jc w:val="both"/>
        <w:ind w:firstLine="737"/>
        <w:spacing w:after="0" w:line="238" w:lineRule="auto"/>
        <w:rPr>
          <w:sz w:val="20"/>
          <w:szCs w:val="20"/>
          <w:color w:val="auto"/>
        </w:rPr>
      </w:pPr>
      <w:r>
        <w:rPr>
          <w:rFonts w:ascii="Times New Roman" w:cs="Times New Roman" w:eastAsia="Times New Roman" w:hAnsi="Times New Roman"/>
          <w:sz w:val="22"/>
          <w:szCs w:val="22"/>
          <w:color w:val="auto"/>
        </w:rPr>
        <w:t>Persons subject to this Policy may donate Company owned stock at any time, but should still follow pre-clearance procedures as described herein, as applicable. If such person maintains control over the timing of the sale of any donated stock, the sale is subject to the black out periods and the other rules herein.</w:t>
      </w:r>
    </w:p>
    <w:p>
      <w:pPr>
        <w:spacing w:after="0" w:line="20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b w:val="1"/>
          <w:bCs w:val="1"/>
          <w:u w:val="single" w:color="auto"/>
          <w:color w:val="auto"/>
        </w:rPr>
        <w:t>Post-Termination Transactions</w:t>
      </w:r>
    </w:p>
    <w:p>
      <w:pPr>
        <w:spacing w:after="0" w:line="237" w:lineRule="exact"/>
        <w:rPr>
          <w:sz w:val="20"/>
          <w:szCs w:val="20"/>
          <w:color w:val="auto"/>
        </w:rPr>
      </w:pPr>
    </w:p>
    <w:p>
      <w:pPr>
        <w:jc w:val="both"/>
        <w:ind w:firstLine="737"/>
        <w:spacing w:after="0" w:line="282" w:lineRule="auto"/>
        <w:rPr>
          <w:sz w:val="20"/>
          <w:szCs w:val="20"/>
          <w:color w:val="auto"/>
        </w:rPr>
      </w:pPr>
      <w:r>
        <w:rPr>
          <w:rFonts w:ascii="Times New Roman" w:cs="Times New Roman" w:eastAsia="Times New Roman" w:hAnsi="Times New Roman"/>
          <w:sz w:val="21"/>
          <w:szCs w:val="21"/>
          <w:color w:val="auto"/>
        </w:rPr>
        <w:t>If persons subject to this Policy are aware of material, nonpublic information when such person’s employment or service relationship terminates, such person may not trade in Company securities until that information has been publicly released.</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17" w:right="339" w:bottom="1440" w:gutter="0" w:footer="0" w:header="0"/>
        </w:sectPr>
      </w:pPr>
    </w:p>
    <w:bookmarkStart w:id="134" w:name="page135"/>
    <w:bookmarkEnd w:id="134"/>
    <w:p>
      <w:pPr>
        <w:jc w:val="right"/>
        <w:spacing w:after="0"/>
        <w:rPr>
          <w:sz w:val="20"/>
          <w:szCs w:val="20"/>
          <w:color w:val="auto"/>
        </w:rPr>
      </w:pPr>
      <w:r>
        <w:rPr>
          <w:rFonts w:ascii="Times New Roman" w:cs="Times New Roman" w:eastAsia="Times New Roman" w:hAnsi="Times New Roman"/>
          <w:sz w:val="18"/>
          <w:szCs w:val="18"/>
          <w:b w:val="1"/>
          <w:bCs w:val="1"/>
          <w:color w:val="auto"/>
        </w:rPr>
        <w:t>Exhibit 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b w:val="1"/>
          <w:bCs w:val="1"/>
          <w:u w:val="single" w:color="auto"/>
          <w:color w:val="auto"/>
        </w:rPr>
        <w:t>The Consequences of Insider Trading</w:t>
      </w:r>
    </w:p>
    <w:p>
      <w:pPr>
        <w:spacing w:after="0" w:line="237" w:lineRule="exact"/>
        <w:rPr>
          <w:sz w:val="20"/>
          <w:szCs w:val="20"/>
          <w:color w:val="auto"/>
        </w:rPr>
      </w:pPr>
    </w:p>
    <w:p>
      <w:pPr>
        <w:jc w:val="both"/>
        <w:ind w:firstLine="737"/>
        <w:spacing w:after="0" w:line="244" w:lineRule="auto"/>
        <w:rPr>
          <w:sz w:val="20"/>
          <w:szCs w:val="20"/>
          <w:color w:val="auto"/>
        </w:rPr>
      </w:pPr>
      <w:r>
        <w:rPr>
          <w:rFonts w:ascii="Times New Roman" w:cs="Times New Roman" w:eastAsia="Times New Roman" w:hAnsi="Times New Roman"/>
          <w:sz w:val="22"/>
          <w:szCs w:val="22"/>
          <w:color w:val="auto"/>
        </w:rPr>
        <w:t>Individuals who trade on material nonpublic information (or tip information to others) can be subject to an array of civil and criminal penalties. Violations are taken very seriously by the SEC, the federal agency responsible for enforcing the law in this area. Potential sanctions include:</w:t>
      </w:r>
    </w:p>
    <w:p>
      <w:pPr>
        <w:spacing w:after="0" w:line="227" w:lineRule="exact"/>
        <w:rPr>
          <w:sz w:val="20"/>
          <w:szCs w:val="20"/>
          <w:color w:val="auto"/>
        </w:rPr>
      </w:pPr>
    </w:p>
    <w:p>
      <w:pPr>
        <w:ind w:left="640" w:hanging="308"/>
        <w:spacing w:after="0"/>
        <w:tabs>
          <w:tab w:leader="none" w:pos="640" w:val="left"/>
        </w:tabs>
        <w:numPr>
          <w:ilvl w:val="0"/>
          <w:numId w:val="59"/>
        </w:numPr>
        <w:rPr>
          <w:rFonts w:ascii="Arial" w:cs="Arial" w:eastAsia="Arial" w:hAnsi="Arial"/>
          <w:sz w:val="20"/>
          <w:szCs w:val="20"/>
          <w:color w:val="auto"/>
        </w:rPr>
      </w:pPr>
      <w:r>
        <w:rPr>
          <w:rFonts w:ascii="Times New Roman" w:cs="Times New Roman" w:eastAsia="Times New Roman" w:hAnsi="Times New Roman"/>
          <w:sz w:val="22"/>
          <w:szCs w:val="22"/>
          <w:color w:val="auto"/>
        </w:rPr>
        <w:t>disgorgement of profits gained or losses avoided and interest thereon;</w:t>
      </w:r>
    </w:p>
    <w:p>
      <w:pPr>
        <w:spacing w:after="0" w:line="44" w:lineRule="exact"/>
        <w:rPr>
          <w:rFonts w:ascii="Arial" w:cs="Arial" w:eastAsia="Arial" w:hAnsi="Arial"/>
          <w:sz w:val="20"/>
          <w:szCs w:val="20"/>
          <w:color w:val="auto"/>
        </w:rPr>
      </w:pPr>
    </w:p>
    <w:p>
      <w:pPr>
        <w:ind w:left="640" w:hanging="308"/>
        <w:spacing w:after="0"/>
        <w:tabs>
          <w:tab w:leader="none" w:pos="64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a civil penalty of up to three times the profit gained or loss avoided;</w:t>
      </w:r>
    </w:p>
    <w:p>
      <w:pPr>
        <w:spacing w:after="0" w:line="30"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a bar from acting as an officer or director of a publicly traded company;</w:t>
      </w:r>
    </w:p>
    <w:p>
      <w:pPr>
        <w:spacing w:after="0" w:line="29"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a criminal fine (no matter how small the profit or the lack thereof) of up to $1 million; and</w:t>
      </w:r>
    </w:p>
    <w:p>
      <w:pPr>
        <w:spacing w:after="0" w:line="15"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a jail term of up to ten years.</w:t>
      </w:r>
    </w:p>
    <w:p>
      <w:pPr>
        <w:spacing w:after="0" w:line="236" w:lineRule="exact"/>
        <w:rPr>
          <w:sz w:val="20"/>
          <w:szCs w:val="20"/>
          <w:color w:val="auto"/>
        </w:rPr>
      </w:pPr>
    </w:p>
    <w:p>
      <w:pPr>
        <w:jc w:val="both"/>
        <w:ind w:firstLine="737"/>
        <w:spacing w:after="0" w:line="251" w:lineRule="auto"/>
        <w:rPr>
          <w:sz w:val="20"/>
          <w:szCs w:val="20"/>
          <w:color w:val="auto"/>
        </w:rPr>
      </w:pPr>
      <w:r>
        <w:rPr>
          <w:rFonts w:ascii="Times New Roman" w:cs="Times New Roman" w:eastAsia="Times New Roman" w:hAnsi="Times New Roman"/>
          <w:sz w:val="21"/>
          <w:szCs w:val="21"/>
          <w:color w:val="auto"/>
        </w:rPr>
        <w:t>These penalties can apply even if the individual is not a director or officer of the Company. In addition to the potentially severe civil and criminal penalties for violation of the insider trading laws, violation of this Policy may result in disciplinary action by the Company, up to and including termination of employment. A conviction or finding of liability for insider trading can also result in individuals being banned generally from employment in the securities or financial industries or other employment, and even a mere allegation of insider trading can result in severe harm to professional and personal reputation.</w:t>
      </w:r>
    </w:p>
    <w:p>
      <w:pPr>
        <w:spacing w:after="0" w:line="182" w:lineRule="exact"/>
        <w:rPr>
          <w:sz w:val="20"/>
          <w:szCs w:val="20"/>
          <w:color w:val="auto"/>
        </w:rPr>
      </w:pPr>
    </w:p>
    <w:p>
      <w:pPr>
        <w:jc w:val="both"/>
        <w:ind w:right="20" w:firstLine="737"/>
        <w:spacing w:after="0" w:line="244" w:lineRule="auto"/>
        <w:rPr>
          <w:sz w:val="20"/>
          <w:szCs w:val="20"/>
          <w:color w:val="auto"/>
        </w:rPr>
      </w:pPr>
      <w:r>
        <w:rPr>
          <w:rFonts w:ascii="Times New Roman" w:cs="Times New Roman" w:eastAsia="Times New Roman" w:hAnsi="Times New Roman"/>
          <w:sz w:val="22"/>
          <w:szCs w:val="22"/>
          <w:color w:val="auto"/>
        </w:rPr>
        <w:t>A transaction that may be necessary or seem justifiable for independent reasons (including a need to raise money for a personal financial emergency) is neither an exception to this Policy nor a safeguard against prosecution for violation of insider trading laws.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17" w:right="339" w:bottom="1440" w:gutter="0" w:footer="0" w:header="0"/>
        </w:sectPr>
      </w:pPr>
    </w:p>
    <w:bookmarkStart w:id="135" w:name="page136"/>
    <w:bookmarkEnd w:id="135"/>
    <w:p>
      <w:pPr>
        <w:jc w:val="right"/>
        <w:spacing w:after="0"/>
        <w:rPr>
          <w:sz w:val="20"/>
          <w:szCs w:val="20"/>
          <w:color w:val="auto"/>
        </w:rPr>
      </w:pPr>
      <w:r>
        <w:rPr>
          <w:rFonts w:ascii="Times New Roman" w:cs="Times New Roman" w:eastAsia="Times New Roman" w:hAnsi="Times New Roman"/>
          <w:sz w:val="18"/>
          <w:szCs w:val="18"/>
          <w:color w:val="auto"/>
        </w:rPr>
        <w:t>Exhibit 21.1</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List of Subsidiaries of the Company </w:t>
      </w:r>
      <w:r>
        <w:rPr>
          <w:rFonts w:ascii="Times New Roman" w:cs="Times New Roman" w:eastAsia="Times New Roman" w:hAnsi="Times New Roman"/>
          <w:sz w:val="23"/>
          <w:szCs w:val="23"/>
          <w:b w:val="1"/>
          <w:bCs w:val="1"/>
          <w:color w:val="auto"/>
          <w:vertAlign w:val="superscript"/>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Autotech Fund II, L.P. (Delaware) (3.326463%)</w:t>
            </w:r>
          </w:p>
        </w:tc>
        <w:tc>
          <w:tcPr>
            <w:tcW w:w="5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Lear Corporation GmbH (Germany)</w:t>
            </w:r>
          </w:p>
        </w:tc>
      </w:tr>
      <w:tr>
        <w:trPr>
          <w:trHeight w:val="195"/>
        </w:trPr>
        <w:tc>
          <w:tcPr>
            <w:tcW w:w="5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Bauerhin-Elektro-Warme GmbH (Germany)</w:t>
            </w:r>
          </w:p>
        </w:tc>
        <w:tc>
          <w:tcPr>
            <w:tcW w:w="58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Lear Corporation Holding Spain S.L.U. (Spain)</w:t>
            </w:r>
          </w:p>
        </w:tc>
      </w:tr>
      <w:tr>
        <w:trPr>
          <w:trHeight w:val="210"/>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Beijing BAI Lear Automotive Systems Co., Ltd. (China) (50%)</w:t>
            </w:r>
          </w:p>
        </w:tc>
        <w:tc>
          <w:tcPr>
            <w:tcW w:w="5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Lear Corporation Hungary Automotive Manufacturing Kft. (Hungary)</w:t>
            </w:r>
          </w:p>
        </w:tc>
      </w:tr>
      <w:tr>
        <w:trPr>
          <w:trHeight w:val="195"/>
        </w:trPr>
        <w:tc>
          <w:tcPr>
            <w:tcW w:w="5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Beijing BHAP Lear Automotive Systems Co., Ltd. (China) (50%)</w:t>
            </w:r>
          </w:p>
        </w:tc>
        <w:tc>
          <w:tcPr>
            <w:tcW w:w="58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Lear Corporation Ingenierie, S.A.S. (France)</w:t>
            </w:r>
          </w:p>
        </w:tc>
      </w:tr>
      <w:tr>
        <w:trPr>
          <w:trHeight w:val="210"/>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Beijing Lear Hyundai Transys Co., Ltd. (China) (50%)</w:t>
            </w:r>
          </w:p>
        </w:tc>
        <w:tc>
          <w:tcPr>
            <w:tcW w:w="5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Lear Corporation Italia S.r.l. (Italy)</w:t>
            </w:r>
          </w:p>
        </w:tc>
      </w:tr>
      <w:tr>
        <w:trPr>
          <w:trHeight w:val="195"/>
        </w:trPr>
        <w:tc>
          <w:tcPr>
            <w:tcW w:w="5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CelLink Corporation (Delaware) (3.18%)</w:t>
            </w:r>
          </w:p>
        </w:tc>
        <w:tc>
          <w:tcPr>
            <w:tcW w:w="58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Lear Corporation Japan K.K. (Japan)</w:t>
            </w:r>
          </w:p>
        </w:tc>
      </w:tr>
      <w:tr>
        <w:trPr>
          <w:trHeight w:val="210"/>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Changchun Lear FAWSN Automotive Electrical Co., Ltd. (China) (69%)</w:t>
            </w:r>
          </w:p>
        </w:tc>
        <w:tc>
          <w:tcPr>
            <w:tcW w:w="5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Lear Corporation Loire, S.A.S. (France)</w:t>
            </w:r>
          </w:p>
        </w:tc>
      </w:tr>
      <w:tr>
        <w:trPr>
          <w:trHeight w:val="195"/>
        </w:trPr>
        <w:tc>
          <w:tcPr>
            <w:tcW w:w="5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Changchun Lear FAWSN Automotive Seat Systems Co., Ltd. (China) (49%)</w:t>
            </w:r>
          </w:p>
        </w:tc>
        <w:tc>
          <w:tcPr>
            <w:tcW w:w="58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Lear Corporation Macedonia DOOEL Tetovo (Macedonia)</w:t>
            </w:r>
          </w:p>
        </w:tc>
      </w:tr>
      <w:tr>
        <w:trPr>
          <w:trHeight w:val="210"/>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Chihuahua Electrical Wiring Systems S. de R.L. de C.V. (Mexico) (49%)</w:t>
            </w:r>
          </w:p>
        </w:tc>
        <w:tc>
          <w:tcPr>
            <w:tcW w:w="5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Lear Corporation Martorell, S.L.U. (Spain)</w:t>
            </w:r>
          </w:p>
        </w:tc>
      </w:tr>
      <w:tr>
        <w:trPr>
          <w:trHeight w:val="195"/>
        </w:trPr>
        <w:tc>
          <w:tcPr>
            <w:tcW w:w="5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Chongqing Dongshi Lear Automotive Seating Co., Ltd. (China) (50%)</w:t>
            </w:r>
          </w:p>
        </w:tc>
        <w:tc>
          <w:tcPr>
            <w:tcW w:w="58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Lear Corporation Meknes S.a.r.l.a.u. (Morocco)</w:t>
            </w:r>
          </w:p>
        </w:tc>
      </w:tr>
      <w:tr>
        <w:trPr>
          <w:trHeight w:val="210"/>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Consorcio Industrial Mexicano de Autopartes S. de R.L. de C.V. (Mexico)</w:t>
            </w:r>
          </w:p>
        </w:tc>
        <w:tc>
          <w:tcPr>
            <w:tcW w:w="5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Lear Corporation Mexico S. de R.L. de C.V. (Mexico)</w:t>
            </w:r>
          </w:p>
        </w:tc>
      </w:tr>
      <w:tr>
        <w:trPr>
          <w:trHeight w:val="195"/>
        </w:trPr>
        <w:tc>
          <w:tcPr>
            <w:tcW w:w="5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Durango Automotive Wiring Systems, S. de R.L. de C.V. (Mexico) (49%)</w:t>
            </w:r>
          </w:p>
        </w:tc>
        <w:tc>
          <w:tcPr>
            <w:tcW w:w="58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Lear Corporation Pension Scheme Trustees Limited (United Kingdom)</w:t>
            </w:r>
          </w:p>
        </w:tc>
      </w:tr>
      <w:tr>
        <w:trPr>
          <w:trHeight w:val="210"/>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Eagle Ottawa (Thailand) Co., Ltd. (Thailand)</w:t>
            </w:r>
          </w:p>
        </w:tc>
        <w:tc>
          <w:tcPr>
            <w:tcW w:w="5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Lear Corporation Poland II Sp. z.o.o. (Poland)</w:t>
            </w:r>
          </w:p>
        </w:tc>
      </w:tr>
      <w:tr>
        <w:trPr>
          <w:trHeight w:val="195"/>
        </w:trPr>
        <w:tc>
          <w:tcPr>
            <w:tcW w:w="5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Eagle Ottawa China Ltd. (China)</w:t>
            </w:r>
          </w:p>
        </w:tc>
        <w:tc>
          <w:tcPr>
            <w:tcW w:w="58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Lear Corporation Pontevedra, S.L.U. (Spain)</w:t>
            </w:r>
          </w:p>
        </w:tc>
      </w:tr>
      <w:tr>
        <w:trPr>
          <w:trHeight w:val="210"/>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Eagle Ottawa Fonseca S.A. (Argentina) (70%)</w:t>
            </w:r>
          </w:p>
        </w:tc>
        <w:tc>
          <w:tcPr>
            <w:tcW w:w="5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Lear Corporation Romania S.r.L. (Romania)</w:t>
            </w:r>
          </w:p>
        </w:tc>
      </w:tr>
      <w:tr>
        <w:trPr>
          <w:trHeight w:val="195"/>
        </w:trPr>
        <w:tc>
          <w:tcPr>
            <w:tcW w:w="5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Eagle Ottawa Hungary Kft. (Hungary)</w:t>
            </w:r>
          </w:p>
        </w:tc>
        <w:tc>
          <w:tcPr>
            <w:tcW w:w="58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Lear Corporation S.r.L. (Moldova)</w:t>
            </w:r>
          </w:p>
        </w:tc>
      </w:tr>
      <w:tr>
        <w:trPr>
          <w:trHeight w:val="210"/>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Eagle Ottawa North America, LLC (Delaware)</w:t>
            </w:r>
          </w:p>
        </w:tc>
        <w:tc>
          <w:tcPr>
            <w:tcW w:w="5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Lear Corporation Seating France Feignies S.A.S. (France)</w:t>
            </w:r>
          </w:p>
        </w:tc>
      </w:tr>
      <w:tr>
        <w:trPr>
          <w:trHeight w:val="195"/>
        </w:trPr>
        <w:tc>
          <w:tcPr>
            <w:tcW w:w="5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Eagle Ottawa UK Limited (United Kingdom)</w:t>
            </w:r>
          </w:p>
        </w:tc>
        <w:tc>
          <w:tcPr>
            <w:tcW w:w="58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Lear Corporation Seating France S.A.S. (France)</w:t>
            </w:r>
          </w:p>
        </w:tc>
      </w:tr>
      <w:tr>
        <w:trPr>
          <w:trHeight w:val="210"/>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Evolved by Nature Inc. (Delaware) (3.23%)</w:t>
            </w:r>
          </w:p>
        </w:tc>
        <w:tc>
          <w:tcPr>
            <w:tcW w:w="5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Lear Corporation Seating Slovakia s.r.o. (Slovak Republic)</w:t>
            </w:r>
          </w:p>
        </w:tc>
      </w:tr>
      <w:tr>
        <w:trPr>
          <w:trHeight w:val="195"/>
        </w:trPr>
        <w:tc>
          <w:tcPr>
            <w:tcW w:w="5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EXO Technologies Ltd. (Israel)</w:t>
            </w:r>
          </w:p>
        </w:tc>
        <w:tc>
          <w:tcPr>
            <w:tcW w:w="58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Lear Corporation Services Macedonia DOEEL Skopje (Macedonia)</w:t>
            </w:r>
          </w:p>
        </w:tc>
      </w:tr>
      <w:tr>
        <w:trPr>
          <w:trHeight w:val="210"/>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Foshan Lear FAWSN Automotive Systems Co., Ltd. (China) (49%)</w:t>
            </w:r>
          </w:p>
        </w:tc>
        <w:tc>
          <w:tcPr>
            <w:tcW w:w="5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Lear Corporation South East Asia Co., Ltd. (Thailand)</w:t>
            </w:r>
          </w:p>
        </w:tc>
      </w:tr>
      <w:tr>
        <w:trPr>
          <w:trHeight w:val="195"/>
        </w:trPr>
        <w:tc>
          <w:tcPr>
            <w:tcW w:w="5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Gill Industries of Mexico, S. de R.L. de C.V. (Mexico)</w:t>
            </w:r>
          </w:p>
        </w:tc>
        <w:tc>
          <w:tcPr>
            <w:tcW w:w="58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Lear Corporation Sweden AB (Sweden)</w:t>
            </w:r>
          </w:p>
        </w:tc>
      </w:tr>
      <w:tr>
        <w:trPr>
          <w:trHeight w:val="210"/>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Guangzhou Lear Automotive Components Co., Ltd. (China) (50%)</w:t>
            </w:r>
          </w:p>
        </w:tc>
        <w:tc>
          <w:tcPr>
            <w:tcW w:w="5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Lear Corporation Tunisia S.u.a.r.l. (Tunisia)</w:t>
            </w:r>
          </w:p>
        </w:tc>
      </w:tr>
      <w:tr>
        <w:trPr>
          <w:trHeight w:val="195"/>
        </w:trPr>
        <w:tc>
          <w:tcPr>
            <w:tcW w:w="5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Guilford Europe Limited (United Kingdom)</w:t>
            </w:r>
          </w:p>
        </w:tc>
        <w:tc>
          <w:tcPr>
            <w:tcW w:w="58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Lear Corporation UK Holdings Limited (United Kingdom)</w:t>
            </w:r>
          </w:p>
        </w:tc>
      </w:tr>
      <w:tr>
        <w:trPr>
          <w:trHeight w:val="210"/>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Guilford Europe Pension Trustees Limited (United Kingdom)</w:t>
            </w:r>
          </w:p>
        </w:tc>
        <w:tc>
          <w:tcPr>
            <w:tcW w:w="5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Lear Corporation Valenca, Unipessoal, Lda. (Portugal)</w:t>
            </w:r>
          </w:p>
        </w:tc>
      </w:tr>
      <w:tr>
        <w:trPr>
          <w:trHeight w:val="195"/>
        </w:trPr>
        <w:tc>
          <w:tcPr>
            <w:tcW w:w="5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HB Polymer Company, LLC (Delaware) (10%)</w:t>
            </w:r>
          </w:p>
        </w:tc>
        <w:tc>
          <w:tcPr>
            <w:tcW w:w="58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Lear DFM Automotive Seating (Yancheng) Co., Ltd. (China) (50%)</w:t>
            </w:r>
          </w:p>
        </w:tc>
      </w:tr>
      <w:tr>
        <w:trPr>
          <w:trHeight w:val="210"/>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HG tronic, spol. s.r.o. (Czech Republic)</w:t>
            </w:r>
          </w:p>
        </w:tc>
        <w:tc>
          <w:tcPr>
            <w:tcW w:w="5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Lear DFM Tachi-S Automotive Seating (Dalian) Co., Ltd. (China) (25.5%)</w:t>
            </w:r>
          </w:p>
        </w:tc>
      </w:tr>
      <w:tr>
        <w:trPr>
          <w:trHeight w:val="195"/>
        </w:trPr>
        <w:tc>
          <w:tcPr>
            <w:tcW w:w="5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Honduras Electrical Distribution Systems S. de R.L. de C.V. (Honduras) (49%)</w:t>
            </w:r>
          </w:p>
        </w:tc>
        <w:tc>
          <w:tcPr>
            <w:tcW w:w="58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Lear do Brasil Industria e Comercio de Interiores Automotivos Ltda. (Brazil)</w:t>
            </w:r>
          </w:p>
        </w:tc>
      </w:tr>
      <w:tr>
        <w:trPr>
          <w:trHeight w:val="210"/>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Hyundai Transys Lear Automotive India Private Limited (India) (35%)</w:t>
            </w:r>
          </w:p>
        </w:tc>
        <w:tc>
          <w:tcPr>
            <w:tcW w:w="5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Lear Dongshi Automotive Seating Co., Ltd. (China) (50%)</w:t>
            </w:r>
          </w:p>
        </w:tc>
      </w:tr>
      <w:tr>
        <w:trPr>
          <w:trHeight w:val="195"/>
        </w:trPr>
        <w:tc>
          <w:tcPr>
            <w:tcW w:w="5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IGB Automotriz S. de R.L. de C.V. (Mexico)</w:t>
            </w:r>
          </w:p>
        </w:tc>
        <w:tc>
          <w:tcPr>
            <w:tcW w:w="58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Lear Dongshi Automotive Seating (Wuhan) Co., Ltd. (China) (50%)</w:t>
            </w:r>
          </w:p>
        </w:tc>
      </w:tr>
      <w:tr>
        <w:trPr>
          <w:trHeight w:val="210"/>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IGB Automotive Comp d.o.o. Indija (Serbia)</w:t>
            </w:r>
          </w:p>
        </w:tc>
        <w:tc>
          <w:tcPr>
            <w:tcW w:w="5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Lear Dongshi Tachi-S Automotive Seating (Wuhan) Co., Ltd. (China) (40%)</w:t>
            </w:r>
          </w:p>
        </w:tc>
      </w:tr>
      <w:tr>
        <w:trPr>
          <w:trHeight w:val="195"/>
        </w:trPr>
        <w:tc>
          <w:tcPr>
            <w:tcW w:w="5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IGB Automotive Ltd. (Canada)</w:t>
            </w:r>
          </w:p>
        </w:tc>
        <w:tc>
          <w:tcPr>
            <w:tcW w:w="58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Lear East European Operations S.a.r.l. (Luxembourg)</w:t>
            </w:r>
          </w:p>
        </w:tc>
      </w:tr>
      <w:tr>
        <w:trPr>
          <w:trHeight w:val="210"/>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IGB Automotive Tianjin Ltd. (China)</w:t>
            </w:r>
          </w:p>
        </w:tc>
        <w:tc>
          <w:tcPr>
            <w:tcW w:w="5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Lear EEDS and Interiors, LLC (Delaware)</w:t>
            </w:r>
          </w:p>
        </w:tc>
      </w:tr>
      <w:tr>
        <w:trPr>
          <w:trHeight w:val="195"/>
        </w:trPr>
        <w:tc>
          <w:tcPr>
            <w:tcW w:w="5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IGB Automotive Vietnam Co., Ltd. (Vietnam)</w:t>
            </w:r>
          </w:p>
        </w:tc>
        <w:tc>
          <w:tcPr>
            <w:tcW w:w="58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Lear Electrical Systems de Mexico S. de R.L. de C.V. (Mexico)</w:t>
            </w:r>
          </w:p>
        </w:tc>
      </w:tr>
      <w:tr>
        <w:trPr>
          <w:trHeight w:val="210"/>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Industrias Lear de Argentina SrL (Argentina)</w:t>
            </w:r>
          </w:p>
        </w:tc>
        <w:tc>
          <w:tcPr>
            <w:tcW w:w="5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Lear European Holding S.L.U. (Spain)</w:t>
            </w:r>
          </w:p>
        </w:tc>
      </w:tr>
      <w:tr>
        <w:trPr>
          <w:trHeight w:val="195"/>
        </w:trPr>
        <w:tc>
          <w:tcPr>
            <w:tcW w:w="5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Insys - Interior Systems SA (Argentina) (5%)</w:t>
            </w:r>
          </w:p>
        </w:tc>
        <w:tc>
          <w:tcPr>
            <w:tcW w:w="58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Lear Global Technology Corporation France (Delaware)</w:t>
            </w:r>
          </w:p>
        </w:tc>
      </w:tr>
      <w:tr>
        <w:trPr>
          <w:trHeight w:val="210"/>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Jiangxi Jiangling Lear Interior Systems Co. Ltd. (China) (50%)</w:t>
            </w:r>
          </w:p>
        </w:tc>
        <w:tc>
          <w:tcPr>
            <w:tcW w:w="5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Lear Global Technology Corporation Germany (Delaware)</w:t>
            </w:r>
          </w:p>
        </w:tc>
      </w:tr>
      <w:tr>
        <w:trPr>
          <w:trHeight w:val="195"/>
        </w:trPr>
        <w:tc>
          <w:tcPr>
            <w:tcW w:w="5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Lear Thermal Comfort Systems Mexico, S. de R.L. de C.V.(Mexico)</w:t>
            </w:r>
          </w:p>
        </w:tc>
        <w:tc>
          <w:tcPr>
            <w:tcW w:w="58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Lear Global Technology Corporation Spain (Delaware)</w:t>
            </w:r>
          </w:p>
        </w:tc>
      </w:tr>
      <w:tr>
        <w:trPr>
          <w:trHeight w:val="210"/>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Kyungshin-Lear Sales and Engineering LLC (Delaware) (49%)</w:t>
            </w:r>
          </w:p>
        </w:tc>
        <w:tc>
          <w:tcPr>
            <w:tcW w:w="5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Lear Global Technology Corporation UK (Delaware)</w:t>
            </w:r>
          </w:p>
        </w:tc>
      </w:tr>
      <w:tr>
        <w:trPr>
          <w:trHeight w:val="195"/>
        </w:trPr>
        <w:tc>
          <w:tcPr>
            <w:tcW w:w="5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Lear (China) Holding Limited (China)</w:t>
            </w:r>
          </w:p>
        </w:tc>
        <w:tc>
          <w:tcPr>
            <w:tcW w:w="58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Lear Holdings, S. de R.L. de C.V. (Mexico)</w:t>
            </w:r>
          </w:p>
        </w:tc>
      </w:tr>
      <w:tr>
        <w:trPr>
          <w:trHeight w:val="210"/>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Lear (Luxembourg) S.a.r.l. (Luxembourg)</w:t>
            </w:r>
          </w:p>
        </w:tc>
        <w:tc>
          <w:tcPr>
            <w:tcW w:w="5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Lear India Engineering, LLC (Delaware)</w:t>
            </w:r>
          </w:p>
        </w:tc>
      </w:tr>
      <w:tr>
        <w:trPr>
          <w:trHeight w:val="195"/>
        </w:trPr>
        <w:tc>
          <w:tcPr>
            <w:tcW w:w="5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Lear (Shanghai) Auto Parts Technology Co., Ltd. (China)</w:t>
            </w:r>
          </w:p>
        </w:tc>
        <w:tc>
          <w:tcPr>
            <w:tcW w:w="58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Lear India Engineering, LLP (India)</w:t>
            </w:r>
          </w:p>
        </w:tc>
      </w:tr>
      <w:tr>
        <w:trPr>
          <w:trHeight w:val="210"/>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Lear (Suining) Automotive Electrical Co., Ltd. (China)</w:t>
            </w:r>
          </w:p>
        </w:tc>
        <w:tc>
          <w:tcPr>
            <w:tcW w:w="5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Lear Israel Engineering, LLC (Delaware)</w:t>
            </w:r>
          </w:p>
        </w:tc>
      </w:tr>
      <w:tr>
        <w:trPr>
          <w:trHeight w:val="195"/>
        </w:trPr>
        <w:tc>
          <w:tcPr>
            <w:tcW w:w="5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Lear Automotive (Malaysia) Sdn. Bhd. (Malaysia)</w:t>
            </w:r>
          </w:p>
        </w:tc>
        <w:tc>
          <w:tcPr>
            <w:tcW w:w="58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Lear Japan Engineering, LLC (Delaware)</w:t>
            </w:r>
          </w:p>
        </w:tc>
      </w:tr>
      <w:tr>
        <w:trPr>
          <w:trHeight w:val="210"/>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Lear Automotive (Thailand) Co., Ltd. (Thailand)</w:t>
            </w:r>
          </w:p>
        </w:tc>
        <w:tc>
          <w:tcPr>
            <w:tcW w:w="5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Lear Korea Engineering Yuhan Hoesa (Korea)</w:t>
            </w:r>
          </w:p>
        </w:tc>
      </w:tr>
      <w:tr>
        <w:trPr>
          <w:trHeight w:val="195"/>
        </w:trPr>
        <w:tc>
          <w:tcPr>
            <w:tcW w:w="5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Lear Automotive EEDS Honduras, S. de R.L. de C.V. (Honduras)</w:t>
            </w:r>
          </w:p>
        </w:tc>
        <w:tc>
          <w:tcPr>
            <w:tcW w:w="58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Lear Korea Yuhan Hoesa (Korea)</w:t>
            </w:r>
          </w:p>
        </w:tc>
      </w:tr>
      <w:tr>
        <w:trPr>
          <w:trHeight w:val="210"/>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Lear Automotive Electronics and Electrical Products (Shanghai) Co., Ltd. (China)</w:t>
            </w:r>
          </w:p>
        </w:tc>
        <w:tc>
          <w:tcPr>
            <w:tcW w:w="5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Lear LLC (Russia)</w:t>
            </w:r>
          </w:p>
        </w:tc>
      </w:tr>
      <w:tr>
        <w:trPr>
          <w:trHeight w:val="195"/>
        </w:trPr>
        <w:tc>
          <w:tcPr>
            <w:tcW w:w="5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Lear Automotive India Private Limited (India)</w:t>
            </w:r>
          </w:p>
        </w:tc>
        <w:tc>
          <w:tcPr>
            <w:tcW w:w="58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Lear Mexican Seating Corporation (Delaware)</w:t>
            </w:r>
          </w:p>
        </w:tc>
      </w:tr>
      <w:tr>
        <w:trPr>
          <w:trHeight w:val="210"/>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Lear Automotive Interior Materials (Yangzhou) Co., Ltd. (China)</w:t>
            </w:r>
          </w:p>
        </w:tc>
        <w:tc>
          <w:tcPr>
            <w:tcW w:w="5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Lear Mexican Trim Operations, S. de R.L. de C.V. (Mexico)</w:t>
            </w:r>
          </w:p>
        </w:tc>
      </w:tr>
      <w:tr>
        <w:trPr>
          <w:trHeight w:val="195"/>
        </w:trPr>
        <w:tc>
          <w:tcPr>
            <w:tcW w:w="5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Lear Automotive Manufacturing, L.L.C. (Delaware)</w:t>
            </w:r>
          </w:p>
        </w:tc>
        <w:tc>
          <w:tcPr>
            <w:tcW w:w="58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Lear Otomotiv Sanayi ve Ticaret Limited Sirketi (Turkey)</w:t>
            </w:r>
          </w:p>
        </w:tc>
      </w:tr>
      <w:tr>
        <w:trPr>
          <w:trHeight w:val="210"/>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Lear Automotive Metals (Wuhan) Co., Ltd. (China)</w:t>
            </w:r>
          </w:p>
        </w:tc>
        <w:tc>
          <w:tcPr>
            <w:tcW w:w="5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Lear Philippines Engineering, LLC (Delaware)</w:t>
            </w:r>
          </w:p>
        </w:tc>
      </w:tr>
      <w:tr>
        <w:trPr>
          <w:trHeight w:val="195"/>
        </w:trPr>
        <w:tc>
          <w:tcPr>
            <w:tcW w:w="5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Lear Automotive Morocco S.a.r.l.a.u (Morocco)</w:t>
            </w:r>
          </w:p>
        </w:tc>
        <w:tc>
          <w:tcPr>
            <w:tcW w:w="58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Lear Seating (Thailand) Corp. Ltd. (Thailand)</w:t>
            </w:r>
          </w:p>
        </w:tc>
      </w:tr>
      <w:tr>
        <w:trPr>
          <w:trHeight w:val="210"/>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Lear Automotive Parts (Jining) Co., Ltd. (China)</w:t>
            </w:r>
          </w:p>
        </w:tc>
        <w:tc>
          <w:tcPr>
            <w:tcW w:w="5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Lear Sewing (Pty.) Ltd. (South Africa)</w:t>
            </w:r>
          </w:p>
        </w:tc>
      </w:tr>
      <w:tr>
        <w:trPr>
          <w:trHeight w:val="188"/>
        </w:trPr>
        <w:tc>
          <w:tcPr>
            <w:tcW w:w="5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Lear Automotive Parts (Shanghai) Co., Ltd. (China)</w:t>
            </w:r>
          </w:p>
        </w:tc>
        <w:tc>
          <w:tcPr>
            <w:tcW w:w="58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Lear Specialty Cars Italy S.r.l. (Italy)</w:t>
            </w:r>
          </w:p>
        </w:tc>
      </w:tr>
    </w:tbl>
    <w:p>
      <w:pPr>
        <w:sectPr>
          <w:pgSz w:w="11900" w:h="16838" w:orient="portrait"/>
          <w:cols w:equalWidth="0" w:num="1">
            <w:col w:w="11240"/>
          </w:cols>
          <w:pgMar w:left="320" w:top="121" w:right="339" w:bottom="1440" w:gutter="0" w:footer="0" w:header="0"/>
        </w:sectPr>
      </w:pPr>
    </w:p>
    <w:bookmarkStart w:id="136" w:name="page137"/>
    <w:bookmarkEnd w:id="136"/>
    <w:p>
      <w:pPr>
        <w:jc w:val="right"/>
        <w:spacing w:after="0"/>
        <w:rPr>
          <w:sz w:val="20"/>
          <w:szCs w:val="20"/>
          <w:color w:val="auto"/>
        </w:rPr>
      </w:pPr>
      <w:r>
        <w:rPr>
          <w:rFonts w:ascii="Times New Roman" w:cs="Times New Roman" w:eastAsia="Times New Roman" w:hAnsi="Times New Roman"/>
          <w:sz w:val="18"/>
          <w:szCs w:val="18"/>
          <w:color w:val="auto"/>
        </w:rPr>
        <w:t>Exhibit 21.1</w:t>
      </w:r>
    </w:p>
    <w:p>
      <w:pPr>
        <w:jc w:val="center"/>
        <w:spacing w:after="0" w:line="222" w:lineRule="auto"/>
        <w:rPr>
          <w:sz w:val="20"/>
          <w:szCs w:val="20"/>
          <w:color w:val="auto"/>
        </w:rPr>
      </w:pPr>
      <w:r>
        <w:rPr>
          <w:rFonts w:ascii="Times New Roman" w:cs="Times New Roman" w:eastAsia="Times New Roman" w:hAnsi="Times New Roman"/>
          <w:sz w:val="18"/>
          <w:szCs w:val="18"/>
          <w:b w:val="1"/>
          <w:bCs w:val="1"/>
          <w:color w:val="auto"/>
        </w:rPr>
        <w:t xml:space="preserve">List of Subsidiaries of the Company </w:t>
      </w:r>
      <w:r>
        <w:rPr>
          <w:rFonts w:ascii="Times New Roman" w:cs="Times New Roman" w:eastAsia="Times New Roman" w:hAnsi="Times New Roman"/>
          <w:sz w:val="23"/>
          <w:szCs w:val="23"/>
          <w:b w:val="1"/>
          <w:bCs w:val="1"/>
          <w:color w:val="auto"/>
          <w:vertAlign w:val="superscript"/>
        </w:rPr>
        <w:t>(1)</w:t>
      </w:r>
    </w:p>
    <w:p>
      <w:pPr>
        <w:jc w:val="center"/>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Lear Automotive Services (Netherlands) B.V. (Netherlands)</w:t>
            </w:r>
          </w:p>
        </w:tc>
        <w:tc>
          <w:tcPr>
            <w:tcW w:w="61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Liuzhou Lear DFM Fangsheng Automotive Seating Co., Ltd. (China) (25.5%)</w:t>
            </w:r>
          </w:p>
        </w:tc>
      </w:tr>
      <w:tr>
        <w:trPr>
          <w:trHeight w:val="195"/>
        </w:trPr>
        <w:tc>
          <w:tcPr>
            <w:tcW w:w="4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Lear Automotive Systems (Changshu) Co., Ltd. (China)</w:t>
            </w:r>
          </w:p>
        </w:tc>
        <w:tc>
          <w:tcPr>
            <w:tcW w:w="612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Maniv Mobility II A, LP (Delaware) (6.7326%)</w:t>
            </w:r>
          </w:p>
        </w:tc>
      </w:tr>
      <w:tr>
        <w:trPr>
          <w:trHeight w:val="210"/>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Lear Automotive Systems (Chongqing) Co., Ltd. (China)</w:t>
            </w:r>
          </w:p>
        </w:tc>
        <w:tc>
          <w:tcPr>
            <w:tcW w:w="61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Markol Otomotiv Yan Sanayi ve Ticaret A.S. (Turkey) (35%)</w:t>
            </w:r>
          </w:p>
        </w:tc>
      </w:tr>
      <w:tr>
        <w:trPr>
          <w:trHeight w:val="195"/>
        </w:trPr>
        <w:tc>
          <w:tcPr>
            <w:tcW w:w="4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Lear Automotive Systems (Jiaxing) Co., Ltd. (China)</w:t>
            </w:r>
          </w:p>
        </w:tc>
        <w:tc>
          <w:tcPr>
            <w:tcW w:w="612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Martur Sunger ve Koltuk Tesisleri Ticaret A.S. (Turkey) (0.7%)</w:t>
            </w:r>
          </w:p>
        </w:tc>
      </w:tr>
      <w:tr>
        <w:trPr>
          <w:trHeight w:val="210"/>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Lear Automotive Systems (Shenyang) Co., Ltd. (China)</w:t>
            </w:r>
          </w:p>
        </w:tc>
        <w:tc>
          <w:tcPr>
            <w:tcW w:w="61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MSeat Inc. (Korea) (0.186%)</w:t>
            </w:r>
          </w:p>
        </w:tc>
      </w:tr>
      <w:tr>
        <w:trPr>
          <w:trHeight w:val="195"/>
        </w:trPr>
        <w:tc>
          <w:tcPr>
            <w:tcW w:w="4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Lear Automotive Systems (Yangzhou) Co., Ltd. (China)</w:t>
            </w:r>
          </w:p>
        </w:tc>
        <w:tc>
          <w:tcPr>
            <w:tcW w:w="612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PT Lear Automotive Indonesia (Indonesia)</w:t>
            </w:r>
          </w:p>
        </w:tc>
      </w:tr>
      <w:tr>
        <w:trPr>
          <w:trHeight w:val="210"/>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Lear Chang’an (Chongqing) Automotive System Co., Ltd. (China) (55%)</w:t>
            </w:r>
          </w:p>
        </w:tc>
        <w:tc>
          <w:tcPr>
            <w:tcW w:w="61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PT Lear Corporation Indonesia (Indonesia) (51%)</w:t>
            </w:r>
          </w:p>
        </w:tc>
      </w:tr>
      <w:tr>
        <w:trPr>
          <w:trHeight w:val="195"/>
        </w:trPr>
        <w:tc>
          <w:tcPr>
            <w:tcW w:w="4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Lear Chang’an (Hangzhou) Automotive Seating Co., Ltd. (China) (55%)</w:t>
            </w:r>
          </w:p>
        </w:tc>
        <w:tc>
          <w:tcPr>
            <w:tcW w:w="612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Qingdao Lear FAWSN Automotive Seat Systems Co., Ltd. (China) (49%)</w:t>
            </w:r>
          </w:p>
        </w:tc>
      </w:tr>
      <w:tr>
        <w:trPr>
          <w:trHeight w:val="210"/>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Lear China Engineering, LLC (Delaware)</w:t>
            </w:r>
          </w:p>
        </w:tc>
        <w:tc>
          <w:tcPr>
            <w:tcW w:w="61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RevoLaze, LLC (Delaware) (20%)</w:t>
            </w:r>
          </w:p>
        </w:tc>
      </w:tr>
      <w:tr>
        <w:trPr>
          <w:trHeight w:val="195"/>
        </w:trPr>
        <w:tc>
          <w:tcPr>
            <w:tcW w:w="4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Lear Corporation (Mauritius) Limited (Mauritius)</w:t>
            </w:r>
          </w:p>
        </w:tc>
        <w:tc>
          <w:tcPr>
            <w:tcW w:w="612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Shanghai Lear Automotive Systems Co., Ltd. (China)</w:t>
            </w:r>
          </w:p>
        </w:tc>
      </w:tr>
      <w:tr>
        <w:trPr>
          <w:trHeight w:val="210"/>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Lear Corporation (UK) Limited (United Kingdom)</w:t>
            </w:r>
          </w:p>
        </w:tc>
        <w:tc>
          <w:tcPr>
            <w:tcW w:w="61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Shenyang Jinbei Lear Automotive Seating Co., Ltd. (China) (49%)</w:t>
            </w:r>
          </w:p>
        </w:tc>
      </w:tr>
      <w:tr>
        <w:trPr>
          <w:trHeight w:val="195"/>
        </w:trPr>
        <w:tc>
          <w:tcPr>
            <w:tcW w:w="4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Lear Corporation (Vietnam) Limited (Vietnam)</w:t>
            </w:r>
          </w:p>
        </w:tc>
        <w:tc>
          <w:tcPr>
            <w:tcW w:w="612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Shenyang Lear Jinbei Automotive Systems Co., Ltd. (China) (51%)</w:t>
            </w:r>
          </w:p>
        </w:tc>
      </w:tr>
      <w:tr>
        <w:trPr>
          <w:trHeight w:val="210"/>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Lear Corporation Ara, S.L.U. (Spain)</w:t>
            </w:r>
          </w:p>
        </w:tc>
        <w:tc>
          <w:tcPr>
            <w:tcW w:w="61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Silk Medical Aesthetics, Inc. (Delaware) (3.23%)</w:t>
            </w:r>
          </w:p>
        </w:tc>
      </w:tr>
      <w:tr>
        <w:trPr>
          <w:trHeight w:val="195"/>
        </w:trPr>
        <w:tc>
          <w:tcPr>
            <w:tcW w:w="4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Lear Corporation Ardasa, S.L.U. (Spain)</w:t>
            </w:r>
          </w:p>
        </w:tc>
        <w:tc>
          <w:tcPr>
            <w:tcW w:w="612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Softwear Automation, Inc. (Georgia) (7.71%)</w:t>
            </w:r>
          </w:p>
        </w:tc>
      </w:tr>
      <w:tr>
        <w:trPr>
          <w:trHeight w:val="210"/>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Lear Corporation Asientos S.L.U. (Spain)</w:t>
            </w:r>
          </w:p>
        </w:tc>
        <w:tc>
          <w:tcPr>
            <w:tcW w:w="61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Tachi-S Lear DFM Automotive Seating (Xiangyang) Co., Ltd. (China) (40%)</w:t>
            </w:r>
          </w:p>
        </w:tc>
      </w:tr>
      <w:tr>
        <w:trPr>
          <w:trHeight w:val="195"/>
        </w:trPr>
        <w:tc>
          <w:tcPr>
            <w:tcW w:w="4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Lear Corporation Belgium B.V. (Belgium)</w:t>
            </w:r>
          </w:p>
        </w:tc>
        <w:tc>
          <w:tcPr>
            <w:tcW w:w="612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Tacle Guangzhou Automotive Seat Co., Ltd. (China) (25.5%)</w:t>
            </w:r>
          </w:p>
        </w:tc>
      </w:tr>
      <w:tr>
        <w:trPr>
          <w:trHeight w:val="210"/>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Lear Corporation Beteiligungs GmbH (Germany)</w:t>
            </w:r>
          </w:p>
        </w:tc>
        <w:tc>
          <w:tcPr>
            <w:tcW w:w="61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Tacle Seating UK Limited (United Kingdom)</w:t>
            </w:r>
          </w:p>
        </w:tc>
      </w:tr>
      <w:tr>
        <w:trPr>
          <w:trHeight w:val="195"/>
        </w:trPr>
        <w:tc>
          <w:tcPr>
            <w:tcW w:w="4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Lear Corporation Canada Ltd. (Canada)</w:t>
            </w:r>
          </w:p>
        </w:tc>
        <w:tc>
          <w:tcPr>
            <w:tcW w:w="612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Techstars Corporate Partners 2017 LLC (Delaware) (0.634299%)</w:t>
            </w:r>
          </w:p>
        </w:tc>
      </w:tr>
      <w:tr>
        <w:trPr>
          <w:trHeight w:val="210"/>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Lear Corporation China Ltd. (Mauritius)</w:t>
            </w:r>
          </w:p>
        </w:tc>
        <w:tc>
          <w:tcPr>
            <w:tcW w:w="61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Thagora Technology S.r.L. (Romania)</w:t>
            </w:r>
          </w:p>
        </w:tc>
      </w:tr>
      <w:tr>
        <w:trPr>
          <w:trHeight w:val="195"/>
        </w:trPr>
        <w:tc>
          <w:tcPr>
            <w:tcW w:w="4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Lear Corporation Czech Republic s.r.o. (Czech Republic)</w:t>
            </w:r>
          </w:p>
        </w:tc>
        <w:tc>
          <w:tcPr>
            <w:tcW w:w="612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Tianjin FAWSN Lear Automotive Electrical &amp; Electronics Co., Ltd. (China) (69%)</w:t>
            </w:r>
          </w:p>
        </w:tc>
      </w:tr>
      <w:tr>
        <w:trPr>
          <w:trHeight w:val="210"/>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Lear Corporation d.o.o. Novi Sad (Serbia)</w:t>
            </w:r>
          </w:p>
        </w:tc>
        <w:tc>
          <w:tcPr>
            <w:tcW w:w="61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Trucks Venture Fund 2, LP (Delaware) (9.52%)</w:t>
            </w:r>
          </w:p>
        </w:tc>
      </w:tr>
      <w:tr>
        <w:trPr>
          <w:trHeight w:val="195"/>
        </w:trPr>
        <w:tc>
          <w:tcPr>
            <w:tcW w:w="4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Lear Corporation Engineering (UK) Limited (United Kingdom)</w:t>
            </w:r>
          </w:p>
        </w:tc>
        <w:tc>
          <w:tcPr>
            <w:tcW w:w="612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Wuhan Lear DFM Yunhe Automotive Seating Co., Ltd. (China) (40%)</w:t>
            </w:r>
          </w:p>
        </w:tc>
      </w:tr>
      <w:tr>
        <w:trPr>
          <w:trHeight w:val="210"/>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Lear Corporation Engineering Czech Republic s.r.o. (Czech Republic)</w:t>
            </w:r>
          </w:p>
        </w:tc>
        <w:tc>
          <w:tcPr>
            <w:tcW w:w="61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Wuhan Lear-DFM Auto Electric Company, Limited (China) (75%)</w:t>
            </w:r>
          </w:p>
        </w:tc>
      </w:tr>
      <w:tr>
        <w:trPr>
          <w:trHeight w:val="195"/>
        </w:trPr>
        <w:tc>
          <w:tcPr>
            <w:tcW w:w="4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Lear Corporation Engineering GmbH (Germany)</w:t>
            </w:r>
          </w:p>
        </w:tc>
        <w:tc>
          <w:tcPr>
            <w:tcW w:w="612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Xevo Inc. (Delaware)</w:t>
            </w:r>
          </w:p>
        </w:tc>
      </w:tr>
      <w:tr>
        <w:trPr>
          <w:trHeight w:val="210"/>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Lear Corporation Engineering Italy S.r.l. (Italy)</w:t>
            </w:r>
          </w:p>
        </w:tc>
        <w:tc>
          <w:tcPr>
            <w:tcW w:w="61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Xevo Japan, LLC (Delaware)</w:t>
            </w:r>
          </w:p>
        </w:tc>
      </w:tr>
      <w:tr>
        <w:trPr>
          <w:trHeight w:val="195"/>
        </w:trPr>
        <w:tc>
          <w:tcPr>
            <w:tcW w:w="4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Lear Corporation Engineering Morocco S.a.r.l.a.u (Morocco)</w:t>
            </w:r>
          </w:p>
        </w:tc>
        <w:tc>
          <w:tcPr>
            <w:tcW w:w="612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Xevo K.K. (Japan)</w:t>
            </w:r>
          </w:p>
        </w:tc>
      </w:tr>
      <w:tr>
        <w:trPr>
          <w:trHeight w:val="210"/>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Lear Corporation Engineering Poland Sp. z.o.o. (Poland)</w:t>
            </w:r>
          </w:p>
        </w:tc>
        <w:tc>
          <w:tcPr>
            <w:tcW w:w="61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Yangzhou Lear Hulane Automotive Parts Trading Co. Ltd. (China) (60%)</w:t>
            </w:r>
          </w:p>
        </w:tc>
      </w:tr>
      <w:tr>
        <w:trPr>
          <w:trHeight w:val="195"/>
        </w:trPr>
        <w:tc>
          <w:tcPr>
            <w:tcW w:w="4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Lear Corporation Engineering Spain S.L.U. (Spain)</w:t>
            </w:r>
          </w:p>
        </w:tc>
        <w:tc>
          <w:tcPr>
            <w:tcW w:w="612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Zhengzhou Lear DFM Taixin Automotive Seating Co., Ltd. (China) (25.5%)</w:t>
            </w:r>
          </w:p>
        </w:tc>
      </w:tr>
      <w:tr>
        <w:trPr>
          <w:trHeight w:val="210"/>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Lear Corporation France S.A.S. (France)</w:t>
            </w:r>
          </w:p>
        </w:tc>
        <w:tc>
          <w:tcPr>
            <w:tcW w:w="6120" w:type="dxa"/>
            <w:vAlign w:val="bottom"/>
            <w:shd w:val="clear" w:color="auto" w:fill="CCEEFF"/>
          </w:tcPr>
          <w:p>
            <w:pPr>
              <w:spacing w:after="0"/>
              <w:rPr>
                <w:sz w:val="18"/>
                <w:szCs w:val="18"/>
                <w:color w:val="auto"/>
              </w:rPr>
            </w:pPr>
          </w:p>
        </w:tc>
      </w:tr>
      <w:tr>
        <w:trPr>
          <w:trHeight w:val="355"/>
        </w:trPr>
        <w:tc>
          <w:tcPr>
            <w:tcW w:w="4880" w:type="dxa"/>
            <w:vAlign w:val="bottom"/>
          </w:tcPr>
          <w:p>
            <w:pPr>
              <w:spacing w:after="0"/>
              <w:rPr>
                <w:sz w:val="20"/>
                <w:szCs w:val="20"/>
                <w:color w:val="auto"/>
              </w:rPr>
            </w:pPr>
            <w:r>
              <w:rPr>
                <w:rFonts w:ascii="Times New Roman" w:cs="Times New Roman" w:eastAsia="Times New Roman" w:hAnsi="Times New Roman"/>
                <w:sz w:val="9"/>
                <w:szCs w:val="9"/>
                <w:color w:val="auto"/>
              </w:rPr>
              <w:t xml:space="preserve">(1) </w:t>
            </w:r>
            <w:r>
              <w:rPr>
                <w:rFonts w:ascii="Times New Roman" w:cs="Times New Roman" w:eastAsia="Times New Roman" w:hAnsi="Times New Roman"/>
                <w:sz w:val="14"/>
                <w:szCs w:val="14"/>
                <w:color w:val="auto"/>
              </w:rPr>
              <w:t>All subsidiaries are wholly owned unless otherwise indicated.</w:t>
            </w:r>
          </w:p>
        </w:tc>
        <w:tc>
          <w:tcPr>
            <w:tcW w:w="6120" w:type="dxa"/>
            <w:vAlign w:val="bottom"/>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137" w:name="page138"/>
    <w:bookmarkEnd w:id="137"/>
    <w:p>
      <w:pPr>
        <w:jc w:val="right"/>
        <w:spacing w:after="0"/>
        <w:rPr>
          <w:sz w:val="20"/>
          <w:szCs w:val="20"/>
          <w:color w:val="auto"/>
        </w:rPr>
      </w:pPr>
      <w:r>
        <w:rPr>
          <w:rFonts w:ascii="Times New Roman" w:cs="Times New Roman" w:eastAsia="Times New Roman" w:hAnsi="Times New Roman"/>
          <w:sz w:val="18"/>
          <w:szCs w:val="18"/>
          <w:color w:val="auto"/>
        </w:rPr>
        <w:t>Exhibit 23.1</w:t>
      </w:r>
    </w:p>
    <w:p>
      <w:pPr>
        <w:spacing w:after="0" w:line="24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0"/>
          <w:szCs w:val="20"/>
          <w:b w:val="1"/>
          <w:bCs w:val="1"/>
          <w:color w:val="auto"/>
        </w:rPr>
        <w:t>C</w:t>
      </w:r>
      <w:r>
        <w:rPr>
          <w:rFonts w:ascii="Times New Roman" w:cs="Times New Roman" w:eastAsia="Times New Roman" w:hAnsi="Times New Roman"/>
          <w:sz w:val="17"/>
          <w:szCs w:val="17"/>
          <w:b w:val="1"/>
          <w:bCs w:val="1"/>
          <w:color w:val="auto"/>
        </w:rPr>
        <w:t>onsent of Independent Registered Public Accounting Firm</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w:t>
      </w:r>
    </w:p>
    <w:p>
      <w:pPr>
        <w:spacing w:after="0" w:line="117" w:lineRule="exact"/>
        <w:rPr>
          <w:sz w:val="20"/>
          <w:szCs w:val="20"/>
          <w:color w:val="auto"/>
        </w:rPr>
      </w:pPr>
    </w:p>
    <w:p>
      <w:pPr>
        <w:ind w:left="980" w:hanging="324"/>
        <w:spacing w:after="0"/>
        <w:tabs>
          <w:tab w:leader="none" w:pos="9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S-3ASR No. 333-273595) of Lear Corporation;</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333-232856) pertaining to the Lear Corporation 2019 Long-Term Stock Incentive Plan;</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333-230922) pertaining to the Lear Corporation 2019 Inducement Grant Plan;</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333-163009) pertaining to the Lear Corporation 2009 Long-Term Stock Incentive Plan; and</w:t>
      </w:r>
    </w:p>
    <w:p>
      <w:pPr>
        <w:spacing w:after="0" w:line="9" w:lineRule="exact"/>
        <w:rPr>
          <w:rFonts w:ascii="Times New Roman" w:cs="Times New Roman" w:eastAsia="Times New Roman" w:hAnsi="Times New Roman"/>
          <w:sz w:val="18"/>
          <w:szCs w:val="18"/>
          <w:color w:val="auto"/>
        </w:rPr>
      </w:pPr>
    </w:p>
    <w:p>
      <w:pPr>
        <w:ind w:left="980" w:right="120" w:hanging="324"/>
        <w:spacing w:after="0" w:line="260" w:lineRule="auto"/>
        <w:tabs>
          <w:tab w:leader="none" w:pos="9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333-273594) pertaining to the Lear Corporation 2019 Long-Term Stock Incentive Plan (Amended and Restated as of May 18, 2023)</w:t>
      </w:r>
    </w:p>
    <w:p>
      <w:pPr>
        <w:spacing w:after="0" w:line="2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of our reports dated February 13, 2026, with respect to the consolidated financial statements and schedule of Lear Corporation and the effectiveness of internal control over financial reporting of Lear Corporation included in this Annual Report (Form 10-K) of Lear Corporation for the year ended December 31, 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Detroit, Michigan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13, 2026</w:t>
      </w:r>
    </w:p>
    <w:p>
      <w:pPr>
        <w:sectPr>
          <w:pgSz w:w="11900" w:h="16838" w:orient="portrait"/>
          <w:cols w:equalWidth="0" w:num="1">
            <w:col w:w="11240"/>
          </w:cols>
          <w:pgMar w:left="320" w:top="891" w:right="339" w:bottom="1440" w:gutter="0" w:footer="0" w:header="0"/>
        </w:sectPr>
      </w:pPr>
    </w:p>
    <w:bookmarkStart w:id="138" w:name="page139"/>
    <w:bookmarkEnd w:id="138"/>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Raymond E. Scott, certify that:</w:t>
      </w:r>
    </w:p>
    <w:p>
      <w:pPr>
        <w:spacing w:after="0" w:line="252" w:lineRule="exact"/>
        <w:rPr>
          <w:sz w:val="20"/>
          <w:szCs w:val="20"/>
          <w:color w:val="auto"/>
        </w:rPr>
      </w:pPr>
    </w:p>
    <w:p>
      <w:pPr>
        <w:ind w:left="320" w:hanging="312"/>
        <w:spacing w:after="0"/>
        <w:tabs>
          <w:tab w:leader="none" w:pos="3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Lear Corporation;</w:t>
      </w:r>
    </w:p>
    <w:p>
      <w:pPr>
        <w:spacing w:after="0" w:line="252" w:lineRule="exact"/>
        <w:rPr>
          <w:rFonts w:ascii="Times New Roman" w:cs="Times New Roman" w:eastAsia="Times New Roman" w:hAnsi="Times New Roman"/>
          <w:sz w:val="18"/>
          <w:szCs w:val="18"/>
          <w:color w:val="auto"/>
        </w:rPr>
      </w:pPr>
    </w:p>
    <w:p>
      <w:pPr>
        <w:ind w:left="660" w:hanging="652"/>
        <w:spacing w:after="0" w:line="266" w:lineRule="auto"/>
        <w:tabs>
          <w:tab w:leader="none" w:pos="386"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660" w:hanging="652"/>
        <w:spacing w:after="0" w:line="282" w:lineRule="auto"/>
        <w:tabs>
          <w:tab w:leader="none" w:pos="392"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left="660" w:hanging="652"/>
        <w:spacing w:after="0" w:line="266" w:lineRule="auto"/>
        <w:tabs>
          <w:tab w:leader="none" w:pos="439"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ind w:left="1300" w:hanging="644"/>
        <w:spacing w:after="0" w:line="266" w:lineRule="auto"/>
        <w:tabs>
          <w:tab w:leader="none" w:pos="1064"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ind w:left="1300" w:hanging="644"/>
        <w:spacing w:after="0" w:line="266" w:lineRule="auto"/>
        <w:tabs>
          <w:tab w:leader="none" w:pos="1107"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1300" w:hanging="644"/>
        <w:spacing w:after="0" w:line="282" w:lineRule="auto"/>
        <w:tabs>
          <w:tab w:leader="none" w:pos="1179"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ind w:left="1300" w:hanging="644"/>
        <w:spacing w:after="0" w:line="266" w:lineRule="auto"/>
        <w:tabs>
          <w:tab w:leader="none" w:pos="1044"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660" w:hanging="652"/>
        <w:spacing w:after="0" w:line="282" w:lineRule="auto"/>
        <w:tabs>
          <w:tab w:leader="none" w:pos="378"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1300" w:hanging="644"/>
        <w:spacing w:after="0" w:line="282" w:lineRule="auto"/>
        <w:tabs>
          <w:tab w:leader="none" w:pos="1154"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102"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91" w:lineRule="exact"/>
        <w:rPr>
          <w:sz w:val="20"/>
          <w:szCs w:val="20"/>
          <w:color w:val="auto"/>
        </w:rPr>
      </w:pPr>
    </w:p>
    <w:p>
      <w:pPr>
        <w:ind w:left="20"/>
        <w:spacing w:after="0"/>
        <w:tabs>
          <w:tab w:leader="none" w:pos="660" w:val="left"/>
          <w:tab w:leader="none" w:pos="6100" w:val="left"/>
          <w:tab w:leader="none" w:pos="8120" w:val="left"/>
        </w:tabs>
        <w:rPr>
          <w:sz w:val="20"/>
          <w:szCs w:val="20"/>
          <w:color w:val="auto"/>
        </w:rPr>
      </w:pPr>
      <w:r>
        <w:rPr>
          <w:rFonts w:ascii="Times New Roman" w:cs="Times New Roman" w:eastAsia="Times New Roman" w:hAnsi="Times New Roman"/>
          <w:sz w:val="18"/>
          <w:szCs w:val="18"/>
          <w:color w:val="auto"/>
        </w:rPr>
        <w:t>Date:</w:t>
        <w:tab/>
        <w:t>February 13,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Raymond E. Scott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34290</wp:posOffset>
            </wp:positionV>
            <wp:extent cx="292290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07">
                      <a:extLst>
                        <a:ext uri="{28A0092B-C50C-407E-A947-70E740481C1C}"/>
                      </a:extLst>
                    </a:blip>
                    <a:srcRect/>
                    <a:stretch>
                      <a:fillRect/>
                    </a:stretch>
                  </pic:blipFill>
                  <pic:spPr bwMode="auto">
                    <a:xfrm>
                      <a:off x="0" y="0"/>
                      <a:ext cx="2922905" cy="8890"/>
                    </a:xfrm>
                    <a:prstGeom prst="rect">
                      <a:avLst/>
                    </a:prstGeom>
                    <a:noFill/>
                  </pic:spPr>
                </pic:pic>
              </a:graphicData>
            </a:graphic>
          </wp:anchor>
        </w:drawing>
      </w:r>
    </w:p>
    <w:p>
      <w:pPr>
        <w:spacing w:after="0" w:line="43" w:lineRule="exact"/>
        <w:rPr>
          <w:sz w:val="20"/>
          <w:szCs w:val="20"/>
          <w:color w:val="auto"/>
        </w:rPr>
      </w:pPr>
    </w:p>
    <w:p>
      <w:pPr>
        <w:jc w:val="center"/>
        <w:ind w:left="6540"/>
        <w:spacing w:after="0"/>
        <w:rPr>
          <w:sz w:val="20"/>
          <w:szCs w:val="20"/>
          <w:color w:val="auto"/>
        </w:rPr>
      </w:pPr>
      <w:r>
        <w:rPr>
          <w:rFonts w:ascii="Times New Roman" w:cs="Times New Roman" w:eastAsia="Times New Roman" w:hAnsi="Times New Roman"/>
          <w:sz w:val="18"/>
          <w:szCs w:val="18"/>
          <w:color w:val="auto"/>
        </w:rPr>
        <w:t>Raymond E. Scott</w:t>
      </w:r>
    </w:p>
    <w:p>
      <w:pPr>
        <w:spacing w:after="0" w:line="27" w:lineRule="exact"/>
        <w:rPr>
          <w:sz w:val="20"/>
          <w:szCs w:val="20"/>
          <w:color w:val="auto"/>
        </w:rPr>
      </w:pPr>
    </w:p>
    <w:p>
      <w:pPr>
        <w:jc w:val="center"/>
        <w:ind w:left="65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240"/>
          </w:cols>
          <w:pgMar w:left="320" w:top="891" w:right="339" w:bottom="1440" w:gutter="0" w:footer="0" w:header="0"/>
        </w:sectPr>
      </w:pPr>
    </w:p>
    <w:bookmarkStart w:id="139" w:name="page140"/>
    <w:bookmarkEnd w:id="139"/>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Jason M. Cardew certify that:</w:t>
      </w:r>
    </w:p>
    <w:p>
      <w:pPr>
        <w:spacing w:after="0" w:line="252" w:lineRule="exact"/>
        <w:rPr>
          <w:sz w:val="20"/>
          <w:szCs w:val="20"/>
          <w:color w:val="auto"/>
        </w:rPr>
      </w:pPr>
    </w:p>
    <w:p>
      <w:pPr>
        <w:ind w:left="320" w:hanging="312"/>
        <w:spacing w:after="0"/>
        <w:tabs>
          <w:tab w:leader="none" w:pos="3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Lear Corporation;</w:t>
      </w:r>
    </w:p>
    <w:p>
      <w:pPr>
        <w:spacing w:after="0" w:line="252" w:lineRule="exact"/>
        <w:rPr>
          <w:rFonts w:ascii="Times New Roman" w:cs="Times New Roman" w:eastAsia="Times New Roman" w:hAnsi="Times New Roman"/>
          <w:sz w:val="18"/>
          <w:szCs w:val="18"/>
          <w:color w:val="auto"/>
        </w:rPr>
      </w:pPr>
    </w:p>
    <w:p>
      <w:pPr>
        <w:ind w:left="660" w:hanging="652"/>
        <w:spacing w:after="0" w:line="266" w:lineRule="auto"/>
        <w:tabs>
          <w:tab w:leader="none" w:pos="386"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660" w:hanging="652"/>
        <w:spacing w:after="0" w:line="282" w:lineRule="auto"/>
        <w:tabs>
          <w:tab w:leader="none" w:pos="392"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left="660" w:hanging="652"/>
        <w:spacing w:after="0" w:line="266" w:lineRule="auto"/>
        <w:tabs>
          <w:tab w:leader="none" w:pos="439"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ind w:left="1300" w:hanging="644"/>
        <w:spacing w:after="0" w:line="266" w:lineRule="auto"/>
        <w:tabs>
          <w:tab w:leader="none" w:pos="1064"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ind w:left="1300" w:hanging="644"/>
        <w:spacing w:after="0" w:line="266" w:lineRule="auto"/>
        <w:tabs>
          <w:tab w:leader="none" w:pos="1107"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1300" w:hanging="644"/>
        <w:spacing w:after="0" w:line="282" w:lineRule="auto"/>
        <w:tabs>
          <w:tab w:leader="none" w:pos="1179"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ind w:left="1300" w:hanging="644"/>
        <w:spacing w:after="0" w:line="266" w:lineRule="auto"/>
        <w:tabs>
          <w:tab w:leader="none" w:pos="1044"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660" w:hanging="652"/>
        <w:spacing w:after="0" w:line="282" w:lineRule="auto"/>
        <w:tabs>
          <w:tab w:leader="none" w:pos="378"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1300" w:hanging="644"/>
        <w:spacing w:after="0" w:line="282" w:lineRule="auto"/>
        <w:tabs>
          <w:tab w:leader="none" w:pos="1154"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102"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91" w:lineRule="exact"/>
        <w:rPr>
          <w:sz w:val="20"/>
          <w:szCs w:val="20"/>
          <w:color w:val="auto"/>
        </w:rPr>
      </w:pPr>
    </w:p>
    <w:p>
      <w:pPr>
        <w:ind w:left="20"/>
        <w:spacing w:after="0"/>
        <w:tabs>
          <w:tab w:leader="none" w:pos="660" w:val="left"/>
          <w:tab w:leader="none" w:pos="5320" w:val="left"/>
          <w:tab w:leader="none" w:pos="7840" w:val="left"/>
        </w:tabs>
        <w:rPr>
          <w:sz w:val="20"/>
          <w:szCs w:val="20"/>
          <w:color w:val="auto"/>
        </w:rPr>
      </w:pPr>
      <w:r>
        <w:rPr>
          <w:rFonts w:ascii="Times New Roman" w:cs="Times New Roman" w:eastAsia="Times New Roman" w:hAnsi="Times New Roman"/>
          <w:sz w:val="18"/>
          <w:szCs w:val="18"/>
          <w:color w:val="auto"/>
        </w:rPr>
        <w:t>Date:</w:t>
        <w:tab/>
        <w:t>February 13,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Jason M. Cardew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34290</wp:posOffset>
            </wp:positionV>
            <wp:extent cx="332613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08">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43" w:lineRule="exact"/>
        <w:rPr>
          <w:sz w:val="20"/>
          <w:szCs w:val="20"/>
          <w:color w:val="auto"/>
        </w:rPr>
      </w:pPr>
    </w:p>
    <w:p>
      <w:pPr>
        <w:jc w:val="center"/>
        <w:ind w:left="5920"/>
        <w:spacing w:after="0"/>
        <w:rPr>
          <w:sz w:val="20"/>
          <w:szCs w:val="20"/>
          <w:color w:val="auto"/>
        </w:rPr>
      </w:pPr>
      <w:r>
        <w:rPr>
          <w:rFonts w:ascii="Times New Roman" w:cs="Times New Roman" w:eastAsia="Times New Roman" w:hAnsi="Times New Roman"/>
          <w:sz w:val="18"/>
          <w:szCs w:val="18"/>
          <w:color w:val="auto"/>
        </w:rPr>
        <w:t>Jason M. Cardew</w:t>
      </w:r>
    </w:p>
    <w:p>
      <w:pPr>
        <w:spacing w:after="0" w:line="27" w:lineRule="exact"/>
        <w:rPr>
          <w:sz w:val="20"/>
          <w:szCs w:val="20"/>
          <w:color w:val="auto"/>
        </w:rPr>
      </w:pPr>
    </w:p>
    <w:p>
      <w:pPr>
        <w:jc w:val="center"/>
        <w:ind w:left="592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ectPr>
          <w:pgSz w:w="11900" w:h="16838" w:orient="portrait"/>
          <w:cols w:equalWidth="0" w:num="1">
            <w:col w:w="11240"/>
          </w:cols>
          <w:pgMar w:left="320" w:top="891" w:right="339" w:bottom="1440" w:gutter="0" w:footer="0" w:header="0"/>
        </w:sectPr>
      </w:pPr>
    </w:p>
    <w:bookmarkStart w:id="140" w:name="page141"/>
    <w:bookmarkEnd w:id="140"/>
    <w:p>
      <w:pPr>
        <w:jc w:val="right"/>
        <w:spacing w:after="0"/>
        <w:rPr>
          <w:sz w:val="20"/>
          <w:szCs w:val="20"/>
          <w:color w:val="auto"/>
        </w:rPr>
      </w:pPr>
      <w:r>
        <w:rPr>
          <w:rFonts w:ascii="Times New Roman" w:cs="Times New Roman" w:eastAsia="Times New Roman" w:hAnsi="Times New Roman"/>
          <w:sz w:val="18"/>
          <w:szCs w:val="18"/>
          <w:color w:val="auto"/>
        </w:rPr>
        <w:t>Exhibit 32.1</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Lear Corporation (the "Company") on Form 10-K for the period ended December 31, 2025, as filed with the Securities and Exchange Commission (the "Report"), the undersigned, as the Chief Executive Officer of the Company, hereby certifies pursuant to 18 U.S.C. Section 1350, as adopted pursuant to Section 906 of the Sarbanes-Oxley Act of 2002, that to his knowledge:</w:t>
      </w:r>
    </w:p>
    <w:p>
      <w:pPr>
        <w:spacing w:after="0" w:line="203" w:lineRule="exact"/>
        <w:rPr>
          <w:sz w:val="20"/>
          <w:szCs w:val="20"/>
          <w:color w:val="auto"/>
        </w:rPr>
      </w:pPr>
    </w:p>
    <w:p>
      <w:pPr>
        <w:ind w:left="500" w:hanging="312"/>
        <w:spacing w:after="0"/>
        <w:tabs>
          <w:tab w:leader="none" w:pos="5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Securities Exchange Act of 1934; and</w:t>
      </w:r>
    </w:p>
    <w:p>
      <w:pPr>
        <w:spacing w:after="0" w:line="252" w:lineRule="exact"/>
        <w:rPr>
          <w:rFonts w:ascii="Times New Roman" w:cs="Times New Roman" w:eastAsia="Times New Roman" w:hAnsi="Times New Roman"/>
          <w:sz w:val="18"/>
          <w:szCs w:val="18"/>
          <w:color w:val="auto"/>
        </w:rPr>
      </w:pPr>
    </w:p>
    <w:p>
      <w:pPr>
        <w:ind w:left="500" w:hanging="312"/>
        <w:spacing w:after="0"/>
        <w:tabs>
          <w:tab w:leader="none" w:pos="5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44" w:lineRule="exact"/>
        <w:rPr>
          <w:sz w:val="20"/>
          <w:szCs w:val="20"/>
          <w:color w:val="auto"/>
        </w:rPr>
      </w:pPr>
    </w:p>
    <w:p>
      <w:pPr>
        <w:ind w:left="20"/>
        <w:spacing w:after="0"/>
        <w:tabs>
          <w:tab w:leader="none" w:pos="660" w:val="left"/>
          <w:tab w:leader="none" w:pos="5080" w:val="left"/>
          <w:tab w:leader="none" w:pos="7760" w:val="left"/>
        </w:tabs>
        <w:rPr>
          <w:sz w:val="20"/>
          <w:szCs w:val="20"/>
          <w:color w:val="auto"/>
        </w:rPr>
      </w:pPr>
      <w:r>
        <w:rPr>
          <w:rFonts w:ascii="Times New Roman" w:cs="Times New Roman" w:eastAsia="Times New Roman" w:hAnsi="Times New Roman"/>
          <w:sz w:val="18"/>
          <w:szCs w:val="18"/>
          <w:color w:val="auto"/>
        </w:rPr>
        <w:t>Date:</w:t>
        <w:tab/>
        <w:t>February 13, 2026</w:t>
      </w:r>
      <w:r>
        <w:rPr>
          <w:sz w:val="20"/>
          <w:szCs w:val="20"/>
          <w:color w:val="auto"/>
        </w:rPr>
        <w:tab/>
      </w:r>
      <w:r>
        <w:rPr>
          <w:rFonts w:ascii="Times New Roman" w:cs="Times New Roman" w:eastAsia="Times New Roman" w:hAnsi="Times New Roman"/>
          <w:sz w:val="18"/>
          <w:szCs w:val="18"/>
          <w:color w:val="auto"/>
        </w:rPr>
        <w:t>Signed:</w:t>
      </w:r>
      <w:r>
        <w:rPr>
          <w:sz w:val="20"/>
          <w:szCs w:val="20"/>
          <w:color w:val="auto"/>
        </w:rPr>
        <w:tab/>
      </w:r>
      <w:r>
        <w:rPr>
          <w:rFonts w:ascii="Times New Roman" w:cs="Times New Roman" w:eastAsia="Times New Roman" w:hAnsi="Times New Roman"/>
          <w:sz w:val="18"/>
          <w:szCs w:val="18"/>
          <w:color w:val="auto"/>
        </w:rPr>
        <w:t>/s/ Raymond E. Scott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34290</wp:posOffset>
            </wp:positionV>
            <wp:extent cx="336867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09">
                      <a:extLst>
                        <a:ext uri="{28A0092B-C50C-407E-A947-70E740481C1C}"/>
                      </a:extLst>
                    </a:blip>
                    <a:srcRect/>
                    <a:stretch>
                      <a:fillRect/>
                    </a:stretch>
                  </pic:blipFill>
                  <pic:spPr bwMode="auto">
                    <a:xfrm>
                      <a:off x="0" y="0"/>
                      <a:ext cx="3368675" cy="8890"/>
                    </a:xfrm>
                    <a:prstGeom prst="rect">
                      <a:avLst/>
                    </a:prstGeom>
                    <a:noFill/>
                  </pic:spPr>
                </pic:pic>
              </a:graphicData>
            </a:graphic>
          </wp:anchor>
        </w:drawing>
      </w:r>
    </w:p>
    <w:p>
      <w:pPr>
        <w:spacing w:after="0" w:line="43" w:lineRule="exact"/>
        <w:rPr>
          <w:sz w:val="20"/>
          <w:szCs w:val="20"/>
          <w:color w:val="auto"/>
        </w:rPr>
      </w:pPr>
    </w:p>
    <w:p>
      <w:pPr>
        <w:jc w:val="center"/>
        <w:ind w:left="5840"/>
        <w:spacing w:after="0"/>
        <w:rPr>
          <w:sz w:val="20"/>
          <w:szCs w:val="20"/>
          <w:color w:val="auto"/>
        </w:rPr>
      </w:pPr>
      <w:r>
        <w:rPr>
          <w:rFonts w:ascii="Times New Roman" w:cs="Times New Roman" w:eastAsia="Times New Roman" w:hAnsi="Times New Roman"/>
          <w:sz w:val="18"/>
          <w:szCs w:val="18"/>
          <w:color w:val="auto"/>
        </w:rPr>
        <w:t>Raymond E. Scott</w:t>
      </w:r>
    </w:p>
    <w:p>
      <w:pPr>
        <w:spacing w:after="0" w:line="27" w:lineRule="exact"/>
        <w:rPr>
          <w:sz w:val="20"/>
          <w:szCs w:val="20"/>
          <w:color w:val="auto"/>
        </w:rPr>
      </w:pPr>
    </w:p>
    <w:p>
      <w:pPr>
        <w:jc w:val="center"/>
        <w:ind w:left="58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37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This written statement accompanies the Report pursuant to Section 906 of the Sarbanes-Oxley Act of 2002 and shall not, except to the extent required by the Sarbanes-Oxley Act of 2002, be deemed filed by the Company for purposes of Section 18 of the Securities Exchange Act of 1934.</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891" w:right="339" w:bottom="1440" w:gutter="0" w:footer="0" w:header="0"/>
        </w:sectPr>
      </w:pPr>
    </w:p>
    <w:bookmarkStart w:id="141" w:name="page142"/>
    <w:bookmarkEnd w:id="141"/>
    <w:p>
      <w:pPr>
        <w:jc w:val="right"/>
        <w:spacing w:after="0"/>
        <w:rPr>
          <w:sz w:val="20"/>
          <w:szCs w:val="20"/>
          <w:color w:val="auto"/>
        </w:rPr>
      </w:pPr>
      <w:r>
        <w:rPr>
          <w:rFonts w:ascii="Times New Roman" w:cs="Times New Roman" w:eastAsia="Times New Roman" w:hAnsi="Times New Roman"/>
          <w:sz w:val="18"/>
          <w:szCs w:val="18"/>
          <w:color w:val="auto"/>
        </w:rPr>
        <w:t>Exhibit 32.2</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3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Lear Corporation (the "Company") on Form 10-K for the period ended December 31, 2025, as filed with the Securities and Exchange Commission (the "Report"), the undersigned, as the Chief Financial Officer of the Company, hereby certifies pursuant to 18 U.S.C. Section 1350, as adopted pursuant to Section 906 of the Sarbanes-Oxley Act of 2002, that to his knowledge:</w:t>
      </w:r>
    </w:p>
    <w:p>
      <w:pPr>
        <w:spacing w:after="0" w:line="203" w:lineRule="exact"/>
        <w:rPr>
          <w:sz w:val="20"/>
          <w:szCs w:val="20"/>
          <w:color w:val="auto"/>
        </w:rPr>
      </w:pPr>
    </w:p>
    <w:p>
      <w:pPr>
        <w:ind w:left="500" w:hanging="312"/>
        <w:spacing w:after="0"/>
        <w:tabs>
          <w:tab w:leader="none" w:pos="5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Securities Exchange Act of 1934; and</w:t>
      </w:r>
    </w:p>
    <w:p>
      <w:pPr>
        <w:spacing w:after="0" w:line="252" w:lineRule="exact"/>
        <w:rPr>
          <w:rFonts w:ascii="Times New Roman" w:cs="Times New Roman" w:eastAsia="Times New Roman" w:hAnsi="Times New Roman"/>
          <w:sz w:val="18"/>
          <w:szCs w:val="18"/>
          <w:color w:val="auto"/>
        </w:rPr>
      </w:pPr>
    </w:p>
    <w:p>
      <w:pPr>
        <w:ind w:left="500" w:hanging="312"/>
        <w:spacing w:after="0"/>
        <w:tabs>
          <w:tab w:leader="none" w:pos="5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44" w:lineRule="exact"/>
        <w:rPr>
          <w:sz w:val="20"/>
          <w:szCs w:val="20"/>
          <w:color w:val="auto"/>
        </w:rPr>
      </w:pPr>
    </w:p>
    <w:p>
      <w:pPr>
        <w:ind w:left="260"/>
        <w:spacing w:after="0"/>
        <w:tabs>
          <w:tab w:leader="none" w:pos="5300" w:val="left"/>
          <w:tab w:leader="none" w:pos="7180" w:val="left"/>
        </w:tabs>
        <w:rPr>
          <w:sz w:val="20"/>
          <w:szCs w:val="20"/>
          <w:color w:val="auto"/>
        </w:rPr>
      </w:pPr>
      <w:r>
        <w:rPr>
          <w:rFonts w:ascii="Times New Roman" w:cs="Times New Roman" w:eastAsia="Times New Roman" w:hAnsi="Times New Roman"/>
          <w:sz w:val="18"/>
          <w:szCs w:val="18"/>
          <w:color w:val="auto"/>
        </w:rPr>
        <w:t>Date: February 13, 2026</w:t>
      </w:r>
      <w:r>
        <w:rPr>
          <w:sz w:val="20"/>
          <w:szCs w:val="20"/>
          <w:color w:val="auto"/>
        </w:rPr>
        <w:tab/>
      </w:r>
      <w:r>
        <w:rPr>
          <w:rFonts w:ascii="Times New Roman" w:cs="Times New Roman" w:eastAsia="Times New Roman" w:hAnsi="Times New Roman"/>
          <w:sz w:val="18"/>
          <w:szCs w:val="18"/>
          <w:color w:val="auto"/>
        </w:rPr>
        <w:t>Signed:</w:t>
      </w:r>
      <w:r>
        <w:rPr>
          <w:sz w:val="20"/>
          <w:szCs w:val="20"/>
          <w:color w:val="auto"/>
        </w:rPr>
        <w:tab/>
      </w:r>
      <w:r>
        <w:rPr>
          <w:rFonts w:ascii="Times New Roman" w:cs="Times New Roman" w:eastAsia="Times New Roman" w:hAnsi="Times New Roman"/>
          <w:sz w:val="17"/>
          <w:szCs w:val="17"/>
          <w:color w:val="auto"/>
        </w:rPr>
        <w:t>/s/ Jason M. Cardew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34290</wp:posOffset>
            </wp:positionV>
            <wp:extent cx="258000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10">
                      <a:extLst>
                        <a:ext uri="{28A0092B-C50C-407E-A947-70E740481C1C}"/>
                      </a:extLst>
                    </a:blip>
                    <a:srcRect/>
                    <a:stretch>
                      <a:fillRect/>
                    </a:stretch>
                  </pic:blipFill>
                  <pic:spPr bwMode="auto">
                    <a:xfrm>
                      <a:off x="0" y="0"/>
                      <a:ext cx="2580005" cy="8890"/>
                    </a:xfrm>
                    <a:prstGeom prst="rect">
                      <a:avLst/>
                    </a:prstGeom>
                    <a:noFill/>
                  </pic:spPr>
                </pic:pic>
              </a:graphicData>
            </a:graphic>
          </wp:anchor>
        </w:drawing>
      </w:r>
    </w:p>
    <w:p>
      <w:pPr>
        <w:spacing w:after="0" w:line="43" w:lineRule="exact"/>
        <w:rPr>
          <w:sz w:val="20"/>
          <w:szCs w:val="20"/>
          <w:color w:val="auto"/>
        </w:rPr>
      </w:pPr>
    </w:p>
    <w:p>
      <w:pPr>
        <w:jc w:val="center"/>
        <w:ind w:left="4600"/>
        <w:spacing w:after="0"/>
        <w:rPr>
          <w:sz w:val="20"/>
          <w:szCs w:val="20"/>
          <w:color w:val="auto"/>
        </w:rPr>
      </w:pPr>
      <w:r>
        <w:rPr>
          <w:rFonts w:ascii="Times New Roman" w:cs="Times New Roman" w:eastAsia="Times New Roman" w:hAnsi="Times New Roman"/>
          <w:sz w:val="18"/>
          <w:szCs w:val="18"/>
          <w:color w:val="auto"/>
        </w:rPr>
        <w:t>Jason M. Cardew</w:t>
      </w:r>
    </w:p>
    <w:p>
      <w:pPr>
        <w:spacing w:after="0" w:line="27" w:lineRule="exact"/>
        <w:rPr>
          <w:sz w:val="20"/>
          <w:szCs w:val="20"/>
          <w:color w:val="auto"/>
        </w:rPr>
      </w:pPr>
    </w:p>
    <w:p>
      <w:pPr>
        <w:jc w:val="center"/>
        <w:ind w:left="46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32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This written statement accompanies the Report pursuant to Section 906 of the Sarbanes-Oxley Act of 2002 and shall not, except to the extent required by the Sarbanes-Oxley Act of 2002, be deemed filed by the Company for purposes of Section 18 of the Securities Exchange Act of 1934.</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Unicode MS">
    <w:panose1 w:val="020B0604020202020204"/>
    <w:charset w:val="81"/>
    <w:family w:val="swiss"/>
    <w:pitch w:val="variable"/>
    <w:sig w:usb0="FFFFFFFF" w:usb1="E9FFFFFF" w:usb2="0000003F" w:usb3="00000000" w:csb0="603F01FF" w:csb1="FFFF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2221A70"/>
    <w:multiLevelType w:val="hybridMultilevel"/>
    <w:lvl w:ilvl="0">
      <w:lvlJc w:val="left"/>
      <w:lvlText w:val="☒"/>
      <w:numFmt w:val="bullet"/>
      <w:start w:val="1"/>
    </w:lvl>
  </w:abstractNum>
  <w:abstractNum w:abstractNumId="1">
    <w:nsid w:val="4516DDE9"/>
    <w:multiLevelType w:val="hybridMultilevel"/>
    <w:lvl w:ilvl="0">
      <w:lvlJc w:val="left"/>
      <w:lvlText w:val="☐"/>
      <w:numFmt w:val="bullet"/>
      <w:start w:val="1"/>
    </w:lvl>
  </w:abstractNum>
  <w:abstractNum w:abstractNumId="2">
    <w:nsid w:val="3006C83E"/>
    <w:multiLevelType w:val="hybridMultilevel"/>
    <w:lvl w:ilvl="0">
      <w:lvlJc w:val="left"/>
      <w:lvlText w:val="(%1)"/>
      <w:numFmt w:val="decimal"/>
      <w:start w:val="1"/>
    </w:lvl>
  </w:abstractNum>
  <w:abstractNum w:abstractNumId="3">
    <w:nsid w:val="614FD4A1"/>
    <w:multiLevelType w:val="hybridMultilevel"/>
    <w:lvl w:ilvl="0">
      <w:lvlJc w:val="left"/>
      <w:lvlText w:val="•"/>
      <w:numFmt w:val="bullet"/>
      <w:start w:val="1"/>
    </w:lvl>
  </w:abstractNum>
  <w:abstractNum w:abstractNumId="4">
    <w:nsid w:val="419AC241"/>
    <w:multiLevelType w:val="hybridMultilevel"/>
    <w:lvl w:ilvl="0">
      <w:lvlJc w:val="left"/>
      <w:lvlText w:val="•"/>
      <w:numFmt w:val="bullet"/>
      <w:start w:val="1"/>
    </w:lvl>
    <w:lvl w:ilvl="1">
      <w:lvlJc w:val="left"/>
      <w:lvlText w:val="\endash "/>
      <w:numFmt w:val="bullet"/>
      <w:start w:val="1"/>
    </w:lvl>
  </w:abstractNum>
  <w:abstractNum w:abstractNumId="5">
    <w:nsid w:val="5577F8E1"/>
    <w:multiLevelType w:val="hybridMultilevel"/>
    <w:lvl w:ilvl="0">
      <w:lvlJc w:val="left"/>
      <w:lvlText w:val="\endash "/>
      <w:numFmt w:val="bullet"/>
      <w:start w:val="1"/>
    </w:lvl>
  </w:abstractNum>
  <w:abstractNum w:abstractNumId="6">
    <w:nsid w:val="440BADFC"/>
    <w:multiLevelType w:val="hybridMultilevel"/>
    <w:lvl w:ilvl="0">
      <w:lvlJc w:val="left"/>
      <w:lvlText w:val="•"/>
      <w:numFmt w:val="bullet"/>
      <w:start w:val="1"/>
    </w:lvl>
  </w:abstractNum>
  <w:abstractNum w:abstractNumId="7">
    <w:nsid w:val="5072367"/>
    <w:multiLevelType w:val="hybridMultilevel"/>
    <w:lvl w:ilvl="0">
      <w:lvlJc w:val="left"/>
      <w:lvlText w:val="(%1)"/>
      <w:numFmt w:val="decimal"/>
      <w:start w:val="1"/>
    </w:lvl>
  </w:abstractNum>
  <w:abstractNum w:abstractNumId="8">
    <w:nsid w:val="3804823E"/>
    <w:multiLevelType w:val="hybridMultilevel"/>
    <w:lvl w:ilvl="0">
      <w:lvlJc w:val="left"/>
      <w:lvlText w:val="(%1)"/>
      <w:numFmt w:val="decimal"/>
      <w:start w:val="1"/>
    </w:lvl>
  </w:abstractNum>
  <w:abstractNum w:abstractNumId="9">
    <w:nsid w:val="77465F01"/>
    <w:multiLevelType w:val="hybridMultilevel"/>
    <w:lvl w:ilvl="0">
      <w:lvlJc w:val="left"/>
      <w:lvlText w:val="•"/>
      <w:numFmt w:val="bullet"/>
      <w:start w:val="1"/>
    </w:lvl>
  </w:abstractNum>
  <w:abstractNum w:abstractNumId="10">
    <w:nsid w:val="7724C67E"/>
    <w:multiLevelType w:val="hybridMultilevel"/>
    <w:lvl w:ilvl="0">
      <w:lvlJc w:val="left"/>
      <w:lvlText w:val="•"/>
      <w:numFmt w:val="bullet"/>
      <w:start w:val="1"/>
    </w:lvl>
  </w:abstractNum>
  <w:abstractNum w:abstractNumId="11">
    <w:nsid w:val="5C482A97"/>
    <w:multiLevelType w:val="hybridMultilevel"/>
    <w:lvl w:ilvl="0">
      <w:lvlJc w:val="left"/>
      <w:lvlText w:val="•"/>
      <w:numFmt w:val="bullet"/>
      <w:start w:val="1"/>
    </w:lvl>
    <w:lvl w:ilvl="1">
      <w:lvlJc w:val="left"/>
      <w:lvlText w:val="\endash "/>
      <w:numFmt w:val="bullet"/>
      <w:start w:val="1"/>
    </w:lvl>
  </w:abstractNum>
  <w:abstractNum w:abstractNumId="12">
    <w:nsid w:val="2463B9EA"/>
    <w:multiLevelType w:val="hybridMultilevel"/>
    <w:lvl w:ilvl="0">
      <w:lvlJc w:val="left"/>
      <w:lvlText w:val="•"/>
      <w:numFmt w:val="bullet"/>
      <w:start w:val="1"/>
    </w:lvl>
    <w:lvl w:ilvl="1">
      <w:lvlJc w:val="left"/>
      <w:lvlText w:val="\endash "/>
      <w:numFmt w:val="bullet"/>
      <w:start w:val="1"/>
    </w:lvl>
  </w:abstractNum>
  <w:abstractNum w:abstractNumId="13">
    <w:nsid w:val="5E884ADC"/>
    <w:multiLevelType w:val="hybridMultilevel"/>
    <w:lvl w:ilvl="0">
      <w:lvlJc w:val="left"/>
      <w:lvlText w:val="•"/>
      <w:numFmt w:val="bullet"/>
      <w:start w:val="1"/>
    </w:lvl>
  </w:abstractNum>
  <w:abstractNum w:abstractNumId="14">
    <w:nsid w:val="51EAD36B"/>
    <w:multiLevelType w:val="hybridMultilevel"/>
    <w:lvl w:ilvl="0">
      <w:lvlJc w:val="left"/>
      <w:lvlText w:val="•"/>
      <w:numFmt w:val="bullet"/>
      <w:start w:val="1"/>
    </w:lvl>
  </w:abstractNum>
  <w:abstractNum w:abstractNumId="15">
    <w:nsid w:val="2D517796"/>
    <w:multiLevelType w:val="hybridMultilevel"/>
    <w:lvl w:ilvl="0">
      <w:lvlJc w:val="left"/>
      <w:lvlText w:val="•"/>
      <w:numFmt w:val="bullet"/>
      <w:start w:val="1"/>
    </w:lvl>
  </w:abstractNum>
  <w:abstractNum w:abstractNumId="16">
    <w:nsid w:val="580BD78F"/>
    <w:multiLevelType w:val="hybridMultilevel"/>
    <w:lvl w:ilvl="0">
      <w:lvlJc w:val="left"/>
      <w:lvlText w:val="•"/>
      <w:numFmt w:val="bullet"/>
      <w:start w:val="1"/>
    </w:lvl>
    <w:lvl w:ilvl="1">
      <w:lvlJc w:val="left"/>
      <w:lvlText w:val="\endash "/>
      <w:numFmt w:val="bullet"/>
      <w:start w:val="1"/>
    </w:lvl>
  </w:abstractNum>
  <w:abstractNum w:abstractNumId="17">
    <w:nsid w:val="153EA438"/>
    <w:multiLevelType w:val="hybridMultilevel"/>
    <w:lvl w:ilvl="0">
      <w:lvlJc w:val="left"/>
      <w:lvlText w:val="•"/>
      <w:numFmt w:val="bullet"/>
      <w:start w:val="1"/>
    </w:lvl>
  </w:abstractNum>
  <w:abstractNum w:abstractNumId="18">
    <w:nsid w:val="3855585C"/>
    <w:multiLevelType w:val="hybridMultilevel"/>
    <w:lvl w:ilvl="0">
      <w:lvlJc w:val="left"/>
      <w:lvlText w:val="•"/>
      <w:numFmt w:val="bullet"/>
      <w:start w:val="1"/>
    </w:lvl>
  </w:abstractNum>
  <w:abstractNum w:abstractNumId="19">
    <w:nsid w:val="70A64E2A"/>
    <w:multiLevelType w:val="hybridMultilevel"/>
    <w:lvl w:ilvl="0">
      <w:lvlJc w:val="left"/>
      <w:lvlText w:val="•"/>
      <w:numFmt w:val="bullet"/>
      <w:start w:val="1"/>
    </w:lvl>
  </w:abstractNum>
  <w:abstractNum w:abstractNumId="20">
    <w:nsid w:val="6A2342EC"/>
    <w:multiLevelType w:val="hybridMultilevel"/>
    <w:lvl w:ilvl="0">
      <w:lvlJc w:val="left"/>
      <w:lvlText w:val="•"/>
      <w:numFmt w:val="bullet"/>
      <w:start w:val="1"/>
    </w:lvl>
  </w:abstractNum>
  <w:abstractNum w:abstractNumId="21">
    <w:nsid w:val="2A487CB0"/>
    <w:multiLevelType w:val="hybridMultilevel"/>
    <w:lvl w:ilvl="0">
      <w:lvlJc w:val="left"/>
      <w:lvlText w:val="•"/>
      <w:numFmt w:val="bullet"/>
      <w:start w:val="1"/>
    </w:lvl>
  </w:abstractNum>
  <w:abstractNum w:abstractNumId="22">
    <w:nsid w:val="1D4ED43B"/>
    <w:multiLevelType w:val="hybridMultilevel"/>
    <w:lvl w:ilvl="0">
      <w:lvlJc w:val="left"/>
      <w:lvlText w:val="•"/>
      <w:numFmt w:val="bullet"/>
      <w:start w:val="1"/>
    </w:lvl>
  </w:abstractNum>
  <w:abstractNum w:abstractNumId="23">
    <w:nsid w:val="725A06FB"/>
    <w:multiLevelType w:val="hybridMultilevel"/>
    <w:lvl w:ilvl="0">
      <w:lvlJc w:val="left"/>
      <w:lvlText w:val="•"/>
      <w:numFmt w:val="bullet"/>
      <w:start w:val="1"/>
    </w:lvl>
  </w:abstractNum>
  <w:abstractNum w:abstractNumId="24">
    <w:nsid w:val="2CD89A32"/>
    <w:multiLevelType w:val="hybridMultilevel"/>
    <w:lvl w:ilvl="0">
      <w:lvlJc w:val="left"/>
      <w:lvlText w:val="•"/>
      <w:numFmt w:val="bullet"/>
      <w:start w:val="1"/>
    </w:lvl>
  </w:abstractNum>
  <w:abstractNum w:abstractNumId="25">
    <w:nsid w:val="57E4CCAF"/>
    <w:multiLevelType w:val="hybridMultilevel"/>
    <w:lvl w:ilvl="0">
      <w:lvlJc w:val="left"/>
      <w:lvlText w:val="(%1)"/>
      <w:numFmt w:val="decimal"/>
      <w:start w:val="1"/>
    </w:lvl>
  </w:abstractNum>
  <w:abstractNum w:abstractNumId="26">
    <w:nsid w:val="7A6D8D3C"/>
    <w:multiLevelType w:val="hybridMultilevel"/>
    <w:lvl w:ilvl="0">
      <w:lvlJc w:val="left"/>
      <w:lvlText w:val="•"/>
      <w:numFmt w:val="bullet"/>
      <w:start w:val="1"/>
    </w:lvl>
  </w:abstractNum>
  <w:abstractNum w:abstractNumId="27">
    <w:nsid w:val="4B588F54"/>
    <w:multiLevelType w:val="hybridMultilevel"/>
    <w:lvl w:ilvl="0">
      <w:lvlJc w:val="left"/>
      <w:lvlText w:val="•"/>
      <w:numFmt w:val="bullet"/>
      <w:start w:val="1"/>
    </w:lvl>
  </w:abstractNum>
  <w:abstractNum w:abstractNumId="28">
    <w:nsid w:val="542289EC"/>
    <w:multiLevelType w:val="hybridMultilevel"/>
    <w:lvl w:ilvl="0">
      <w:lvlJc w:val="left"/>
      <w:lvlText w:val="(%1)"/>
      <w:numFmt w:val="decimal"/>
      <w:start w:val="1"/>
    </w:lvl>
  </w:abstractNum>
  <w:abstractNum w:abstractNumId="29">
    <w:nsid w:val="6DE91B18"/>
    <w:multiLevelType w:val="hybridMultilevel"/>
    <w:lvl w:ilvl="0">
      <w:lvlJc w:val="left"/>
      <w:lvlText w:val="(%1)"/>
      <w:numFmt w:val="decimal"/>
      <w:start w:val="1"/>
    </w:lvl>
  </w:abstractNum>
  <w:abstractNum w:abstractNumId="30">
    <w:nsid w:val="38437FDB"/>
    <w:multiLevelType w:val="hybridMultilevel"/>
    <w:lvl w:ilvl="0">
      <w:lvlJc w:val="left"/>
      <w:lvlText w:val="\emdash "/>
      <w:numFmt w:val="bullet"/>
      <w:start w:val="1"/>
    </w:lvl>
  </w:abstractNum>
  <w:abstractNum w:abstractNumId="31">
    <w:nsid w:val="7644A45C"/>
    <w:multiLevelType w:val="hybridMultilevel"/>
    <w:lvl w:ilvl="0">
      <w:lvlJc w:val="left"/>
      <w:lvlText w:val="•"/>
      <w:numFmt w:val="bullet"/>
      <w:start w:val="1"/>
    </w:lvl>
  </w:abstractNum>
  <w:abstractNum w:abstractNumId="32">
    <w:nsid w:val="32FFF902"/>
    <w:multiLevelType w:val="hybridMultilevel"/>
    <w:lvl w:ilvl="0">
      <w:lvlJc w:val="left"/>
      <w:lvlText w:val="•"/>
      <w:numFmt w:val="bullet"/>
      <w:start w:val="1"/>
    </w:lvl>
  </w:abstractNum>
  <w:abstractNum w:abstractNumId="33">
    <w:nsid w:val="684A481A"/>
    <w:multiLevelType w:val="hybridMultilevel"/>
    <w:lvl w:ilvl="0">
      <w:lvlJc w:val="left"/>
      <w:lvlText w:val="•"/>
      <w:numFmt w:val="bullet"/>
      <w:start w:val="1"/>
    </w:lvl>
  </w:abstractNum>
  <w:abstractNum w:abstractNumId="34">
    <w:nsid w:val="579478FE"/>
    <w:multiLevelType w:val="hybridMultilevel"/>
    <w:lvl w:ilvl="0">
      <w:lvlJc w:val="left"/>
      <w:lvlText w:val="(%1)"/>
      <w:numFmt w:val="lowerRoman"/>
      <w:start w:val="1"/>
    </w:lvl>
  </w:abstractNum>
  <w:abstractNum w:abstractNumId="35">
    <w:nsid w:val="749ABB43"/>
    <w:multiLevelType w:val="hybridMultilevel"/>
    <w:lvl w:ilvl="0">
      <w:lvlJc w:val="left"/>
      <w:lvlText w:val="(%1)"/>
      <w:numFmt w:val="decimal"/>
      <w:start w:val="1"/>
    </w:lvl>
  </w:abstractNum>
  <w:abstractNum w:abstractNumId="36">
    <w:nsid w:val="3DC240FB"/>
    <w:multiLevelType w:val="hybridMultilevel"/>
    <w:lvl w:ilvl="0">
      <w:lvlJc w:val="left"/>
      <w:lvlText w:val="(%1)"/>
      <w:numFmt w:val="decimal"/>
      <w:start w:val="1"/>
    </w:lvl>
  </w:abstractNum>
  <w:abstractNum w:abstractNumId="37">
    <w:nsid w:val="1BA026FA"/>
    <w:multiLevelType w:val="hybridMultilevel"/>
    <w:lvl w:ilvl="0">
      <w:lvlJc w:val="left"/>
      <w:lvlText w:val="(%1)"/>
      <w:numFmt w:val="decimal"/>
      <w:start w:val="1"/>
    </w:lvl>
  </w:abstractNum>
  <w:abstractNum w:abstractNumId="38">
    <w:nsid w:val="79A1DEAA"/>
    <w:multiLevelType w:val="hybridMultilevel"/>
    <w:lvl w:ilvl="0">
      <w:lvlJc w:val="left"/>
      <w:lvlText w:val="•"/>
      <w:numFmt w:val="bullet"/>
      <w:start w:val="1"/>
    </w:lvl>
  </w:abstractNum>
  <w:abstractNum w:abstractNumId="39">
    <w:nsid w:val="75C6C33A"/>
    <w:multiLevelType w:val="hybridMultilevel"/>
    <w:lvl w:ilvl="0">
      <w:lvlJc w:val="left"/>
      <w:lvlText w:val="(%1)"/>
      <w:numFmt w:val="decimal"/>
      <w:start w:val="1"/>
    </w:lvl>
  </w:abstractNum>
  <w:abstractNum w:abstractNumId="40">
    <w:nsid w:val="12E685FB"/>
    <w:multiLevelType w:val="hybridMultilevel"/>
    <w:lvl w:ilvl="0">
      <w:lvlJc w:val="left"/>
      <w:lvlText w:val="(%1)"/>
      <w:numFmt w:val="decimal"/>
      <w:start w:val="1"/>
    </w:lvl>
  </w:abstractNum>
  <w:abstractNum w:abstractNumId="41">
    <w:nsid w:val="70C6A529"/>
    <w:multiLevelType w:val="hybridMultilevel"/>
    <w:lvl w:ilvl="0">
      <w:lvlJc w:val="left"/>
      <w:lvlText w:val="(%1)"/>
      <w:numFmt w:val="decimal"/>
      <w:start w:val="1"/>
    </w:lvl>
  </w:abstractNum>
  <w:abstractNum w:abstractNumId="42">
    <w:nsid w:val="520EEDD1"/>
    <w:multiLevelType w:val="hybridMultilevel"/>
    <w:lvl w:ilvl="0">
      <w:lvlJc w:val="left"/>
      <w:lvlText w:val="(%1)"/>
      <w:numFmt w:val="decimal"/>
      <w:start w:val="1"/>
    </w:lvl>
  </w:abstractNum>
  <w:abstractNum w:abstractNumId="43">
    <w:nsid w:val="374A3FE6"/>
    <w:multiLevelType w:val="hybridMultilevel"/>
    <w:lvl w:ilvl="0">
      <w:lvlJc w:val="left"/>
      <w:lvlText w:val="(%1)"/>
      <w:numFmt w:val="decimal"/>
      <w:start w:val="1"/>
    </w:lvl>
  </w:abstractNum>
  <w:abstractNum w:abstractNumId="44">
    <w:nsid w:val="4F4EF005"/>
    <w:multiLevelType w:val="hybridMultilevel"/>
    <w:lvl w:ilvl="0">
      <w:lvlJc w:val="left"/>
      <w:lvlText w:val="(%1)"/>
      <w:numFmt w:val="lowerLetter"/>
      <w:start w:val="1"/>
    </w:lvl>
  </w:abstractNum>
  <w:abstractNum w:abstractNumId="45">
    <w:nsid w:val="23F9C13C"/>
    <w:multiLevelType w:val="hybridMultilevel"/>
    <w:lvl w:ilvl="0">
      <w:lvlJc w:val="left"/>
      <w:lvlText w:val="(%1)"/>
      <w:numFmt w:val="decimal"/>
      <w:start w:val="1"/>
    </w:lvl>
  </w:abstractNum>
  <w:abstractNum w:abstractNumId="46">
    <w:nsid w:val="649BB77C"/>
    <w:multiLevelType w:val="hybridMultilevel"/>
    <w:lvl w:ilvl="0">
      <w:lvlJc w:val="left"/>
      <w:lvlText w:val="(%1)"/>
      <w:numFmt w:val="lowerLetter"/>
      <w:start w:val="2"/>
    </w:lvl>
  </w:abstractNum>
  <w:abstractNum w:abstractNumId="47">
    <w:nsid w:val="275AC794"/>
    <w:multiLevelType w:val="hybridMultilevel"/>
    <w:lvl w:ilvl="0">
      <w:lvlJc w:val="left"/>
      <w:lvlText w:val="*"/>
      <w:numFmt w:val="bullet"/>
      <w:start w:val="1"/>
    </w:lvl>
  </w:abstractNum>
  <w:abstractNum w:abstractNumId="48">
    <w:nsid w:val="39386575"/>
    <w:multiLevelType w:val="hybridMultilevel"/>
    <w:lvl w:ilvl="0">
      <w:lvlJc w:val="left"/>
      <w:lvlText w:val="***"/>
      <w:numFmt w:val="bullet"/>
      <w:start w:val="1"/>
    </w:lvl>
  </w:abstractNum>
  <w:abstractNum w:abstractNumId="49">
    <w:nsid w:val="1CF10FD8"/>
    <w:multiLevelType w:val="hybridMultilevel"/>
    <w:lvl w:ilvl="0">
      <w:lvlJc w:val="left"/>
      <w:lvlText w:val="****"/>
      <w:numFmt w:val="bullet"/>
      <w:start w:val="1"/>
    </w:lvl>
  </w:abstractNum>
  <w:abstractNum w:abstractNumId="50">
    <w:nsid w:val="180115BE"/>
    <w:multiLevelType w:val="hybridMultilevel"/>
    <w:lvl w:ilvl="0">
      <w:lvlJc w:val="left"/>
      <w:lvlText w:val="(%1)"/>
      <w:numFmt w:val="lowerLetter"/>
      <w:start w:val="1"/>
    </w:lvl>
  </w:abstractNum>
  <w:abstractNum w:abstractNumId="51">
    <w:nsid w:val="235BA861"/>
    <w:multiLevelType w:val="hybridMultilevel"/>
    <w:lvl w:ilvl="0">
      <w:lvlJc w:val="left"/>
      <w:lvlText w:val="(%1)"/>
      <w:numFmt w:val="lowerLetter"/>
      <w:start w:val="2"/>
    </w:lvl>
  </w:abstractNum>
  <w:abstractNum w:abstractNumId="52">
    <w:nsid w:val="47398C89"/>
    <w:multiLevelType w:val="hybridMultilevel"/>
    <w:lvl w:ilvl="0">
      <w:lvlJc w:val="left"/>
      <w:lvlText w:val="(%1)"/>
      <w:numFmt w:val="lowerLetter"/>
      <w:start w:val="1"/>
    </w:lvl>
  </w:abstractNum>
  <w:abstractNum w:abstractNumId="53">
    <w:nsid w:val="354FE9F9"/>
    <w:multiLevelType w:val="hybridMultilevel"/>
    <w:lvl w:ilvl="0">
      <w:lvlJc w:val="left"/>
      <w:lvlText w:val="(%1)"/>
      <w:numFmt w:val="lowerLetter"/>
      <w:start w:val="1"/>
    </w:lvl>
  </w:abstractNum>
  <w:abstractNum w:abstractNumId="54">
    <w:nsid w:val="15B5AF5C"/>
    <w:multiLevelType w:val="hybridMultilevel"/>
    <w:lvl w:ilvl="0">
      <w:lvlJc w:val="left"/>
      <w:lvlText w:val="(%1)"/>
      <w:numFmt w:val="lowerLetter"/>
      <w:start w:val="2"/>
    </w:lvl>
  </w:abstractNum>
  <w:abstractNum w:abstractNumId="55">
    <w:nsid w:val="741226BB"/>
    <w:multiLevelType w:val="hybridMultilevel"/>
    <w:lvl w:ilvl="0">
      <w:lvlJc w:val="left"/>
      <w:lvlText w:val="•"/>
      <w:numFmt w:val="bullet"/>
      <w:start w:val="1"/>
    </w:lvl>
  </w:abstractNum>
  <w:abstractNum w:abstractNumId="56">
    <w:nsid w:val="D34B6A8"/>
    <w:multiLevelType w:val="hybridMultilevel"/>
    <w:lvl w:ilvl="0">
      <w:lvlJc w:val="left"/>
      <w:lvlText w:val="•"/>
      <w:numFmt w:val="bullet"/>
      <w:start w:val="1"/>
    </w:lvl>
  </w:abstractNum>
  <w:abstractNum w:abstractNumId="57">
    <w:nsid w:val="10233C99"/>
    <w:multiLevelType w:val="hybridMultilevel"/>
    <w:lvl w:ilvl="0">
      <w:lvlJc w:val="left"/>
      <w:lvlText w:val="(%1)"/>
      <w:numFmt w:val="lowerRoman"/>
      <w:start w:val="2"/>
    </w:lvl>
  </w:abstractNum>
  <w:abstractNum w:abstractNumId="58">
    <w:nsid w:val="3F6AB60F"/>
    <w:multiLevelType w:val="hybridMultilevel"/>
    <w:lvl w:ilvl="0">
      <w:lvlJc w:val="left"/>
      <w:lvlText w:val="•"/>
      <w:numFmt w:val="bullet"/>
      <w:start w:val="1"/>
    </w:lvl>
  </w:abstractNum>
  <w:abstractNum w:abstractNumId="59">
    <w:nsid w:val="61574095"/>
    <w:multiLevelType w:val="hybridMultilevel"/>
    <w:lvl w:ilvl="0">
      <w:lvlJc w:val="left"/>
      <w:lvlText w:val="%1."/>
      <w:numFmt w:val="decimal"/>
      <w:start w:val="1"/>
    </w:lvl>
  </w:abstractNum>
  <w:abstractNum w:abstractNumId="60">
    <w:nsid w:val="7E0C57B1"/>
    <w:multiLevelType w:val="hybridMultilevel"/>
    <w:lvl w:ilvl="0">
      <w:lvlJc w:val="left"/>
      <w:lvlText w:val="%1."/>
      <w:numFmt w:val="decimal"/>
      <w:start w:val="1"/>
    </w:lvl>
    <w:lvl w:ilvl="1">
      <w:lvlJc w:val="left"/>
      <w:lvlText w:val="(%2)"/>
      <w:numFmt w:val="lowerLetter"/>
      <w:start w:val="1"/>
    </w:lvl>
  </w:abstractNum>
  <w:abstractNum w:abstractNumId="61">
    <w:nsid w:val="77AE35EB"/>
    <w:multiLevelType w:val="hybridMultilevel"/>
    <w:lvl w:ilvl="0">
      <w:lvlJc w:val="left"/>
      <w:lvlText w:val="%1."/>
      <w:numFmt w:val="decimal"/>
      <w:start w:val="1"/>
    </w:lvl>
    <w:lvl w:ilvl="1">
      <w:lvlJc w:val="left"/>
      <w:lvlText w:val="(%2)"/>
      <w:numFmt w:val="lowerLetter"/>
      <w:start w:val="1"/>
    </w:lvl>
  </w:abstractNum>
  <w:abstractNum w:abstractNumId="62">
    <w:nsid w:val="579BE4F1"/>
    <w:multiLevelType w:val="hybridMultilevel"/>
    <w:lvl w:ilvl="0">
      <w:lvlJc w:val="left"/>
      <w:lvlText w:val="%1."/>
      <w:numFmt w:val="decimal"/>
      <w:start w:val="1"/>
    </w:lvl>
  </w:abstractNum>
  <w:abstractNum w:abstractNumId="63">
    <w:nsid w:val="310C50B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53" Type="http://schemas.openxmlformats.org/officeDocument/2006/relationships/image" Target="media/image131.png"/><Relationship Id="rId154" Type="http://schemas.openxmlformats.org/officeDocument/2006/relationships/image" Target="media/image132.png"/><Relationship Id="rId173" Type="http://schemas.openxmlformats.org/officeDocument/2006/relationships/image" Target="media/image133.png"/><Relationship Id="rId174" Type="http://schemas.openxmlformats.org/officeDocument/2006/relationships/image" Target="media/image134.png"/><Relationship Id="rId189" Type="http://schemas.openxmlformats.org/officeDocument/2006/relationships/image" Target="media/image135.png"/><Relationship Id="rId190" Type="http://schemas.openxmlformats.org/officeDocument/2006/relationships/image" Target="media/image136.png"/><Relationship Id="rId191" Type="http://schemas.openxmlformats.org/officeDocument/2006/relationships/image" Target="media/image137.png"/><Relationship Id="rId192" Type="http://schemas.openxmlformats.org/officeDocument/2006/relationships/image" Target="media/image138.png"/><Relationship Id="rId193" Type="http://schemas.openxmlformats.org/officeDocument/2006/relationships/image" Target="media/image139.png"/><Relationship Id="rId194" Type="http://schemas.openxmlformats.org/officeDocument/2006/relationships/image" Target="media/image140.png"/><Relationship Id="rId195" Type="http://schemas.openxmlformats.org/officeDocument/2006/relationships/image" Target="media/image141.png"/><Relationship Id="rId196" Type="http://schemas.openxmlformats.org/officeDocument/2006/relationships/image" Target="media/image142.png"/><Relationship Id="rId197" Type="http://schemas.openxmlformats.org/officeDocument/2006/relationships/image" Target="media/image143.png"/><Relationship Id="rId198" Type="http://schemas.openxmlformats.org/officeDocument/2006/relationships/image" Target="media/image144.png"/><Relationship Id="rId199" Type="http://schemas.openxmlformats.org/officeDocument/2006/relationships/image" Target="media/image145.png"/><Relationship Id="rId200" Type="http://schemas.openxmlformats.org/officeDocument/2006/relationships/image" Target="media/image146.png"/><Relationship Id="rId201" Type="http://schemas.openxmlformats.org/officeDocument/2006/relationships/image" Target="media/image147.png"/><Relationship Id="rId202" Type="http://schemas.openxmlformats.org/officeDocument/2006/relationships/image" Target="media/image148.png"/><Relationship Id="rId203" Type="http://schemas.openxmlformats.org/officeDocument/2006/relationships/image" Target="media/image149.png"/><Relationship Id="rId204" Type="http://schemas.openxmlformats.org/officeDocument/2006/relationships/image" Target="media/image150.png"/><Relationship Id="rId205" Type="http://schemas.openxmlformats.org/officeDocument/2006/relationships/image" Target="media/image151.png"/><Relationship Id="rId206" Type="http://schemas.openxmlformats.org/officeDocument/2006/relationships/image" Target="media/image152.jpeg"/><Relationship Id="rId207" Type="http://schemas.openxmlformats.org/officeDocument/2006/relationships/image" Target="media/image153.png"/><Relationship Id="rId208" Type="http://schemas.openxmlformats.org/officeDocument/2006/relationships/image" Target="media/image154.png"/><Relationship Id="rId209" Type="http://schemas.openxmlformats.org/officeDocument/2006/relationships/image" Target="media/image155.png"/><Relationship Id="rId210" Type="http://schemas.openxmlformats.org/officeDocument/2006/relationships/image" Target="media/image156.png"/><Relationship Id="rId138" Type="http://schemas.openxmlformats.org/officeDocument/2006/relationships/hyperlink" Target="https://www.sec.gov/Archives/edgar/data/842162/000095012309060340/k48534exv3w1.htm" TargetMode="External"/><Relationship Id="rId139" Type="http://schemas.openxmlformats.org/officeDocument/2006/relationships/hyperlink" Target="https://www.sec.gov/Archives/edgar/data/842162/000084216224000008/lear-2023dec31_exx32.htm" TargetMode="External"/><Relationship Id="rId140" Type="http://schemas.openxmlformats.org/officeDocument/2006/relationships/hyperlink" Target="https://www.sec.gov/Archives/edgar/data/842162/000119312517260981/d439066dex41.htm" TargetMode="External"/><Relationship Id="rId141" Type="http://schemas.openxmlformats.org/officeDocument/2006/relationships/hyperlink" Target="https://www.sec.gov/Archives/edgar/data/842162/000119312517260981/d439066dex42.htm" TargetMode="External"/><Relationship Id="rId142" Type="http://schemas.openxmlformats.org/officeDocument/2006/relationships/hyperlink" Target="https://www.sec.gov/Archives/edgar/data/842162/000119312519133018/d723959dex41.htm" TargetMode="External"/><Relationship Id="rId143" Type="http://schemas.openxmlformats.org/officeDocument/2006/relationships/hyperlink" Target="https://www.sec.gov/Archives/edgar/data/842162/000119312519133018/d723959dex42.htm" TargetMode="External"/><Relationship Id="rId144" Type="http://schemas.openxmlformats.org/officeDocument/2006/relationships/hyperlink" Target="https://www.sec.gov/Archives/edgar/data/842162/000119312520046721/d816094dex41.htm" TargetMode="External"/><Relationship Id="rId145" Type="http://schemas.openxmlformats.org/officeDocument/2006/relationships/hyperlink" Target="https://www.sec.gov/Archives/edgar/data/842162/000119312521323052/d240638dex41.htm" TargetMode="External"/><Relationship Id="rId146" Type="http://schemas.openxmlformats.org/officeDocument/2006/relationships/hyperlink" Target="https://www.sec.gov/Archives/edgar/data/842162/000119312521323052/d240638dex42.htm" TargetMode="External"/><Relationship Id="rId147" Type="http://schemas.openxmlformats.org/officeDocument/2006/relationships/hyperlink" Target="https://www.sec.gov/Archives/edgar/data/842162/000119312521323052/d240638dex43.htm" TargetMode="External"/><Relationship Id="rId148" Type="http://schemas.openxmlformats.org/officeDocument/2006/relationships/hyperlink" Target="https://www.sec.gov/Archives/edgar/data/842162/000084216220000006/lear-20191231xexx48.htm" TargetMode="External"/><Relationship Id="rId149" Type="http://schemas.openxmlformats.org/officeDocument/2006/relationships/hyperlink" Target="https://www.sec.gov/Archives/edgar/data/842162/000084216221000046/lear-2021oct288xkexhibit101.htm" TargetMode="External"/><Relationship Id="rId150" Type="http://schemas.openxmlformats.org/officeDocument/2006/relationships/hyperlink" Target="https://www.sec.gov/Archives/edgar/data/842162/000084216223000070/lear-2023nov22_ex101.htm" TargetMode="External"/><Relationship Id="rId151" Type="http://schemas.openxmlformats.org/officeDocument/2006/relationships/hyperlink" Target="https://www.sec.gov/Archives/edgar/data/842162/000084216225000060/lear-2025jun28_exx101.htm" TargetMode="External"/><Relationship Id="rId152" Type="http://schemas.openxmlformats.org/officeDocument/2006/relationships/hyperlink" Target="https://www.sec.gov/Archives/edgar/data/842162/000119312518045227/d536170dex101.htm" TargetMode="External"/><Relationship Id="rId155" Type="http://schemas.openxmlformats.org/officeDocument/2006/relationships/hyperlink" Target="https://www.sec.gov/Archives/edgar/data/842162/000119312518067099/d546027dex101.htm" TargetMode="External"/><Relationship Id="rId156" Type="http://schemas.openxmlformats.org/officeDocument/2006/relationships/hyperlink" Target="https://www.sec.gov/Archives/edgar/data/842162/000119312519259358/d803109dex101.htm" TargetMode="External"/><Relationship Id="rId157" Type="http://schemas.openxmlformats.org/officeDocument/2006/relationships/hyperlink" Target="https://www.sec.gov/Archives/edgar/data/842162/000084216222000046/lear-2022nov1_exx102.htm" TargetMode="External"/><Relationship Id="rId158" Type="http://schemas.openxmlformats.org/officeDocument/2006/relationships/hyperlink" Target="https://www.sec.gov/Archives/edgar/data/842162/000084216224000037/lear_2024may16xex101.htm" TargetMode="External"/><Relationship Id="rId159" Type="http://schemas.openxmlformats.org/officeDocument/2006/relationships/hyperlink" Target="https://www.sec.gov/Archives/edgar/data/842162/000084216219000023/lear-2019629xexx104.htm" TargetMode="External"/><Relationship Id="rId160" Type="http://schemas.openxmlformats.org/officeDocument/2006/relationships/hyperlink" Target="https://www.sec.gov/Archives/edgar/data/842162/000084216223000062/lear-2023sep30_ex101.htm" TargetMode="External"/><Relationship Id="rId161" Type="http://schemas.openxmlformats.org/officeDocument/2006/relationships/hyperlink" Target="https://www.sec.gov/Archives/edgar/data/842162/000084216217000026/lea-2017930xexx104.htm" TargetMode="External"/><Relationship Id="rId162" Type="http://schemas.openxmlformats.org/officeDocument/2006/relationships/hyperlink" Target="https://www.sec.gov/Archives/edgar/data/842162/000084216217000026/lea-2017930xexx105.htm" TargetMode="External"/><Relationship Id="rId163" Type="http://schemas.openxmlformats.org/officeDocument/2006/relationships/hyperlink" Target="https://www.sec.gov/Archives/edgar/data/842162/000084216219000023/lear-2019629xexx105.htm" TargetMode="External"/><Relationship Id="rId164" Type="http://schemas.openxmlformats.org/officeDocument/2006/relationships/hyperlink" Target="https://www.sec.gov/Archives/edgar/data/842162/000119312514043696/d642138dex102.htm" TargetMode="External"/><Relationship Id="rId165" Type="http://schemas.openxmlformats.org/officeDocument/2006/relationships/hyperlink" Target="https://www.sec.gov/Archives/edgar/data/842162/000084216217000010/lea-201741xexx101.htm" TargetMode="External"/><Relationship Id="rId166" Type="http://schemas.openxmlformats.org/officeDocument/2006/relationships/hyperlink" Target="https://www.sec.gov/Archives/edgar/data/842162/000119312519204015/d774016dex43.htm" TargetMode="External"/><Relationship Id="rId167" Type="http://schemas.openxmlformats.org/officeDocument/2006/relationships/hyperlink" Target="https://www.sec.gov/Archives/edgar/data/842162/000084216223000045/lear-2023jul1_ex101.htm" TargetMode="External"/><Relationship Id="rId168" Type="http://schemas.openxmlformats.org/officeDocument/2006/relationships/hyperlink" Target="https://www.sec.gov/Archives/edgar/data/842162/000084216219000023/lear-2019629xexx106.htm" TargetMode="External"/><Relationship Id="rId169" Type="http://schemas.openxmlformats.org/officeDocument/2006/relationships/hyperlink" Target="https://www.sec.gov/Archives/edgar/data/842162/000084216225000010/lear-2024dec31_exx1021.htm" TargetMode="External"/><Relationship Id="rId170" Type="http://schemas.openxmlformats.org/officeDocument/2006/relationships/hyperlink" Target="https://www.sec.gov/Archives/edgar/data/842162/000084216220000052/lear-8xkx20201118xexx1.htm" TargetMode="External"/><Relationship Id="rId171" Type="http://schemas.openxmlformats.org/officeDocument/2006/relationships/hyperlink" Target="https://www.sec.gov/Archives/edgar/data/842162/000084216225000042/lear-2025mar29_ex101.htm" TargetMode="External"/><Relationship Id="rId172" Type="http://schemas.openxmlformats.org/officeDocument/2006/relationships/hyperlink" Target="https://www.sec.gov/Archives/edgar/data/842162/000084216225000042/lear-2025mar29_ex102.htm" TargetMode="External"/><Relationship Id="rId175" Type="http://schemas.openxmlformats.org/officeDocument/2006/relationships/hyperlink" Target="https://www.sec.gov/Archives/edgar/data/842162/000084216224000008/lear-2023dec31_exx1034.htm" TargetMode="External"/><Relationship Id="rId176" Type="http://schemas.openxmlformats.org/officeDocument/2006/relationships/hyperlink" Target="https://www.sec.gov/Archives/edgar/data/842162/000084216224000062/lear-2024sep28_exx101.htm" TargetMode="External"/><Relationship Id="rId177" Type="http://schemas.openxmlformats.org/officeDocument/2006/relationships/hyperlink" Target="https://www.sec.gov/Archives/edgar/data/842162/000084216224000062/lear-2024sep28_exx102.htm" TargetMode="External"/><Relationship Id="rId178" Type="http://schemas.openxmlformats.org/officeDocument/2006/relationships/hyperlink" Target="https://www.sec.gov/Archives/edgar/data/842162/000084216224000008/lear-2023dec31_exx1035.htm" TargetMode="External"/><Relationship Id="rId179" Type="http://schemas.openxmlformats.org/officeDocument/2006/relationships/hyperlink" Target="https://www.sec.gov/Archives/edgar/data/842162/000095012405001152/k91926exv10w37.txt" TargetMode="External"/><Relationship Id="rId180" Type="http://schemas.openxmlformats.org/officeDocument/2006/relationships/hyperlink" Target="https://www.sec.gov/Archives/edgar/data/842162/000095012407001141/k12678exv10w45.htm" TargetMode="External"/><Relationship Id="rId181" Type="http://schemas.openxmlformats.org/officeDocument/2006/relationships/hyperlink" Target="https://www.sec.gov/Archives/edgar/data/842162/000095013708002415/k23879exv10w49.txt" TargetMode="External"/><Relationship Id="rId182" Type="http://schemas.openxmlformats.org/officeDocument/2006/relationships/hyperlink" Target="https://www.sec.gov/Archives/edgar/data/842162/000095012407006307/k22414exv10w1.htm" TargetMode="External"/><Relationship Id="rId183" Type="http://schemas.openxmlformats.org/officeDocument/2006/relationships/hyperlink" Target="https://www.sec.gov/Archives/edgar/data/842162/000084216218000007/lea-20171231xexx1013.htm" TargetMode="External"/><Relationship Id="rId184" Type="http://schemas.openxmlformats.org/officeDocument/2006/relationships/hyperlink" Target="https://www.sec.gov/Archives/edgar/data/842162/000084216222000009/lear-20201231xexx1013.htm" TargetMode="External"/><Relationship Id="rId185" Type="http://schemas.openxmlformats.org/officeDocument/2006/relationships/hyperlink" Target="https://www.sec.gov/Archives/edgar/data/842162/000084216225000076/lear-2025sept27_ex102.htm" TargetMode="External"/><Relationship Id="rId186" Type="http://schemas.openxmlformats.org/officeDocument/2006/relationships/hyperlink" Target="https://www.sec.gov/Archives/edgar/data/842162/000084216224000008/lear-2023dec31_exx1038.htm" TargetMode="External"/><Relationship Id="rId187" Type="http://schemas.openxmlformats.org/officeDocument/2006/relationships/hyperlink" Target="https://www.sec.gov/Archives/edgar/data/842162/000084216223000062/lear-2023sep30_ex991.htm" TargetMode="External"/><Relationship Id="rId188" Type="http://schemas.openxmlformats.org/officeDocument/2006/relationships/hyperlink" Target="https://www.sec.gov/Archives/edgar/data/842162/000095012309058484/k48510exv99w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2026-02-13T15:22:28Z</dcterms:created>
  <dcterms:modified xsi:type="dcterms:W3CDTF">2026-02-13T15:22:28Z</dcterms:modified>
</cp:coreProperties>
</file>