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Lear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1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-3504565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-2955290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-2269490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-1720850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-1171575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405765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ectPr>
          <w:pgSz w:w="11900" w:h="16838" w:orient="portrait"/>
          <w:cols w:equalWidth="0" w:num="1">
            <w:col w:w="11340"/>
          </w:cols>
          <w:pgMar w:left="240" w:top="230" w:right="319" w:bottom="0" w:gutter="0" w:footer="0" w:header="0"/>
          <w:type w:val="continuous"/>
        </w:sectPr>
      </w:pPr>
    </w:p>
    <w:bookmarkStart w:id="1" w:name="page2"/>
    <w:bookmarkEnd w:id="1"/>
    <w:p>
      <w:pPr>
        <w:ind w:left="920" w:hanging="439"/>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483235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439"/>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405765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779"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0520"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05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21557 Telegraph Road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Southfield, Michigan 48033</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behalf of the Board of Directors of Lear Corporation, you are cordially invited to attend the 2015 Annual Meeting of Stockholders (the “Annual Meeting”) to be held on May 14, 2015, at 9:00 a.m. (Eastern Time) at Lear Corporation’s Corporate Headquarters, 21557 Telegraph Road, Southfield, Michigan 48033.</w:t>
      </w:r>
    </w:p>
    <w:p>
      <w:pPr>
        <w:spacing w:after="0" w:line="5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included in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w:t>
      </w:r>
    </w:p>
    <w:p>
      <w:pPr>
        <w:spacing w:after="0" w:line="5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March 30, 2015, we will mail to our stockholders a notice containing instructions on how to access our proxy materials. In addition, the notice includes instructions on how you can receive a paper copy of our proxy materials.</w:t>
      </w:r>
    </w:p>
    <w:p>
      <w:pPr>
        <w:spacing w:after="0" w:line="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and to transact any other business properly brought before the meeting.</w:t>
      </w:r>
    </w:p>
    <w:p>
      <w:pPr>
        <w:spacing w:after="0" w:line="5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Whether or not you plan to attend the Annual Meeting, your vote is important, and we encourage you to vote promptly. You may vote your shares through one of the methods described in the enclosed proxy statement. </w:t>
      </w:r>
      <w:r>
        <w:rPr>
          <w:rFonts w:ascii="Arial" w:cs="Arial" w:eastAsia="Arial" w:hAnsi="Arial"/>
          <w:sz w:val="16"/>
          <w:szCs w:val="16"/>
          <w:b w:val="1"/>
          <w:bCs w:val="1"/>
          <w:color w:val="auto"/>
        </w:rPr>
        <w:t>We strongly urge you to read the accompanying proxy statement carefully and to vote FOR</w:t>
      </w:r>
      <w:r>
        <w:rPr>
          <w:rFonts w:ascii="Arial" w:cs="Arial" w:eastAsia="Arial" w:hAnsi="Arial"/>
          <w:sz w:val="16"/>
          <w:szCs w:val="16"/>
          <w:color w:val="auto"/>
        </w:rPr>
        <w:t xml:space="preserve"> </w:t>
      </w:r>
      <w:r>
        <w:rPr>
          <w:rFonts w:ascii="Arial" w:cs="Arial" w:eastAsia="Arial" w:hAnsi="Arial"/>
          <w:sz w:val="16"/>
          <w:szCs w:val="16"/>
          <w:b w:val="1"/>
          <w:bCs w:val="1"/>
          <w:color w:val="auto"/>
        </w:rPr>
        <w:t>the nominees proposed by the Board of Directors and in accordance with the recommendations of the Board of Directors on the other proposals by following the voting instructions contained in the proxy statement.</w:t>
      </w: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97155</wp:posOffset>
            </wp:positionV>
            <wp:extent cx="119189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895" cy="43751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114300</wp:posOffset>
            </wp:positionV>
            <wp:extent cx="143192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1925" cy="4203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Henry D.G. Wallace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Matthew J. Simoncini</w:t>
      </w:r>
    </w:p>
    <w:p>
      <w:pPr>
        <w:spacing w:after="0" w:line="140" w:lineRule="exact"/>
        <w:rPr>
          <w:sz w:val="20"/>
          <w:szCs w:val="20"/>
          <w:color w:val="auto"/>
        </w:rPr>
      </w:pPr>
    </w:p>
    <w:p>
      <w:pPr>
        <w:sectPr>
          <w:pgSz w:w="11900" w:h="16838" w:orient="portrait"/>
          <w:cols w:equalWidth="0" w:num="2">
            <w:col w:w="5180" w:space="720"/>
            <w:col w:w="5520"/>
          </w:cols>
          <w:pgMar w:left="240" w:top="459" w:right="239" w:bottom="1440" w:gutter="0" w:footer="0" w:header="0"/>
          <w:type w:val="continuous"/>
        </w:sectPr>
      </w:pPr>
    </w:p>
    <w:p>
      <w:pPr>
        <w:ind w:left="122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President,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Director</w:t>
      </w:r>
    </w:p>
    <w:p>
      <w:pPr>
        <w:spacing w:after="0" w:line="165" w:lineRule="exact"/>
        <w:rPr>
          <w:sz w:val="20"/>
          <w:szCs w:val="20"/>
          <w:color w:val="auto"/>
        </w:rPr>
      </w:pPr>
    </w:p>
    <w:p>
      <w:pPr>
        <w:sectPr>
          <w:pgSz w:w="11900" w:h="16838" w:orient="portrait"/>
          <w:cols w:equalWidth="0" w:num="2">
            <w:col w:w="5180" w:space="720"/>
            <w:col w:w="55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This proxy statement is dated March 27, 2015 and is first being made available to stockholders via the Internet on or about March 30, 2015.</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LEAR CORPORATION</w:t>
      </w:r>
    </w:p>
    <w:p>
      <w:pPr>
        <w:spacing w:after="0" w:line="152"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May 14, 2015</w:t>
      </w:r>
    </w:p>
    <w:p>
      <w:pPr>
        <w:jc w:val="center"/>
        <w:ind w:right="-99"/>
        <w:spacing w:after="0"/>
        <w:rPr>
          <w:sz w:val="20"/>
          <w:szCs w:val="20"/>
          <w:color w:val="auto"/>
        </w:rPr>
      </w:pPr>
      <w:r>
        <w:rPr>
          <w:rFonts w:ascii="Arial" w:cs="Arial" w:eastAsia="Arial" w:hAnsi="Arial"/>
          <w:sz w:val="22"/>
          <w:szCs w:val="22"/>
          <w:b w:val="1"/>
          <w:bCs w:val="1"/>
          <w:color w:val="auto"/>
        </w:rPr>
        <w:t>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55880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Lear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2015 Annual Meeting of Stockholders will be held on May 14, 2015, at 9:00 a.m. (Eastern Time) at Lear Corporation’s corporate headquarters, 21557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Telegraph Road, Southfield, Michigan 48033. The purpose of the meeting is to:</w:t>
      </w:r>
    </w:p>
    <w:p>
      <w:pPr>
        <w:spacing w:after="0" w:line="84"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nine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retention of Ernst &amp; Young LLP as our independent registered public accounting firm for 2015;</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Annual Meeting or any adjournments or postponements thereof.</w:t>
      </w:r>
    </w:p>
    <w:p>
      <w:pPr>
        <w:spacing w:after="0" w:line="171"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Voting is limited to stockholders of record at the close of business on March 19, 2015. A list of stockholders entitled to vote at the meeting, and any postponements or adjournments of the meeting, will be available for examination between the hours of 9:00 a.m. and 5:00 p.m. (Eastern Time) at our headquarters at 21557 Telegraph Road, Southfield, Michigan 48033 during the ten days prior to the Annual Meeting and also at the Annual Meeting.</w:t>
      </w:r>
    </w:p>
    <w:p>
      <w:pPr>
        <w:spacing w:after="0" w:line="10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ANNUAL MEETING, PLEASE VOTE YOUR SHARES OVER THE TELEPHONE, VIA THE INTERNET OR BY COMPLETING, DATING, SIGNING AND RETURNING A PROXY CARD, AS DESCRIBED IN THE ENCLOSED PROXY STATEMENT. YOUR PROMPT COOPERATION IS GREATLY APPRECIATED.</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122555</wp:posOffset>
            </wp:positionV>
            <wp:extent cx="119189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18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 Business Development, General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Corporate Secretary</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Electronic Availability of Proxy Statement and Annual Report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permitted by rules adopted by the United States Securities and Exchange Commission (the “SEC”), we are making this proxy statement and our annual report available to stockholders electronically via the Internet. On or about March 30, 2015, we will mail to most of our stockholders a notice (the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March 30, 2015.</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Notice also contains instructions on how to request a printed copy of the proxy materials. In addition, you may elect to receive future proxy materials in printed form by mail or electronically by e-mail by following the instructions included in the Notice. If you have previously elected to receive our proxy materials electronically, you will continue to receive these materials via e-mail unless you elect otherwise.</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80" w:type="dxa"/>
            <w:vAlign w:val="bottom"/>
            <w:gridSpan w:val="7"/>
          </w:tcPr>
          <w:p>
            <w:pPr>
              <w:ind w:left="10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180" w:type="dxa"/>
            <w:vAlign w:val="bottom"/>
            <w:gridSpan w:val="5"/>
            <w:vMerge w:val="restart"/>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SUMMARY OF THE ANNUAL MEETING</w:t>
              </w:r>
            </w:hyperlink>
          </w:p>
        </w:tc>
        <w:tc>
          <w:tcPr>
            <w:tcW w:w="7860" w:type="dxa"/>
            <w:vAlign w:val="bottom"/>
            <w:gridSpan w:val="11"/>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0000EE"/>
            </w:tcBorders>
            <w:gridSpan w:val="5"/>
            <w:vMerge w:val="continue"/>
          </w:tcPr>
          <w:p>
            <w:pPr>
              <w:spacing w:after="0"/>
              <w:rPr>
                <w:sz w:val="13"/>
                <w:szCs w:val="13"/>
                <w:color w:val="auto"/>
              </w:rPr>
            </w:pPr>
          </w:p>
        </w:tc>
        <w:tc>
          <w:tcPr>
            <w:tcW w:w="7860" w:type="dxa"/>
            <w:vAlign w:val="bottom"/>
            <w:gridSpan w:val="11"/>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104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ELECTION OF DIRECTORS (PROPOSAL NO. 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DIRECTORS AND 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EXECUTIVE COMPENSATION</w:t>
            </w:r>
          </w:p>
        </w:tc>
        <w:tc>
          <w:tcPr>
            <w:tcW w:w="1360" w:type="dxa"/>
            <w:vAlign w:val="bottom"/>
            <w:tcBorders>
              <w:top w:val="single" w:sz="8" w:color="0000EE"/>
            </w:tcBorders>
            <w:gridSpan w:val="6"/>
          </w:tcPr>
          <w:p>
            <w:pPr>
              <w:spacing w:after="0"/>
              <w:rPr>
                <w:sz w:val="17"/>
                <w:szCs w:val="17"/>
                <w:color w:val="auto"/>
              </w:rPr>
            </w:pPr>
          </w:p>
        </w:tc>
        <w:tc>
          <w:tcPr>
            <w:tcW w:w="72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COMPENSATION COMMITTEE INTERLOCKS AND INSIDER PARTICIPATION</w:t>
              </w:r>
            </w:hyperlink>
          </w:p>
        </w:tc>
        <w:tc>
          <w:tcPr>
            <w:tcW w:w="49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COMPENSATION COMMITTEE REPORT</w:t>
              </w:r>
            </w:hyperlink>
          </w:p>
        </w:tc>
        <w:tc>
          <w:tcPr>
            <w:tcW w:w="78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AUDIT COMMITTEE REPORT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FEES OF INDEPENDENT ACCOUNTANTS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3900" w:type="dxa"/>
            <w:vAlign w:val="bottom"/>
            <w:gridSpan w:val="9"/>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RATIFICATION OF RETENTION OF INDEPENDENT REGISTERED PUBLIC ACCOUNTING FIRM (PROPOSAL NO. 2)</w:t>
              </w:r>
            </w:hyperlink>
          </w:p>
        </w:tc>
        <w:tc>
          <w:tcPr>
            <w:tcW w:w="20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ADVISORY VOTE TO APPROVE EXECUTIVE COMPENSATION SET FORTH IN THIS PROXY STATEMENT (PROPOSAL NO. 3)</w:t>
              </w:r>
            </w:hyperlink>
          </w:p>
        </w:tc>
        <w:tc>
          <w:tcPr>
            <w:tcW w:w="12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STOCKHOLDER PROPOSALS FOR 2016 ANNUAL MEETING OF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OTHER MATTERS</w:t>
              </w:r>
            </w:hyperlink>
          </w:p>
        </w:tc>
        <w:tc>
          <w:tcPr>
            <w:tcW w:w="4980" w:type="dxa"/>
            <w:vAlign w:val="bottom"/>
            <w:tcBorders>
              <w:top w:val="single" w:sz="8" w:color="0000EE"/>
            </w:tcBorders>
            <w:gridSpan w:val="12"/>
          </w:tcPr>
          <w:p>
            <w:pPr>
              <w:spacing w:after="0"/>
              <w:rPr>
                <w:sz w:val="17"/>
                <w:szCs w:val="17"/>
                <w:color w:val="auto"/>
              </w:rPr>
            </w:pPr>
          </w:p>
        </w:tc>
        <w:tc>
          <w:tcPr>
            <w:tcW w:w="46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sz w:val="20"/>
                <w:szCs w:val="20"/>
                <w:color w:val="auto"/>
              </w:rPr>
            </w:pPr>
            <w:r>
              <w:rPr>
                <w:rFonts w:ascii="Arial" w:cs="Arial" w:eastAsia="Arial" w:hAnsi="Arial"/>
                <w:sz w:val="18"/>
                <w:szCs w:val="18"/>
                <w:color w:val="0000EE"/>
              </w:rPr>
              <w:t>APPENDIX A – RECONCILIATION OF NON-GAAP FINANCIAL MEASURE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5"/>
        </w:trPr>
        <w:tc>
          <w:tcPr>
            <w:tcW w:w="144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5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21557 Telegraph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ANNUAL MEETING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proxy statement contains information related to the 2015 Annual Meeting of Stockholders (the “Annual Meeting”) of Lear Corporation (referred to herein as the “Company,” “Lear,” “we,” “us” or “our” as the context requires) to be held at the Company’s corporate headquarters, 21557 Telegraph Road, Southfield, Michigan 48033, on May 14, 2015, at 9:00 a.m. (Eastern Time). This proxy statement is first being distributed to stockholders on or about March 30,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sent you this proxy statement because the Board of Directors (the “Board”) of the Company is soliciting your proxy to vote at the Annual Meeting to be held on May 14, 2015, at 9:00 a.m. (Eastern Time) and at any postponements or adjournments of the Annual Meeting. This proxy statement summarizes information that is intended to assist you in making an informed vote on the proposals described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19, 2015. On the record date, there were 77,185,800 shares of our common stock, par value $0.01 per share, outstanding (excluding 609,321 shares reserved for the satisfaction of certain claims in connection with our emergence from chapter 11 bankruptcy proceedings, which are not entitled to vote at the Annual Meeting). Our common stock is the only class of voting securities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conduct the Annual Meeting?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must have a quorum present in person or by proxy to conduct the Annual Meeting. A quorum is established when a majority of shares entitled to vote is present in person or represented by proxy at the Annual Meeting. Abstentions and broker non-votes (as described below) are counted for purposes of determining whether a quorum is present.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to be voted on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Annual Meeting is to:</w:t>
      </w:r>
    </w:p>
    <w:p>
      <w:pPr>
        <w:spacing w:after="0" w:line="158"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 nine directors;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ratify the retention of Ernst &amp; Young LLP as our independent registered public accounting firm for 2015;</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 and</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Annual Meeting or any adjournments or postponements thereof.</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that you vote:</w:t>
      </w:r>
    </w:p>
    <w:p>
      <w:pPr>
        <w:spacing w:after="0" w:line="206" w:lineRule="exact"/>
        <w:rPr>
          <w:sz w:val="20"/>
          <w:szCs w:val="20"/>
          <w:color w:val="auto"/>
        </w:rPr>
      </w:pPr>
    </w:p>
    <w:p>
      <w:pPr>
        <w:ind w:left="5620" w:right="4760" w:hanging="5166"/>
        <w:spacing w:after="0" w:line="533" w:lineRule="auto"/>
        <w:tabs>
          <w:tab w:leader="none" w:pos="678"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 in this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retention of Ernst &amp; Young LLP as our independent registered public accounting firm for 2015; and</w:t>
      </w:r>
    </w:p>
    <w:p>
      <w:pPr>
        <w:spacing w:after="0" w:line="211"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basis, of our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at the Annual Meeting?</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may vote in person at the Annual Meeting or by proxy. In addition, if you are a stockholder of record of Lear’s shares, there are three ways to vote by proxy:</w:t>
      </w:r>
    </w:p>
    <w:p>
      <w:pPr>
        <w:spacing w:after="0" w:line="51" w:lineRule="exact"/>
        <w:rPr>
          <w:sz w:val="20"/>
          <w:szCs w:val="20"/>
          <w:color w:val="auto"/>
        </w:rPr>
      </w:pPr>
    </w:p>
    <w:p>
      <w:pPr>
        <w:ind w:left="660" w:right="3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Telephone — You can vote by telephone by following the instructions on your proxy card. You will need to use the control number appearing on your Notice or proxy card to vote by telephone;</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Internet — You can vote via the Internet by following the instructions on your proxy card. You will need to use the control number appearing on your Notice or proxy card to vote via the Internet;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Mail — You can vote by completing, dating, signing and returning the proxy card.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beneficial owner of shares held in street name, you may vote as follows:</w:t>
      </w:r>
    </w:p>
    <w:p>
      <w:pPr>
        <w:spacing w:after="0" w:line="90" w:lineRule="exact"/>
        <w:rPr>
          <w:sz w:val="20"/>
          <w:szCs w:val="20"/>
          <w:color w:val="auto"/>
        </w:rPr>
      </w:pPr>
    </w:p>
    <w:p>
      <w:pPr>
        <w:ind w:left="660" w:right="140" w:hanging="206"/>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Telephone — If you request printed copies of the proxy materials by mail, you will receive a voting instruction form and you may vote by proxy by calling the toll free number found on the voting instruction form. The availability of telephone voting may depend on the voting process of the organization that holds your shares.</w:t>
      </w:r>
    </w:p>
    <w:p>
      <w:pPr>
        <w:spacing w:after="0" w:line="59"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Internet — You may vote by proxy via the Internet by visiting www.proxyvote.com and entering the control number found in your Notice. The availability of Internet voting may depend on the voting process of the organization that holds your shares.</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Mail — If you request printed copies of the proxy materials by mail, you will receive a voting instruction form and you may vote by proxy by filling out the voting instruction form and returning it in the envelope provided.</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you are a beneficial owner of shares held in street name and wish to vote in person at the Annual Meeting, you must obtain a “legal proxy” from the organization that holds your shares. A legal proxy is a written document that will authorize you to vote your shares held in street name at the Annual Meeting. Please contact the organization that holds your shares for instructions regarding obtaining a legal proxy. You must bring a copy of the legal proxy to the Annual Meeting and ask for a ballot when you arrive.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Telephone and Internet voting facilities for stockholders of record will be available 24 hours a day. You may vote over the telephone or via the Internet until</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11:59 p.m. on May 13, 2015. Even if you plan to attend the Annual Meeting in person, we recommend that you also submit your proxy or voting instructions as described above so that your vote will be counted if you later decide not to attend the Annual Meeting in person.</w:t>
      </w:r>
    </w:p>
    <w:p>
      <w:pPr>
        <w:spacing w:after="0" w:line="13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and FOR the advisory approval of executive compensation described in this proxy statement.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of Internet Availability of Proxy Materials?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receive more than one Notice, more than one e-mail or multiple proxy cards or voting instruction cards. For example, if you hold your shares in more than one brokerage account, you may receive a separate Notice, a separate e-mail or a separate voting instruction card for each brokerage account in which you hold shares. If you are a stockholder of record and your shares are registered in more than one name, you may receive more than one Notice, more than one e-mail or more than one proxy card. To vote all of your shares by proxy, you must complete, sign, date and return each proxy card and voting instruction card that you receive and vote over the Internet the shares represented by each Notice that you receive (unless you have requested and received a proxy card or voting instruction card for the shares represented by one or more of those Notices).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if you are a stockholder of record, you may submit another later dated proxy by telephone, Internet or mail or by voting your shares in person at the Annual Meeting (your attendance at the Annual Meeting will not, by itself, revoke your proxy; you must vote in person at the Annual Meeting to revoke your proxy). If you are 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directors and approve the other matters described in this proxy statement?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 No. 2) and the advisory approval of our executive compensation (Proposal No. 3), the affirmative vote of the holders of a majority of the shares represented in person or by proxy and entitled to vote on the proposal will be required for approval. Abstentions will not be voted but will be counted for purposes of determining whether there is a quorum. Accordingly, abstentions will have the effect of a negative vote on Proposals No. 2 and 3. Broker non-votes will have no effect on Proposal No. 3. For additional information about broker non-votes see “How do I vote if my bank or broker holds my shares in ‘street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 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if my bank or broker holds my shares in “street name”?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 2 (ratification of auditors)) but will not be permitted to exercise voting discretion with respect to non-routine matters (Proposals No. 1 (director elections) and No. 3 (advisory vote on executive compensation)).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votes be counted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by the inspector of election appointed for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Company announce the voting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report the final results of the voting at the Annual Meeting in a filing with the SEC on a Current Report on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Company’s solicitation of proxies?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 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work?</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for admission to the Annual Meeting?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Attendance at the Annual Meeting or any adjournment or postponement thereof will be limited to record and beneficial stockholders as of the record date (March 19, 2015), individuals holding a valid proxy from a record holder and other persons authorized by the Company. If you are a stockholder of record (or a “recordholder”) your name will be verified against the list of stockholders of record prior to your admittance to the Annual Meeting or any adjournment or postponement thereof. You should be prepared to present photo identification for admission. If you hold your shares in a street name, you will need to provide proof of beneficial ownership on the record date, such as a brokerage account statement showing that you owned stock as of the record date, a copy of a voting instruction form provided by your broker, bank or other nominee, or other similar evidence of ownership as of the record date, as well as your photo identification, for admission. If you do not provide photo identification or comply with the other procedures described above, you will not be admitted to the Annual Meeting or any adjournment or postponement thereof. For security reasons, you and your bags may be subject to search prior to your admittance to the Annual Meeting.</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recommendation of our Nominating and Corporate Governance Committee (the “Nominating Committee”), the Board has nominated the nine individuals listed below to stand for election to the Board for a one-year term ending at the annual meeting of stockholders in 2016 or until their successors, if any, are elected or appointed. Our Amended 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Simoncini, is an independent director, as further described below in “Directors and Corporate Governance — Independence of Directors.”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80" w:type="dxa"/>
            <w:vAlign w:val="bottom"/>
            <w:gridSpan w:val="3"/>
          </w:tcPr>
          <w:p>
            <w:pPr>
              <w:ind w:left="20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H. Bott</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Thomas P. Capo</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Kathleen A. Ligocki</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Simoncini</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Gregory C. Smith</w:t>
            </w:r>
          </w:p>
        </w:tc>
        <w:tc>
          <w:tcPr>
            <w:tcW w:w="6880" w:type="dxa"/>
            <w:vAlign w:val="bottom"/>
            <w:gridSpan w:val="3"/>
          </w:tcPr>
          <w:p>
            <w:pPr>
              <w:ind w:left="20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D.G. Wallace</w:t>
            </w:r>
          </w:p>
        </w:tc>
        <w:tc>
          <w:tcPr>
            <w:tcW w:w="688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Director, Non-Executive Chairman</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Biographical information relating to each of the director nominees is set forth below under “Directors and Corporate Governance” and incorporated by reference herein.</w:t>
      </w:r>
    </w:p>
    <w:p>
      <w:pPr>
        <w:spacing w:after="0" w:line="288" w:lineRule="exact"/>
        <w:rPr>
          <w:sz w:val="20"/>
          <w:szCs w:val="20"/>
          <w:color w:val="auto"/>
        </w:rPr>
      </w:pPr>
    </w:p>
    <w:p>
      <w:pPr>
        <w:jc w:val="center"/>
        <w:ind w:left="280" w:right="80"/>
        <w:spacing w:after="0" w:line="275" w:lineRule="auto"/>
        <w:rPr>
          <w:sz w:val="20"/>
          <w:szCs w:val="20"/>
          <w:color w:val="auto"/>
        </w:rPr>
      </w:pPr>
      <w:r>
        <w:rPr>
          <w:rFonts w:ascii="Arial" w:cs="Arial" w:eastAsia="Arial" w:hAnsi="Arial"/>
          <w:sz w:val="18"/>
          <w:szCs w:val="18"/>
          <w:b w:val="1"/>
          <w:bCs w:val="1"/>
          <w:color w:val="auto"/>
        </w:rPr>
        <w:t>THE BOARD UNANIMOUSLY RECOMMENDS A VOTE “FOR” THE ELECTION OF EACH OF LEAR’S DIRECTOR NOMINEES NAMED IN THIS PROXY STATEMENT.</w:t>
      </w:r>
    </w:p>
    <w:p>
      <w:pPr>
        <w:spacing w:after="0" w:line="39" w:lineRule="exact"/>
        <w:rPr>
          <w:sz w:val="20"/>
          <w:szCs w:val="20"/>
          <w:color w:val="auto"/>
        </w:rPr>
      </w:pPr>
    </w:p>
    <w:p>
      <w:pPr>
        <w:jc w:val="center"/>
        <w:ind w:left="300" w:right="6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ELECTION OF EACH OF LEAR’S DIRECTOR NOMINEES NAMED IN THIS PROXY STATEMENT UNLESS STOCKHOLDERS SPECIFY A CONTRARY VOTE.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740" w:firstLine="3741"/>
        <w:spacing w:after="0" w:line="394" w:lineRule="auto"/>
        <w:rPr>
          <w:sz w:val="20"/>
          <w:szCs w:val="20"/>
          <w:color w:val="auto"/>
        </w:rPr>
      </w:pPr>
      <w:r>
        <w:rPr>
          <w:rFonts w:ascii="Arial" w:cs="Arial" w:eastAsia="Arial" w:hAnsi="Arial"/>
          <w:sz w:val="18"/>
          <w:szCs w:val="18"/>
          <w:b w:val="1"/>
          <w:bCs w:val="1"/>
          <w:color w:val="auto"/>
        </w:rPr>
        <w:t>DIRECTORS AND CORPORATE GOVERNANCE Director Biographical Information and Qualifications</w:t>
      </w:r>
    </w:p>
    <w:p>
      <w:pPr>
        <w:spacing w:after="0" w:line="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Set forth below is a description of the business experience of each director, as well as the specific qualifications, skills and experiences considered by the Nominating Committee and the Board in recommending our slate of director nominees. Each director listed below is nominated for reelection to the Board for a term expiring at the annual meeting of stockholders in 2016. See “Election of Directors (Proposal No. 1).”</w:t>
      </w:r>
    </w:p>
    <w:p>
      <w:pPr>
        <w:spacing w:after="0" w:line="147" w:lineRule="exact"/>
        <w:rPr>
          <w:sz w:val="20"/>
          <w:szCs w:val="20"/>
          <w:color w:val="auto"/>
        </w:rPr>
      </w:pPr>
    </w:p>
    <w:p>
      <w:pPr>
        <w:spacing w:after="0"/>
        <w:tabs>
          <w:tab w:leader="none" w:pos="3740" w:val="left"/>
          <w:tab w:leader="none" w:pos="5600" w:val="left"/>
        </w:tabs>
        <w:rPr>
          <w:sz w:val="20"/>
          <w:szCs w:val="20"/>
          <w:color w:val="auto"/>
        </w:rPr>
      </w:pPr>
      <w:r>
        <w:rPr>
          <w:rFonts w:ascii="Arial" w:cs="Arial" w:eastAsia="Arial" w:hAnsi="Arial"/>
          <w:sz w:val="18"/>
          <w:szCs w:val="18"/>
          <w:i w:val="1"/>
          <w:iCs w:val="1"/>
          <w:color w:val="auto"/>
        </w:rPr>
        <w:t>Richard H. Bott</w:t>
      </w:r>
      <w:r>
        <w:rPr>
          <w:sz w:val="20"/>
          <w:szCs w:val="20"/>
          <w:color w:val="auto"/>
        </w:rPr>
        <w:tab/>
      </w:r>
      <w:r>
        <w:rPr>
          <w:rFonts w:ascii="Arial" w:cs="Arial" w:eastAsia="Arial" w:hAnsi="Arial"/>
          <w:sz w:val="18"/>
          <w:szCs w:val="18"/>
          <w:color w:val="auto"/>
        </w:rPr>
        <w:t>Age: 68</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5720"/>
        <w:spacing w:after="0"/>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Audit</w:t>
      </w:r>
    </w:p>
    <w:p>
      <w:pPr>
        <w:spacing w:after="0" w:line="219"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6" w:lineRule="auto"/>
        <w:rPr>
          <w:sz w:val="20"/>
          <w:szCs w:val="20"/>
          <w:color w:val="auto"/>
        </w:rPr>
      </w:pPr>
      <w:r>
        <w:rPr>
          <w:rFonts w:ascii="Arial" w:cs="Arial" w:eastAsia="Arial" w:hAnsi="Arial"/>
          <w:sz w:val="16"/>
          <w:szCs w:val="16"/>
          <w:color w:val="auto"/>
        </w:rPr>
        <w:t>Mr. Bott has been a director of the Company since September 2013. Mr. Bott worked in investment banking for more than 35 years at Morgan Stanley &amp; Co. and Credit Suisse First Boston (now Credit Suisse), where he provided financial structuring and strategic advice to numerous large American and international corporations, with a focus on industrial, automotive and transportation companies. Mr. Bott served as Vice Chairman, Institutional Securities Group of Morgan Stanley &amp; Co. Incorporated from 2003 until his retirement at the end of 2007. Prior to holding this position, Mr. Bott served as Vice Chairman, Investment Banking, of Credit Suisse First Boston Corporation from 1998 to 2003; Managing Director, The First Boston Corporation and its successor companies, CS First Boston Corporation and Credit Suisse First Boston Corporation, from 1982 to 1998; and Vice President, Assistant Vice President &amp; Associate, The First Boston Corporation from 1972 to 1982. Mr. Bott is also a director of Genesee &amp; Wyoming Inc. Mr. Bott has a bachelor’s degree in Economics from Princeton University and an MBA from Columbia Business School.</w:t>
      </w:r>
    </w:p>
    <w:p>
      <w:pPr>
        <w:spacing w:after="0" w:line="1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experience in global finance, investment banking and capital markets</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experience in structuring and executing financing transactions, and mergers and acquisitions</w:t>
      </w:r>
    </w:p>
    <w:p>
      <w:pPr>
        <w:spacing w:after="0" w:line="113" w:lineRule="exact"/>
        <w:rPr>
          <w:rFonts w:ascii="Arial" w:cs="Arial" w:eastAsia="Arial" w:hAnsi="Arial"/>
          <w:sz w:val="16"/>
          <w:szCs w:val="16"/>
          <w:color w:val="auto"/>
        </w:rPr>
      </w:pPr>
    </w:p>
    <w:p>
      <w:pPr>
        <w:ind w:left="3860" w:hanging="98"/>
        <w:spacing w:after="0"/>
        <w:tabs>
          <w:tab w:leader="none" w:pos="3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Thomas P. Capo</w:t>
      </w:r>
      <w:r>
        <w:rPr>
          <w:sz w:val="20"/>
          <w:szCs w:val="20"/>
          <w:color w:val="auto"/>
        </w:rPr>
        <w:tab/>
      </w:r>
      <w:r>
        <w:rPr>
          <w:rFonts w:ascii="Arial" w:cs="Arial" w:eastAsia="Arial" w:hAnsi="Arial"/>
          <w:sz w:val="18"/>
          <w:szCs w:val="18"/>
          <w:color w:val="auto"/>
        </w:rPr>
        <w:t>Age: 64</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Audit</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Compensation (Chair)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7" w:lineRule="auto"/>
        <w:rPr>
          <w:sz w:val="20"/>
          <w:szCs w:val="20"/>
          <w:color w:val="auto"/>
        </w:rPr>
      </w:pPr>
      <w:r>
        <w:rPr>
          <w:rFonts w:ascii="Arial" w:cs="Arial" w:eastAsia="Arial" w:hAnsi="Arial"/>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a director of Cooper Tire &amp; Rubber Company.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Detroit-Mercy.</w:t>
      </w:r>
    </w:p>
    <w:p>
      <w:pPr>
        <w:spacing w:after="0" w:line="15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extensive knowledge of the automotive industry</w:t>
      </w:r>
    </w:p>
    <w:p>
      <w:pPr>
        <w:spacing w:after="0" w:line="113" w:lineRule="exact"/>
        <w:rPr>
          <w:rFonts w:ascii="Arial" w:cs="Arial" w:eastAsia="Arial" w:hAnsi="Arial"/>
          <w:sz w:val="16"/>
          <w:szCs w:val="16"/>
          <w:color w:val="auto"/>
        </w:rPr>
      </w:pPr>
    </w:p>
    <w:p>
      <w:pPr>
        <w:ind w:left="3860" w:hanging="98"/>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at board chairman level</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experience in global finance, treasury, investment management and capital markets</w:t>
      </w:r>
    </w:p>
    <w:p>
      <w:pPr>
        <w:spacing w:after="0" w:line="113" w:lineRule="exact"/>
        <w:rPr>
          <w:rFonts w:ascii="Arial" w:cs="Arial" w:eastAsia="Arial" w:hAnsi="Arial"/>
          <w:sz w:val="16"/>
          <w:szCs w:val="16"/>
          <w:color w:val="auto"/>
        </w:rPr>
      </w:pPr>
    </w:p>
    <w:p>
      <w:pPr>
        <w:ind w:left="3980" w:right="780" w:hanging="218"/>
        <w:spacing w:after="0" w:line="268" w:lineRule="auto"/>
        <w:tabs>
          <w:tab w:leader="none" w:pos="38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Core leadership and management experience in mergers, acquisitions and divestitures, strategy development and capital restructuring</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reporting, compliance and internal controls</w:t>
      </w:r>
    </w:p>
    <w:p>
      <w:pPr>
        <w:spacing w:after="0" w:line="113" w:lineRule="exact"/>
        <w:rPr>
          <w:rFonts w:ascii="Arial" w:cs="Arial" w:eastAsia="Arial" w:hAnsi="Arial"/>
          <w:sz w:val="16"/>
          <w:szCs w:val="16"/>
          <w:color w:val="auto"/>
        </w:rPr>
      </w:pPr>
    </w:p>
    <w:p>
      <w:pPr>
        <w:ind w:left="3860" w:hanging="98"/>
        <w:spacing w:after="0"/>
        <w:tabs>
          <w:tab w:leader="none" w:pos="3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Jonathan F. Foster</w:t>
      </w:r>
      <w:r>
        <w:rPr>
          <w:sz w:val="20"/>
          <w:szCs w:val="20"/>
          <w:color w:val="auto"/>
        </w:rPr>
        <w:tab/>
      </w:r>
      <w:r>
        <w:rPr>
          <w:rFonts w:ascii="Arial" w:cs="Arial" w:eastAsia="Arial" w:hAnsi="Arial"/>
          <w:sz w:val="18"/>
          <w:szCs w:val="18"/>
          <w:color w:val="auto"/>
        </w:rPr>
        <w:t>Age: 54</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Audit</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Nominating and Corporate Governance (Chair)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right="20"/>
        <w:spacing w:after="0" w:line="285"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LLC, a private equity investing and management services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also a director of TI Automotive Ltd., Masonite International Corporation, Berry Plastics Group, Inc. and Chemtura Corporation as well as a Trustee of the New York Power Authority. Mr. Foster was previously a member of the board of directors of Smurfit-Stone Container Corporation. Mr. Foster has a bachelor’s degree in Accounting from Emory University, a master’s degree in Accounting &amp; Finance from the London School of Economics and has attended the Executive Education Program at Harvard Business School.</w:t>
      </w:r>
    </w:p>
    <w:p>
      <w:pPr>
        <w:spacing w:after="0" w:line="174"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20" w:hanging="158"/>
        <w:spacing w:after="0"/>
        <w:tabs>
          <w:tab w:leader="none" w:pos="3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13" w:lineRule="exact"/>
        <w:rPr>
          <w:rFonts w:ascii="Arial" w:cs="Arial" w:eastAsia="Arial" w:hAnsi="Arial"/>
          <w:sz w:val="16"/>
          <w:szCs w:val="16"/>
          <w:color w:val="auto"/>
        </w:rPr>
      </w:pPr>
    </w:p>
    <w:p>
      <w:pPr>
        <w:ind w:left="3980" w:hanging="218"/>
        <w:spacing w:after="0" w:line="268" w:lineRule="auto"/>
        <w:tabs>
          <w:tab w:leader="none" w:pos="39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in financial statement preparation and accounting, financial reporting, compliance and internal controls</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 experience as a chief financial officer</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13" w:lineRule="exact"/>
        <w:rPr>
          <w:rFonts w:ascii="Arial" w:cs="Arial" w:eastAsia="Arial" w:hAnsi="Arial"/>
          <w:sz w:val="16"/>
          <w:szCs w:val="16"/>
          <w:color w:val="auto"/>
        </w:rPr>
      </w:pPr>
    </w:p>
    <w:p>
      <w:pPr>
        <w:ind w:left="3980" w:right="620" w:hanging="218"/>
        <w:spacing w:after="0" w:line="268" w:lineRule="auto"/>
        <w:tabs>
          <w:tab w:leader="none" w:pos="39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experience as an investment banker, private equity investor and director with industrial companies, including those in the automotive sector</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Kathleen A. Ligocki</w:t>
      </w:r>
      <w:r>
        <w:rPr>
          <w:sz w:val="20"/>
          <w:szCs w:val="20"/>
          <w:color w:val="auto"/>
        </w:rPr>
        <w:tab/>
      </w:r>
      <w:r>
        <w:rPr>
          <w:rFonts w:ascii="Arial" w:cs="Arial" w:eastAsia="Arial" w:hAnsi="Arial"/>
          <w:sz w:val="18"/>
          <w:szCs w:val="18"/>
          <w:color w:val="auto"/>
        </w:rPr>
        <w:t>Age: 58</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Compensation</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right="20"/>
        <w:spacing w:after="0" w:line="283" w:lineRule="auto"/>
        <w:rPr>
          <w:sz w:val="20"/>
          <w:szCs w:val="20"/>
          <w:color w:val="auto"/>
        </w:rPr>
      </w:pPr>
      <w:r>
        <w:rPr>
          <w:rFonts w:ascii="Arial" w:cs="Arial" w:eastAsia="Arial" w:hAnsi="Arial"/>
          <w:sz w:val="16"/>
          <w:szCs w:val="16"/>
          <w:color w:val="auto"/>
        </w:rPr>
        <w:t>Ms. Ligocki has been a director of the Company since September 2012. Ms. Ligocki is the Chief Executive Officer of Harvest Power, Inc., one of the leading organics management companies in North America with a mission to create a more sustainable future by re-using organic waste. Ms. Ligocki has served as an Operating Partner at Kleiner Perkins Caufield &amp; Byers, one of Silicon Valley’s top venture capital providers. Ms. Ligocki worked with the firm’s greentech ventures on strategic challenges, scaling operations and commercialization from 2012 to 2014. Ms. Ligocki also has served as the Chief Executive Officer of two early stage companies: Next Autoworks, an auto company with a unique low-cost business model, from</w:t>
      </w:r>
    </w:p>
    <w:p>
      <w:pPr>
        <w:ind w:left="3760"/>
        <w:spacing w:after="0" w:line="285" w:lineRule="auto"/>
        <w:rPr>
          <w:sz w:val="20"/>
          <w:szCs w:val="20"/>
          <w:color w:val="auto"/>
        </w:rPr>
      </w:pPr>
      <w:r>
        <w:rPr>
          <w:rFonts w:ascii="Arial" w:cs="Arial" w:eastAsia="Arial" w:hAnsi="Arial"/>
          <w:sz w:val="16"/>
          <w:szCs w:val="16"/>
          <w:color w:val="auto"/>
        </w:rPr>
        <w:t>2010 to 2012, and GS Motors, a Mexico City-based auto retailer owned by Grupo Salinas, a large Mexican conglomerate, from 2008 to 2009. From 2008 to 2010, Ms. Ligocki also served as a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formerly served as a director of Ultura, Inc.,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20" w:hanging="158"/>
        <w:spacing w:after="0"/>
        <w:tabs>
          <w:tab w:leader="none" w:pos="3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in the automotive industry</w:t>
      </w:r>
    </w:p>
    <w:p>
      <w:pPr>
        <w:spacing w:after="0" w:line="90" w:lineRule="exact"/>
        <w:rPr>
          <w:rFonts w:ascii="Arial" w:cs="Arial" w:eastAsia="Arial" w:hAnsi="Arial"/>
          <w:sz w:val="18"/>
          <w:szCs w:val="18"/>
          <w:color w:val="auto"/>
        </w:rPr>
      </w:pPr>
    </w:p>
    <w:p>
      <w:pPr>
        <w:ind w:left="3980" w:right="20" w:hanging="218"/>
        <w:spacing w:after="0" w:line="268" w:lineRule="auto"/>
        <w:tabs>
          <w:tab w:leader="none" w:pos="39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Extensive experience in financial analysis, financial statement preparation, financial reporting, compliance and internal controls</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management experience in international automotive operations</w:t>
      </w:r>
    </w:p>
    <w:p>
      <w:pPr>
        <w:spacing w:after="0" w:line="90" w:lineRule="exact"/>
        <w:rPr>
          <w:rFonts w:ascii="Arial" w:cs="Arial" w:eastAsia="Arial" w:hAnsi="Arial"/>
          <w:sz w:val="18"/>
          <w:szCs w:val="18"/>
          <w:color w:val="auto"/>
        </w:rPr>
      </w:pPr>
    </w:p>
    <w:p>
      <w:pPr>
        <w:ind w:left="3980" w:right="360" w:hanging="218"/>
        <w:spacing w:after="0" w:line="268" w:lineRule="auto"/>
        <w:tabs>
          <w:tab w:leader="none" w:pos="39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Understanding of a wide range of issues through experience with businesses ranging from start-ups to large, global manufacturing operations</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8"/>
          <w:szCs w:val="18"/>
          <w:color w:val="auto"/>
        </w:rPr>
        <w:t>Age: 61</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Compensation</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6" w:lineRule="auto"/>
        <w:rPr>
          <w:sz w:val="20"/>
          <w:szCs w:val="20"/>
          <w:color w:val="auto"/>
        </w:rPr>
      </w:pPr>
      <w:r>
        <w:rPr>
          <w:rFonts w:ascii="Arial" w:cs="Arial" w:eastAsia="Arial" w:hAnsi="Arial"/>
          <w:sz w:val="16"/>
          <w:szCs w:val="16"/>
          <w:color w:val="auto"/>
        </w:rPr>
        <w:t>Justice Mallett has been a director of the Company since August 2002. Justice Mallett was reappointed Chief Administrative Officer of Detroit Medical Center in January 2012, after serving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is a director of Kelly Services, Inc. Justice Mallett has a bachelor’s degree from the University of California, Los Angeles, a JD and a master of public administration degree from the University of Southern California and an MBA from Oakland University.</w:t>
      </w:r>
    </w:p>
    <w:p>
      <w:pPr>
        <w:spacing w:after="0" w:line="169"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management and leadership experience</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Leadership experience gained as Chief Justice of the Michigan Supreme Court</w:t>
      </w:r>
    </w:p>
    <w:p>
      <w:pPr>
        <w:spacing w:after="0" w:line="9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980" w:right="220" w:hanging="218"/>
        <w:spacing w:after="0" w:line="268" w:lineRule="auto"/>
        <w:tabs>
          <w:tab w:leader="none" w:pos="39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Extensive legal and governmental experience, including significant involvement in state, municipal and community governmental activities</w:t>
      </w:r>
    </w:p>
    <w:p>
      <w:pPr>
        <w:spacing w:after="0" w:line="50" w:lineRule="exact"/>
        <w:rPr>
          <w:rFonts w:ascii="Arial" w:cs="Arial" w:eastAsia="Arial" w:hAnsi="Arial"/>
          <w:sz w:val="18"/>
          <w:szCs w:val="18"/>
          <w:color w:val="auto"/>
        </w:rPr>
      </w:pPr>
    </w:p>
    <w:p>
      <w:pPr>
        <w:ind w:left="3920" w:hanging="158"/>
        <w:spacing w:after="0"/>
        <w:tabs>
          <w:tab w:leader="none" w:pos="3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Donald L. Runkle</w:t>
      </w:r>
      <w:r>
        <w:rPr>
          <w:sz w:val="20"/>
          <w:szCs w:val="20"/>
          <w:color w:val="auto"/>
        </w:rPr>
        <w:tab/>
      </w:r>
      <w:r>
        <w:rPr>
          <w:rFonts w:ascii="Arial" w:cs="Arial" w:eastAsia="Arial" w:hAnsi="Arial"/>
          <w:sz w:val="18"/>
          <w:szCs w:val="18"/>
          <w:color w:val="auto"/>
        </w:rPr>
        <w:t>Age: 69</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Compensation</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4" w:lineRule="auto"/>
        <w:rPr>
          <w:sz w:val="20"/>
          <w:szCs w:val="20"/>
          <w:color w:val="auto"/>
        </w:rPr>
      </w:pPr>
      <w:r>
        <w:rPr>
          <w:rFonts w:ascii="Arial" w:cs="Arial" w:eastAsia="Arial" w:hAnsi="Arial"/>
          <w:sz w:val="16"/>
          <w:szCs w:val="16"/>
          <w:color w:val="auto"/>
        </w:rPr>
        <w:t>Mr. Runkle has been a director of the Company since November 2009. Mr. Runkle currently serves as a Director of VIA Motors, WinCup Corporation and the Lean Enterprise Institute. He also serves as an Operating Executive Advisor at Tennenbaum Capital Partners, a position he has held since 2005, and technical advisor to General Fusion and TULA Technology. Mr. Runkle also serves on the Engineering Advisory Council of the University of Michigan. Recently, Mr. Runkle was Executive Chairman of EcoMotors International and formerly served as its Chief Executive Officer. He was also formerly Chairman of Autocam and Eagle-Picher Corporations, and formerly a director of Envirotest and Transonic Combustion. From 1999 until 2005, Mr. Runkle held various executive-level positions at Delphi Corporation, including Director, Vice Chairman and Chief Technology Officer (2003 until 2005), Executive Vice President and President, Delphi Dynamics and Propulsion Sector (2000 until 2003) and President, Delphi Energy and Engine Management Systems (1999 to 2000). Prior to Delphi, Mr. Runkle was employed by General Motors Corporation for over 30 years in various executive-level positions, including Vice President &amp; General Manager of Energy &amp; Engine Management Systems (1996 until 1999), Vice President &amp; General Manager of Saginaw Steering Systems (1993 until 1996), Vice President of North American Engineering Operations (1992 to 1993), Vice President of Advanced Engineering (1988 to 1992), as well as Chief Engineer of Chevrolet and Assistant Chief Engineer of Buick. Mr. Runkle has a bachelor’s and master’s degree in Mechanical Engineering from the University of Michigan and a Master of Science in Management Studies degree, as a Sloan Fellow, from the Massachusetts Institute of Technology.</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980" w:right="200" w:hanging="218"/>
        <w:spacing w:after="0" w:line="268" w:lineRule="auto"/>
        <w:tabs>
          <w:tab w:leader="none" w:pos="38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and consulting experience in technology, including in the automotive industry and as chief technology officer</w:t>
      </w:r>
    </w:p>
    <w:p>
      <w:pPr>
        <w:spacing w:after="0" w:line="50" w:lineRule="exact"/>
        <w:rPr>
          <w:rFonts w:ascii="Arial" w:cs="Arial" w:eastAsia="Arial" w:hAnsi="Arial"/>
          <w:sz w:val="18"/>
          <w:szCs w:val="18"/>
          <w:color w:val="auto"/>
        </w:rPr>
      </w:pPr>
    </w:p>
    <w:p>
      <w:pPr>
        <w:ind w:left="3980" w:right="220" w:hanging="218"/>
        <w:spacing w:after="0" w:line="268" w:lineRule="auto"/>
        <w:tabs>
          <w:tab w:leader="none" w:pos="38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Directorship and management experience, including in the automotive industry, at board chairman level and with a public company</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Matthew J. Simoncini</w:t>
      </w:r>
      <w:r>
        <w:rPr>
          <w:sz w:val="20"/>
          <w:szCs w:val="20"/>
          <w:color w:val="auto"/>
        </w:rPr>
        <w:tab/>
      </w:r>
      <w:r>
        <w:rPr>
          <w:rFonts w:ascii="Arial" w:cs="Arial" w:eastAsia="Arial" w:hAnsi="Arial"/>
          <w:sz w:val="18"/>
          <w:szCs w:val="18"/>
          <w:color w:val="auto"/>
        </w:rPr>
        <w:t>Age: 54</w:t>
      </w:r>
      <w:r>
        <w:rPr>
          <w:sz w:val="20"/>
          <w:szCs w:val="20"/>
          <w:color w:val="auto"/>
        </w:rPr>
        <w:tab/>
      </w:r>
      <w:r>
        <w:rPr>
          <w:rFonts w:ascii="Arial" w:cs="Arial" w:eastAsia="Arial" w:hAnsi="Arial"/>
          <w:sz w:val="16"/>
          <w:szCs w:val="16"/>
          <w:color w:val="auto"/>
        </w:rPr>
        <w:t>President and Chief Executive Officer</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4" w:lineRule="auto"/>
        <w:rPr>
          <w:sz w:val="20"/>
          <w:szCs w:val="20"/>
          <w:color w:val="auto"/>
        </w:rPr>
      </w:pPr>
      <w:r>
        <w:rPr>
          <w:rFonts w:ascii="Arial" w:cs="Arial" w:eastAsia="Arial" w:hAnsi="Arial"/>
          <w:sz w:val="16"/>
          <w:szCs w:val="16"/>
          <w:color w:val="auto"/>
        </w:rPr>
        <w:t>Mr. Simoncini is President, Chief Executive Officer and a director of the Company since September 2011. In this role, Mr. Simoncini is responsible for the strategic direction and operational leadership of the Company. Formerly, Mr. Simoncini was Senior Vice President and Chief Financial Officer of the Company, a role he had held since September 2007. As Senior Vice President and Chief Financial Officer, he was responsible for the Company’s global Finance operations, including external Financial Reporting, Corporate Business Planning &amp; Analysis, Corporate Strategy and Business Development as well as Information Technology activities worldwide. In August 2006, Mr. Simoncini was named Senior Vice President of Finance and Chief Accounting Officer where he was responsible for the Company’s worldwide operational finance, accounting and financial reporting. Prior to that, he was vice president of Operational Finance, a position he had held since June 2004. Mr. Simoncini also served as the Company’s Vice President of Finance — Europe as well as held the Vice President of Finance position for the Company’s Electrical &amp; Electronics business and DaimlerChrysler division. Mr. Simoncini joined United Technologies Automotive (“UTA”) in April 1996 as director of Finance for the Motors Division with responsibility for the financial activities of the business unit. At the time of the Company’s acquisition of UTA in May 1999, Mr. Simoncini was director of Global Financial Planning &amp; Analysis. Previous to UTA, Mr. Simoncini held financial and manufacturing positions with Varity Kelsey Hayes and Horizon Enterprises including Chief Financial Officer of Kelsey Hayes’ European Operations. Mr. Simoncini began his career at Touche Ross and is a certified public accountant. In addition to his responsibilities at the Company, Mr. Simoncini is a member of the board of directors for the Wayne State University Foundation, Wayne State University SBA Board of Visitors, the United Way for Southeastern Michigan Board and Campaign Cabinet Committee, Detroit Economic Club, Business Leaders of Michigan and the Michigan Opera Theatre. Mr. Simoncini earned a bachelor’s degree from Wayne State University.</w:t>
      </w:r>
    </w:p>
    <w:p>
      <w:pPr>
        <w:spacing w:after="0" w:line="161"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980" w:right="700" w:hanging="218"/>
        <w:spacing w:after="0" w:line="332" w:lineRule="auto"/>
        <w:tabs>
          <w:tab w:leader="none" w:pos="38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the Company, current President and Chief Executive Officer, former Senior Vice President and Chief Financial Officer</w:t>
      </w:r>
    </w:p>
    <w:p>
      <w:pPr>
        <w:spacing w:after="0" w:line="4" w:lineRule="exact"/>
        <w:rPr>
          <w:rFonts w:ascii="Arial" w:cs="Arial" w:eastAsia="Arial" w:hAnsi="Arial"/>
          <w:sz w:val="16"/>
          <w:szCs w:val="16"/>
          <w:color w:val="auto"/>
        </w:rPr>
      </w:pPr>
    </w:p>
    <w:p>
      <w:pPr>
        <w:ind w:left="3860" w:hanging="98"/>
        <w:spacing w:after="0"/>
        <w:tabs>
          <w:tab w:leader="none" w:pos="3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Record of leadership, achievement and execution of the Company’s business and global strategy</w:t>
      </w:r>
    </w:p>
    <w:p>
      <w:pPr>
        <w:spacing w:after="0" w:line="113" w:lineRule="exact"/>
        <w:rPr>
          <w:rFonts w:ascii="Arial" w:cs="Arial" w:eastAsia="Arial" w:hAnsi="Arial"/>
          <w:sz w:val="16"/>
          <w:szCs w:val="16"/>
          <w:color w:val="auto"/>
        </w:rPr>
      </w:pPr>
    </w:p>
    <w:p>
      <w:pPr>
        <w:ind w:left="3980" w:right="540" w:hanging="218"/>
        <w:spacing w:after="0" w:line="268" w:lineRule="auto"/>
        <w:tabs>
          <w:tab w:leader="none" w:pos="38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Extensive understanding of finance, treasury, financial reporting, investment analysis, management, compliance and internal controls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740" w:val="left"/>
          <w:tab w:leader="none" w:pos="6040" w:val="left"/>
        </w:tabs>
        <w:rPr>
          <w:sz w:val="20"/>
          <w:szCs w:val="20"/>
          <w:color w:val="auto"/>
        </w:rPr>
      </w:pPr>
      <w:r>
        <w:rPr>
          <w:rFonts w:ascii="Arial" w:cs="Arial" w:eastAsia="Arial" w:hAnsi="Arial"/>
          <w:sz w:val="18"/>
          <w:szCs w:val="18"/>
          <w:i w:val="1"/>
          <w:iCs w:val="1"/>
          <w:color w:val="auto"/>
        </w:rPr>
        <w:t>Gregory C. Smith</w:t>
      </w:r>
      <w:r>
        <w:rPr>
          <w:sz w:val="20"/>
          <w:szCs w:val="20"/>
          <w:color w:val="auto"/>
        </w:rPr>
        <w:tab/>
      </w:r>
      <w:r>
        <w:rPr>
          <w:rFonts w:ascii="Arial" w:cs="Arial" w:eastAsia="Arial" w:hAnsi="Arial"/>
          <w:sz w:val="18"/>
          <w:szCs w:val="18"/>
          <w:color w:val="auto"/>
        </w:rPr>
        <w:t>Age: 63</w:t>
      </w:r>
      <w:r>
        <w:rPr>
          <w:sz w:val="20"/>
          <w:szCs w:val="20"/>
          <w:color w:val="auto"/>
        </w:rPr>
        <w:tab/>
      </w:r>
      <w:r>
        <w:rPr>
          <w:rFonts w:ascii="Arial" w:cs="Arial" w:eastAsia="Arial" w:hAnsi="Arial"/>
          <w:sz w:val="15"/>
          <w:szCs w:val="15"/>
          <w:color w:val="auto"/>
        </w:rPr>
        <w:t>Lear Committees:</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Audit (Chair)</w:t>
      </w:r>
    </w:p>
    <w:p>
      <w:pPr>
        <w:spacing w:after="0" w:line="90" w:lineRule="exact"/>
        <w:rPr>
          <w:sz w:val="20"/>
          <w:szCs w:val="20"/>
          <w:color w:val="auto"/>
        </w:rPr>
      </w:pPr>
    </w:p>
    <w:p>
      <w:pPr>
        <w:ind w:left="6160"/>
        <w:spacing w:after="0"/>
        <w:tabs>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Nominating and Corporate Governance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60"/>
        <w:spacing w:after="0" w:line="284" w:lineRule="auto"/>
        <w:rPr>
          <w:sz w:val="20"/>
          <w:szCs w:val="20"/>
          <w:color w:val="auto"/>
        </w:rPr>
      </w:pPr>
      <w:r>
        <w:rPr>
          <w:rFonts w:ascii="Arial" w:cs="Arial" w:eastAsia="Arial" w:hAnsi="Arial"/>
          <w:sz w:val="16"/>
          <w:szCs w:val="16"/>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Ford Motor Company, and President and Chief Operating Officer,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Penske Corporation and formerly served as a director of the Federal National Mortgage Association (Fannie Mae) and Solutia Inc. Mr. Smith also serves on the Risk Oversight Advisory Council of the National Association of Corporate Directors. Mr. Smith has a bachelor’s degree in Mechanical Engineering from Rose-Hulman Institute of Technology and an MBA from Eastern Michigan University.</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60" w:hanging="98"/>
        <w:spacing w:after="0"/>
        <w:tabs>
          <w:tab w:leader="none" w:pos="3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Served on audit committees of public and private companies</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actively overseeing finance departments and personnel</w:t>
      </w:r>
    </w:p>
    <w:p>
      <w:pPr>
        <w:spacing w:after="0" w:line="90" w:lineRule="exact"/>
        <w:rPr>
          <w:rFonts w:ascii="Arial" w:cs="Arial" w:eastAsia="Arial" w:hAnsi="Arial"/>
          <w:sz w:val="18"/>
          <w:szCs w:val="18"/>
          <w:color w:val="auto"/>
        </w:rPr>
      </w:pPr>
    </w:p>
    <w:p>
      <w:pPr>
        <w:ind w:left="3860" w:hanging="98"/>
        <w:spacing w:after="0"/>
        <w:tabs>
          <w:tab w:leader="none" w:pos="3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Extensive experience and knowledge of automotive industry</w:t>
      </w:r>
    </w:p>
    <w:p>
      <w:pPr>
        <w:spacing w:after="0" w:line="90" w:lineRule="exact"/>
        <w:rPr>
          <w:rFonts w:ascii="Arial" w:cs="Arial" w:eastAsia="Arial" w:hAnsi="Arial"/>
          <w:sz w:val="18"/>
          <w:szCs w:val="18"/>
          <w:color w:val="auto"/>
        </w:rPr>
      </w:pPr>
    </w:p>
    <w:p>
      <w:pPr>
        <w:ind w:left="3980" w:right="80" w:hanging="218"/>
        <w:spacing w:after="0" w:line="268" w:lineRule="auto"/>
        <w:tabs>
          <w:tab w:leader="none" w:pos="38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and knowledge of automotive company operations and strategic issues, including engineering, manufacturing, marketing, human resources and finance</w:t>
      </w:r>
    </w:p>
    <w:p>
      <w:pPr>
        <w:spacing w:after="0" w:line="50" w:lineRule="exact"/>
        <w:rPr>
          <w:rFonts w:ascii="Arial" w:cs="Arial" w:eastAsia="Arial" w:hAnsi="Arial"/>
          <w:sz w:val="18"/>
          <w:szCs w:val="18"/>
          <w:color w:val="auto"/>
        </w:rPr>
      </w:pPr>
    </w:p>
    <w:p>
      <w:pPr>
        <w:ind w:left="3860" w:hanging="98"/>
        <w:spacing w:after="0"/>
        <w:tabs>
          <w:tab w:leader="none" w:pos="3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i w:val="1"/>
          <w:iCs w:val="1"/>
          <w:color w:val="auto"/>
        </w:rPr>
        <w:t>Henry D.G. Wallace</w:t>
      </w:r>
      <w:r>
        <w:rPr>
          <w:sz w:val="20"/>
          <w:szCs w:val="20"/>
          <w:color w:val="auto"/>
        </w:rPr>
        <w:tab/>
      </w:r>
      <w:r>
        <w:rPr>
          <w:rFonts w:ascii="Arial" w:cs="Arial" w:eastAsia="Arial" w:hAnsi="Arial"/>
          <w:sz w:val="16"/>
          <w:szCs w:val="16"/>
          <w:color w:val="auto"/>
        </w:rPr>
        <w:t>Age: 69</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Biography</w:t>
      </w:r>
    </w:p>
    <w:p>
      <w:pPr>
        <w:spacing w:after="0" w:line="96" w:lineRule="exact"/>
        <w:rPr>
          <w:sz w:val="20"/>
          <w:szCs w:val="20"/>
          <w:color w:val="auto"/>
        </w:rPr>
      </w:pPr>
    </w:p>
    <w:p>
      <w:pPr>
        <w:ind w:left="3700"/>
        <w:spacing w:after="0" w:line="289" w:lineRule="auto"/>
        <w:rPr>
          <w:sz w:val="20"/>
          <w:szCs w:val="20"/>
          <w:color w:val="auto"/>
        </w:rPr>
      </w:pPr>
      <w:r>
        <w:rPr>
          <w:rFonts w:ascii="Arial" w:cs="Arial" w:eastAsia="Arial" w:hAnsi="Arial"/>
          <w:sz w:val="16"/>
          <w:szCs w:val="16"/>
          <w:color w:val="auto"/>
        </w:rPr>
        <w:t>Mr. Wallace has served as the Company’s Non-Executive Chairman since August 2010 and has been a director of the Company since February 2005. Mr. Wallace worked for 30 years at Ford Motor Company until his retirement in 2001 and held several executive level operations and financial oversight positions while at Ford. His most recent positions included Chief Financial Officer, Group Vice President, Mazda and Asia Pacific Operations and President and CEO of Mazda Motor Corporation. Mr. Wallace serves as Non-Executive Chairman of Diebold, Inc. (formerly Interim Executive Chairman). Mr. Wallace formerly served as a director of Hayes Lemmerz International, Inc. and AMBAC Financial Group, Inc. Mr. Wallace earned a bachelor’s degree with Honours from the University of Leicester, England.</w:t>
      </w:r>
    </w:p>
    <w:p>
      <w:pPr>
        <w:spacing w:after="0" w:line="166"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Skills and Qualifications</w:t>
      </w:r>
    </w:p>
    <w:p>
      <w:pPr>
        <w:spacing w:after="0" w:line="96" w:lineRule="exact"/>
        <w:rPr>
          <w:sz w:val="20"/>
          <w:szCs w:val="20"/>
          <w:color w:val="auto"/>
        </w:rPr>
      </w:pPr>
    </w:p>
    <w:p>
      <w:pPr>
        <w:ind w:left="3840" w:hanging="145"/>
        <w:spacing w:after="0"/>
        <w:tabs>
          <w:tab w:leader="none" w:pos="3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and leadership with a global manufacturing company</w:t>
      </w:r>
    </w:p>
    <w:p>
      <w:pPr>
        <w:spacing w:after="0" w:line="90" w:lineRule="exact"/>
        <w:rPr>
          <w:rFonts w:ascii="Arial" w:cs="Arial" w:eastAsia="Arial" w:hAnsi="Arial"/>
          <w:sz w:val="18"/>
          <w:szCs w:val="18"/>
          <w:color w:val="auto"/>
        </w:rPr>
      </w:pPr>
    </w:p>
    <w:p>
      <w:pPr>
        <w:ind w:left="3840" w:hanging="145"/>
        <w:spacing w:after="0"/>
        <w:tabs>
          <w:tab w:leader="none" w:pos="3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Leadership experience on boards of several public companies</w:t>
      </w:r>
    </w:p>
    <w:p>
      <w:pPr>
        <w:spacing w:after="0" w:line="90" w:lineRule="exact"/>
        <w:rPr>
          <w:rFonts w:ascii="Arial" w:cs="Arial" w:eastAsia="Arial" w:hAnsi="Arial"/>
          <w:sz w:val="18"/>
          <w:szCs w:val="18"/>
          <w:color w:val="auto"/>
        </w:rPr>
      </w:pPr>
    </w:p>
    <w:p>
      <w:pPr>
        <w:ind w:left="3840" w:hanging="145"/>
        <w:spacing w:after="0"/>
        <w:tabs>
          <w:tab w:leader="none" w:pos="3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Extensive international experience in Asia, Europe and Latin America</w:t>
      </w:r>
    </w:p>
    <w:p>
      <w:pPr>
        <w:spacing w:after="0" w:line="90" w:lineRule="exact"/>
        <w:rPr>
          <w:rFonts w:ascii="Arial" w:cs="Arial" w:eastAsia="Arial" w:hAnsi="Arial"/>
          <w:sz w:val="18"/>
          <w:szCs w:val="18"/>
          <w:color w:val="auto"/>
        </w:rPr>
      </w:pPr>
    </w:p>
    <w:p>
      <w:pPr>
        <w:ind w:left="3920" w:right="60" w:hanging="225"/>
        <w:spacing w:after="0" w:line="268" w:lineRule="auto"/>
        <w:tabs>
          <w:tab w:leader="none" w:pos="38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in finance, financial statement preparation and accounting, financial reporting, compliance and internal controls, including as chief financial officer</w:t>
      </w:r>
    </w:p>
    <w:p>
      <w:pPr>
        <w:spacing w:after="0" w:line="50" w:lineRule="exact"/>
        <w:rPr>
          <w:rFonts w:ascii="Arial" w:cs="Arial" w:eastAsia="Arial" w:hAnsi="Arial"/>
          <w:sz w:val="18"/>
          <w:szCs w:val="18"/>
          <w:color w:val="auto"/>
        </w:rPr>
      </w:pPr>
    </w:p>
    <w:p>
      <w:pPr>
        <w:ind w:left="3840" w:hanging="145"/>
        <w:spacing w:after="0"/>
        <w:tabs>
          <w:tab w:leader="none" w:pos="3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management experience, including in the automotive industry</w:t>
      </w:r>
    </w:p>
    <w:p>
      <w:pPr>
        <w:spacing w:after="0" w:line="90" w:lineRule="exact"/>
        <w:rPr>
          <w:rFonts w:ascii="Arial" w:cs="Arial" w:eastAsia="Arial" w:hAnsi="Arial"/>
          <w:sz w:val="18"/>
          <w:szCs w:val="18"/>
          <w:color w:val="auto"/>
        </w:rPr>
      </w:pPr>
    </w:p>
    <w:p>
      <w:pPr>
        <w:ind w:left="3840" w:hanging="145"/>
        <w:spacing w:after="0"/>
        <w:tabs>
          <w:tab w:leader="none" w:pos="3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Selection of Directors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are the general criteria for the selection of our directors that the Nominating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 The Nominating Committee considers, without limitation, a director nominee’s independence, skills and other attributes, experience, perspective, background and diversity. The general criteria set forth below are not listed in any particular order of importance:</w:t>
      </w:r>
    </w:p>
    <w:p>
      <w:pPr>
        <w:spacing w:after="0" w:line="63"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Background, experience and record of achievement, including, without limitation, in the automotive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Diversity with respect to viewpoints, background, experience, skill, education, national origin, gender, race, age, culture and current affiliations;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Personal and professional ethics and integrity, collegiality, objective perspective and practical judgment;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and willingness to devote sufficient time to carry out duties and responsibilities effectively;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Commitment to maximizing intrinsic stockholder value;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Finance and accounting expertise;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Independence — a majority of directors must be independent.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 The Nominating Committee screens candidates and recommends director nominees who are approved by the Board.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Diversity is one of the criteria described above that the Nominating Committee and the Board consider in identifying director nominees, which they consider in the context of the Board as a whole. We define “diversity” broadly to include differences in viewpoints, background, experience, skill, education, national origin, gender, race, age, culture and current affiliations that may offer the Company exposure to contemporary business issues. Candidates also are evaluated in light of Board policies, such as those relating to director independence and service on other boards, as well as considerations relating to the size and structure of the Board. These qualifications may vary from year to year, depending on the composition of the Board at the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Directors by Stockholders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Board has made director independence determinations with respect to each of our directors. Based on our director independence guidelines and the NYSE independence guidelines, the Board has affirmatively determined that (i) Messrs. Bott, Capo and Foster, Ms. Ligocki and Messrs. Mallett, Runkle, Smith and Wallace (A) have no relationships or only immaterial relationships with us, (B) meet our director independence guidelines and the NYSE independence guidelines with respect to any such relationships and (C) are independent; and (ii) Mr. Simoncini is not independent. Mr. Simoncini is our President and Chief Executive Officer (the “CEO”).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Board, with the assistance of the Board committees, is responsible for overseeing management actions to ensure that material risks affecting the Company are identified and managed appropriately. The Board and its committees regularly review material strategic, operational, financial, compensation and compliance risks with senior management. In addition, the Board and its committees exercise their risk oversight function by carefully evaluating the reports they receive from management and by making inquiries of management on areas of particular interest to the Board.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As set forth in its charter, the Audit Committee is responsible for discussing with management the Company’s process for assessing and managing risks, including the Company’s major financial risk exposures and the steps necessary to monitor and control such exposures. In addition, the Audit Committee is responsible for ensuring that the Company has an internal audit function to provide management and the Audit Committee with ongoing assessments of the Company’s risk management process and system of internal controls. The Audit Committee also performs a central oversight role with respect to financial and compliance risks, meets periodically with senior management, our vice president of internal audit, our chief compliance officer and our independent auditor, Ernst &amp; Young LLP, and reports on its findings at each regularly scheduled meeting of the Board.</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enterprise risk management process is designed to facilitate the identification, assessment and management of certain key risks to achieving our strategic objectives, and we have completed both comprehensive and focused risk assessments. The enterprise risk management process supplements management’s ongoing responsibilities to monitor and address risks by working with risk owners to identify causes of and action plans for certain key risks, which then are discussed with senior management to promote visibility and ensure appropriate risk response strategies. The Audit Committee receives quarterly reports from senior management on the progress of our enterprise risk management process and reports to the Board, as appropriate. The Audit Committee and Board also periodically receive reports on risks addressed in the enterprise risk management process, in addition to reports on other risks.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other Board committees also have responsibility for the oversight of risk management. For example, the Compensation Committee considers the risks associated with our compensation policies and practices, as discussed further under “Compensation and Risk.” Further, the Nominating Committee oversees risks associated with our governance structure and processes and annually reviews our organizational documents, Corporate Governance Guidelines and other policies. The committees primarily keep the Board informed of their risk oversight and related activities through reports of the committee chairmen to the Board. The Board also considers specific risk topics in connection with strategic planning and other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Henry D. G. Wallace is our Non-Executive Chairman of the Board and has served in that role since August 2010. Our Board has decided to maintain separate Chairman and CEO roles to allow our CEO to focus on the execution of our business strategy, growth and development, while allowing the Non-Executive Chairman to lead the Board in its fundamental role of providing advice to, and independent oversight of, management. The Board recognizes the time, effort and energy that the CEO is required to devote to his position in the current business environment, as well as the commitment required to serve as our Chairman. While our Bylaws and Corporate Governance Guidelines do not require that our Chairman and CEO positions be separate, the Board believes that having separate positions and having an independent director serve as Non-Executive Chairman is the appropriate leadership structure for us at this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Meetings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2014, our Board held six meetings. In addition to our Board meetings, our directors attend meetings of committees established by our Board. Each of Lear’s director nominees attended at least 75% of the meetings of our Board and the committees on which he or she served during 2014 that were held when he or she was a director, with the exception of Mr. Mallett. Our directors are encouraged to attend all annual and special meetings of our stockholders. In 2014, our annual meeting of stockholders was held on May 15, 2014, and all directors attended.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 management present. Mr. Wallace, our Non-Executive Chairman, presides over these executive sessions.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7"/>
              </w:rPr>
              <w:t>Directors</w:t>
            </w:r>
          </w:p>
        </w:tc>
        <w:tc>
          <w:tcPr>
            <w:tcW w:w="6560" w:type="dxa"/>
            <w:vAlign w:val="bottom"/>
            <w:gridSpan w:val="2"/>
            <w:vMerge w:val="restart"/>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Compensation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560" w:type="dxa"/>
            <w:vAlign w:val="bottom"/>
            <w:gridSpan w:val="2"/>
            <w:vMerge w:val="continue"/>
          </w:tcPr>
          <w:p>
            <w:pPr>
              <w:spacing w:after="0"/>
              <w:rPr>
                <w:sz w:val="14"/>
                <w:szCs w:val="14"/>
                <w:color w:val="auto"/>
              </w:rPr>
            </w:pPr>
          </w:p>
        </w:tc>
        <w:tc>
          <w:tcPr>
            <w:tcW w:w="110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Audit Committee</w:t>
            </w:r>
          </w:p>
        </w:tc>
        <w:tc>
          <w:tcPr>
            <w:tcW w:w="9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Committee</w:t>
            </w:r>
          </w:p>
        </w:tc>
        <w:tc>
          <w:tcPr>
            <w:tcW w:w="1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Nominating Committee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Richard H. Bott</w:t>
            </w: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X</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Thomas P. Capo</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1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X</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Kathleen A. Ligocki</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Donald L. Runkle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J. Simoncini</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Gregory C. Smith</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76"/>
              </w:rPr>
              <w:t>C</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Henry D.G. Wallace*</w:t>
            </w:r>
          </w:p>
        </w:tc>
        <w:tc>
          <w:tcPr>
            <w:tcW w:w="1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2"/>
              </w:rPr>
              <w:t>E</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3"/>
          </w:tcPr>
          <w:p>
            <w:pPr>
              <w:spacing w:after="0"/>
              <w:rPr>
                <w:sz w:val="9"/>
                <w:szCs w:val="9"/>
                <w:color w:val="auto"/>
              </w:rPr>
            </w:pPr>
          </w:p>
        </w:tc>
        <w:tc>
          <w:tcPr>
            <w:tcW w:w="6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w:t>
            </w:r>
          </w:p>
        </w:tc>
        <w:tc>
          <w:tcPr>
            <w:tcW w:w="7200" w:type="dxa"/>
            <w:vAlign w:val="bottom"/>
            <w:gridSpan w:val="4"/>
          </w:tcPr>
          <w:p>
            <w:pPr>
              <w:ind w:left="80"/>
              <w:spacing w:after="0"/>
              <w:rPr>
                <w:sz w:val="20"/>
                <w:szCs w:val="20"/>
                <w:color w:val="auto"/>
              </w:rPr>
            </w:pPr>
            <w:r>
              <w:rPr>
                <w:rFonts w:ascii="Arial" w:cs="Arial" w:eastAsia="Arial" w:hAnsi="Arial"/>
                <w:sz w:val="18"/>
                <w:szCs w:val="18"/>
                <w:color w:val="auto"/>
              </w:rPr>
              <w:t>Non-Executive Chairman of the Board</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“C”</w:t>
            </w:r>
          </w:p>
        </w:tc>
        <w:tc>
          <w:tcPr>
            <w:tcW w:w="7200" w:type="dxa"/>
            <w:vAlign w:val="bottom"/>
            <w:gridSpan w:val="4"/>
          </w:tcPr>
          <w:p>
            <w:pPr>
              <w:ind w:left="80"/>
              <w:spacing w:after="0"/>
              <w:rPr>
                <w:sz w:val="20"/>
                <w:szCs w:val="20"/>
                <w:color w:val="auto"/>
              </w:rPr>
            </w:pPr>
            <w:r>
              <w:rPr>
                <w:rFonts w:ascii="Arial" w:cs="Arial" w:eastAsia="Arial" w:hAnsi="Arial"/>
                <w:sz w:val="18"/>
                <w:szCs w:val="18"/>
                <w:color w:val="auto"/>
              </w:rPr>
              <w:t>Denotes member and chairman of committee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spacing w:after="0"/>
              <w:rPr>
                <w:sz w:val="20"/>
                <w:szCs w:val="20"/>
                <w:color w:val="auto"/>
              </w:rPr>
            </w:pPr>
            <w:r>
              <w:rPr>
                <w:rFonts w:ascii="Arial" w:cs="Arial" w:eastAsia="Arial" w:hAnsi="Arial"/>
                <w:sz w:val="18"/>
                <w:szCs w:val="18"/>
                <w:color w:val="auto"/>
              </w:rPr>
              <w:t>“X”</w:t>
            </w:r>
          </w:p>
        </w:tc>
        <w:tc>
          <w:tcPr>
            <w:tcW w:w="7200" w:type="dxa"/>
            <w:vAlign w:val="bottom"/>
            <w:gridSpan w:val="4"/>
          </w:tcPr>
          <w:p>
            <w:pPr>
              <w:ind w:left="80"/>
              <w:spacing w:after="0"/>
              <w:rPr>
                <w:sz w:val="20"/>
                <w:szCs w:val="20"/>
                <w:color w:val="auto"/>
              </w:rPr>
            </w:pPr>
            <w:r>
              <w:rPr>
                <w:rFonts w:ascii="Arial" w:cs="Arial" w:eastAsia="Arial" w:hAnsi="Arial"/>
                <w:sz w:val="18"/>
                <w:szCs w:val="18"/>
                <w:color w:val="auto"/>
              </w:rPr>
              <w:t>Denotes member</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“E”</w:t>
            </w:r>
          </w:p>
        </w:tc>
        <w:tc>
          <w:tcPr>
            <w:tcW w:w="7200" w:type="dxa"/>
            <w:vAlign w:val="bottom"/>
            <w:gridSpan w:val="4"/>
          </w:tcPr>
          <w:p>
            <w:pPr>
              <w:ind w:left="80"/>
              <w:spacing w:after="0"/>
              <w:rPr>
                <w:sz w:val="20"/>
                <w:szCs w:val="20"/>
                <w:color w:val="auto"/>
              </w:rPr>
            </w:pPr>
            <w:r>
              <w:rPr>
                <w:rFonts w:ascii="Arial" w:cs="Arial" w:eastAsia="Arial" w:hAnsi="Arial"/>
                <w:sz w:val="18"/>
                <w:szCs w:val="18"/>
                <w:color w:val="auto"/>
              </w:rPr>
              <w:t>Denotes Ex Officio member</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2014, the Audit Committee held eight meetings. Each of the members of the Audit Committee is a non-employee director. In addition, the Board has determined that all of the members of the Audit Committee are independent, financially literate and financial experts, as further discussed under “Audit Committee Report.” For a description of the Audit Committee’s responsibilities and findings and additional information about the Audit Committee, see “Audit Committee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2014, the Compensation Committee held four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responsibility for approving and evaluating director and officer compensation plans, policies and programs of the Company and reviewing the disclosure of such plans, policies and programs to our stockholders in the annual proxy statement. The Compensation Committee utilizes an independent compensation consultant to assist it in its duties. The Compensation Committee operates under a written charter setting forth its functions and responsibilities. A copy of the current charter is available on our website at www.lear.com or in printed form upon request.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 awards. Under our equity award policy, an aggregate equity award pool to non-executives may be approved by the Compensation Committee and allocated to individuals by a committee consisting of the Company’s CEO and the Chairman of the Compensation Committee. The policy also allows the Compensation Committee to delegate to the CEO the ability to grant equity awards to non-executive officer employees who are newly hired or promoted or deemed to be deserving of special retention or recognition awards. Such awards are generally made on the Company’s standard restricted stock units (“RSU”) or performance share terms.</w:t>
      </w:r>
    </w:p>
    <w:p>
      <w:pPr>
        <w:spacing w:after="0" w:line="12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127" w:lineRule="exact"/>
        <w:rPr>
          <w:sz w:val="20"/>
          <w:szCs w:val="20"/>
          <w:color w:val="auto"/>
        </w:rPr>
      </w:pPr>
    </w:p>
    <w:p>
      <w:pPr>
        <w:ind w:right="980" w:firstLine="456"/>
        <w:spacing w:after="0" w:line="370" w:lineRule="auto"/>
        <w:rPr>
          <w:sz w:val="20"/>
          <w:szCs w:val="20"/>
          <w:color w:val="auto"/>
        </w:rPr>
      </w:pPr>
      <w:r>
        <w:rPr>
          <w:rFonts w:ascii="Arial" w:cs="Arial" w:eastAsia="Arial" w:hAnsi="Arial"/>
          <w:sz w:val="15"/>
          <w:szCs w:val="15"/>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2014,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Nominating Committee</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2014, the Nominating Committee held six meetings. Each of the members of the Nominating Committee is a non-employee director. In addition, the Board has determined that all of the members of the Nominating Committee are independent as defined in the listing standards of the NYSE.</w:t>
      </w:r>
    </w:p>
    <w:p>
      <w:pPr>
        <w:spacing w:after="0" w:line="8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Nominating Committee is responsible for, among other things: (i) identifying individuals qualified to become members of the Board, consistent with criteria approved by the Board; (ii) recommending director nominees to the Board for election at the next annual meeting of the stockholders of the Company;</w:t>
      </w:r>
    </w:p>
    <w:p>
      <w:pPr>
        <w:ind w:right="60" w:firstLine="8"/>
        <w:spacing w:after="0" w:line="253"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of a vacancy on or an increase in the size of the Board, recommending director nominees to the Board to fill such vacancy or newly established Board seat; (iv) recommending directors to the Board for membership on each committee of the Board; (v) establishing and reviewing annually our Corporate Governance Guidelines and Code of Business Conduct and Ethics; and (vi) 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Ms. Ligocki served as the Chief Executive Officer of Tower Automotive from 2003 to 2007. In 2005, Tower Automotive filed for reorganization under chapter 11 of the United States Bankruptcy Code (the “Bankruptcy Code”).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Mr. Runkle held various executive-level positions at Delphi Corporation from 1999 until 2005, as described above. In 2005, Delphi filed for reorganization under chapter 11 of the Bankruptcy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Simoncini currently serves as the Company’s President and CEO and has served in other positions at the Company since 1999, as described above. In 2009, the Company filed for reorganization under chapter 11 of the Bankruptcy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described more fully below, the following table summarizes the annual compensation for our non-employee directors during 2014.</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640" w:type="dxa"/>
            <w:vAlign w:val="bottom"/>
            <w:vMerge w:val="restart"/>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Fees Earned or Paid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97"/>
              </w:rPr>
              <w:t>in Cash (1)</w:t>
            </w: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Stock Awards (3)(4)</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 Bott</w:t>
            </w:r>
          </w:p>
        </w:tc>
        <w:tc>
          <w:tcPr>
            <w:tcW w:w="2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112,000</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139,984</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$251,984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Thomas P. Capo (5)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116,208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139,984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$256,192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 (5)</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139,984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$260,317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Kathleen A. Ligocki</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110,000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139,984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$249,984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139,984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$269,984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110,000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139,984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$249,984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139,984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$269,984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185,000</w:t>
            </w:r>
          </w:p>
        </w:tc>
        <w:tc>
          <w:tcPr>
            <w:tcW w:w="2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239,984</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$424,984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cash retainer and other fees earned for service as directors in 2014, as discussed in more detail below. Dollar amounts are comprised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Non-Standing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36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Committee Meeting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360" w:type="dxa"/>
            <w:vAlign w:val="bottom"/>
            <w:vMerge w:val="continue"/>
          </w:tcPr>
          <w:p>
            <w:pPr>
              <w:spacing w:after="0"/>
              <w:rPr>
                <w:sz w:val="14"/>
                <w:szCs w:val="14"/>
                <w:color w:val="auto"/>
              </w:rPr>
            </w:pPr>
          </w:p>
        </w:tc>
        <w:tc>
          <w:tcPr>
            <w:tcW w:w="14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Annual Retainer Fee</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1"/>
              </w:rPr>
              <w:t>Fees</w:t>
            </w:r>
          </w:p>
        </w:tc>
        <w:tc>
          <w:tcPr>
            <w:tcW w:w="0" w:type="dxa"/>
            <w:vAlign w:val="bottom"/>
          </w:tcPr>
          <w:p>
            <w:pPr>
              <w:spacing w:after="0"/>
              <w:rPr>
                <w:sz w:val="1"/>
                <w:szCs w:val="1"/>
                <w:color w:val="auto"/>
              </w:rPr>
            </w:pPr>
          </w:p>
        </w:tc>
      </w:tr>
      <w:tr>
        <w:trPr>
          <w:trHeight w:val="203"/>
        </w:trPr>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 Bott</w:t>
            </w: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82"/>
              </w:rPr>
              <w:t>110,000</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Thomas P. Capo</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115,208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118,333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Kathleen A. Ligocki (2)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110,000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L. Mallett, Jr.</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2"/>
              </w:rPr>
              <w:t>130,000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110,000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2"/>
              </w:rPr>
              <w:t>130,000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280"/>
              <w:spacing w:after="0"/>
              <w:rPr>
                <w:sz w:val="20"/>
                <w:szCs w:val="20"/>
                <w:color w:val="auto"/>
              </w:rPr>
            </w:pPr>
            <w:r>
              <w:rPr>
                <w:rFonts w:ascii="Arial" w:cs="Arial" w:eastAsia="Arial" w:hAnsi="Arial"/>
                <w:sz w:val="18"/>
                <w:szCs w:val="18"/>
                <w:color w:val="auto"/>
                <w:w w:val="82"/>
              </w:rPr>
              <w:t>185,000</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base annual cash retainer is $110,000. As described below, there is an additional cash retainer for the Non-Executive Chairman and the Chairman of each of the Audit Committee, Compensation Committee and the Nominating Committee.</w:t>
      </w:r>
    </w:p>
    <w:p>
      <w:pPr>
        <w:spacing w:after="0" w:line="5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Ligocki deferred $100,833 of the 2014 retainer fees.</w:t>
      </w:r>
    </w:p>
    <w:p>
      <w:pPr>
        <w:spacing w:after="0" w:line="9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annual grant of stock, the amounts reported in this column for each director reflect the aggregate grant date fair value determined in accordance with FASB Accounting Standards Codification™ (“ASC”) 718, “Compensation-Stock Compensation.” Messrs. Bott, Capo, Runkle and Wallace along with Ms. Ligocki deferred 100% of the 2014 annual stock grant into deferred stock units.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Mallett deferred 70% of the 2014 annual stock grant into deferred stock units.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Capo resigned as chair of the Nominating Committee in May 2014 and Mr. Foster assumed the position.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2014 Director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base annual cash retainer for each non-employee director under the Outside Directors Compensation Plan is $110,000. The additional cash retainer for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chairs of the Compensation Committee and the Audit Committee is $20,000, the additional cash retainer for the chair of the Nominating Committee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$12,500 and the additional cash retainer for the Presiding Director, if any, is $10,000. The annual cash retainer for each non-employee director is paid in advance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equal installments on the last business day of the month. Because the Company has an independent Non-Executive Chairman, there currently is no Presiding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Meeting fees for the Board and standing committees have been eliminated, except that each non-employee director remained eligible to receive $1,500 for each meeting of the Board in excess of twelve that he/she attends in a calendar year. Meeting fees for special committees of the Board are set by the Board at the time of the formation of the special committee and usually are set at the rate of $1,000 per meeting. Meeting fees, if any, are paid on the last business day of the month (for that month’s meeting fees).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Outside Directors Compensation Plan, each non-employee director receives a base annual unrestricted grant of Lear common stock approximately equal in value to $140,000 and subject to the stock ownership guidelines described below. Stock grants are made on the date of the annual meeting of stockholders at which a director is elected or re-elected to serve on the Board.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additional compensation for our Non-Executive Chairman, currently Mr. Wallace, in 2014 was an additional annual cash retainer in the amount of $75,000 and an additional annual grant of Lear common stock equal in value to $100,000. The payment schedule for this additional annual compensation is the same as that described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Deferrals</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and formerly, any cash payments made upon vesting of the restricted cash grant,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stock retainer into deferred stock units.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90"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 of a number of shares with a value equal to 5 times the base annual cash retainer and must hold 50% of the net shares from their annual stock grants received subsequent to the adoption of the revised stock ownership guidelines until they are in compliance with these guidelines.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Directors and Management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sets forth, as of March 19, 2015 (except as indicated below), beneficial ownership, as defined by SEC rules, of our common stock and ownership of RSUs by the persons or groups specified. Each of the persons listed below has sole voting and investment power with respect to the beneficially owned shares listed unless otherwise indicated. The percentage calculations set forth in the table are based on 77,185,800 shares of common stock outstanding on March 19, 2015 rather than based on the percentages set forth in stockholders’ Schedules 13G or 13D, as applicable, filed with the SEC.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86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Owned</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RSUs</w:t>
            </w:r>
          </w:p>
        </w:tc>
      </w:tr>
      <w:tr>
        <w:trPr>
          <w:trHeight w:val="161"/>
        </w:trPr>
        <w:tc>
          <w:tcPr>
            <w:tcW w:w="86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Beneficially</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Beneficially</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Owned(14)</w:t>
            </w:r>
          </w:p>
        </w:tc>
      </w:tr>
      <w:tr>
        <w:trPr>
          <w:trHeight w:val="196"/>
        </w:trPr>
        <w:tc>
          <w:tcPr>
            <w:tcW w:w="8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BlackRock, Inc.(1)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6,384,099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Boston Partners(2)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6,362,482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The Vanguard Group(3)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4,641,156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Harris Associates L.P.(4)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3,962,823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Matthew J. Simoncini(5)(6)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96,822</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Jeffrey H. Vanneste(5)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14,544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30,494</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25,355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31,897</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Terrence B. Larkin(5)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20,284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31,897</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Frank Orsini (5)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23,267</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Richard H. Bott(6)(7)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5,340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Thomas P. Capo(6)(8)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Jonathan F. Foster(6)(9)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10,892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Kathleen A. Ligocki(6)(10)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Conrad L. Mallett, Jr.(6)(11)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8,291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Donald L. Runkle(6)(12)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Gregory C. Smith(6)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12,268</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Henry D.G. Wallace(6)(13)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8640" w:type="dxa"/>
            <w:vAlign w:val="bottom"/>
          </w:tcPr>
          <w:p>
            <w:pPr>
              <w:spacing w:after="0"/>
              <w:rPr>
                <w:sz w:val="20"/>
                <w:szCs w:val="20"/>
                <w:color w:val="auto"/>
              </w:rPr>
            </w:pPr>
            <w:r>
              <w:rPr>
                <w:rFonts w:ascii="Arial" w:cs="Arial" w:eastAsia="Arial" w:hAnsi="Arial"/>
                <w:sz w:val="18"/>
                <w:szCs w:val="18"/>
                <w:color w:val="auto"/>
              </w:rPr>
              <w:t>Total Executive Officers and Directors as a Group (18 individuals)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278,432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283,756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160" w:hanging="452"/>
        <w:spacing w:after="0" w:line="29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13G/A filed with the SEC on January 23, 2015 by BlackRock, Inc. (“BlackRock”). BlackRock is the beneficial owner of 6,384,099 shares, with sole dispositive power as to all such shares and sole voting power as to 5,420,077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40 East 52nd Street, New York, New York 10022.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13G/A filed with the SEC on February 12, 2015 by Boston Partners (f/k/a Robeco Investment Management, Inc.). Boston Partners is the beneficial owner of 6,362,482 shares, with sole dispositive power to all such shares, with sole voting power as to 4,927,265 such shares and with shared voting power as to 16,075 such shares. No one person’s interest in the Company’s common stock is more than five percent of the total outstanding common stock. Boston Partners principal place of business is One Beacon St. Boston, MA 02108.</w:t>
      </w:r>
    </w:p>
    <w:p>
      <w:pPr>
        <w:spacing w:after="0" w:line="61" w:lineRule="exact"/>
        <w:rPr>
          <w:rFonts w:ascii="Arial" w:cs="Arial" w:eastAsia="Arial" w:hAnsi="Arial"/>
          <w:sz w:val="18"/>
          <w:szCs w:val="18"/>
          <w:color w:val="auto"/>
        </w:rPr>
      </w:pPr>
    </w:p>
    <w:p>
      <w:pPr>
        <w:ind w:left="460" w:right="38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13G/A filed with the SEC on February 10, 2015 by The Vanguard Group (“Vanguard”). Vanguard is the beneficial owner of 4,641,156 shares, with sole voting power as to 53,452 such shares, sole dispositive power as to 4,594,404 such shares and shared dispositive power as 46,752 such shares. Vanguard’s principal place of business is 100 Vanguard Blvd. Malvern, PA 19355.</w:t>
      </w:r>
    </w:p>
    <w:p>
      <w:pPr>
        <w:spacing w:after="0" w:line="62"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13G/A filed with the SEC on February 11, 2015 by Harris Associates L.P. (“Harris”) and Harris Associates. Harris is the beneficial owner of 3,962,823 shares, with sole voting power and sole dispositive power as to all such shares. Harris’s principal place of business is 2 North LaSalle Street, Suite 500, Chicago, Illinois 60602.</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2,840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7,016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5,367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5,950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4,055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3,818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11,600 deferred stock units, which are fully vested and convert into shares of common stock on a 1-for-1 basis upon the earliest of the director’s departure from the Board, a change in control or the pre-established date elected by the director.</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the RSUs owned by our executive officers as of March 19, 2015. These RSUs are subject to all of the economic risks of stock ownership but may not be voted or sold and are subject to vesting provisions as set forth in the respective grant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following discusses the material elements of the compensation for our CEO, Chief Financial Officer and each of the other executive officers listed in the “2014 Summary Compensation Table” (collectively, the “Named Executive Officers”) during the year ended December 31, 2014. To assist in understanding compensation for 2014, we have included a discussion of our compensation policies and practices for periods before and after 2014 where relevant. To avoid repetition, in the discussion that follows we make occasional cross-references to specific compensation data and terms for our Named Executive Officers contained in “Executive Compensation.” In addition, because we have a global team of managers in 34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2014 are: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Matthew J. Simoncini, </w:t>
      </w: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Jeffrey H. Vanneste, </w:t>
      </w:r>
      <w:r>
        <w:rPr>
          <w:rFonts w:ascii="Arial" w:cs="Arial" w:eastAsia="Arial" w:hAnsi="Arial"/>
          <w:sz w:val="18"/>
          <w:szCs w:val="18"/>
          <w:color w:val="auto"/>
        </w:rPr>
        <w:t>Senior Vice President and Chief Financial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Raymond E. Scott, </w:t>
      </w:r>
      <w:r>
        <w:rPr>
          <w:rFonts w:ascii="Arial" w:cs="Arial" w:eastAsia="Arial" w:hAnsi="Arial"/>
          <w:sz w:val="18"/>
          <w:szCs w:val="18"/>
          <w:color w:val="auto"/>
        </w:rPr>
        <w:t>Executive Vice President and President, Seating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Terrence B. Larkin, </w:t>
      </w:r>
      <w:r>
        <w:rPr>
          <w:rFonts w:ascii="Arial" w:cs="Arial" w:eastAsia="Arial" w:hAnsi="Arial"/>
          <w:sz w:val="18"/>
          <w:szCs w:val="18"/>
          <w:color w:val="auto"/>
        </w:rPr>
        <w:t>Executive Vice President, Business Development, General Counsel and Corporate Secretary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Frank C. Orsini, </w:t>
      </w:r>
      <w:r>
        <w:rPr>
          <w:rFonts w:ascii="Arial" w:cs="Arial" w:eastAsia="Arial" w:hAnsi="Arial"/>
          <w:sz w:val="18"/>
          <w:szCs w:val="18"/>
          <w:color w:val="auto"/>
        </w:rPr>
        <w:t>Senior Vice President and President, Electrical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leading Tier 1 supplier to the global automotive industry that operates in two business segments: Seating and Electrical. Our business spans all major automotive markets, and we supply our products to virtually every major automotive manufacturer in the world. Our manufacturing, engineering and administrative footprint covers 34 countries and 235 locations with approximately 132,000 employees worldwide, and we are continuing to expand into emerging markets as opportunities develop. We have a market median-based executive compensation program, which is closely linked to our Company’s performance.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overarching objective is to increase enterprise value through profitable sales growth and improved returns, achieved by our culture of continuous improvement, operational excellence and teamwork. We continued strong financial performance in 2014 by achieving our fifth consecutive year of higher sales, higher adjusted earnings per share and strong free cash flow. We continue to win new business globally and expect to benefit from investments that we are making in component capabilities and growth in the emerging markets. In addition, we accomplished several important strategic and operational objectives which position the Company well for the future.</w:t>
      </w:r>
    </w:p>
    <w:p>
      <w:pPr>
        <w:spacing w:after="0" w:line="14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We have a balanced strategy of investing in our business, managing risks, maintaining a strong and flexible balance sheet and returning cash to stockholders to position Lear to deliver superior long-term stockholder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2014 performance and recent significant events include the following:</w:t>
      </w:r>
    </w:p>
    <w:p>
      <w:pPr>
        <w:spacing w:after="0" w:line="90" w:lineRule="exact"/>
        <w:rPr>
          <w:sz w:val="20"/>
          <w:szCs w:val="20"/>
          <w:color w:val="auto"/>
        </w:rPr>
      </w:pPr>
    </w:p>
    <w:p>
      <w:pPr>
        <w:ind w:left="660" w:right="1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2014, we continued to grow sales faster than the rate of global industry production (annual sales increased 9% to $17.7 billion, triple the 3% rate of industry production growth).</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achieved record core operating earnings of $1,050 million, an increase of 25% (see discussion of Adjusted Operating Income below).</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achieved record adjusted earnings per share of $8.15, an increase of 38%.</w:t>
      </w:r>
      <w:r>
        <w:rPr>
          <w:rFonts w:ascii="Arial" w:cs="Arial" w:eastAsia="Arial" w:hAnsi="Arial"/>
          <w:sz w:val="11"/>
          <w:szCs w:val="1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delivered higher sales and improved operating margins compared to 2013 in both business segments.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achieved a 5</w:t>
      </w:r>
      <w:r>
        <w:rPr>
          <w:rFonts w:ascii="Arial" w:cs="Arial" w:eastAsia="Arial" w:hAnsi="Arial"/>
          <w:sz w:val="11"/>
          <w:szCs w:val="11"/>
          <w:color w:val="auto"/>
        </w:rPr>
        <w:t>th</w:t>
      </w:r>
      <w:r>
        <w:rPr>
          <w:rFonts w:ascii="Arial" w:cs="Arial" w:eastAsia="Arial" w:hAnsi="Arial"/>
          <w:sz w:val="18"/>
          <w:szCs w:val="18"/>
          <w:color w:val="auto"/>
        </w:rPr>
        <w:t xml:space="preserve"> consecutive year of increased sales and increased adjusted earnings per share.</w:t>
      </w:r>
      <w:r>
        <w:rPr>
          <w:rFonts w:ascii="Arial" w:cs="Arial" w:eastAsia="Arial" w:hAnsi="Arial"/>
          <w:sz w:val="11"/>
          <w:szCs w:val="11"/>
          <w:color w:val="auto"/>
        </w:rPr>
        <w:t>*</w:t>
      </w:r>
    </w:p>
    <w:p>
      <w:pPr>
        <w:spacing w:after="0" w:line="9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generated over $2 billion in free cash flow over the past five years, allowing the Company to increase investments in the business, make strategic acquisitions and consistently return cash to stockholders.</w:t>
      </w:r>
    </w:p>
    <w:p>
      <w:pPr>
        <w:spacing w:after="0" w:line="5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continued to expand our component capabilities and infrastructure in low-cost countries and emerging markets. Since the beginning of 2010, we invested $450 million in 24 new component facilities. Lear now has a fully competitive component footprint with more than 100 component facilities in 20 low-cost countries.</w:t>
      </w:r>
    </w:p>
    <w:p>
      <w:pPr>
        <w:spacing w:after="0" w:line="59" w:lineRule="exact"/>
        <w:rPr>
          <w:rFonts w:ascii="Arial" w:cs="Arial" w:eastAsia="Arial" w:hAnsi="Arial"/>
          <w:sz w:val="18"/>
          <w:szCs w:val="18"/>
          <w:color w:val="auto"/>
        </w:rPr>
      </w:pPr>
    </w:p>
    <w:p>
      <w:pPr>
        <w:jc w:val="both"/>
        <w:ind w:left="660" w:right="220" w:hanging="206"/>
        <w:spacing w:after="0" w:line="30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reached an agreement to acquire Eagle Ottawa, the world’s leading provider of premium leather to the global automotive industry. The addition of Eagle Ottawa, which was completed in January 2015, will further strengthen Lear’s seat cover capabilities, further diversify customer and geographic mix, accelerate growth prospects and strengthen the Company’s longer-term competitiveness.</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continued to win new business in both product segments and diversify our sales, with a 2015 to 2017 sales backlog of $2.0 billion.</w:t>
      </w:r>
    </w:p>
    <w:p>
      <w:pPr>
        <w:spacing w:after="0" w:line="90" w:lineRule="exact"/>
        <w:rPr>
          <w:rFonts w:ascii="Arial" w:cs="Arial" w:eastAsia="Arial" w:hAnsi="Arial"/>
          <w:sz w:val="18"/>
          <w:szCs w:val="18"/>
          <w:color w:val="auto"/>
        </w:rPr>
      </w:pPr>
    </w:p>
    <w:p>
      <w:pPr>
        <w:ind w:left="660" w:right="40" w:hanging="20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returned $477 million to stockholders in 2014 through its share repurchase and dividend programs. Since these programs were initiated in 2011, the Company has returned $2.1 billion to stockholders, including the repurchase of 29% of total shares outstanding.</w:t>
      </w:r>
    </w:p>
    <w:p>
      <w:pPr>
        <w:spacing w:after="0" w:line="4" w:lineRule="exact"/>
        <w:rPr>
          <w:rFonts w:ascii="Arial" w:cs="Arial" w:eastAsia="Arial" w:hAnsi="Arial"/>
          <w:sz w:val="16"/>
          <w:szCs w:val="16"/>
          <w:color w:val="auto"/>
        </w:rPr>
      </w:pPr>
    </w:p>
    <w:p>
      <w:pPr>
        <w:ind w:left="660" w:right="42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2014, our quarterly cash dividend was increased 18% and in February 2015 the dividend was increased by 25%, representing the 4</w:t>
      </w:r>
      <w:r>
        <w:rPr>
          <w:rFonts w:ascii="Arial" w:cs="Arial" w:eastAsia="Arial" w:hAnsi="Arial"/>
          <w:sz w:val="11"/>
          <w:szCs w:val="11"/>
          <w:color w:val="auto"/>
        </w:rPr>
        <w:t>th</w:t>
      </w:r>
      <w:r>
        <w:rPr>
          <w:rFonts w:ascii="Arial" w:cs="Arial" w:eastAsia="Arial" w:hAnsi="Arial"/>
          <w:sz w:val="18"/>
          <w:szCs w:val="18"/>
          <w:color w:val="auto"/>
        </w:rPr>
        <w:t xml:space="preserve"> consecutive annual increase since the dividend program was initiated.</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total return to stockholders in 2014 was 22%, compared with 14% for the S&amp;P 500. The Company’s total return to stockholders for the five-year period ended December 31, 2014 was 203%, compared with 105% for the S&amp;P 500.</w:t>
      </w:r>
    </w:p>
    <w:p>
      <w:pPr>
        <w:spacing w:after="0" w:line="50" w:lineRule="exact"/>
        <w:rPr>
          <w:rFonts w:ascii="Arial" w:cs="Arial" w:eastAsia="Arial" w:hAnsi="Arial"/>
          <w:sz w:val="18"/>
          <w:szCs w:val="18"/>
          <w:color w:val="auto"/>
        </w:rPr>
      </w:pPr>
    </w:p>
    <w:p>
      <w:pPr>
        <w:ind w:left="660" w:right="220" w:hanging="206"/>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financial performance under our 2014 annual incentive program achieved the maximum performance level of the Free Cash Flow metric and exceeded the target performance level of the Adjusted Operating Income metric. The three-year (2012 to 2014) adjusted return on invested capital (“Adjusted ROIC”) results achieved the maximum performance level and the Cumulative Pre-Tax Income results met the target performance level for our 2012-2014 Performance Shares under our long-term incentive program, as illustrated below (see “— 2014 Incentive Programs — Pay for Performance,” “— 2014 Incentive Programs — Annual Incentives” and “— 2014 Incentive Programs — Long-Term Incentives” below for more information regarding these non-GAAP financial measures):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2014 Annual Incentive</w:t>
            </w:r>
          </w:p>
        </w:tc>
        <w:tc>
          <w:tcPr>
            <w:tcW w:w="44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Adjusted Operating Income (1/2 of award)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748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951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1,169 million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Free Cash Flow (1/2 of award)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 million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 million</w:t>
            </w:r>
          </w:p>
        </w:tc>
        <w:tc>
          <w:tcPr>
            <w:tcW w:w="0" w:type="dxa"/>
            <w:vAlign w:val="bottom"/>
          </w:tcPr>
          <w:p>
            <w:pPr>
              <w:spacing w:after="0"/>
              <w:rPr>
                <w:sz w:val="1"/>
                <w:szCs w:val="1"/>
                <w:color w:val="auto"/>
              </w:rPr>
            </w:pPr>
          </w:p>
        </w:tc>
      </w:tr>
      <w:tr>
        <w:trPr>
          <w:trHeight w:val="284"/>
        </w:trPr>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2012-2014 Performance Shares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ROIC (2/3 of award)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Cumulative Pre-Tax Income (1/3 of award)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1,682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2,102 million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2,628 million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2,098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80" w:hanging="452"/>
        <w:spacing w:after="0" w:line="239"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Adjusted earnings per share is a non-GAAP financial measure, and we are including our 2014 results for this measure to show an aspect of our performance. Because this measure is not specifically used in our executive compensation program, we are required to include a reconciliation to our audited GAAP financial statements. Appendix A to this proxy statement contains a reconciliation of adjusted earnings per share to the most directly comparable GAAP financial measure.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highlights of our 2014 executive compensation program resulting from our 2014 Company financial performance were as follows:</w:t>
      </w:r>
    </w:p>
    <w:p>
      <w:pPr>
        <w:spacing w:after="0" w:line="90" w:lineRule="exact"/>
        <w:rPr>
          <w:sz w:val="20"/>
          <w:szCs w:val="20"/>
          <w:color w:val="auto"/>
        </w:rPr>
      </w:pPr>
    </w:p>
    <w:p>
      <w:pPr>
        <w:ind w:left="660" w:right="100" w:hanging="206"/>
        <w:spacing w:after="0" w:line="33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Incentive payouts were commensurate with our financial results. Annual incentive awards were earned at 175% of the targeted level and the 2012-2014 cycle of long-term Performance Shares was earned at 167% of the targeted level based on achievement of the financial goals outlined above.</w:t>
      </w:r>
    </w:p>
    <w:p>
      <w:pPr>
        <w:spacing w:after="0" w:line="4" w:lineRule="exact"/>
        <w:rPr>
          <w:rFonts w:ascii="Arial" w:cs="Arial" w:eastAsia="Arial" w:hAnsi="Arial"/>
          <w:sz w:val="16"/>
          <w:szCs w:val="16"/>
          <w:color w:val="auto"/>
        </w:rPr>
      </w:pPr>
    </w:p>
    <w:p>
      <w:pPr>
        <w:ind w:left="660" w:hanging="206"/>
        <w:spacing w:after="0" w:line="29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Lear Corporation 2009 Long-Term Stock Incentive Plan (“LTSIP”) allows for the grant of various service-based and performance-based equity awards. For 2014, long-term incentive awards granted in February 2014 to our Named Executive Officers were solely in the form of equity to further link the interests of our executives with those of our stockholders. For 2014, we awarded Performance Shares to represent 75% of the value of our long-term incentive award. We awarded Performance Shares in order to link our executives’ interests with those of our stockholders while also rewarding executives based on our financial performance. The resulting grant mix for 2014 was 75% Performance Shares / 25% service-based restricted stock units (“RSUs”), based on grant date target award values.</w:t>
      </w:r>
    </w:p>
    <w:p>
      <w:pPr>
        <w:spacing w:after="0" w:line="12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THINGS WE DO OR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0</wp:posOffset>
            </wp:positionV>
            <wp:extent cx="11322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(see page 38)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(see page 39)</w:t>
      </w:r>
    </w:p>
    <w:p>
      <w:pPr>
        <w:spacing w:after="0" w:line="9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Independent Compensation Consultant for Compensation Committee </w:t>
      </w:r>
      <w:r>
        <w:rPr>
          <w:rFonts w:ascii="Arial" w:cs="Arial" w:eastAsia="Arial" w:hAnsi="Arial"/>
          <w:sz w:val="18"/>
          <w:szCs w:val="18"/>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page 31)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Annual Market Practices and Compensation Risk Review </w:t>
      </w:r>
      <w:r>
        <w:rPr>
          <w:rFonts w:ascii="Arial" w:cs="Arial" w:eastAsia="Arial" w:hAnsi="Arial"/>
          <w:sz w:val="16"/>
          <w:szCs w:val="16"/>
          <w:color w:val="auto"/>
        </w:rPr>
        <w:t>(see page 31)</w:t>
      </w:r>
    </w:p>
    <w:p>
      <w:pPr>
        <w:spacing w:after="0" w:line="113" w:lineRule="exact"/>
        <w:rPr>
          <w:sz w:val="20"/>
          <w:szCs w:val="20"/>
          <w:color w:val="auto"/>
        </w:rPr>
      </w:pPr>
    </w:p>
    <w:p>
      <w:pPr>
        <w:ind w:right="2560"/>
        <w:spacing w:after="0" w:line="334" w:lineRule="auto"/>
        <w:rPr>
          <w:sz w:val="20"/>
          <w:szCs w:val="20"/>
          <w:color w:val="auto"/>
        </w:rPr>
      </w:pPr>
      <w:r>
        <w:rPr>
          <w:rFonts w:ascii="Arial" w:cs="Arial" w:eastAsia="Arial" w:hAnsi="Arial"/>
          <w:sz w:val="16"/>
          <w:szCs w:val="16"/>
          <w:b w:val="1"/>
          <w:bCs w:val="1"/>
          <w:color w:val="auto"/>
        </w:rPr>
        <w:t xml:space="preserve">High Percentage of Performance-Based Pay </w:t>
      </w:r>
      <w:r>
        <w:rPr>
          <w:rFonts w:ascii="Arial" w:cs="Arial" w:eastAsia="Arial" w:hAnsi="Arial"/>
          <w:sz w:val="16"/>
          <w:szCs w:val="16"/>
          <w:color w:val="auto"/>
        </w:rPr>
        <w:t>(see the charts below and page 33)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Balanced Mix of Performance Measures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pages 33 to 34)</w:t>
      </w:r>
    </w:p>
    <w:p>
      <w:pPr>
        <w:spacing w:after="0" w:line="78" w:lineRule="exact"/>
        <w:rPr>
          <w:sz w:val="20"/>
          <w:szCs w:val="20"/>
          <w:color w:val="auto"/>
        </w:rPr>
      </w:pPr>
    </w:p>
    <w:p>
      <w:pPr>
        <w:ind w:right="2480"/>
        <w:spacing w:after="0" w:line="275" w:lineRule="auto"/>
        <w:rPr>
          <w:sz w:val="20"/>
          <w:szCs w:val="20"/>
          <w:color w:val="auto"/>
        </w:rPr>
      </w:pPr>
      <w:r>
        <w:rPr>
          <w:rFonts w:ascii="Arial" w:cs="Arial" w:eastAsia="Arial" w:hAnsi="Arial"/>
          <w:sz w:val="18"/>
          <w:szCs w:val="18"/>
          <w:b w:val="1"/>
          <w:bCs w:val="1"/>
          <w:color w:val="auto"/>
        </w:rPr>
        <w:t xml:space="preserve">Pay Program Aligned with Business Strategy </w:t>
      </w:r>
      <w:r>
        <w:rPr>
          <w:rFonts w:ascii="Arial" w:cs="Arial" w:eastAsia="Arial" w:hAnsi="Arial"/>
          <w:sz w:val="18"/>
          <w:szCs w:val="18"/>
          <w:color w:val="auto"/>
        </w:rPr>
        <w:t>(see pages 33 to 34)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Ownership Guidelines and Holding Requirement </w:t>
      </w:r>
      <w:r>
        <w:rPr>
          <w:rFonts w:ascii="Arial" w:cs="Arial" w:eastAsia="Arial" w:hAnsi="Arial"/>
          <w:sz w:val="18"/>
          <w:szCs w:val="18"/>
          <w:color w:val="auto"/>
        </w:rPr>
        <w:t>(see page 36)</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THINGS WE DO NOT DO OR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0</wp:posOffset>
            </wp:positionV>
            <wp:extent cx="15093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Excise Tax Gross-Ups </w:t>
      </w:r>
      <w:r>
        <w:rPr>
          <w:rFonts w:ascii="Arial" w:cs="Arial" w:eastAsia="Arial" w:hAnsi="Arial"/>
          <w:sz w:val="18"/>
          <w:szCs w:val="18"/>
          <w:color w:val="auto"/>
        </w:rPr>
        <w:t>(see page 38)</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No Single-Trigger Change in Control Severance Benefits </w:t>
      </w:r>
      <w:r>
        <w:rPr>
          <w:rFonts w:ascii="Arial" w:cs="Arial" w:eastAsia="Arial" w:hAnsi="Arial"/>
          <w:sz w:val="18"/>
          <w:szCs w:val="18"/>
          <w:color w:val="auto"/>
        </w:rPr>
        <w:t>(see pages 37</w:t>
      </w:r>
      <w:r>
        <w:rPr>
          <w:rFonts w:ascii="Arial" w:cs="Arial" w:eastAsia="Arial" w:hAnsi="Arial"/>
          <w:sz w:val="18"/>
          <w:szCs w:val="18"/>
          <w:b w:val="1"/>
          <w:bCs w:val="1"/>
          <w:color w:val="auto"/>
        </w:rPr>
        <w:t xml:space="preserve"> </w:t>
      </w:r>
      <w:r>
        <w:rPr>
          <w:rFonts w:ascii="Arial" w:cs="Arial" w:eastAsia="Arial" w:hAnsi="Arial"/>
          <w:sz w:val="18"/>
          <w:szCs w:val="18"/>
          <w:color w:val="auto"/>
        </w:rPr>
        <w:t>to 38)</w:t>
      </w:r>
    </w:p>
    <w:p>
      <w:pPr>
        <w:spacing w:after="0" w:line="39"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No Single-Trigger Change in Control Vesting of Equity Awards </w:t>
      </w:r>
      <w:r>
        <w:rPr>
          <w:rFonts w:ascii="Arial" w:cs="Arial" w:eastAsia="Arial" w:hAnsi="Arial"/>
          <w:sz w:val="18"/>
          <w:szCs w:val="18"/>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pages 37 to 38)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Perquisites </w:t>
      </w:r>
      <w:r>
        <w:rPr>
          <w:rFonts w:ascii="Arial" w:cs="Arial" w:eastAsia="Arial" w:hAnsi="Arial"/>
          <w:sz w:val="18"/>
          <w:szCs w:val="18"/>
          <w:color w:val="auto"/>
        </w:rPr>
        <w:t>(see page 38)</w:t>
      </w:r>
    </w:p>
    <w:p>
      <w:pPr>
        <w:spacing w:after="0" w:line="90" w:lineRule="exact"/>
        <w:rPr>
          <w:sz w:val="20"/>
          <w:szCs w:val="20"/>
          <w:color w:val="auto"/>
        </w:rPr>
      </w:pPr>
    </w:p>
    <w:p>
      <w:pPr>
        <w:ind w:right="2280"/>
        <w:spacing w:after="0" w:line="275" w:lineRule="auto"/>
        <w:rPr>
          <w:sz w:val="20"/>
          <w:szCs w:val="20"/>
          <w:color w:val="auto"/>
        </w:rPr>
      </w:pPr>
      <w:r>
        <w:rPr>
          <w:rFonts w:ascii="Arial" w:cs="Arial" w:eastAsia="Arial" w:hAnsi="Arial"/>
          <w:sz w:val="18"/>
          <w:szCs w:val="18"/>
          <w:b w:val="1"/>
          <w:bCs w:val="1"/>
          <w:color w:val="auto"/>
        </w:rPr>
        <w:t xml:space="preserve">No Personal Usage of Corporate Aircraft </w:t>
      </w:r>
      <w:r>
        <w:rPr>
          <w:rFonts w:ascii="Arial" w:cs="Arial" w:eastAsia="Arial" w:hAnsi="Arial"/>
          <w:sz w:val="18"/>
          <w:szCs w:val="18"/>
          <w:color w:val="auto"/>
        </w:rPr>
        <w:t>(see page 38)</w:t>
      </w:r>
    </w:p>
    <w:p>
      <w:pPr>
        <w:sectPr>
          <w:pgSz w:w="11900" w:h="16838" w:orient="portrait"/>
          <w:cols w:equalWidth="0" w:num="2">
            <w:col w:w="5860" w:space="200"/>
            <w:col w:w="536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Total Direct Compensation Allocation (Assuming Performance-Based Components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143510</wp:posOffset>
            </wp:positionV>
            <wp:extent cx="5222875" cy="25126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228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continue to monitor our executive compensation programs and consider appropriate modifications that will allow us to drive achievement of our business strategy and targeted financial results, meet our talent needs and maintain fully-competitive compensation programs and practices to maximize long-term stockholder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Advisory Vote on Executive Compensation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Compensation Committee reviewed the results of the 2014 stockholder advisory vote on Named Executive Officer compensation and incorporated the results as one of the many factors considered in connection with the discharge of its responsibilities. Since a substantial majority (over 98%) of our stockholders voting at the annual meeting approved the compensation program described in our 2014 Proxy Statement, the Compensation Committee did not implement changes to our executive compensation program as a direct result of the stockholders’ advisory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objectives of our compensation policies are to:</w:t>
      </w:r>
    </w:p>
    <w:p>
      <w:pPr>
        <w:spacing w:after="0" w:line="9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link executive pay to Company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optimize profitability, cash flow and revenue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align management’s compensation with our business strategy and compensation philosophy;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promote teamwork within our group of global managers (our “One Lear” concept);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reward and retain the best available executive talent.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achieve these objectives, we believe that the total compensation program for executive officers should consist of the following:</w:t>
      </w:r>
    </w:p>
    <w:p>
      <w:pPr>
        <w:spacing w:after="0" w:line="9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base salary;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plan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health, welfare and other benefits;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termination/change in control benefits.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routinely reviews the elements noted above. In general, the Compensation Committee monitors compensation levels to ensure that a higher proportion of an executive’s total compensation is awarded in the form of variable and performance-based components (dependent on Company performance) as the executive’s responsibilities increase. The Compensation Committee reviews best practices and market trends and implications and selects the specific form of compensation within each of the above-referenced elements based on competitive industry practices, the cost to the Company versus the benefit provided to the recipient, the impact of accounting and tax rules and other relevant factors. Fundamentally, we target the amounts of each element of our executive compensation program to be, on average, at or near the market median. Actual compensation earned can be above or below the median commensurate with individual and Company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Compensation Committee targets base salaries, annual incentive awards, long-term incentive awards and total direct compensation of our executives on average to be at the median of the comparator group. In addition to pay benchmarking, other factors (including our business strategy, talent needs, and cost) are considered in setting target pay and incentive levels. Actual compensation will vary based on such factors as external business conditions, the Company’s actual financial performance, an executive’s performance, and achievement of specified management objectives. Overall performance may result in actual compensation levels that are more or less than the target. For 2014, the base salaries, targeted annual incentive awards, targeted long-term incentive awards and targeted total direct compensation for our Named Executive Officers were, on average, market competitive with the median level for comparable positions within our comparator group.</w:t>
      </w:r>
    </w:p>
    <w:p>
      <w:pPr>
        <w:spacing w:after="0" w:line="14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companies in our comparator group (the “Comparator Group”) are listed below. The criteria used to select the 21 peer companies focused on</w:t>
      </w:r>
    </w:p>
    <w:p>
      <w:pPr>
        <w:spacing w:after="0" w:line="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automotive parts and equipment, industrial machinery, heavy trucks and other durable goods manufacturing companies, generally with the following specifics:</w:t>
      </w:r>
    </w:p>
    <w:p>
      <w:pPr>
        <w:spacing w:after="0" w:line="32" w:lineRule="exact"/>
        <w:rPr>
          <w:sz w:val="20"/>
          <w:szCs w:val="20"/>
          <w:color w:val="auto"/>
        </w:rPr>
      </w:pPr>
    </w:p>
    <w:p>
      <w:pPr>
        <w:ind w:right="200" w:firstLine="8"/>
        <w:spacing w:after="0" w:line="253" w:lineRule="auto"/>
        <w:tabs>
          <w:tab w:leader="none" w:pos="2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revenues typically ranging from 0.5 times to 2.0 times the Company’s revenues (with a median near the Company’s revenues); (ii) global companies typically with U.S. headquarters; (iii) minimum market capitalization of $1 billion to avoid companies that may be distressed; and (iv) companies that are considered by independent proxy advisors to be the 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companies in the Comparator Group for 2014 are shown below. The revenues for this group in the most recent fiscal year ranged from $6.6 billion to $42.8 billion, with a median of $14.5 billion. Lear’s revenues for 2014 were $17.7 billion.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Comparator Group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BorgWarner Inc.</w:t>
            </w:r>
          </w:p>
        </w:tc>
        <w:tc>
          <w:tcPr>
            <w:tcW w:w="2820" w:type="dxa"/>
            <w:vAlign w:val="bottom"/>
          </w:tcPr>
          <w:p>
            <w:pPr>
              <w:ind w:left="720"/>
              <w:spacing w:after="0"/>
              <w:rPr>
                <w:sz w:val="20"/>
                <w:szCs w:val="20"/>
                <w:color w:val="auto"/>
              </w:rPr>
            </w:pPr>
            <w:r>
              <w:rPr>
                <w:rFonts w:ascii="Arial" w:cs="Arial" w:eastAsia="Arial" w:hAnsi="Arial"/>
                <w:sz w:val="14"/>
                <w:szCs w:val="14"/>
                <w:color w:val="auto"/>
              </w:rPr>
              <w:t>Eaton Corporation</w:t>
            </w:r>
          </w:p>
        </w:tc>
        <w:tc>
          <w:tcPr>
            <w:tcW w:w="3240" w:type="dxa"/>
            <w:vAlign w:val="bottom"/>
          </w:tcPr>
          <w:p>
            <w:pPr>
              <w:ind w:left="760"/>
              <w:spacing w:after="0"/>
              <w:rPr>
                <w:sz w:val="20"/>
                <w:szCs w:val="20"/>
                <w:color w:val="auto"/>
              </w:rPr>
            </w:pPr>
            <w:r>
              <w:rPr>
                <w:rFonts w:ascii="Arial" w:cs="Arial" w:eastAsia="Arial" w:hAnsi="Arial"/>
                <w:sz w:val="14"/>
                <w:szCs w:val="14"/>
                <w:color w:val="auto"/>
              </w:rPr>
              <w:t>Johnson Controls, Inc.</w:t>
            </w:r>
          </w:p>
        </w:tc>
        <w:tc>
          <w:tcPr>
            <w:tcW w:w="2400" w:type="dxa"/>
            <w:vAlign w:val="bottom"/>
          </w:tcPr>
          <w:p>
            <w:pPr>
              <w:ind w:left="580"/>
              <w:spacing w:after="0"/>
              <w:rPr>
                <w:sz w:val="20"/>
                <w:szCs w:val="20"/>
                <w:color w:val="auto"/>
              </w:rPr>
            </w:pPr>
            <w:r>
              <w:rPr>
                <w:rFonts w:ascii="Arial" w:cs="Arial" w:eastAsia="Arial" w:hAnsi="Arial"/>
                <w:sz w:val="14"/>
                <w:szCs w:val="14"/>
                <w:color w:val="auto"/>
              </w:rPr>
              <w:t>Tenneco Inc.</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Cummins Inc.</w:t>
            </w:r>
          </w:p>
        </w:tc>
        <w:tc>
          <w:tcPr>
            <w:tcW w:w="2820" w:type="dxa"/>
            <w:vAlign w:val="bottom"/>
          </w:tcPr>
          <w:p>
            <w:pPr>
              <w:ind w:left="720"/>
              <w:spacing w:after="0" w:line="149" w:lineRule="exact"/>
              <w:rPr>
                <w:sz w:val="20"/>
                <w:szCs w:val="20"/>
                <w:color w:val="auto"/>
              </w:rPr>
            </w:pPr>
            <w:r>
              <w:rPr>
                <w:rFonts w:ascii="Arial" w:cs="Arial" w:eastAsia="Arial" w:hAnsi="Arial"/>
                <w:sz w:val="14"/>
                <w:szCs w:val="14"/>
                <w:color w:val="auto"/>
              </w:rPr>
              <w:t>Emerson Electric</w:t>
            </w:r>
          </w:p>
        </w:tc>
        <w:tc>
          <w:tcPr>
            <w:tcW w:w="3240" w:type="dxa"/>
            <w:vAlign w:val="bottom"/>
          </w:tcPr>
          <w:p>
            <w:pPr>
              <w:ind w:left="760"/>
              <w:spacing w:after="0" w:line="149" w:lineRule="exact"/>
              <w:rPr>
                <w:sz w:val="20"/>
                <w:szCs w:val="20"/>
                <w:color w:val="auto"/>
              </w:rPr>
            </w:pPr>
            <w:r>
              <w:rPr>
                <w:rFonts w:ascii="Arial" w:cs="Arial" w:eastAsia="Arial" w:hAnsi="Arial"/>
                <w:sz w:val="14"/>
                <w:szCs w:val="14"/>
                <w:color w:val="auto"/>
              </w:rPr>
              <w:t>L-3 Communications Holdings Inc.</w:t>
            </w:r>
          </w:p>
        </w:tc>
        <w:tc>
          <w:tcPr>
            <w:tcW w:w="2400" w:type="dxa"/>
            <w:vAlign w:val="bottom"/>
          </w:tcPr>
          <w:p>
            <w:pPr>
              <w:ind w:left="580"/>
              <w:spacing w:after="0" w:line="149" w:lineRule="exact"/>
              <w:rPr>
                <w:sz w:val="20"/>
                <w:szCs w:val="20"/>
                <w:color w:val="auto"/>
              </w:rPr>
            </w:pPr>
            <w:r>
              <w:rPr>
                <w:rFonts w:ascii="Arial" w:cs="Arial" w:eastAsia="Arial" w:hAnsi="Arial"/>
                <w:sz w:val="14"/>
                <w:szCs w:val="14"/>
                <w:color w:val="auto"/>
              </w:rPr>
              <w:t>Textron</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Dana Holding Corporation</w:t>
            </w:r>
          </w:p>
        </w:tc>
        <w:tc>
          <w:tcPr>
            <w:tcW w:w="2820" w:type="dxa"/>
            <w:vAlign w:val="bottom"/>
          </w:tcPr>
          <w:p>
            <w:pPr>
              <w:ind w:left="720"/>
              <w:spacing w:after="0" w:line="149" w:lineRule="exact"/>
              <w:rPr>
                <w:sz w:val="20"/>
                <w:szCs w:val="20"/>
                <w:color w:val="auto"/>
              </w:rPr>
            </w:pPr>
            <w:r>
              <w:rPr>
                <w:rFonts w:ascii="Arial" w:cs="Arial" w:eastAsia="Arial" w:hAnsi="Arial"/>
                <w:sz w:val="14"/>
                <w:szCs w:val="14"/>
                <w:color w:val="auto"/>
              </w:rPr>
              <w:t>Goodyear Tire &amp; Rubber</w:t>
            </w:r>
          </w:p>
        </w:tc>
        <w:tc>
          <w:tcPr>
            <w:tcW w:w="3240" w:type="dxa"/>
            <w:vAlign w:val="bottom"/>
          </w:tcPr>
          <w:p>
            <w:pPr>
              <w:ind w:left="760"/>
              <w:spacing w:after="0" w:line="149" w:lineRule="exact"/>
              <w:rPr>
                <w:sz w:val="20"/>
                <w:szCs w:val="20"/>
                <w:color w:val="auto"/>
              </w:rPr>
            </w:pPr>
            <w:r>
              <w:rPr>
                <w:rFonts w:ascii="Arial" w:cs="Arial" w:eastAsia="Arial" w:hAnsi="Arial"/>
                <w:sz w:val="14"/>
                <w:szCs w:val="14"/>
                <w:color w:val="auto"/>
              </w:rPr>
              <w:t>Navistar International</w:t>
            </w:r>
          </w:p>
        </w:tc>
        <w:tc>
          <w:tcPr>
            <w:tcW w:w="2400" w:type="dxa"/>
            <w:vAlign w:val="bottom"/>
          </w:tcPr>
          <w:p>
            <w:pPr>
              <w:ind w:left="580"/>
              <w:spacing w:after="0" w:line="149" w:lineRule="exact"/>
              <w:rPr>
                <w:sz w:val="20"/>
                <w:szCs w:val="20"/>
                <w:color w:val="auto"/>
              </w:rPr>
            </w:pPr>
            <w:r>
              <w:rPr>
                <w:rFonts w:ascii="Arial" w:cs="Arial" w:eastAsia="Arial" w:hAnsi="Arial"/>
                <w:sz w:val="14"/>
                <w:szCs w:val="14"/>
                <w:color w:val="auto"/>
                <w:w w:val="88"/>
              </w:rPr>
              <w:t>TRW Automotive Holdings Corp.</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Deere &amp; Company</w:t>
            </w:r>
          </w:p>
        </w:tc>
        <w:tc>
          <w:tcPr>
            <w:tcW w:w="2820" w:type="dxa"/>
            <w:vAlign w:val="bottom"/>
          </w:tcPr>
          <w:p>
            <w:pPr>
              <w:ind w:left="720"/>
              <w:spacing w:after="0" w:line="149" w:lineRule="exact"/>
              <w:rPr>
                <w:sz w:val="20"/>
                <w:szCs w:val="20"/>
                <w:color w:val="auto"/>
              </w:rPr>
            </w:pPr>
            <w:r>
              <w:rPr>
                <w:rFonts w:ascii="Arial" w:cs="Arial" w:eastAsia="Arial" w:hAnsi="Arial"/>
                <w:sz w:val="14"/>
                <w:szCs w:val="14"/>
                <w:color w:val="auto"/>
              </w:rPr>
              <w:t>Illinois Tool Works</w:t>
            </w:r>
          </w:p>
        </w:tc>
        <w:tc>
          <w:tcPr>
            <w:tcW w:w="3240" w:type="dxa"/>
            <w:vAlign w:val="bottom"/>
          </w:tcPr>
          <w:p>
            <w:pPr>
              <w:ind w:left="760"/>
              <w:spacing w:after="0" w:line="149" w:lineRule="exact"/>
              <w:rPr>
                <w:sz w:val="20"/>
                <w:szCs w:val="20"/>
                <w:color w:val="auto"/>
              </w:rPr>
            </w:pPr>
            <w:r>
              <w:rPr>
                <w:rFonts w:ascii="Arial" w:cs="Arial" w:eastAsia="Arial" w:hAnsi="Arial"/>
                <w:sz w:val="14"/>
                <w:szCs w:val="14"/>
                <w:color w:val="auto"/>
              </w:rPr>
              <w:t>PACCAR Inc.</w:t>
            </w:r>
          </w:p>
        </w:tc>
        <w:tc>
          <w:tcPr>
            <w:tcW w:w="2400" w:type="dxa"/>
            <w:vAlign w:val="bottom"/>
          </w:tcPr>
          <w:p>
            <w:pPr>
              <w:ind w:left="580"/>
              <w:spacing w:after="0" w:line="149" w:lineRule="exact"/>
              <w:rPr>
                <w:sz w:val="20"/>
                <w:szCs w:val="20"/>
                <w:color w:val="auto"/>
              </w:rPr>
            </w:pPr>
            <w:r>
              <w:rPr>
                <w:rFonts w:ascii="Arial" w:cs="Arial" w:eastAsia="Arial" w:hAnsi="Arial"/>
                <w:sz w:val="14"/>
                <w:szCs w:val="14"/>
                <w:color w:val="auto"/>
              </w:rPr>
              <w:t>Visteon Corporation</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Delphi Automotive</w:t>
            </w:r>
          </w:p>
        </w:tc>
        <w:tc>
          <w:tcPr>
            <w:tcW w:w="2820" w:type="dxa"/>
            <w:vAlign w:val="bottom"/>
          </w:tcPr>
          <w:p>
            <w:pPr>
              <w:ind w:left="720"/>
              <w:spacing w:after="0" w:line="149" w:lineRule="exact"/>
              <w:rPr>
                <w:sz w:val="20"/>
                <w:szCs w:val="20"/>
                <w:color w:val="auto"/>
              </w:rPr>
            </w:pPr>
            <w:r>
              <w:rPr>
                <w:rFonts w:ascii="Arial" w:cs="Arial" w:eastAsia="Arial" w:hAnsi="Arial"/>
                <w:sz w:val="14"/>
                <w:szCs w:val="14"/>
                <w:color w:val="auto"/>
              </w:rPr>
              <w:t>Ingersoll-Rand Plc</w:t>
            </w:r>
          </w:p>
        </w:tc>
        <w:tc>
          <w:tcPr>
            <w:tcW w:w="3240" w:type="dxa"/>
            <w:vAlign w:val="bottom"/>
          </w:tcPr>
          <w:p>
            <w:pPr>
              <w:ind w:left="760"/>
              <w:spacing w:after="0" w:line="149" w:lineRule="exact"/>
              <w:rPr>
                <w:sz w:val="20"/>
                <w:szCs w:val="20"/>
                <w:color w:val="auto"/>
              </w:rPr>
            </w:pPr>
            <w:r>
              <w:rPr>
                <w:rFonts w:ascii="Arial" w:cs="Arial" w:eastAsia="Arial" w:hAnsi="Arial"/>
                <w:sz w:val="14"/>
                <w:szCs w:val="14"/>
                <w:color w:val="auto"/>
              </w:rPr>
              <w:t>Parker Hannifin</w:t>
            </w:r>
          </w:p>
        </w:tc>
        <w:tc>
          <w:tcPr>
            <w:tcW w:w="2400" w:type="dxa"/>
            <w:vAlign w:val="bottom"/>
          </w:tcPr>
          <w:p>
            <w:pPr>
              <w:ind w:left="580"/>
              <w:spacing w:after="0" w:line="149" w:lineRule="exact"/>
              <w:rPr>
                <w:sz w:val="20"/>
                <w:szCs w:val="20"/>
                <w:color w:val="auto"/>
              </w:rPr>
            </w:pPr>
            <w:r>
              <w:rPr>
                <w:rFonts w:ascii="Arial" w:cs="Arial" w:eastAsia="Arial" w:hAnsi="Arial"/>
                <w:sz w:val="14"/>
                <w:szCs w:val="14"/>
                <w:color w:val="auto"/>
              </w:rPr>
              <w:t>Whirlpool</w:t>
            </w:r>
          </w:p>
        </w:tc>
      </w:tr>
      <w:tr>
        <w:trPr>
          <w:trHeight w:val="172"/>
        </w:trPr>
        <w:tc>
          <w:tcPr>
            <w:tcW w:w="2160" w:type="dxa"/>
            <w:vAlign w:val="bottom"/>
          </w:tcPr>
          <w:p>
            <w:pPr>
              <w:spacing w:after="0"/>
              <w:rPr>
                <w:sz w:val="20"/>
                <w:szCs w:val="20"/>
                <w:color w:val="auto"/>
              </w:rPr>
            </w:pPr>
            <w:r>
              <w:rPr>
                <w:rFonts w:ascii="Arial" w:cs="Arial" w:eastAsia="Arial" w:hAnsi="Arial"/>
                <w:sz w:val="14"/>
                <w:szCs w:val="14"/>
                <w:color w:val="auto"/>
              </w:rPr>
              <w:t>Dover Corporation</w:t>
            </w:r>
          </w:p>
        </w:tc>
        <w:tc>
          <w:tcPr>
            <w:tcW w:w="2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Compensation Review</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Compensation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salary, annual incentive and long-term incentive compensation, and, with respect to our qualified and non-qualified executive retirement plans, outstanding balances and the actual projected payout obligations. The materials reviewed also contain potential payment obligations under our executive employment agreements, including an analysis of the resulting impact created by a change in control of the Company. The Compensation Committee reviews total compensation summaries or tally sheets for our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 in Setting Compensation Levels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Our human resources executives and staff support the Compensation Committee in its work. They also work with compensation consultants, whose engagements have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and, for most compensation topics for which the Compensation Committee is responsible, it has directed Pay Governance to work with management to develop recommendations that reflect the Compensation Committee’s objectives for the compensation program. Pay Governance performs no other services for the Company. The Compensation Committee has final authority to approve, modify or reject these recommendations and to make its decisions in executive session. Our President and CEO generally does not attend meetings of the Compensation Committee. However, if he does attend, he may provide input with respect to compensation of the executive officers (other than himself) but is otherwise not involved in decisions of the Compensation Committee affecting the compensation of our executive officers. While our Chief Financial Officer, General Counsel, Senior Vice President of Human Resources and other members of our human resources management attend such meetings to provide information, present materials to the Compensation Committee and answer related questions,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they are not involved in decisions of the Compensation Committee affecting the compensation of our executive officers. The Compensation Committee typically meets in executive session after each of its regularly scheduled meetings to discuss and make executive compensation decisions.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 of Compensation Committee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generally has the discretion to make awards under our incentive plans to our executive officers, including the Named Executive Officers. The Compensation Committee did not exercise discretion in 2014 to increase or reduce the size of any award or to award compensation when a performance goal was not achieved.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compensation program is designed to attract and retain executives through a mix of short-term and long-term compensation, fixed and variable pay and cash and equity-based compensation, while emphasizing our philosophy of providing pay for performance. A summary of the total direct core compensation elements (base salary, annual incentives and long-term incentives) follows below. Retirement plan benefits, termination/change in control benefits, and certain health, welfare and other benefits are not included in this table, but additional information about these programs can be found on pages 37 to 38:</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40" w:type="dxa"/>
            <w:vAlign w:val="bottom"/>
            <w:tcBorders>
              <w:top w:val="single" w:sz="8" w:color="auto"/>
              <w:left w:val="single" w:sz="8" w:color="auto"/>
            </w:tcBorders>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Fixed vs.</w:t>
            </w:r>
          </w:p>
        </w:tc>
        <w:tc>
          <w:tcPr>
            <w:tcW w:w="7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Cash vs.</w:t>
            </w:r>
          </w:p>
        </w:tc>
        <w:tc>
          <w:tcPr>
            <w:tcW w:w="13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r>
      <w:tr>
        <w:trPr>
          <w:trHeight w:val="175"/>
        </w:trPr>
        <w:tc>
          <w:tcPr>
            <w:tcW w:w="19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Purpose</w:t>
            </w:r>
          </w:p>
        </w:tc>
        <w:tc>
          <w:tcPr>
            <w:tcW w:w="3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Performance Measure(s)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Variable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Range</w:t>
            </w:r>
          </w:p>
        </w:tc>
      </w:tr>
      <w:tr>
        <w:trPr>
          <w:trHeight w:val="201"/>
        </w:trPr>
        <w:tc>
          <w:tcPr>
            <w:tcW w:w="1940" w:type="dxa"/>
            <w:vAlign w:val="bottom"/>
            <w:tcBorders>
              <w:left w:val="single" w:sz="8" w:color="auto"/>
            </w:tcBorders>
          </w:tcPr>
          <w:p>
            <w:pPr>
              <w:ind w:left="260"/>
              <w:spacing w:after="0" w:line="201" w:lineRule="exact"/>
              <w:rPr>
                <w:sz w:val="20"/>
                <w:szCs w:val="20"/>
                <w:color w:val="auto"/>
              </w:rPr>
            </w:pPr>
            <w:r>
              <w:rPr>
                <w:rFonts w:ascii="Arial" w:cs="Arial" w:eastAsia="Arial" w:hAnsi="Arial"/>
                <w:sz w:val="18"/>
                <w:szCs w:val="18"/>
                <w:color w:val="auto"/>
              </w:rPr>
              <w:t>Base Salary</w:t>
            </w:r>
          </w:p>
        </w:tc>
        <w:tc>
          <w:tcPr>
            <w:tcW w:w="3440" w:type="dxa"/>
            <w:vAlign w:val="bottom"/>
          </w:tcPr>
          <w:p>
            <w:pPr>
              <w:ind w:left="100"/>
              <w:spacing w:after="0" w:line="201" w:lineRule="exact"/>
              <w:rPr>
                <w:sz w:val="20"/>
                <w:szCs w:val="20"/>
                <w:color w:val="auto"/>
              </w:rPr>
            </w:pPr>
            <w:r>
              <w:rPr>
                <w:rFonts w:ascii="Arial" w:cs="Arial" w:eastAsia="Arial" w:hAnsi="Arial"/>
                <w:sz w:val="18"/>
                <w:szCs w:val="18"/>
                <w:color w:val="auto"/>
                <w:w w:val="97"/>
              </w:rPr>
              <w:t>Provide a competitive rate of pay to attract,</w:t>
            </w:r>
          </w:p>
        </w:tc>
        <w:tc>
          <w:tcPr>
            <w:tcW w:w="3100" w:type="dxa"/>
            <w:vAlign w:val="bottom"/>
          </w:tcPr>
          <w:p>
            <w:pPr>
              <w:ind w:left="80"/>
              <w:spacing w:after="0" w:line="201" w:lineRule="exact"/>
              <w:rPr>
                <w:sz w:val="20"/>
                <w:szCs w:val="20"/>
                <w:color w:val="auto"/>
              </w:rPr>
            </w:pPr>
            <w:r>
              <w:rPr>
                <w:rFonts w:ascii="Arial" w:cs="Arial" w:eastAsia="Arial" w:hAnsi="Arial"/>
                <w:sz w:val="18"/>
                <w:szCs w:val="18"/>
                <w:color w:val="auto"/>
                <w:w w:val="92"/>
              </w:rPr>
              <w:t>Individual performance, experience, time</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Fixed</w:t>
            </w: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85"/>
              </w:rPr>
              <w:t>Cash</w:t>
            </w:r>
          </w:p>
        </w:tc>
        <w:tc>
          <w:tcPr>
            <w:tcW w:w="13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n/a</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w w:val="95"/>
              </w:rPr>
              <w:t>motivate and retain executive officers of the</w:t>
            </w:r>
          </w:p>
        </w:tc>
        <w:tc>
          <w:tcPr>
            <w:tcW w:w="3100" w:type="dxa"/>
            <w:vAlign w:val="bottom"/>
          </w:tcPr>
          <w:p>
            <w:pPr>
              <w:ind w:left="80"/>
              <w:spacing w:after="0"/>
              <w:rPr>
                <w:sz w:val="20"/>
                <w:szCs w:val="20"/>
                <w:color w:val="auto"/>
              </w:rPr>
            </w:pPr>
            <w:r>
              <w:rPr>
                <w:rFonts w:ascii="Arial" w:cs="Arial" w:eastAsia="Arial" w:hAnsi="Arial"/>
                <w:sz w:val="18"/>
                <w:szCs w:val="18"/>
                <w:color w:val="auto"/>
              </w:rPr>
              <w:t>in position and critical skills</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23"/>
        </w:trPr>
        <w:tc>
          <w:tcPr>
            <w:tcW w:w="1940" w:type="dxa"/>
            <w:vAlign w:val="bottom"/>
            <w:tcBorders>
              <w:left w:val="single" w:sz="8" w:color="auto"/>
              <w:bottom w:val="single" w:sz="8" w:color="auto"/>
            </w:tcBorders>
          </w:tcPr>
          <w:p>
            <w:pPr>
              <w:spacing w:after="0"/>
              <w:rPr>
                <w:sz w:val="19"/>
                <w:szCs w:val="19"/>
                <w:color w:val="auto"/>
              </w:rPr>
            </w:pPr>
          </w:p>
        </w:tc>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Company</w:t>
            </w:r>
          </w:p>
        </w:tc>
        <w:tc>
          <w:tcPr>
            <w:tcW w:w="3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297"/>
        </w:trPr>
        <w:tc>
          <w:tcPr>
            <w:tcW w:w="19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w w:val="95"/>
              </w:rPr>
              <w:t>Annual Incentive Plan</w:t>
            </w:r>
          </w:p>
        </w:tc>
        <w:tc>
          <w:tcPr>
            <w:tcW w:w="3440" w:type="dxa"/>
            <w:vAlign w:val="bottom"/>
          </w:tcPr>
          <w:p>
            <w:pPr>
              <w:ind w:left="100"/>
              <w:spacing w:after="0"/>
              <w:rPr>
                <w:sz w:val="20"/>
                <w:szCs w:val="20"/>
                <w:color w:val="auto"/>
              </w:rPr>
            </w:pPr>
            <w:r>
              <w:rPr>
                <w:rFonts w:ascii="Arial" w:cs="Arial" w:eastAsia="Arial" w:hAnsi="Arial"/>
                <w:sz w:val="18"/>
                <w:szCs w:val="18"/>
                <w:color w:val="auto"/>
                <w:w w:val="93"/>
              </w:rPr>
              <w:t>Align a portion of annual pay to performance</w:t>
            </w:r>
          </w:p>
        </w:tc>
        <w:tc>
          <w:tcPr>
            <w:tcW w:w="3100" w:type="dxa"/>
            <w:vAlign w:val="bottom"/>
          </w:tcPr>
          <w:p>
            <w:pPr>
              <w:ind w:left="80"/>
              <w:spacing w:after="0"/>
              <w:rPr>
                <w:sz w:val="20"/>
                <w:szCs w:val="20"/>
                <w:color w:val="auto"/>
              </w:rPr>
            </w:pPr>
            <w:r>
              <w:rPr>
                <w:rFonts w:ascii="Arial" w:cs="Arial" w:eastAsia="Arial" w:hAnsi="Arial"/>
                <w:sz w:val="18"/>
                <w:szCs w:val="18"/>
                <w:color w:val="auto"/>
              </w:rPr>
              <w:t>Adjusted Operating Income (50%)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Cash</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0-200% of</w:t>
            </w:r>
          </w:p>
        </w:tc>
      </w:tr>
      <w:tr>
        <w:trPr>
          <w:trHeight w:val="231"/>
        </w:trPr>
        <w:tc>
          <w:tcPr>
            <w:tcW w:w="194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(AIP)</w:t>
            </w:r>
          </w:p>
        </w:tc>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against key goals and objectives for the year</w:t>
            </w:r>
          </w:p>
        </w:tc>
        <w:tc>
          <w:tcPr>
            <w:tcW w:w="3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Free Cash Flow (50%)</w:t>
            </w: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target</w:t>
            </w:r>
          </w:p>
        </w:tc>
      </w:tr>
      <w:tr>
        <w:trPr>
          <w:trHeight w:val="302"/>
        </w:trPr>
        <w:tc>
          <w:tcPr>
            <w:tcW w:w="19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Performance Shares</w:t>
            </w:r>
          </w:p>
        </w:tc>
        <w:tc>
          <w:tcPr>
            <w:tcW w:w="3440" w:type="dxa"/>
            <w:vAlign w:val="bottom"/>
          </w:tcPr>
          <w:p>
            <w:pPr>
              <w:ind w:left="100"/>
              <w:spacing w:after="0"/>
              <w:rPr>
                <w:sz w:val="20"/>
                <w:szCs w:val="20"/>
                <w:color w:val="auto"/>
              </w:rPr>
            </w:pPr>
            <w:r>
              <w:rPr>
                <w:rFonts w:ascii="Arial" w:cs="Arial" w:eastAsia="Arial" w:hAnsi="Arial"/>
                <w:sz w:val="18"/>
                <w:szCs w:val="18"/>
                <w:color w:val="auto"/>
              </w:rPr>
              <w:t>Align executive pay with long-term</w:t>
            </w:r>
          </w:p>
        </w:tc>
        <w:tc>
          <w:tcPr>
            <w:tcW w:w="3100" w:type="dxa"/>
            <w:vAlign w:val="bottom"/>
          </w:tcPr>
          <w:p>
            <w:pPr>
              <w:ind w:left="80"/>
              <w:spacing w:after="0"/>
              <w:rPr>
                <w:sz w:val="20"/>
                <w:szCs w:val="20"/>
                <w:color w:val="auto"/>
              </w:rPr>
            </w:pPr>
            <w:r>
              <w:rPr>
                <w:rFonts w:ascii="Arial" w:cs="Arial" w:eastAsia="Arial" w:hAnsi="Arial"/>
                <w:sz w:val="18"/>
                <w:szCs w:val="18"/>
                <w:color w:val="auto"/>
              </w:rPr>
              <w:t>Adjusted Return on Invested Capital</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0-200% of</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w w:val="97"/>
              </w:rPr>
              <w:t>stockholder interests through equity-based</w:t>
            </w:r>
          </w:p>
        </w:tc>
        <w:tc>
          <w:tcPr>
            <w:tcW w:w="3100" w:type="dxa"/>
            <w:vAlign w:val="bottom"/>
          </w:tcPr>
          <w:p>
            <w:pPr>
              <w:ind w:left="80"/>
              <w:spacing w:after="0"/>
              <w:rPr>
                <w:sz w:val="20"/>
                <w:szCs w:val="20"/>
                <w:color w:val="auto"/>
              </w:rPr>
            </w:pPr>
            <w:r>
              <w:rPr>
                <w:rFonts w:ascii="Arial" w:cs="Arial" w:eastAsia="Arial" w:hAnsi="Arial"/>
                <w:sz w:val="18"/>
                <w:szCs w:val="18"/>
                <w:color w:val="auto"/>
              </w:rPr>
              <w:t>(ROIC) (66 2/3%)</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target number</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w w:val="90"/>
              </w:rPr>
              <w:t>compensation tied to key performance metrics</w:t>
            </w:r>
          </w:p>
        </w:tc>
        <w:tc>
          <w:tcPr>
            <w:tcW w:w="3100" w:type="dxa"/>
            <w:vAlign w:val="bottom"/>
          </w:tcPr>
          <w:p>
            <w:pPr>
              <w:ind w:left="80"/>
              <w:spacing w:after="0"/>
              <w:rPr>
                <w:sz w:val="20"/>
                <w:szCs w:val="20"/>
                <w:color w:val="auto"/>
              </w:rPr>
            </w:pPr>
            <w:r>
              <w:rPr>
                <w:rFonts w:ascii="Arial" w:cs="Arial" w:eastAsia="Arial" w:hAnsi="Arial"/>
                <w:sz w:val="18"/>
                <w:szCs w:val="18"/>
                <w:color w:val="auto"/>
                <w:w w:val="97"/>
              </w:rPr>
              <w:t>Cumulative Pre-Tax Income (33 1/3%)</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of shares;</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of the Company</w:t>
            </w:r>
          </w:p>
        </w:tc>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performance</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share value</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fluctuates with</w:t>
            </w:r>
          </w:p>
        </w:tc>
      </w:tr>
      <w:tr>
        <w:trPr>
          <w:trHeight w:val="216"/>
        </w:trPr>
        <w:tc>
          <w:tcPr>
            <w:tcW w:w="1940" w:type="dxa"/>
            <w:vAlign w:val="bottom"/>
            <w:tcBorders>
              <w:lef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price</w:t>
            </w:r>
          </w:p>
        </w:tc>
      </w:tr>
      <w:tr>
        <w:trPr>
          <w:trHeight w:val="223"/>
        </w:trPr>
        <w:tc>
          <w:tcPr>
            <w:tcW w:w="1940" w:type="dxa"/>
            <w:vAlign w:val="bottom"/>
            <w:tcBorders>
              <w:left w:val="single" w:sz="8" w:color="auto"/>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movement</w:t>
            </w:r>
          </w:p>
        </w:tc>
      </w:tr>
      <w:tr>
        <w:trPr>
          <w:trHeight w:val="297"/>
        </w:trPr>
        <w:tc>
          <w:tcPr>
            <w:tcW w:w="19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w w:val="93"/>
              </w:rPr>
              <w:t>Restricted Stock Units</w:t>
            </w:r>
          </w:p>
        </w:tc>
        <w:tc>
          <w:tcPr>
            <w:tcW w:w="3440" w:type="dxa"/>
            <w:vAlign w:val="bottom"/>
          </w:tcPr>
          <w:p>
            <w:pPr>
              <w:ind w:left="100"/>
              <w:spacing w:after="0"/>
              <w:rPr>
                <w:sz w:val="20"/>
                <w:szCs w:val="20"/>
                <w:color w:val="auto"/>
              </w:rPr>
            </w:pPr>
            <w:r>
              <w:rPr>
                <w:rFonts w:ascii="Arial" w:cs="Arial" w:eastAsia="Arial" w:hAnsi="Arial"/>
                <w:sz w:val="18"/>
                <w:szCs w:val="18"/>
                <w:color w:val="auto"/>
                <w:w w:val="98"/>
              </w:rPr>
              <w:t>Directly align executive pay with long-term</w:t>
            </w:r>
          </w:p>
        </w:tc>
        <w:tc>
          <w:tcPr>
            <w:tcW w:w="3100" w:type="dxa"/>
            <w:vAlign w:val="bottom"/>
          </w:tcPr>
          <w:p>
            <w:pPr>
              <w:ind w:left="80"/>
              <w:spacing w:after="0"/>
              <w:rPr>
                <w:sz w:val="20"/>
                <w:szCs w:val="20"/>
                <w:color w:val="auto"/>
              </w:rPr>
            </w:pPr>
            <w:r>
              <w:rPr>
                <w:rFonts w:ascii="Arial" w:cs="Arial" w:eastAsia="Arial" w:hAnsi="Arial"/>
                <w:sz w:val="18"/>
                <w:szCs w:val="18"/>
                <w:color w:val="auto"/>
              </w:rPr>
              <w:t>Stock price alignment</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Fluctuates with</w:t>
            </w:r>
          </w:p>
        </w:tc>
      </w:tr>
      <w:tr>
        <w:trPr>
          <w:trHeight w:val="216"/>
        </w:trPr>
        <w:tc>
          <w:tcPr>
            <w:tcW w:w="19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(RSUs)</w:t>
            </w:r>
          </w:p>
        </w:tc>
        <w:tc>
          <w:tcPr>
            <w:tcW w:w="3440" w:type="dxa"/>
            <w:vAlign w:val="bottom"/>
          </w:tcPr>
          <w:p>
            <w:pPr>
              <w:ind w:left="100"/>
              <w:spacing w:after="0"/>
              <w:rPr>
                <w:sz w:val="20"/>
                <w:szCs w:val="20"/>
                <w:color w:val="auto"/>
              </w:rPr>
            </w:pPr>
            <w:r>
              <w:rPr>
                <w:rFonts w:ascii="Arial" w:cs="Arial" w:eastAsia="Arial" w:hAnsi="Arial"/>
                <w:sz w:val="18"/>
                <w:szCs w:val="18"/>
                <w:color w:val="auto"/>
                <w:w w:val="97"/>
              </w:rPr>
              <w:t>stockholder interests through equity-based</w:t>
            </w:r>
          </w:p>
        </w:tc>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price</w:t>
            </w:r>
          </w:p>
        </w:tc>
      </w:tr>
      <w:tr>
        <w:trPr>
          <w:trHeight w:val="223"/>
        </w:trPr>
        <w:tc>
          <w:tcPr>
            <w:tcW w:w="1940" w:type="dxa"/>
            <w:vAlign w:val="bottom"/>
            <w:tcBorders>
              <w:left w:val="single" w:sz="8" w:color="auto"/>
              <w:bottom w:val="single" w:sz="8" w:color="auto"/>
            </w:tcBorders>
          </w:tcPr>
          <w:p>
            <w:pPr>
              <w:spacing w:after="0"/>
              <w:rPr>
                <w:sz w:val="19"/>
                <w:szCs w:val="19"/>
                <w:color w:val="auto"/>
              </w:rPr>
            </w:pPr>
          </w:p>
        </w:tc>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compensation</w:t>
            </w:r>
          </w:p>
        </w:tc>
        <w:tc>
          <w:tcPr>
            <w:tcW w:w="3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movement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Narrative descriptions of the individual elements of compensation are set forth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Base salary is used as a measure for other elements of our compensation program. For example, annual incentive targets in 2014 were set as a percentage of base salary. Because the amount of base salary can establish the range of potential compensation for other elements, we take special care in establishing a base salary that is competitive and at a level commensurate with an executive’s experience, performance and job responsibilities.</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459" w:right="2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Base salaries for our executive officers are targeted, on average, around the median level for comparable positions within the Comparator Group. On an annual basis, we review respective responsibilities, individual performance, the Company’s business performance and base salary levels for senior executives at companies within the Comparator Group. Base salaries for our executive officers are established at levels considered appropriate in light of the duties and scope of responsibilities of each officer’s position and considering internal pay equity and their experience relative to industry peers.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 February of each year, the CEO and Compensation Committee reach agreement on his goals and objectives for the upcoming year, and the Compensation Committee evaluates his performance for the prior year against the prior year’s agreed goals and objectives. Based on the 2014 merit review, effective August 2014, the annual base salaries of Messrs. Vanneste and Orsini were raised by 5.63% and 4%, respectively, to remain competitive within the Comparator Group and to recognize their increased levels of experience and their contributions within their respective roles.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Incentive Programs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Pay for Performance</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All of the annual incentive opportunity and the majority (75%) of the long-term incentive opportunity are determined based on specific performance measures that drive achievement of our business strategy while ensuring sharp focus on critical results. RSUs make up the remaining portion (25%) of our 2014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2014:</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740" w:type="dxa"/>
            <w:vAlign w:val="bottom"/>
            <w:tcBorders>
              <w:top w:val="single" w:sz="8" w:color="auto"/>
              <w:left w:val="single" w:sz="8" w:color="auto"/>
              <w:bottom w:val="single" w:sz="8" w:color="auto"/>
            </w:tcBorders>
          </w:tcPr>
          <w:p>
            <w:pPr>
              <w:ind w:left="740"/>
              <w:spacing w:after="0"/>
              <w:rPr>
                <w:sz w:val="20"/>
                <w:szCs w:val="20"/>
                <w:color w:val="auto"/>
              </w:rPr>
            </w:pPr>
            <w:r>
              <w:rPr>
                <w:rFonts w:ascii="Arial" w:cs="Arial" w:eastAsia="Arial" w:hAnsi="Arial"/>
                <w:sz w:val="14"/>
                <w:szCs w:val="14"/>
                <w:b w:val="1"/>
                <w:bCs w:val="1"/>
                <w:color w:val="auto"/>
              </w:rPr>
              <w:t>Measure</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Plan</w:t>
            </w: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Weighting</w:t>
            </w:r>
          </w:p>
        </w:tc>
        <w:tc>
          <w:tcPr>
            <w:tcW w:w="7940" w:type="dxa"/>
            <w:vAlign w:val="bottom"/>
            <w:tcBorders>
              <w:top w:val="single" w:sz="8" w:color="auto"/>
              <w:bottom w:val="single" w:sz="8" w:color="auto"/>
              <w:right w:val="single" w:sz="8" w:color="auto"/>
            </w:tcBorders>
          </w:tcPr>
          <w:p>
            <w:pPr>
              <w:ind w:left="3580"/>
              <w:spacing w:after="0"/>
              <w:rPr>
                <w:sz w:val="20"/>
                <w:szCs w:val="20"/>
                <w:color w:val="auto"/>
              </w:rPr>
            </w:pPr>
            <w:r>
              <w:rPr>
                <w:rFonts w:ascii="Arial" w:cs="Arial" w:eastAsia="Arial" w:hAnsi="Arial"/>
                <w:sz w:val="14"/>
                <w:szCs w:val="14"/>
                <w:b w:val="1"/>
                <w:bCs w:val="1"/>
                <w:color w:val="auto"/>
              </w:rPr>
              <w:t>Background</w:t>
            </w: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Adjusted Operating</w:t>
            </w:r>
          </w:p>
        </w:tc>
        <w:tc>
          <w:tcPr>
            <w:tcW w:w="860" w:type="dxa"/>
            <w:vAlign w:val="bottom"/>
          </w:tcPr>
          <w:p>
            <w:pPr>
              <w:jc w:val="center"/>
              <w:ind w:left="17"/>
              <w:spacing w:after="0" w:line="201" w:lineRule="exact"/>
              <w:rPr>
                <w:sz w:val="20"/>
                <w:szCs w:val="20"/>
                <w:color w:val="auto"/>
              </w:rPr>
            </w:pPr>
            <w:r>
              <w:rPr>
                <w:rFonts w:ascii="Arial" w:cs="Arial" w:eastAsia="Arial" w:hAnsi="Arial"/>
                <w:sz w:val="18"/>
                <w:szCs w:val="18"/>
                <w:color w:val="auto"/>
                <w:w w:val="96"/>
              </w:rPr>
              <w:t>AIP</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8"/>
              </w:rPr>
              <w:t>50%</w:t>
            </w:r>
          </w:p>
        </w:tc>
        <w:tc>
          <w:tcPr>
            <w:tcW w:w="79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5"/>
              </w:rPr>
              <w:t>•   Pre-tax income before equity income, interest, other expense, restructuring costs, and other special</w:t>
            </w: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Income</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items.</w:t>
            </w:r>
          </w:p>
        </w:tc>
        <w:tc>
          <w:tcPr>
            <w:tcW w:w="0" w:type="dxa"/>
            <w:vAlign w:val="bottom"/>
          </w:tcPr>
          <w:p>
            <w:pPr>
              <w:spacing w:after="0"/>
              <w:rPr>
                <w:sz w:val="1"/>
                <w:szCs w:val="1"/>
                <w:color w:val="auto"/>
              </w:rPr>
            </w:pPr>
          </w:p>
        </w:tc>
      </w:tr>
      <w:tr>
        <w:trPr>
          <w:trHeight w:val="291"/>
        </w:trPr>
        <w:tc>
          <w:tcPr>
            <w:tcW w:w="174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   Adjusted Operating Income is a well understood operating metric that can be influenced by all levels of</w:t>
            </w: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employees of the Company.</w:t>
            </w:r>
          </w:p>
        </w:tc>
        <w:tc>
          <w:tcPr>
            <w:tcW w:w="0" w:type="dxa"/>
            <w:vAlign w:val="bottom"/>
          </w:tcPr>
          <w:p>
            <w:pPr>
              <w:spacing w:after="0"/>
              <w:rPr>
                <w:sz w:val="1"/>
                <w:szCs w:val="1"/>
                <w:color w:val="auto"/>
              </w:rPr>
            </w:pPr>
          </w:p>
        </w:tc>
      </w:tr>
      <w:tr>
        <w:trPr>
          <w:trHeight w:val="297"/>
        </w:trPr>
        <w:tc>
          <w:tcPr>
            <w:tcW w:w="174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Provides motivation to maximize earnings from current operations.</w:t>
            </w:r>
          </w:p>
        </w:tc>
        <w:tc>
          <w:tcPr>
            <w:tcW w:w="0" w:type="dxa"/>
            <w:vAlign w:val="bottom"/>
          </w:tcPr>
          <w:p>
            <w:pPr>
              <w:spacing w:after="0"/>
              <w:rPr>
                <w:sz w:val="1"/>
                <w:szCs w:val="1"/>
                <w:color w:val="auto"/>
              </w:rPr>
            </w:pPr>
          </w:p>
        </w:tc>
      </w:tr>
      <w:tr>
        <w:trPr>
          <w:trHeight w:val="164"/>
        </w:trPr>
        <w:tc>
          <w:tcPr>
            <w:tcW w:w="1740" w:type="dxa"/>
            <w:vAlign w:val="bottom"/>
            <w:tcBorders>
              <w:left w:val="single" w:sz="8" w:color="auto"/>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Free Cash Flow</w:t>
            </w:r>
          </w:p>
        </w:tc>
        <w:tc>
          <w:tcPr>
            <w:tcW w:w="860" w:type="dxa"/>
            <w:vAlign w:val="bottom"/>
          </w:tcPr>
          <w:p>
            <w:pPr>
              <w:jc w:val="center"/>
              <w:ind w:left="17"/>
              <w:spacing w:after="0" w:line="201" w:lineRule="exact"/>
              <w:rPr>
                <w:sz w:val="20"/>
                <w:szCs w:val="20"/>
                <w:color w:val="auto"/>
              </w:rPr>
            </w:pPr>
            <w:r>
              <w:rPr>
                <w:rFonts w:ascii="Arial" w:cs="Arial" w:eastAsia="Arial" w:hAnsi="Arial"/>
                <w:sz w:val="18"/>
                <w:szCs w:val="18"/>
                <w:color w:val="auto"/>
                <w:w w:val="96"/>
              </w:rPr>
              <w:t>AIP</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8"/>
              </w:rPr>
              <w:t>50%</w:t>
            </w:r>
          </w:p>
        </w:tc>
        <w:tc>
          <w:tcPr>
            <w:tcW w:w="79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   Net cash provided by operating activities, less adjusted capital expenditures. Adjusted capital</w:t>
            </w: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expenditures represent capital expenditures, net of related casualty insurance proceeds.</w:t>
            </w:r>
          </w:p>
        </w:tc>
        <w:tc>
          <w:tcPr>
            <w:tcW w:w="0" w:type="dxa"/>
            <w:vAlign w:val="bottom"/>
          </w:tcPr>
          <w:p>
            <w:pPr>
              <w:spacing w:after="0"/>
              <w:rPr>
                <w:sz w:val="1"/>
                <w:szCs w:val="1"/>
                <w:color w:val="auto"/>
              </w:rPr>
            </w:pPr>
          </w:p>
        </w:tc>
      </w:tr>
      <w:tr>
        <w:trPr>
          <w:trHeight w:val="291"/>
        </w:trPr>
        <w:tc>
          <w:tcPr>
            <w:tcW w:w="174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   Free Cash Flow is a well understood operating metric that can be influenced by all levels of employees</w:t>
            </w: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of the Company.</w:t>
            </w:r>
          </w:p>
        </w:tc>
        <w:tc>
          <w:tcPr>
            <w:tcW w:w="0" w:type="dxa"/>
            <w:vAlign w:val="bottom"/>
          </w:tcPr>
          <w:p>
            <w:pPr>
              <w:spacing w:after="0"/>
              <w:rPr>
                <w:sz w:val="1"/>
                <w:szCs w:val="1"/>
                <w:color w:val="auto"/>
              </w:rPr>
            </w:pPr>
          </w:p>
        </w:tc>
      </w:tr>
      <w:tr>
        <w:trPr>
          <w:trHeight w:val="291"/>
        </w:trPr>
        <w:tc>
          <w:tcPr>
            <w:tcW w:w="1740" w:type="dxa"/>
            <w:vAlign w:val="bottom"/>
            <w:tcBorders>
              <w:lef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   Provides motivation to maximize cash flow through earnings and appropriate management of working</w:t>
            </w: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capital and investments.</w:t>
            </w:r>
          </w:p>
        </w:tc>
        <w:tc>
          <w:tcPr>
            <w:tcW w:w="0" w:type="dxa"/>
            <w:vAlign w:val="bottom"/>
          </w:tcPr>
          <w:p>
            <w:pPr>
              <w:spacing w:after="0"/>
              <w:rPr>
                <w:sz w:val="1"/>
                <w:szCs w:val="1"/>
                <w:color w:val="auto"/>
              </w:rPr>
            </w:pPr>
          </w:p>
        </w:tc>
      </w:tr>
      <w:tr>
        <w:trPr>
          <w:trHeight w:val="164"/>
        </w:trPr>
        <w:tc>
          <w:tcPr>
            <w:tcW w:w="1740" w:type="dxa"/>
            <w:vAlign w:val="bottom"/>
            <w:tcBorders>
              <w:left w:val="single" w:sz="8" w:color="auto"/>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Adjusted Return on</w:t>
            </w:r>
          </w:p>
        </w:tc>
        <w:tc>
          <w:tcPr>
            <w:tcW w:w="860" w:type="dxa"/>
            <w:vAlign w:val="bottom"/>
          </w:tcPr>
          <w:p>
            <w:pPr>
              <w:jc w:val="center"/>
              <w:ind w:left="17"/>
              <w:spacing w:after="0" w:line="201" w:lineRule="exact"/>
              <w:rPr>
                <w:sz w:val="20"/>
                <w:szCs w:val="20"/>
                <w:color w:val="auto"/>
              </w:rPr>
            </w:pPr>
            <w:r>
              <w:rPr>
                <w:rFonts w:ascii="Arial" w:cs="Arial" w:eastAsia="Arial" w:hAnsi="Arial"/>
                <w:sz w:val="18"/>
                <w:szCs w:val="18"/>
                <w:color w:val="auto"/>
                <w:w w:val="87"/>
              </w:rPr>
              <w:t>LTSIP</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66 2/3%</w:t>
            </w:r>
          </w:p>
        </w:tc>
        <w:tc>
          <w:tcPr>
            <w:tcW w:w="79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1"/>
              </w:rPr>
              <w:t>•   Based on Adjusted Operating Income and average invested capital for performance increments over the</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Invested Capital</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three-year performance period (2014-2016).</w:t>
            </w: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(ROIC)</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4"/>
              </w:rPr>
              <w:t>•   Focuses on the quality of earnings as measured by return from total capital invested in the business.</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740" w:type="dxa"/>
            <w:vAlign w:val="bottom"/>
            <w:tcBorders>
              <w:left w:val="single" w:sz="8" w:color="auto"/>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Pr>
          <w:p>
            <w:pPr>
              <w:ind w:left="20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760" w:type="dxa"/>
            <w:vAlign w:val="bottom"/>
            <w:tcBorders>
              <w:top w:val="single" w:sz="8" w:color="auto"/>
              <w:left w:val="single" w:sz="8" w:color="auto"/>
              <w:bottom w:val="single" w:sz="8" w:color="auto"/>
            </w:tcBorders>
          </w:tcPr>
          <w:p>
            <w:pPr>
              <w:ind w:left="740"/>
              <w:spacing w:after="0"/>
              <w:rPr>
                <w:sz w:val="20"/>
                <w:szCs w:val="20"/>
                <w:color w:val="auto"/>
              </w:rPr>
            </w:pPr>
            <w:r>
              <w:rPr>
                <w:rFonts w:ascii="Arial" w:cs="Arial" w:eastAsia="Arial" w:hAnsi="Arial"/>
                <w:sz w:val="14"/>
                <w:szCs w:val="14"/>
                <w:b w:val="1"/>
                <w:bCs w:val="1"/>
                <w:color w:val="auto"/>
              </w:rPr>
              <w:t>Measure</w:t>
            </w: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Plan</w:t>
            </w: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Weighting</w:t>
            </w:r>
          </w:p>
        </w:tc>
        <w:tc>
          <w:tcPr>
            <w:tcW w:w="7940" w:type="dxa"/>
            <w:vAlign w:val="bottom"/>
            <w:tcBorders>
              <w:top w:val="single" w:sz="8" w:color="auto"/>
              <w:bottom w:val="single" w:sz="8" w:color="auto"/>
              <w:right w:val="single" w:sz="8" w:color="auto"/>
            </w:tcBorders>
          </w:tcPr>
          <w:p>
            <w:pPr>
              <w:ind w:left="3580"/>
              <w:spacing w:after="0"/>
              <w:rPr>
                <w:sz w:val="20"/>
                <w:szCs w:val="20"/>
                <w:color w:val="auto"/>
              </w:rPr>
            </w:pPr>
            <w:r>
              <w:rPr>
                <w:rFonts w:ascii="Arial" w:cs="Arial" w:eastAsia="Arial" w:hAnsi="Arial"/>
                <w:sz w:val="14"/>
                <w:szCs w:val="14"/>
                <w:b w:val="1"/>
                <w:bCs w:val="1"/>
                <w:color w:val="auto"/>
              </w:rPr>
              <w:t>Background</w:t>
            </w:r>
          </w:p>
        </w:tc>
      </w:tr>
      <w:tr>
        <w:trPr>
          <w:trHeight w:val="282"/>
        </w:trPr>
        <w:tc>
          <w:tcPr>
            <w:tcW w:w="17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   Provides long-term focus on generating adequate returns balanced by the goal of profitable growth</w:t>
            </w:r>
          </w:p>
        </w:tc>
      </w:tr>
      <w:tr>
        <w:trPr>
          <w:trHeight w:val="222"/>
        </w:trPr>
        <w:tc>
          <w:tcPr>
            <w:tcW w:w="1760" w:type="dxa"/>
            <w:vAlign w:val="bottom"/>
            <w:tcBorders>
              <w:lef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embedded in the annual incentive performance measures.</w:t>
            </w:r>
          </w:p>
        </w:tc>
      </w:tr>
      <w:tr>
        <w:trPr>
          <w:trHeight w:val="297"/>
        </w:trPr>
        <w:tc>
          <w:tcPr>
            <w:tcW w:w="17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Desired goal generally is to generate returns in excess of the Company’s cost of capital.</w:t>
            </w:r>
          </w:p>
        </w:tc>
      </w:tr>
      <w:tr>
        <w:trPr>
          <w:trHeight w:val="164"/>
        </w:trPr>
        <w:tc>
          <w:tcPr>
            <w:tcW w:w="176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940" w:type="dxa"/>
            <w:vAlign w:val="bottom"/>
            <w:tcBorders>
              <w:bottom w:val="single" w:sz="8" w:color="auto"/>
              <w:right w:val="single" w:sz="8" w:color="auto"/>
            </w:tcBorders>
          </w:tcPr>
          <w:p>
            <w:pPr>
              <w:spacing w:after="0"/>
              <w:rPr>
                <w:sz w:val="14"/>
                <w:szCs w:val="14"/>
                <w:color w:val="auto"/>
              </w:rPr>
            </w:pPr>
          </w:p>
        </w:tc>
      </w:tr>
      <w:tr>
        <w:trPr>
          <w:trHeight w:val="201"/>
        </w:trPr>
        <w:tc>
          <w:tcPr>
            <w:tcW w:w="176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Cumulative Pre-Tax</w:t>
            </w:r>
          </w:p>
        </w:tc>
        <w:tc>
          <w:tcPr>
            <w:tcW w:w="840" w:type="dxa"/>
            <w:vAlign w:val="bottom"/>
          </w:tcPr>
          <w:p>
            <w:pPr>
              <w:jc w:val="center"/>
              <w:ind w:left="2"/>
              <w:spacing w:after="0" w:line="201" w:lineRule="exact"/>
              <w:rPr>
                <w:sz w:val="20"/>
                <w:szCs w:val="20"/>
                <w:color w:val="auto"/>
              </w:rPr>
            </w:pPr>
            <w:r>
              <w:rPr>
                <w:rFonts w:ascii="Arial" w:cs="Arial" w:eastAsia="Arial" w:hAnsi="Arial"/>
                <w:sz w:val="18"/>
                <w:szCs w:val="18"/>
                <w:color w:val="auto"/>
                <w:w w:val="87"/>
              </w:rPr>
              <w:t>LTSIP</w:t>
            </w:r>
          </w:p>
        </w:tc>
        <w:tc>
          <w:tcPr>
            <w:tcW w:w="900" w:type="dxa"/>
            <w:vAlign w:val="bottom"/>
          </w:tcPr>
          <w:p>
            <w:pPr>
              <w:ind w:left="140"/>
              <w:spacing w:after="0" w:line="201" w:lineRule="exact"/>
              <w:rPr>
                <w:sz w:val="20"/>
                <w:szCs w:val="20"/>
                <w:color w:val="auto"/>
              </w:rPr>
            </w:pPr>
            <w:r>
              <w:rPr>
                <w:rFonts w:ascii="Arial" w:cs="Arial" w:eastAsia="Arial" w:hAnsi="Arial"/>
                <w:sz w:val="18"/>
                <w:szCs w:val="18"/>
                <w:color w:val="auto"/>
              </w:rPr>
              <w:t>33 1/3%</w:t>
            </w:r>
          </w:p>
        </w:tc>
        <w:tc>
          <w:tcPr>
            <w:tcW w:w="79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1"/>
              </w:rPr>
              <w:t>•   Cumulative net income for the three-year performance period (2014-2016) before a provision for income</w:t>
            </w:r>
          </w:p>
        </w:tc>
      </w:tr>
      <w:tr>
        <w:trPr>
          <w:trHeight w:val="222"/>
        </w:trPr>
        <w:tc>
          <w:tcPr>
            <w:tcW w:w="1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Income</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taxes, excluding certain transactions.</w:t>
            </w:r>
          </w:p>
        </w:tc>
      </w:tr>
      <w:tr>
        <w:trPr>
          <w:trHeight w:val="291"/>
        </w:trPr>
        <w:tc>
          <w:tcPr>
            <w:tcW w:w="17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1"/>
              </w:rPr>
              <w:t>•   Focuses on earnings generated from products sold, encouraging profitable revenue growth and efficient</w:t>
            </w:r>
          </w:p>
        </w:tc>
      </w:tr>
      <w:tr>
        <w:trPr>
          <w:trHeight w:val="222"/>
        </w:trPr>
        <w:tc>
          <w:tcPr>
            <w:tcW w:w="1760" w:type="dxa"/>
            <w:vAlign w:val="bottom"/>
            <w:tcBorders>
              <w:lef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9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management of costs over time.</w:t>
            </w:r>
          </w:p>
        </w:tc>
      </w:tr>
      <w:tr>
        <w:trPr>
          <w:trHeight w:val="164"/>
        </w:trPr>
        <w:tc>
          <w:tcPr>
            <w:tcW w:w="176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940" w:type="dxa"/>
            <w:vAlign w:val="bottom"/>
            <w:tcBorders>
              <w:bottom w:val="single" w:sz="8" w:color="auto"/>
              <w:right w:val="single" w:sz="8" w:color="auto"/>
            </w:tcBorders>
          </w:tcPr>
          <w:p>
            <w:pPr>
              <w:spacing w:after="0"/>
              <w:rPr>
                <w:sz w:val="14"/>
                <w:szCs w:val="14"/>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Annual Incentives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executive officers participate in the Annual Incentive Plan (AIP). Under the AIP, the Compensation Committee provides annual cash incentive award opportunities for the achievement of financial performance goals considered important to the Company’s future success. Awards, if earned, are typically paid early in the following year based on our performance achieved in the prior fiscal year.</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Named Executive Officer is assigned an annual target opportunity under the AIP expressed as a percentage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target opportunity for Mr. Simoncini in 2014 was 150% of base salary. For each of Messrs. Vanneste, Scott, Larkin and Orsini the target opportunity was 80%. The Compensation Committee assessed the competitiveness of the annual incentive targets in 2014, with the assistance of its independent compensation consultant, and for 2014, the target annual incentive opportunities, on average, approximated the median levels within the Comparator Group.</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Measures</w:t>
      </w:r>
      <w:r>
        <w:rPr>
          <w:rFonts w:ascii="Arial" w:cs="Arial" w:eastAsia="Arial" w:hAnsi="Arial"/>
          <w:sz w:val="16"/>
          <w:szCs w:val="16"/>
          <w:color w:val="auto"/>
        </w:rPr>
        <w:t>. The award opportunity for 2014 performance was based 50% on the achievement of various levels of Adjusted Operating Income and 50%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achievement of various levels of Free Cash Flow. These measures were used because they are highly visible and important measures of operating performance that are relied upon by investors. The target goals of Adjusted Operating Income and Free Cash Flow were set based on the budget/forecast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 200% target award was warranted. If threshold, target or maximum Adjusted Operating Income and Free Cash Flow goals were attained in 2014, 50%, 100% or 200% of the target incentive amount for each executive, respectively, would be earned as illustrated below (including certain intermediate levels):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258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Operating</w:t>
            </w: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 applied to 1/2 of</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Free Cash Flow</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 applied to 1/2 of</w:t>
            </w:r>
          </w:p>
        </w:tc>
        <w:tc>
          <w:tcPr>
            <w:tcW w:w="0" w:type="dxa"/>
            <w:vAlign w:val="bottom"/>
          </w:tcPr>
          <w:p>
            <w:pPr>
              <w:spacing w:after="0"/>
              <w:rPr>
                <w:sz w:val="1"/>
                <w:szCs w:val="1"/>
                <w:color w:val="auto"/>
              </w:rPr>
            </w:pPr>
          </w:p>
        </w:tc>
      </w:tr>
      <w:tr>
        <w:trPr>
          <w:trHeight w:val="153"/>
        </w:trPr>
        <w:tc>
          <w:tcPr>
            <w:tcW w:w="340" w:type="dxa"/>
            <w:vAlign w:val="bottom"/>
            <w:tcBorders>
              <w:bottom w:val="single" w:sz="8" w:color="auto"/>
            </w:tcBorders>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Income (millions)</w:t>
            </w:r>
          </w:p>
        </w:tc>
        <w:tc>
          <w:tcPr>
            <w:tcW w:w="14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8"/>
              </w:rPr>
              <w:t>Target Opportunity</w:t>
            </w:r>
          </w:p>
        </w:tc>
        <w:tc>
          <w:tcPr>
            <w:tcW w:w="140" w:type="dxa"/>
            <w:vAlign w:val="bottom"/>
          </w:tcPr>
          <w:p>
            <w:pPr>
              <w:spacing w:after="0"/>
              <w:rPr>
                <w:sz w:val="12"/>
                <w:szCs w:val="12"/>
                <w:color w:val="auto"/>
              </w:rPr>
            </w:pPr>
          </w:p>
        </w:tc>
        <w:tc>
          <w:tcPr>
            <w:tcW w:w="9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(millions)</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Target Opportunity</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Maximum</w:t>
            </w:r>
          </w:p>
        </w:tc>
        <w:tc>
          <w:tcPr>
            <w:tcW w:w="22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vMerge w:val="continue"/>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1,169</w:t>
            </w:r>
          </w:p>
        </w:tc>
        <w:tc>
          <w:tcPr>
            <w:tcW w:w="18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450</w:t>
            </w:r>
          </w:p>
        </w:tc>
        <w:tc>
          <w:tcPr>
            <w:tcW w:w="18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8"/>
                <w:szCs w:val="18"/>
                <w:color w:val="auto"/>
              </w:rPr>
              <w:t>Target</w:t>
            </w:r>
          </w:p>
        </w:tc>
        <w:tc>
          <w:tcPr>
            <w:tcW w:w="228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00" w:type="dxa"/>
            <w:vAlign w:val="bottom"/>
            <w:gridSpan w:val="3"/>
          </w:tcPr>
          <w:p>
            <w:pPr>
              <w:ind w:left="2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280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3"/>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0" w:type="dxa"/>
            <w:vAlign w:val="bottom"/>
            <w:gridSpan w:val="3"/>
          </w:tcPr>
          <w:p>
            <w:pPr>
              <w:jc w:val="right"/>
              <w:ind w:right="246"/>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Results. </w:t>
      </w:r>
      <w:r>
        <w:rPr>
          <w:rFonts w:ascii="Arial" w:cs="Arial" w:eastAsia="Arial" w:hAnsi="Arial"/>
          <w:sz w:val="16"/>
          <w:szCs w:val="16"/>
          <w:color w:val="auto"/>
        </w:rPr>
        <w:t>Our 2014 Adjusted Operating Income was $1,050 million and our Free Cash Flow was $503 million, which resulted in annual incentive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being earned at 175% of target. Adjusted Operating Income and Free Cash Flow are non-GAAP measures, each of which is defined above in “— 2014 Incentive Programs — Pay for Performance.” The resulting annual incentive amounts earned by our Named Executive Officers were as follows: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Annual Incentives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Target Opportunity</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Target Amount ($)</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Actual Performance</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2014 Incentive</w:t>
            </w:r>
          </w:p>
        </w:tc>
      </w:tr>
      <w:tr>
        <w:trPr>
          <w:trHeight w:val="161"/>
        </w:trPr>
        <w:tc>
          <w:tcPr>
            <w:tcW w:w="54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(as % of Base)(1)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(1)</w:t>
            </w: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 xml:space="preserve">Amount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)(1)</w:t>
            </w:r>
          </w:p>
        </w:tc>
        <w:tc>
          <w:tcPr>
            <w:tcW w:w="1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$ 3,150,000</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Jeffrey H. Vanneste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544,000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952,000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616,352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$ 1,078,616</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Terrence B. Larkin</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616,352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$ 1,078,616</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520,000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910,000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9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incentive-eligible base salary amounts for the Named Executive Officers were as follows: Mr. Simoncini - $1,200,000; Mr. Vanneste - $680,000; Messrs. Scott and Larkin - $770,440; and Mr. Orsini - $650,000. The Target Amount for each Named Executive Officer is the respective incentive-eligible base salary multiplied by the respective Target Opportunity. The Target Amount multiplied by the Actual Performance (175%) represents the amount actually earned, as shown in the 2014 Incentive Amount column for each Named Executive Officer.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Long-Term Incentives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2014 Awards. </w:t>
      </w:r>
      <w:r>
        <w:rPr>
          <w:rFonts w:ascii="Arial" w:cs="Arial" w:eastAsia="Arial" w:hAnsi="Arial"/>
          <w:sz w:val="16"/>
          <w:szCs w:val="16"/>
          <w:color w:val="auto"/>
        </w:rPr>
        <w:t>On February 6, 2014, the Compensation Committee approved the 2014 long-term incentive program, pursuant to which awards consisting</w:t>
      </w:r>
      <w:r>
        <w:rPr>
          <w:rFonts w:ascii="Arial" w:cs="Arial" w:eastAsia="Arial" w:hAnsi="Arial"/>
          <w:sz w:val="16"/>
          <w:szCs w:val="16"/>
          <w:i w:val="1"/>
          <w:iCs w:val="1"/>
          <w:color w:val="auto"/>
        </w:rPr>
        <w:t xml:space="preserve"> </w:t>
      </w:r>
      <w:r>
        <w:rPr>
          <w:rFonts w:ascii="Arial" w:cs="Arial" w:eastAsia="Arial" w:hAnsi="Arial"/>
          <w:sz w:val="16"/>
          <w:szCs w:val="16"/>
          <w:color w:val="auto"/>
        </w:rPr>
        <w:t>of RSUs and equity-based Performance Shares were granted under the 2009 LTSIP to certain officers and key employees, including to the Named Executive Officers. These awards generally were structured, consistent with market practices and the 2013 grants, such that recipients received 75% of the total target award value in the form of Performance Shares and the remaining 25% in service-based RSUs. The specific amounts and terms of these awards are shown in and following the “2014 Grants of Plan-Based Awards” table below. The target levels of Adjusted ROIC and Cumulative Pre-Tax Income performance for the Performance Shares were set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w:t>
      </w:r>
    </w:p>
    <w:p>
      <w:pPr>
        <w:spacing w:after="0" w:line="12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Consistent with our objective of attracting and retaining the best available executive talent, the total potential target awards for the Named Executive Officer group were set, on average, to approximate the median long-term incentive level within the Comparator Group, considering our executives’ business impact, experience and other factors.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Vesting of 2012 Performance Share Awards</w:t>
      </w:r>
      <w:r>
        <w:rPr>
          <w:rFonts w:ascii="Arial" w:cs="Arial" w:eastAsia="Arial" w:hAnsi="Arial"/>
          <w:sz w:val="18"/>
          <w:szCs w:val="18"/>
          <w:color w:val="auto"/>
        </w:rPr>
        <w:t>. In 2012, each of our Named Executive Officers received grants of Performance Shares for the 2012-2014</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with terms similar to those of the 2014 and 2013 awards described above. The RSUs that were granted at the same time as the 2012 Performance Shares (and represented 25% of the total equity award value) vested in February 2015.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threshold, target, maximum and actual Adjusted ROIC and Cumulative Pre-Tax Income levels for the 2012-2014 performance period are set forth above under the heading “Compensation Discussion and Analysis — Executive Summary.” Adjusted ROIC was achieved at the maximum level and Cumulative Pre-Tax Income was achieved at the target level, with the total award earned at 167% of target. Adjusted ROIC and Cumulative Pre-Tax Income are non-GAAP measures. Adjusted ROIC, in general, consists of Adjusted Operating Income (as defined in “— 2014 Incentive Programs — Annual Incentives” above) after taxes (assuming the highest U.S. Federal corporate income tax rate of 35 percent), excluding certain transactions, divided by average invested capital during the fiscal year. Average invested capital consists of total assets, less accounts payable and drafts and accrued liabilities, and certain other adjustments. Cumulative Pre-Tax Income is Lear’s cumulative net income for the performance period before a provision for income taxes, excluding certain transactions. The resulting share amounts earned by our Named Executive Officers are shown below: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2012-2014 Performance Shares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Actual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r>
      <w:tr>
        <w:trPr>
          <w:trHeight w:val="149"/>
        </w:trPr>
        <w:tc>
          <w:tcPr>
            <w:tcW w:w="81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Amount</w:t>
            </w:r>
          </w:p>
        </w:tc>
      </w:tr>
      <w:tr>
        <w:trPr>
          <w:trHeight w:val="161"/>
        </w:trPr>
        <w:tc>
          <w:tcPr>
            <w:tcW w:w="814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Earned (#)</w:t>
            </w:r>
          </w:p>
        </w:tc>
      </w:tr>
      <w:tr>
        <w:trPr>
          <w:trHeight w:val="210"/>
        </w:trPr>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96,843</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161,727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Jeffrey H. Vanneste</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27,489</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167%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45,906</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33,547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56,023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Terrence B. Larkin</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33,547</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167%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56,023</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15,735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26,277</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Stock Ownership Guidelines</w:t>
      </w:r>
    </w:p>
    <w:p>
      <w:pPr>
        <w:spacing w:after="0" w:line="9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Compensation Committee has had a long-standing practice of having stock ownership guidelines providing that our executive officers achieve specified stock ownership levels. The guidelines provide for required ownership levels based on a multiple of each executive officer’s base salary. The stock ownership guidelines were intended to create a strong link between our long-term success and the ultimate compensation of our executive officers. Under the guidelines, unvested awards do not count towards the goal and until an executive meets the goal, he or she must hold 50% of the net shares acquired upon the vesting of equity awards. The stock ownership levels which must be achieved by our executive officers are as follows:</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3320" w:type="dxa"/>
            <w:vAlign w:val="bottom"/>
            <w:vMerge w:val="restart"/>
          </w:tcPr>
          <w:p>
            <w:pPr>
              <w:spacing w:after="0"/>
              <w:rPr>
                <w:sz w:val="14"/>
                <w:szCs w:val="14"/>
                <w:color w:val="auto"/>
              </w:rPr>
            </w:pPr>
          </w:p>
        </w:tc>
        <w:tc>
          <w:tcPr>
            <w:tcW w:w="3940" w:type="dxa"/>
            <w:vAlign w:val="bottom"/>
            <w:gridSpan w:val="2"/>
          </w:tcPr>
          <w:p>
            <w:pPr>
              <w:jc w:val="center"/>
              <w:ind w:left="1912"/>
              <w:spacing w:after="0"/>
              <w:rPr>
                <w:sz w:val="20"/>
                <w:szCs w:val="20"/>
                <w:color w:val="auto"/>
              </w:rPr>
            </w:pPr>
            <w:r>
              <w:rPr>
                <w:rFonts w:ascii="Arial" w:cs="Arial" w:eastAsia="Arial" w:hAnsi="Arial"/>
                <w:sz w:val="14"/>
                <w:szCs w:val="14"/>
                <w:b w:val="1"/>
                <w:bCs w:val="1"/>
                <w:color w:val="auto"/>
                <w:w w:val="87"/>
              </w:rPr>
              <w:t>Required Share Ownership Level</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(multiple of base salary)</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w:t>
            </w:r>
          </w:p>
        </w:tc>
        <w:tc>
          <w:tcPr>
            <w:tcW w:w="20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6X</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20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3X</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3X</w:t>
            </w: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20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1.5X</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Share ownership targets for executives reaching age 60 are reduced by 10% annually through age 65. Our stock ownership guidelines are reviewed periodically to ensure ongoing market competitiveness and reasonableness.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 Policy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Compensation Committee meetings and are effective as of such dates or specified prospective dates. The Compensation Committee has approved and formalized our equity award policy. It provides that the effective grant date of equity awards must be either the date of Compensation Committee or other committee approval or some future date specifically identified in such approval. If such awards are granted, the exercise price of stock options and grant price of Stock Appreciation Rights shall be the closing market price of our common stock on the grant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must approve all awards to our executive officers. The policy also allows the Compensation Committee to delegate to the CEO the ability to grant equity awards to non-executive officer employees who are newly hired or promoted or deemed to be deserving of special retention or recognition awards. Such awards are generally to be on the Company’s standard RSU or Performance Share terms and conditions. Otherwise, any aggregate award pool to non-executive officers must be approved by the Compensation Committee and allocated to individuals by a committee consisting of the CEO and the Chairman of the Compensation Committee.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 Benefits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Named Executive Officers participate in our retirement savings plan, qualified pension plan, pension equalization plan and supplemental savings plan, as eligible. The general terms of these plans and formulas for calculating benefits are summarized following the 2014 Summary Compensation Table, 2014 Pension Benefits table and 2014 Nonqualified Deferred Compensation table, respectively, in “Executive Compensation.” These benefits provide rewards for long-term service to the Company and an income source in an executive’s post-employment years. We maintain a pension savings plan component under the Lear Corporation Salaried Retirement Program (such component referred to herein as the “Pension Savings Plan”), and a corresponding non-qualified benefit component.</w:t>
      </w:r>
    </w:p>
    <w:p>
      <w:pPr>
        <w:spacing w:after="0" w:line="144"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i w:val="1"/>
          <w:iCs w:val="1"/>
          <w:color w:val="auto"/>
        </w:rPr>
        <w:t>Career Shares</w:t>
      </w:r>
      <w:r>
        <w:rPr>
          <w:rFonts w:ascii="Arial" w:cs="Arial" w:eastAsia="Arial" w:hAnsi="Arial"/>
          <w:sz w:val="15"/>
          <w:szCs w:val="15"/>
          <w:color w:val="auto"/>
        </w:rPr>
        <w:t>. From 2012-2014, the Compensation Committee has approved annual awards of “Career Shares” to certain executives, including each of</w:t>
      </w:r>
      <w:r>
        <w:rPr>
          <w:rFonts w:ascii="Arial" w:cs="Arial" w:eastAsia="Arial" w:hAnsi="Arial"/>
          <w:sz w:val="15"/>
          <w:szCs w:val="15"/>
          <w:i w:val="1"/>
          <w:iCs w:val="1"/>
          <w:color w:val="auto"/>
        </w:rPr>
        <w:t xml:space="preserve"> </w:t>
      </w:r>
      <w:r>
        <w:rPr>
          <w:rFonts w:ascii="Arial" w:cs="Arial" w:eastAsia="Arial" w:hAnsi="Arial"/>
          <w:sz w:val="15"/>
          <w:szCs w:val="15"/>
          <w:color w:val="auto"/>
        </w:rPr>
        <w:t>the Named Executive Officers. The Career Shares are awards of RSUs that vest on the third anniversary of the grant date, but whose underlying shares are not generally distributed until after retirement. This delayed distribution feature is a key component of the award, which is intended to both enhance retention and reward long periods of service to the Company. Accordingly, all Career Shares (vested and unvested) are forfeited by the executive upon a voluntary termination by the executive prior to the qualifying retirement date (i.e., the date that the executive reaches age 62 or completes ten years of service on or after age 55) or for violating non-competition and non-solicitation covenants prior to distribution of the shares. If the executive has a qualifying retirement or is terminated without “cause” or resigns for “good reason,” in each case within 24 months of the vesting date, the RSUs will continue to vest as originally scheduled. See “Executive Compensation — 2014 Grants of Plan-Based Awards — Career Shares” for more information regarding the vesting and distribution of Career Shares.</w:t>
      </w:r>
    </w:p>
    <w:p>
      <w:pPr>
        <w:spacing w:after="0" w:line="10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Career Share awards were designed to attract, retain and reward executives who provide long periods of service to the Company. The amounts of the Career Share awards in 2014 were as follows: Mr. Simoncini, 5,287 RSUs; each of Messrs. Vanneste, Scott and Larkin, 2,114 RSUs; and Mr. Orsini, 1,268 RSUs. In conducting its ongoing analysis of the Company’s total executive compensation components, the Compensation Committee’s consultant, Pay Governance, had indicated that the Company’s executive retirement benefits generally lagged behind those of executives at companies within the Comparator Group. This finding previously had been verified by consultants retained by the Company management to assist in recommending a program to the Compensation Committee and its consultant to address the shortfall. The Compensation Committee will consider annually, in its discretion, whether and to whom to award Career Shares for that year.</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Agreements/Termination/Change in Control Benefits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described in detail and quantified in “Executive Compensation — Potential Payments Upon Termination or Change in Control,” our Named Executive Officers receive certain benefits under their employment agreements upon their termination by the Company without “cause” or upon their resignation for “good reason,” including such terminations following a change in control of the Company. They also receive, as do all employees who hold equity awards under the amended LTSIP (described below), accelerated vesting of equity awards if their employment is terminated without cause or for good reason in connection with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“double-trigger” vesting of equity awards protect employees in the event of a change in control and ensure an orderly transition of leadership. The Compensation Committee regularly reviews termination and change in control benefits and continues to believe that the severance benefits in connection with certain terminations of employment constitute reasonable levels of protection for our executives. The LTSIP provides for double-trigger vesting of equity awards (that are not assumed or replaced by the successor company) upon a change in control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employment agreements with the Company’s executive officers contain an excise tax gross-up provision.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 Welfare and Certain Other Benefits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Beginning in 2012, the Company no longer provides a perquisite allowance for Named Executive Officers. In addition, personal use of our corporate aircraft has been eliminated except with respect to our CEO in very limited circumstances, with approval of the Chairman of the Board or Chairman of the Compensation Committee. The Company does not provide tax gross-up payments for the imputed income associated with personal use of corporate aircraft. In 2014, there was no personal use of corporate aircraft.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Mr. Simoncini’s base salary is currently $1,290,000 (with an incentive-eligible salary of $1,200,000). His employment agreement provides for severance benefits equal to two times his base salary and target annual incentive amount upon his termination by the Company without “cause” or upon his resignation for “good reason” and restrictive covenants relating to non-competition, confidential information and non-solicitation of the Company’s employees and customers. Mr. Simoncini’s agreement does not provide for change in control excise tax gross-up payments. Mr. Simoncini is eligible for awards under the Company’s annual and long-term incentive plans and to participate in the Company’s other benefit plans and programs, in effect from time to time. His target annual incentive compensation was set to 150% of his base salary for 2014 (and 160% of his base salary for 2015) based on his strong leadership of the Company and market median compensation levels.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CEO has traditionally received a lower percentage of his total compensation in the form of fixed amounts like base salary relative to our other executives in order to link more closely his compensation to the performance of the Company. Additionally, our CEO’s required stock ownership level is greater than that of our other executives under our stock ownership guidelines.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Our CEO’s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96"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Company maintains a formal clawback policy (the “Clawback Policy”) that applies to all incentive based cash and equity compensation awards granted on or after the effective date (“Incentive Compensation”) to any current or former executive officer of the Company (collectively, the “Covered Recipients”). In the event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 Company is required to prepare an accounting restatement, based on the erroneous data, the amount, if any, in excess of what would have been paid to the Covered Recipient under the accounting restatement.</w:t>
      </w:r>
    </w:p>
    <w:p>
      <w:pPr>
        <w:spacing w:after="0" w:line="11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Clawback Policy is administered by the Compensation Committee, which has the sole discretion in making all determinations under the Clawback Policy. The Clawback Policy will be interpreted and administered (and, as necessary, amended to be) consistent with the applicable requirements of Section 10D of the Exchange Act, as added by Section 954 of the Dodd-Frank Wall Street Reform and Consumer Protection Act, and any official guidance issued thereunder.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Hedging/Pledging Policy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maintains a formal policy prohibiting officers and directors from (i) entering into hedging or monetization transactions involving our Company stock and (ii) holding our Company stock in a margin account or pledging our Company stock as collateral for a loan. Exceptions to the pledging prohibition may be granted by the Company’s General Counsel upon two weeks’ advance notice if the person clearly demonstrates the financial capacity to repay the loan without resort to the pledged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the factors the Compensation Committee considers when determining compensation is the anticipated tax treatment to the Company and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executives of the various payments and benefits. Section 162(m) of the Internal Revenue Code disallows the deduction of non-performance 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excess of $1,000,000 paid to the CEO (or an individual acting in such a capacity), and the three next highest compensated officers other than the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Officer (or an individual acting in such a capacity) appearing in the 2014 Summary Compensation Table. The Compensation Committee generally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considers this limit when determining compensation; however, there are instances in which the Compensation Committee has concluded, and may conclude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future, that it is appropriate to exceed the limitation on deductibility under Section 162(m) to ensure that executive officers are compensated in a manner that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believes to be consistent with the Company’s best interests and those of its stockholders. For example, in 2014, Mr. Simoncini received a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$1,290,000, with a total of $290,000 being non-deductible to the Company. In setting Mr. Simoncini’s base salary level, the Compensation Committee weighed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cost of this non-deductible compensation against the benefit of awarding competitive compensation to our CEO.</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Accounting Treatment</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 fixed accounting treatment, as opposed to cash-settled equity awards, which receive variable accounting treatment. We intend to continue to evaluate these factors in the future.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table shows information concerning the annual compensation for services to the Company and its subsidiaries in all capacities of the CEO, Chief Financial Officer and the other Named Executive Officers during the last completed fiscal year. The footnotes accompanying the 2014 Summary Compensation Table generally explain amounts reported for 2014, unless otherwise noted. In accordance with SEC rules, compensation for 2012 and 2013 is not shown for Mr. Orsini because he was not a Named Executive Officer in those years.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Change in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Pension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Value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Non-Equity</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Deferred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4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42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Salary</w:t>
            </w:r>
          </w:p>
        </w:tc>
        <w:tc>
          <w:tcPr>
            <w:tcW w:w="8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2"/>
              </w:rPr>
              <w:t>Bonus</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1"/>
                <w:szCs w:val="11"/>
                <w:color w:val="auto"/>
              </w:rPr>
            </w:pPr>
          </w:p>
        </w:tc>
        <w:tc>
          <w:tcPr>
            <w:tcW w:w="5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8"/>
              </w:rPr>
              <w:t>Awards</w:t>
            </w:r>
          </w:p>
        </w:tc>
        <w:tc>
          <w:tcPr>
            <w:tcW w:w="8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8"/>
              </w:rPr>
              <w:t>Compensation</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Compensation</w:t>
            </w: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Position(a)</w:t>
            </w:r>
          </w:p>
        </w:tc>
        <w:tc>
          <w:tcPr>
            <w:tcW w:w="60" w:type="dxa"/>
            <w:vAlign w:val="bottom"/>
          </w:tcPr>
          <w:p>
            <w:pPr>
              <w:spacing w:after="0"/>
              <w:rPr>
                <w:sz w:val="12"/>
                <w:szCs w:val="12"/>
                <w:color w:val="auto"/>
              </w:rPr>
            </w:pPr>
          </w:p>
        </w:tc>
        <w:tc>
          <w:tcPr>
            <w:tcW w:w="3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1"/>
              </w:rPr>
              <w:t>(c)</w:t>
            </w:r>
          </w:p>
        </w:tc>
        <w:tc>
          <w:tcPr>
            <w:tcW w:w="80" w:type="dxa"/>
            <w:vAlign w:val="bottom"/>
          </w:tcPr>
          <w:p>
            <w:pPr>
              <w:spacing w:after="0"/>
              <w:rPr>
                <w:sz w:val="12"/>
                <w:szCs w:val="12"/>
                <w:color w:val="auto"/>
              </w:rPr>
            </w:pPr>
          </w:p>
        </w:tc>
        <w:tc>
          <w:tcPr>
            <w:tcW w:w="5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(d)</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(1)(e)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(2)(g)</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(3)(h)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(4)(i)</w:t>
            </w:r>
          </w:p>
        </w:tc>
        <w:tc>
          <w:tcPr>
            <w:tcW w:w="140" w:type="dxa"/>
            <w:vAlign w:val="bottom"/>
          </w:tcPr>
          <w:p>
            <w:pPr>
              <w:spacing w:after="0"/>
              <w:rPr>
                <w:sz w:val="12"/>
                <w:szCs w:val="12"/>
                <w:color w:val="auto"/>
              </w:rPr>
            </w:pPr>
          </w:p>
        </w:tc>
        <w:tc>
          <w:tcPr>
            <w:tcW w:w="7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(5)(j)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Matthew J. Simoncini,</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2014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1,290,000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8"/>
              </w:rPr>
              <w:t>$7,099,775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3,150,000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80,217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554,451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12,174,443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1,245,208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$6,859,832</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2,415,000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282,328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10,802,368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1,182,500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$6,329,938</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2,379,970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40,093</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208,073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10,140,574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280" w:type="dxa"/>
            <w:vAlign w:val="bottom"/>
            <w:gridSpan w:val="3"/>
          </w:tcPr>
          <w:p>
            <w:pPr>
              <w:spacing w:after="0"/>
              <w:rPr>
                <w:sz w:val="20"/>
                <w:szCs w:val="20"/>
                <w:color w:val="auto"/>
              </w:rPr>
            </w:pPr>
            <w:r>
              <w:rPr>
                <w:rFonts w:ascii="Arial" w:cs="Arial" w:eastAsia="Arial" w:hAnsi="Arial"/>
                <w:sz w:val="14"/>
                <w:szCs w:val="14"/>
                <w:color w:val="auto"/>
              </w:rPr>
              <w:t>Jeffrey H. Vanneste,</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708,268</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$1,937,944</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952,000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168,628</w:t>
            </w:r>
          </w:p>
        </w:tc>
        <w:tc>
          <w:tcPr>
            <w:tcW w:w="8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230,994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3,997,834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 and</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683,633</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$1,867,397</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829,150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150,082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3,530,262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531,901</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86"/>
              </w:rPr>
              <w:t>175,000</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$2,647,434</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464,000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84,553</w:t>
            </w:r>
          </w:p>
        </w:tc>
        <w:tc>
          <w:tcPr>
            <w:tcW w:w="8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65,933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3,968,821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Raymond E. Scott,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828,223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$2,280,005</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1,078,616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271,112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4,751,866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818,172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$2,219,401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992,327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179,179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4,209,079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Seating</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$2,219,494</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1,659,285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148,326</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143,660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4,974,865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280" w:type="dxa"/>
            <w:vAlign w:val="bottom"/>
            <w:gridSpan w:val="3"/>
          </w:tcPr>
          <w:p>
            <w:pPr>
              <w:spacing w:after="0"/>
              <w:rPr>
                <w:sz w:val="20"/>
                <w:szCs w:val="20"/>
                <w:color w:val="auto"/>
              </w:rPr>
            </w:pPr>
            <w:r>
              <w:rPr>
                <w:rFonts w:ascii="Arial" w:cs="Arial" w:eastAsia="Arial" w:hAnsi="Arial"/>
                <w:sz w:val="14"/>
                <w:szCs w:val="14"/>
                <w:color w:val="auto"/>
              </w:rPr>
              <w:t>Terrence B. Larkin</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828,223</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$2,280,005</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1,078,616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248,673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4,435,517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818,172</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$2,219,401</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992,327</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161,497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4,191,397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tcPr>
          <w:p>
            <w:pPr>
              <w:ind w:left="200"/>
              <w:spacing w:after="0"/>
              <w:rPr>
                <w:sz w:val="20"/>
                <w:szCs w:val="20"/>
                <w:color w:val="auto"/>
              </w:rPr>
            </w:pPr>
            <w:r>
              <w:rPr>
                <w:rFonts w:ascii="Arial" w:cs="Arial" w:eastAsia="Arial" w:hAnsi="Arial"/>
                <w:sz w:val="14"/>
                <w:szCs w:val="14"/>
                <w:color w:val="auto"/>
                <w:w w:val="97"/>
              </w:rPr>
              <w:t>Business Development, General Counsel and Corporate Secretary</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804,100</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$2,219,494</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1,659,285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146,012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4,828,891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Frank C. Orsini,</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683,073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$1,807,292</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910,000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111,859</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160,844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3,673,068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President, Electrical</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9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in this column for each officer reflect the aggregate grant date fair value of Career Share RSUs, RSUs and Performance Shares under the LTSIP granted in the year determined in accordance with ASC 718, which grant date fair values are shown by award type below. There can be no assurance that these values will ever be realized. See Note 10, “Stock-Based Compensation,” to the consolidated financial statements included in our 2014 Annual Report on Form 10-K for the assumptions made in determining these values. The maximum potential value of the 2014 Performance Share awards as of the grant date is also shown below, based on the grant date value of our common stock. The amount reported in this column for Mr. Vanneste in 2012 also includes the one-time RSU grant in connection with his commencement of employment.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RSU Career</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2014-2016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Grant</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0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 Grant</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RSU Grant</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Grant</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Date Value</w:t>
            </w:r>
          </w:p>
        </w:tc>
        <w:tc>
          <w:tcPr>
            <w:tcW w:w="88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Date Value</w:t>
            </w:r>
          </w:p>
        </w:tc>
        <w:tc>
          <w:tcPr>
            <w:tcW w:w="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Date Value</w:t>
            </w:r>
          </w:p>
        </w:tc>
        <w:tc>
          <w:tcPr>
            <w:tcW w:w="1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2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$ 499,992</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1,649,927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$4,949,856</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$7,099,775</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$9,899,859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3020" w:type="dxa"/>
            <w:vAlign w:val="bottom"/>
            <w:gridSpan w:val="3"/>
          </w:tcPr>
          <w:p>
            <w:pPr>
              <w:jc w:val="center"/>
              <w:ind w:left="1832"/>
              <w:spacing w:after="0"/>
              <w:rPr>
                <w:sz w:val="20"/>
                <w:szCs w:val="20"/>
                <w:color w:val="auto"/>
              </w:rPr>
            </w:pPr>
            <w:r>
              <w:rPr>
                <w:rFonts w:ascii="Arial" w:cs="Arial" w:eastAsia="Arial" w:hAnsi="Arial"/>
                <w:sz w:val="18"/>
                <w:szCs w:val="18"/>
                <w:color w:val="auto"/>
                <w:w w:val="92"/>
              </w:rPr>
              <w:t>$ 199,921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434,506</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$1,303,517</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$1,937,944</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$2,607,108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3020" w:type="dxa"/>
            <w:vAlign w:val="bottom"/>
            <w:gridSpan w:val="3"/>
            <w:shd w:val="clear" w:color="auto" w:fill="CCEEFF"/>
          </w:tcPr>
          <w:p>
            <w:pPr>
              <w:jc w:val="center"/>
              <w:ind w:left="1832"/>
              <w:spacing w:after="0"/>
              <w:rPr>
                <w:sz w:val="20"/>
                <w:szCs w:val="20"/>
                <w:color w:val="auto"/>
              </w:rPr>
            </w:pPr>
            <w:r>
              <w:rPr>
                <w:rFonts w:ascii="Arial" w:cs="Arial" w:eastAsia="Arial" w:hAnsi="Arial"/>
                <w:sz w:val="18"/>
                <w:szCs w:val="18"/>
                <w:color w:val="auto"/>
                <w:w w:val="92"/>
              </w:rPr>
              <w:t>$ 199,921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520,021</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$1,560,063</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$2,280,005</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$3,120,199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3020" w:type="dxa"/>
            <w:vAlign w:val="bottom"/>
            <w:gridSpan w:val="3"/>
          </w:tcPr>
          <w:p>
            <w:pPr>
              <w:jc w:val="center"/>
              <w:ind w:left="1832"/>
              <w:spacing w:after="0"/>
              <w:rPr>
                <w:sz w:val="20"/>
                <w:szCs w:val="20"/>
                <w:color w:val="auto"/>
              </w:rPr>
            </w:pPr>
            <w:r>
              <w:rPr>
                <w:rFonts w:ascii="Arial" w:cs="Arial" w:eastAsia="Arial" w:hAnsi="Arial"/>
                <w:sz w:val="18"/>
                <w:szCs w:val="18"/>
                <w:color w:val="auto"/>
                <w:w w:val="92"/>
              </w:rPr>
              <w:t>$ 199,921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520,021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$1,560,063</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$2,280,005</w:t>
            </w:r>
          </w:p>
        </w:tc>
        <w:tc>
          <w:tcPr>
            <w:tcW w:w="9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$3,120,199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3020" w:type="dxa"/>
            <w:vAlign w:val="bottom"/>
            <w:gridSpan w:val="3"/>
            <w:shd w:val="clear" w:color="auto" w:fill="CCEEFF"/>
          </w:tcPr>
          <w:p>
            <w:pPr>
              <w:jc w:val="center"/>
              <w:ind w:left="1832"/>
              <w:spacing w:after="0"/>
              <w:rPr>
                <w:sz w:val="20"/>
                <w:szCs w:val="20"/>
                <w:color w:val="auto"/>
              </w:rPr>
            </w:pPr>
            <w:r>
              <w:rPr>
                <w:rFonts w:ascii="Arial" w:cs="Arial" w:eastAsia="Arial" w:hAnsi="Arial"/>
                <w:sz w:val="18"/>
                <w:szCs w:val="18"/>
                <w:color w:val="auto"/>
                <w:w w:val="92"/>
              </w:rPr>
              <w:t>$ 119,915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421,826</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$1,265,551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$1,807,292</w:t>
            </w:r>
          </w:p>
        </w:tc>
        <w:tc>
          <w:tcPr>
            <w:tcW w:w="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$2,531,176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column (g) for 2014 represent the amounts earned under the AIP.</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aggregate change in actuarial present value of the Named Executive Officer’s accumulated benefit under all defined benefit and actuarial pension plans (including supplemental plans), all of which have been frozen since December 31,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shown in column (i) includes for each Named Executive Officer:</w:t>
      </w:r>
    </w:p>
    <w:p>
      <w:pPr>
        <w:spacing w:after="0" w:line="90" w:lineRule="exact"/>
        <w:rPr>
          <w:rFonts w:ascii="Arial" w:cs="Arial" w:eastAsia="Arial" w:hAnsi="Arial"/>
          <w:sz w:val="18"/>
          <w:szCs w:val="18"/>
          <w:color w:val="auto"/>
        </w:rPr>
      </w:pPr>
    </w:p>
    <w:p>
      <w:pPr>
        <w:ind w:left="660" w:right="140" w:hanging="206"/>
        <w:spacing w:after="0" w:line="259"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Salaried Retirement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Retirement Savings</w:t>
            </w: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Retirement Savings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Pension Savings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80" w:type="dxa"/>
            <w:vAlign w:val="bottom"/>
            <w:vMerge w:val="restart"/>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Restoration Program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Plan Qualified</w:t>
            </w:r>
          </w:p>
        </w:tc>
        <w:tc>
          <w:tcPr>
            <w:tcW w:w="1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 Nonqualified</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Plan Qualified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Contribution</w:t>
            </w:r>
          </w:p>
        </w:tc>
        <w:tc>
          <w:tcPr>
            <w:tcW w:w="80" w:type="dxa"/>
            <w:vAlign w:val="bottom"/>
          </w:tcPr>
          <w:p>
            <w:pPr>
              <w:spacing w:after="0"/>
              <w:rPr>
                <w:sz w:val="14"/>
                <w:szCs w:val="14"/>
                <w:color w:val="auto"/>
              </w:rPr>
            </w:pPr>
          </w:p>
        </w:tc>
        <w:tc>
          <w:tcPr>
            <w:tcW w:w="15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9"/>
              </w:rPr>
              <w:t>Matching Contribution</w:t>
            </w:r>
          </w:p>
        </w:tc>
        <w:tc>
          <w:tcPr>
            <w:tcW w:w="1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Matching Contribution</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Contribution</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82"/>
              </w:rPr>
              <w:t>361,725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11,295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155,430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w w:val="95"/>
              </w:rPr>
              <w:t>134,129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57,889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163,858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w w:val="95"/>
              </w:rPr>
              <w:t>140,450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11,700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70,225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110,527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660" w:right="420" w:hanging="206"/>
        <w:spacing w:after="0" w:line="268"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imputed income with respect to life insurance coverage in the following amounts: Mr. Simoncini, $1,932; Mr. Vanneste, $3,612; Mr. Scott, $1,260; Mr. Larkin, $5,544; and Mr. Orsini, $840.</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life insurance premiums paid by the Company, including $864 in premiums for each of Messrs. Simoncini, Vanneste, Scott, Larkin and Orsini.</w:t>
      </w:r>
    </w:p>
    <w:p>
      <w:pPr>
        <w:spacing w:after="0" w:line="113"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each Named Executive Officer, the percentage of total compensation in 2014 disclosed in column (j) that was attributable to base salary was as follows: Mr. Simoncini, 10.6%; Mr. Vanneste, 17.7%; Mr. Scott, 17.4%; Mr. Larkin, 18.7%; and Mr. Orsini, 18.6%. For each Named Executive Officer, the percentage of total compensation in 2014 disclosed in column (j) that was attributable to the annual incentive award was as follows: Mr. Simoncini, 25.9%; Mr. Vanneste, 23.8%; Mr. Scott, 22.7%; Mr. Larkin, 24.3%; and Mr. Orsini, 24.8%.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 time to time, for senior executives of the Company generally. Under the employment agreements, if the Company reduces an executive’s base salary, adversely changes the manner of computing an executive’s incentive compensation opportunity, defers payment of his compensation, or eliminates or substantially modifies his benefits, the executive would have a basis to invoke his rights under the agreement for termination for good reason.</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Each executive who enters into an employment agreement has agreed to comply with certain confidentiality covenants both during employment and after termination. Each executive also agreed to comply with certain non-competition and non-solicitation covenants during his employment and for two years after the date of termination unless he is terminated by us for “cause” or if he terminates employment for other than “good reason,” in which case he agrees to comply with such covenants for one year after the date of termination. Upon any transfer of all or substantially all of our assets to a successor entity, we will require the successor entity expressly to assume performance of each executive’s employment agreement. None of the employment agreements contain an excise tax gross-up provision. For a description of the severance provisions of the employment agreements, see “— Potential Payments upon Termination or Change in Control.”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Salaried Retirement Program</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and (ii) the Pension Savings Plan. We established the Retirement Savings Plan pursuant to Section 401(k) of the Internal Revenue Code for eligible employees who have completed one month of service. Under the Retirement Savings Plan, each eligible employee may elect to contribute, on a pre-tax basis, a portion of his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Company matching contributions generally become vested under the Retirement Savings Plan at a rate of 20% for each full year of service.</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All Pension Savings Plan contributions are generally determined as of the last day of each month, provided, generally, that the employee is actively employed on such date, and are allocated monthly. Contributions generally become vested under the Pension Savings Plan at a rate of 20% for each full year of service.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2014 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discloses the grants of plan-based awards to our Named Executive Officers in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4"/>
              </w:rPr>
              <w:t>Estimated Possible Payouts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Under Non-Equity Incentive Plan</w:t>
            </w:r>
          </w:p>
        </w:tc>
        <w:tc>
          <w:tcPr>
            <w:tcW w:w="2220" w:type="dxa"/>
            <w:vAlign w:val="bottom"/>
            <w:gridSpan w:val="5"/>
          </w:tcPr>
          <w:p>
            <w:pPr>
              <w:jc w:val="right"/>
              <w:ind w:right="292"/>
              <w:spacing w:after="0" w:line="149" w:lineRule="exact"/>
              <w:rPr>
                <w:sz w:val="20"/>
                <w:szCs w:val="20"/>
                <w:color w:val="auto"/>
              </w:rPr>
            </w:pPr>
            <w:r>
              <w:rPr>
                <w:rFonts w:ascii="Arial" w:cs="Arial" w:eastAsia="Arial" w:hAnsi="Arial"/>
                <w:sz w:val="14"/>
                <w:szCs w:val="14"/>
                <w:b w:val="1"/>
                <w:bCs w:val="1"/>
                <w:color w:val="auto"/>
              </w:rPr>
              <w:t>Estimated Future Payouts</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Awards(1)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w w:val="89"/>
              </w:rPr>
              <w:t>Under Equity Incentive Plan Awards</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center"/>
              <w:ind w:right="140"/>
              <w:spacing w:after="0" w:line="12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75"/>
        </w:trPr>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Type of</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Grant</w:t>
            </w: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5"/>
              </w:rPr>
              <w:t>Threshold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Maximum</w:t>
            </w:r>
          </w:p>
        </w:tc>
        <w:tc>
          <w:tcPr>
            <w:tcW w:w="8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Threshold</w:t>
            </w: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93"/>
              </w:rPr>
              <w:t>Target</w:t>
            </w: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or Units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Name(a)</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Award</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Date (b)</w:t>
            </w:r>
          </w:p>
        </w:tc>
        <w:tc>
          <w:tcPr>
            <w:tcW w:w="80" w:type="dxa"/>
            <w:vAlign w:val="bottom"/>
          </w:tcPr>
          <w:p>
            <w:pPr>
              <w:spacing w:after="0"/>
              <w:rPr>
                <w:sz w:val="15"/>
                <w:szCs w:val="15"/>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(e)</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(f)(#)</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w:t>
            </w: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(h)(#)</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(i)(#)</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(2)(l)</w:t>
            </w:r>
          </w:p>
        </w:tc>
        <w:tc>
          <w:tcPr>
            <w:tcW w:w="0" w:type="dxa"/>
            <w:vAlign w:val="bottom"/>
          </w:tcPr>
          <w:p>
            <w:pPr>
              <w:spacing w:after="0"/>
              <w:rPr>
                <w:sz w:val="1"/>
                <w:szCs w:val="1"/>
                <w:color w:val="auto"/>
              </w:rPr>
            </w:pPr>
          </w:p>
        </w:tc>
      </w:tr>
      <w:tr>
        <w:trPr>
          <w:trHeight w:val="136"/>
        </w:trPr>
        <w:tc>
          <w:tcPr>
            <w:tcW w:w="21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Matthew J. Simoncini</w:t>
            </w: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Annual Incentive Award</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8"/>
              </w:rPr>
              <w:t>900,000</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1,800,000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$3,600,000</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Performance Share Award(3)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33,571</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67,144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134,290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4,949,856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22,381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1,649,927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 (Career Shares)(5)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11/19/2014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5,287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Jeffrey H. Vanneste</w:t>
            </w:r>
          </w:p>
        </w:tc>
        <w:tc>
          <w:tcPr>
            <w:tcW w:w="100" w:type="dxa"/>
            <w:vAlign w:val="bottom"/>
          </w:tcPr>
          <w:p>
            <w:pPr>
              <w:spacing w:after="0"/>
              <w:rPr>
                <w:sz w:val="11"/>
                <w:szCs w:val="11"/>
                <w:color w:val="auto"/>
              </w:rPr>
            </w:pPr>
          </w:p>
        </w:tc>
        <w:tc>
          <w:tcPr>
            <w:tcW w:w="2060" w:type="dxa"/>
            <w:vAlign w:val="bottom"/>
          </w:tcPr>
          <w:p>
            <w:pPr>
              <w:jc w:val="right"/>
              <w:spacing w:after="0" w:line="138" w:lineRule="exact"/>
              <w:rPr>
                <w:sz w:val="20"/>
                <w:szCs w:val="20"/>
                <w:color w:val="auto"/>
              </w:rPr>
            </w:pPr>
            <w:r>
              <w:rPr>
                <w:rFonts w:ascii="Arial" w:cs="Arial" w:eastAsia="Arial" w:hAnsi="Arial"/>
                <w:sz w:val="14"/>
                <w:szCs w:val="14"/>
                <w:color w:val="auto"/>
              </w:rPr>
              <w:t>Annual Incentive Award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w w:val="98"/>
              </w:rPr>
              <w:t>272,000</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544,000</w:t>
            </w:r>
          </w:p>
        </w:tc>
        <w:tc>
          <w:tcPr>
            <w:tcW w:w="80" w:type="dxa"/>
            <w:vAlign w:val="bottom"/>
          </w:tcPr>
          <w:p>
            <w:pPr>
              <w:spacing w:after="0"/>
              <w:rPr>
                <w:sz w:val="11"/>
                <w:szCs w:val="11"/>
                <w:color w:val="auto"/>
              </w:rPr>
            </w:pPr>
          </w:p>
        </w:tc>
        <w:tc>
          <w:tcPr>
            <w:tcW w:w="70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88"/>
              </w:rPr>
              <w:t>$1,088,000</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Performance Share Award(3)</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8,841</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35,365</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1,303,517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5,894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434,506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RSU Award (Career Shares)(5)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11/19/2014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2,114</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199,921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Raymond E. Scott</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Annual Incentive Award</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308,176</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616,352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$1,232,704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Performance Share Award(3)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10,581</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21,162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42,325</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1,560,063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7,054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 (Career Shares)(5)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11/19/2014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Terrence B. Larkin</w:t>
            </w:r>
          </w:p>
        </w:tc>
        <w:tc>
          <w:tcPr>
            <w:tcW w:w="100" w:type="dxa"/>
            <w:vAlign w:val="bottom"/>
          </w:tcPr>
          <w:p>
            <w:pPr>
              <w:spacing w:after="0"/>
              <w:rPr>
                <w:sz w:val="11"/>
                <w:szCs w:val="11"/>
                <w:color w:val="auto"/>
              </w:rPr>
            </w:pPr>
          </w:p>
        </w:tc>
        <w:tc>
          <w:tcPr>
            <w:tcW w:w="2060" w:type="dxa"/>
            <w:vAlign w:val="bottom"/>
          </w:tcPr>
          <w:p>
            <w:pPr>
              <w:jc w:val="right"/>
              <w:spacing w:after="0" w:line="138" w:lineRule="exact"/>
              <w:rPr>
                <w:sz w:val="20"/>
                <w:szCs w:val="20"/>
                <w:color w:val="auto"/>
              </w:rPr>
            </w:pPr>
            <w:r>
              <w:rPr>
                <w:rFonts w:ascii="Arial" w:cs="Arial" w:eastAsia="Arial" w:hAnsi="Arial"/>
                <w:sz w:val="14"/>
                <w:szCs w:val="14"/>
                <w:color w:val="auto"/>
              </w:rPr>
              <w:t>Annual Incentive Award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w w:val="98"/>
              </w:rPr>
              <w:t>308,176</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616,352</w:t>
            </w:r>
          </w:p>
        </w:tc>
        <w:tc>
          <w:tcPr>
            <w:tcW w:w="80" w:type="dxa"/>
            <w:vAlign w:val="bottom"/>
          </w:tcPr>
          <w:p>
            <w:pPr>
              <w:spacing w:after="0"/>
              <w:rPr>
                <w:sz w:val="11"/>
                <w:szCs w:val="11"/>
                <w:color w:val="auto"/>
              </w:rPr>
            </w:pPr>
          </w:p>
        </w:tc>
        <w:tc>
          <w:tcPr>
            <w:tcW w:w="70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88"/>
              </w:rPr>
              <w:t>$1,232,704</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Performance Share Award(3)</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10,581</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21,162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42,325</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1,560,063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RSU Award(4)</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7,054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520,021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RSU Award (Career Shares)(5)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11/19/2014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2,114</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199,921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Frank C. Orsini</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Annual Incentive Award</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260,000</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$1,040,000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Performance Share Award(3)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8,583</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17,167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34,335</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1,265,551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Award(4)</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421,826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 (Career Shares)(5)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11/19/2014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Annual Incentive Award, the threshold, target and maximum amounts represent 50%, 100% and 200%, respectively, of the total bonus opportunity for each Named Executive Officer. If actual performance falls between threshold and maximum, the award would be calculated using linear interpolation. For the Annual Incentive Award, the target bonus opportunity for the Named Executive Officers was also based on a percentage of base salary, which is 150% for Mr. Simoncini and 80% for Messrs. Vanneste, Scott, Larkin and Orsini.</w:t>
      </w:r>
    </w:p>
    <w:p>
      <w:pPr>
        <w:spacing w:after="0" w:line="62"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10, “Stock-Based Compensation,” to the Company’s consolidated financial statements included in our 2014 Annual Report on Form 10-K for the assumptions made in determining values.</w:t>
      </w:r>
    </w:p>
    <w:p>
      <w:pPr>
        <w:spacing w:after="0" w:line="50"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each Performance Share award is contingent on the Company attaining certain levels of Adjusted ROIC and Cumulative Pre-Tax Income performance in the 2014-2016 performance period. Two-thirds of each Performance Share award can be earned based on Adjusted ROIC performance and one-third can be earned based on Cumulative Pre-Tax Income performance. If threshold, target or maximum performance goals are attained in the performance period, 50%, 100% or 200% of the target amount, respectively, may be earned. If actual performance falls between threshold and maximum, the award would be calculated using linear interpolation.</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RSUs vest and are paid in shares of Lear common stock on the third anniversary of the grant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 Career Shares” below for an explanation regarding the vesting and distribution of the Career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Annual Incentives.”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96"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The Performance Share awards were granted pursuant to the LTSIP. Payment of each Performance Share award is contingent on the Company attaining certain levels of Adjusted ROIC and Cumulative Pre-Tax Income in the 2014-2016 performance period. Two-thirds of each Performance Share award can be earned based on Adjusted ROIC performance and one-third can be earned based on Cumulative Pre-Tax Income performance. If threshold, target or maximum performance goals are attained in a performance period, 50%, 100% or 200% of the target amount, respectively, may be earned. If actual performance falls between threshold and maximum, the award would be calculated using linear interpolation. For a description of the effect of a termination of employment or a change in control on the vesting of Performance Shares, please see “Executive Compensation—Potential Payments Upon Termination or Change in Control.”</w:t>
      </w:r>
    </w:p>
    <w:p>
      <w:pPr>
        <w:spacing w:after="0" w:line="105"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RSU awards were granted pursuant to the LTSIP. A summary description of the LTSIP is set forth above under the heading “Compensation Discussion and Analysis — Elements of Compensation — Long-Term Incentives.”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Provided that the Company achieves positive adjusted net income in the fiscal year in which the award is granted, the RSUs vest and settle in shares of common stock on the third anniversary of the grant date during the executive’s continuing employment. Positive adjusted net income is the Company’s net income excluding the impact of restructuring and other special items provided in the LTSIP. For a description of the effect of a termination of employment or a change in control on the vesting of RSUs, please see “Executive Compensation—Potential Payments Upon Termination or Change in Control.”</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Shares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described above in “Compensation Discussion and Analysis — Retirement Plan Benefits — Career Shares,” the Company granted “Career Shares” to certain executives in 2014, including each of the Named Executive Officers.</w:t>
      </w:r>
    </w:p>
    <w:p>
      <w:pPr>
        <w:spacing w:after="0" w:line="132"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In general, the underlying shares of common stock for the vested Career Share RSUs are not distributed until the later of (i) age 62 or (ii) the vesting date. If the executive terminates due to a qualifying retirement, the underlying shares of common stock for the vested RSUs are not distributed until the earlier of</w:t>
      </w:r>
    </w:p>
    <w:p>
      <w:pPr>
        <w:ind w:right="60" w:firstLine="8"/>
        <w:spacing w:after="0" w:line="302" w:lineRule="auto"/>
        <w:tabs>
          <w:tab w:leader="none" w:pos="2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age 62 (or such later vesting date) or (ii) three years after the executive’s qualifying retirement. If the executive has reached age 55 and completed 10 years of service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Unvested RSUs become vested and the underlying shares are immediately distributed (along with those for vested RSUs) upon the executive’s (i) death,</w:t>
      </w:r>
    </w:p>
    <w:p>
      <w:pPr>
        <w:spacing w:after="0" w:line="38" w:lineRule="exact"/>
        <w:rPr>
          <w:sz w:val="20"/>
          <w:szCs w:val="20"/>
          <w:color w:val="auto"/>
        </w:rPr>
      </w:pPr>
    </w:p>
    <w:p>
      <w:pPr>
        <w:ind w:right="300" w:firstLine="8"/>
        <w:spacing w:after="0" w:line="323" w:lineRule="auto"/>
        <w:tabs>
          <w:tab w:leader="none" w:pos="2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disability or (iii) involuntary or “good reason” termination of employment within 24 months following a change in control. The Career Share RSUs do not automatically vest nor are the underlying shares distributed upon a change in control unless the successor company does not assume the awards.</w:t>
      </w:r>
    </w:p>
    <w:p>
      <w:pPr>
        <w:spacing w:after="0" w:line="24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2014 OUTSTANDING EQUITY AWARDS AT FISCAL YEAR-END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outstanding equity awards as of December 31, 2014, for each Named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7"/>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Shares or</w:t>
            </w:r>
          </w:p>
        </w:tc>
        <w:tc>
          <w:tcPr>
            <w:tcW w:w="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 that</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That Have</w:t>
            </w:r>
          </w:p>
        </w:tc>
        <w:tc>
          <w:tcPr>
            <w:tcW w:w="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have Not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that have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6780" w:type="dxa"/>
            <w:vAlign w:val="bottom"/>
            <w:vMerge w:val="restart"/>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Not Vested</w:t>
            </w:r>
          </w:p>
        </w:tc>
        <w:tc>
          <w:tcPr>
            <w:tcW w:w="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Have Not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6780" w:type="dxa"/>
            <w:vAlign w:val="bottom"/>
            <w:vMerge w:val="continue"/>
          </w:tcPr>
          <w:p>
            <w:pPr>
              <w:spacing w:after="0"/>
              <w:rPr>
                <w:sz w:val="14"/>
                <w:szCs w:val="14"/>
                <w:color w:val="auto"/>
              </w:rPr>
            </w:pP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(#)(1)(g)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Vested(2)(h)</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(#)(3)(i)</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(3)(j)</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109,951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10,946,415</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322,195</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31,995,658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34,969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3,480,978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8,463,102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3,760,005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10,128,571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37,767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3,760,005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10,128,571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2,389,939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7,765,229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figures in column (g) represent the following RSU awards granted under the LTSIP (the Career Shares are subject to later payment as discussed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2012 Career</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2013 Career</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2014 Career</w:t>
            </w:r>
          </w:p>
        </w:tc>
      </w:tr>
      <w:tr>
        <w:trPr>
          <w:trHeight w:val="149"/>
        </w:trPr>
        <w:tc>
          <w:tcPr>
            <w:tcW w:w="51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2012 RSUs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2012 RSUs</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2013 RSUs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2014 RSUs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49"/>
        </w:trPr>
        <w:tc>
          <w:tcPr>
            <w:tcW w:w="51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Vesting</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Vesting</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Vesting</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Vesting</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Vesting</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Vesting</w:t>
            </w:r>
          </w:p>
        </w:tc>
      </w:tr>
      <w:tr>
        <w:trPr>
          <w:trHeight w:val="149"/>
        </w:trPr>
        <w:tc>
          <w:tcPr>
            <w:tcW w:w="5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February 9,</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April 15,</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February 7,</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February 6,</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November 13,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November 19,</w:t>
            </w:r>
          </w:p>
        </w:tc>
      </w:tr>
      <w:tr>
        <w:trPr>
          <w:trHeight w:val="161"/>
        </w:trPr>
        <w:tc>
          <w:tcPr>
            <w:tcW w:w="5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2015 (#)</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2015 (#)</w:t>
            </w: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2016 (#)</w:t>
            </w: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2017 (#)</w:t>
            </w: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2015 (#)</w:t>
            </w: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2016 (#)</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2017 (#)</w:t>
            </w:r>
          </w:p>
        </w:tc>
        <w:tc>
          <w:tcPr>
            <w:tcW w:w="10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Jeffrey H. Vanneste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9,163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3,258</w:t>
            </w:r>
          </w:p>
        </w:tc>
        <w:tc>
          <w:tcPr>
            <w:tcW w:w="680" w:type="dxa"/>
            <w:vAlign w:val="bottom"/>
          </w:tcPr>
          <w:p>
            <w:pPr>
              <w:jc w:val="right"/>
              <w:spacing w:after="0"/>
              <w:rPr>
                <w:sz w:val="20"/>
                <w:szCs w:val="20"/>
                <w:color w:val="auto"/>
              </w:rPr>
            </w:pPr>
            <w:r>
              <w:rPr>
                <w:rFonts w:ascii="Arial" w:cs="Arial" w:eastAsia="Arial" w:hAnsi="Arial"/>
                <w:sz w:val="18"/>
                <w:szCs w:val="18"/>
                <w:color w:val="auto"/>
              </w:rPr>
              <w:t>8,309</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5,894</w:t>
            </w:r>
          </w:p>
        </w:tc>
        <w:tc>
          <w:tcPr>
            <w:tcW w:w="820" w:type="dxa"/>
            <w:vAlign w:val="bottom"/>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2,271</w:t>
            </w:r>
          </w:p>
        </w:tc>
        <w:tc>
          <w:tcPr>
            <w:tcW w:w="80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11,182</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Terrence B. Larkin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11,182</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9,944</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7,054</w:t>
            </w:r>
          </w:p>
        </w:tc>
        <w:tc>
          <w:tcPr>
            <w:tcW w:w="820" w:type="dxa"/>
            <w:vAlign w:val="bottom"/>
          </w:tcPr>
          <w:p>
            <w:pPr>
              <w:jc w:val="right"/>
              <w:spacing w:after="0"/>
              <w:rPr>
                <w:sz w:val="20"/>
                <w:szCs w:val="20"/>
                <w:color w:val="auto"/>
              </w:rPr>
            </w:pPr>
            <w:r>
              <w:rPr>
                <w:rFonts w:ascii="Arial" w:cs="Arial" w:eastAsia="Arial" w:hAnsi="Arial"/>
                <w:sz w:val="18"/>
                <w:szCs w:val="18"/>
                <w:color w:val="auto"/>
              </w:rPr>
              <w:t>4,950</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2,523</w:t>
            </w:r>
          </w:p>
        </w:tc>
        <w:tc>
          <w:tcPr>
            <w:tcW w:w="80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5,245</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left="460" w:right="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total values in column (h) equal the total number of RSUs held by each Named Executive Officer multiplied by the market price of Company common stock at the close of the last trading day in 2014, which was $98.08 per share, plus the following accrued dividend equivalents and interest at the prime rate (which are paid if and when the underlying RSUs vest and are 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80"/>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Career</w:t>
            </w: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Career</w:t>
            </w: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Career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2012 RSU</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2013 RSU</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2014 RSU</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3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Dividend</w:t>
            </w: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Dividend</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Dividend</w:t>
            </w:r>
          </w:p>
        </w:tc>
        <w:tc>
          <w:tcPr>
            <w:tcW w:w="18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Dividend</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Dividend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1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Dividend</w:t>
            </w:r>
          </w:p>
        </w:tc>
      </w:tr>
      <w:tr>
        <w:trPr>
          <w:trHeight w:val="161"/>
        </w:trPr>
        <w:tc>
          <w:tcPr>
            <w:tcW w:w="3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320" w:type="dxa"/>
            <w:vAlign w:val="bottom"/>
            <w:gridSpan w:val="15"/>
          </w:tcPr>
          <w:p>
            <w:pPr>
              <w:jc w:val="right"/>
              <w:ind w:right="180"/>
              <w:spacing w:after="0"/>
              <w:rPr>
                <w:sz w:val="20"/>
                <w:szCs w:val="20"/>
                <w:color w:val="auto"/>
              </w:rPr>
            </w:pPr>
            <w:r>
              <w:rPr>
                <w:rFonts w:ascii="Arial" w:cs="Arial" w:eastAsia="Arial" w:hAnsi="Arial"/>
                <w:sz w:val="14"/>
                <w:szCs w:val="14"/>
                <w:b w:val="1"/>
                <w:bCs w:val="1"/>
                <w:color w:val="auto"/>
                <w:w w:val="93"/>
              </w:rPr>
              <w:t>Equivalents   Equivalents   Equivalents   Equivalents   Equivalents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Equivalents</w:t>
            </w: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Equivalents</w:t>
            </w: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47,659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18,136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162,421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Jeffrey H. Vanneste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24,517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12,645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6,618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51,218</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15,133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55,818</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Terrence B. Larkin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23,785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15,133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55,818</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11,128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32,979</w:t>
            </w:r>
          </w:p>
        </w:tc>
        <w:tc>
          <w:tcPr>
            <w:tcW w:w="100" w:type="dxa"/>
            <w:vAlign w:val="bottom"/>
            <w:shd w:val="clear" w:color="auto" w:fill="CCEEFF"/>
          </w:tcPr>
          <w:p>
            <w:pPr>
              <w:spacing w:after="0"/>
              <w:rPr>
                <w:sz w:val="18"/>
                <w:szCs w:val="18"/>
                <w:color w:val="auto"/>
              </w:rPr>
            </w:pPr>
          </w:p>
        </w:tc>
      </w:tr>
      <w:tr>
        <w:trPr>
          <w:trHeight w:val="363"/>
        </w:trPr>
        <w:tc>
          <w:tcPr>
            <w:tcW w:w="3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87"/>
              </w:rPr>
              <w:t>-45-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line="306" w:lineRule="auto"/>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total amounts and values in columns (i) and (j) equal the total number of Performance Shares, at the maximum level, held by each Named Executive Officer multiplied by the market price of Company common stock at the close of the last trading day in 2014, which was $98.08 per share. These amounts exclude the Performance Shares for the 2012-2014 performance period that vested based on performance through December 31, 2014 and are reported in the “2014 Option Exercises and Stock Vested” table. In calculating the number of Performance Shares and their value, we are required by SEC rules to compare our performance through 2014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performance through the previous year exceeded target, even by only a modest amount, and even if it is unlikely that we will achieve the results that would dictate the payment of the maximum amount, we are required by SEC rules to report the maximum potential payouts. For the first year of the 2014-2016 performance period and through the second year of the 2013-2015 performance period, we exceeded target levels of Adjusted ROIC and Cumulative Pre-Tax Income (on a combined, pro-rated basis) and have accordingly reported the following Performance Shares at the maximum award level for each of these two performance periods. Amounts also include the following accrued dividend equivalents at the maximum level (which are not paid unless the performance goals are met with respect to the underlying Performance Shares):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2013 Performance</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2014 Performance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 Dividend</w:t>
            </w:r>
          </w:p>
        </w:tc>
        <w:tc>
          <w:tcPr>
            <w:tcW w:w="100" w:type="dxa"/>
            <w:vAlign w:val="bottom"/>
          </w:tcPr>
          <w:p>
            <w:pPr>
              <w:spacing w:after="0"/>
              <w:rPr>
                <w:sz w:val="12"/>
                <w:szCs w:val="12"/>
                <w:color w:val="auto"/>
              </w:rPr>
            </w:pPr>
          </w:p>
        </w:tc>
        <w:tc>
          <w:tcPr>
            <w:tcW w:w="10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Share Dividend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58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Equivalents</w:t>
            </w:r>
          </w:p>
        </w:tc>
        <w:tc>
          <w:tcPr>
            <w:tcW w:w="10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Equivalents</w:t>
            </w:r>
          </w:p>
        </w:tc>
        <w:tc>
          <w:tcPr>
            <w:tcW w:w="1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Dividend</w:t>
            </w:r>
          </w:p>
        </w:tc>
      </w:tr>
      <w:tr>
        <w:trPr>
          <w:trHeight w:val="161"/>
        </w:trPr>
        <w:tc>
          <w:tcPr>
            <w:tcW w:w="58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(Maximum)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w:t>
            </w:r>
          </w:p>
        </w:tc>
        <w:tc>
          <w:tcPr>
            <w:tcW w:w="1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(2013-2015 Awards)</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(2014-2016 Awards)</w:t>
            </w: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Equivalents</w:t>
            </w: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187,905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394,772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Jeffrey H. Vanneste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49,857</w:t>
            </w:r>
          </w:p>
        </w:tc>
        <w:tc>
          <w:tcPr>
            <w:tcW w:w="900" w:type="dxa"/>
            <w:vAlign w:val="bottom"/>
          </w:tcPr>
          <w:p>
            <w:pPr>
              <w:jc w:val="right"/>
              <w:spacing w:after="0"/>
              <w:rPr>
                <w:sz w:val="20"/>
                <w:szCs w:val="20"/>
                <w:color w:val="auto"/>
              </w:rPr>
            </w:pPr>
            <w:r>
              <w:rPr>
                <w:rFonts w:ascii="Arial" w:cs="Arial" w:eastAsia="Arial" w:hAnsi="Arial"/>
                <w:sz w:val="18"/>
                <w:szCs w:val="18"/>
                <w:color w:val="auto"/>
              </w:rPr>
              <w:t>35,365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75,872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28,656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104,528</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125,098</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Terrence B. Larkin</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59,668</w:t>
            </w:r>
          </w:p>
        </w:tc>
        <w:tc>
          <w:tcPr>
            <w:tcW w:w="900" w:type="dxa"/>
            <w:vAlign w:val="bottom"/>
          </w:tcPr>
          <w:p>
            <w:pPr>
              <w:jc w:val="right"/>
              <w:spacing w:after="0"/>
              <w:rPr>
                <w:sz w:val="20"/>
                <w:szCs w:val="20"/>
                <w:color w:val="auto"/>
              </w:rPr>
            </w:pPr>
            <w:r>
              <w:rPr>
                <w:rFonts w:ascii="Arial" w:cs="Arial" w:eastAsia="Arial" w:hAnsi="Arial"/>
                <w:sz w:val="18"/>
                <w:szCs w:val="18"/>
                <w:color w:val="auto"/>
              </w:rPr>
              <w:t>42,325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90,802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34,296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125,098</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94,588</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OPTION EXERCISES AND STOCK VESTED</w:t>
      </w:r>
    </w:p>
    <w:p>
      <w:pPr>
        <w:spacing w:after="0" w:line="17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stock-based awards that vested during 2014 for our Named Executive Officers. No options are outstanding and none were exercised in 2014.</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8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0" w:type="dxa"/>
            <w:vAlign w:val="bottom"/>
            <w:gridSpan w:val="2"/>
          </w:tcPr>
          <w:p>
            <w:pPr>
              <w:jc w:val="center"/>
              <w:ind w:left="3556"/>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Name(a)</w:t>
            </w:r>
          </w:p>
        </w:tc>
        <w:tc>
          <w:tcPr>
            <w:tcW w:w="234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24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Vesting (e)(1)</w:t>
            </w:r>
          </w:p>
        </w:tc>
        <w:tc>
          <w:tcPr>
            <w:tcW w:w="0" w:type="dxa"/>
            <w:vAlign w:val="bottom"/>
          </w:tcPr>
          <w:p>
            <w:pPr>
              <w:spacing w:after="0"/>
              <w:rPr>
                <w:sz w:val="1"/>
                <w:szCs w:val="1"/>
                <w:color w:val="auto"/>
              </w:rPr>
            </w:pPr>
          </w:p>
        </w:tc>
      </w:tr>
      <w:tr>
        <w:trPr>
          <w:trHeight w:val="168"/>
        </w:trPr>
        <w:tc>
          <w:tcPr>
            <w:tcW w:w="52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364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(#)(d)(1)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81"/>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3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177,155</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18,884,485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60,024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6,175,281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6,754,027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64,039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6,754,027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3,102,527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40" w:type="dxa"/>
            <w:vAlign w:val="bottom"/>
          </w:tcPr>
          <w:p>
            <w:pPr>
              <w:jc w:val="right"/>
              <w:ind w:right="1936"/>
              <w:spacing w:after="0"/>
              <w:rPr>
                <w:sz w:val="20"/>
                <w:szCs w:val="20"/>
                <w:color w:val="auto"/>
              </w:rPr>
            </w:pPr>
            <w:r>
              <w:rPr>
                <w:rFonts w:ascii="Arial" w:cs="Arial" w:eastAsia="Arial" w:hAnsi="Arial"/>
                <w:sz w:val="18"/>
                <w:szCs w:val="18"/>
                <w:color w:val="auto"/>
              </w:rPr>
              <w:t>-46-</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80" w:hanging="572"/>
        <w:spacing w:after="0" w:line="370"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Consists of 2011 RSU awards that vested on February 16, 2014 (and for Mr. Vanneste, 2012 RSU awards that vested on April 15, 2014) and performance shares that vested based on performance during the 3-year period ended December 31, 2014 (which were paid in 2015), in the following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2012 Performance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2011/2012 RSU</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2012 Performance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5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2011/2012 RSU Value</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on</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 Value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RSU and</w:t>
            </w:r>
          </w:p>
        </w:tc>
      </w:tr>
      <w:tr>
        <w:trPr>
          <w:trHeight w:val="149"/>
        </w:trPr>
        <w:tc>
          <w:tcPr>
            <w:tcW w:w="5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Vesting</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Realized on Vesting</w:t>
            </w: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Performance</w:t>
            </w:r>
          </w:p>
        </w:tc>
      </w:tr>
      <w:tr>
        <w:trPr>
          <w:trHeight w:val="161"/>
        </w:trPr>
        <w:tc>
          <w:tcPr>
            <w:tcW w:w="5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2"/>
              </w:rPr>
              <w:t>Vesting</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Vesting</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(2012-2014 Awards)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(2012-2014 Awards)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Share Value</w:t>
            </w: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1,194,127</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17,319,344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18,513,471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Jeffrey H. Vanneste</w:t>
            </w:r>
          </w:p>
        </w:tc>
        <w:tc>
          <w:tcPr>
            <w:tcW w:w="880" w:type="dxa"/>
            <w:vAlign w:val="bottom"/>
          </w:tcPr>
          <w:p>
            <w:pPr>
              <w:jc w:val="right"/>
              <w:spacing w:after="0"/>
              <w:rPr>
                <w:sz w:val="20"/>
                <w:szCs w:val="20"/>
                <w:color w:val="auto"/>
              </w:rPr>
            </w:pPr>
            <w:r>
              <w:rPr>
                <w:rFonts w:ascii="Arial" w:cs="Arial" w:eastAsia="Arial" w:hAnsi="Arial"/>
                <w:sz w:val="18"/>
                <w:szCs w:val="18"/>
                <w:color w:val="auto"/>
              </w:rPr>
              <w:t>14,118</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1,149,488</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45,906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4,916,074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6,065,562</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620,438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5,999,503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6,619,941</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Terrence B. Larkin</w:t>
            </w:r>
          </w:p>
        </w:tc>
        <w:tc>
          <w:tcPr>
            <w:tcW w:w="880" w:type="dxa"/>
            <w:vAlign w:val="bottom"/>
          </w:tcPr>
          <w:p>
            <w:pPr>
              <w:jc w:val="right"/>
              <w:spacing w:after="0"/>
              <w:rPr>
                <w:sz w:val="20"/>
                <w:szCs w:val="20"/>
                <w:color w:val="auto"/>
              </w:rPr>
            </w:pPr>
            <w:r>
              <w:rPr>
                <w:rFonts w:ascii="Arial" w:cs="Arial" w:eastAsia="Arial" w:hAnsi="Arial"/>
                <w:sz w:val="18"/>
                <w:szCs w:val="18"/>
                <w:color w:val="auto"/>
              </w:rPr>
              <w:t>8,016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620,438</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56,023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5,999,503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6,619,941</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2,814,004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3,044,346</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dividend equivalent payments, including interest, in the following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2012 Performance</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4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2011 RSU</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 Dividend</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Dividend</w:t>
            </w:r>
          </w:p>
        </w:tc>
      </w:tr>
      <w:tr>
        <w:trPr>
          <w:trHeight w:val="149"/>
        </w:trPr>
        <w:tc>
          <w:tcPr>
            <w:tcW w:w="4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Dividend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Equivalents</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Equivalent</w:t>
            </w:r>
          </w:p>
        </w:tc>
      </w:tr>
      <w:tr>
        <w:trPr>
          <w:trHeight w:val="161"/>
        </w:trPr>
        <w:tc>
          <w:tcPr>
            <w:tcW w:w="4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Equivalents</w:t>
            </w:r>
          </w:p>
        </w:tc>
        <w:tc>
          <w:tcPr>
            <w:tcW w:w="2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(2012-2014 Awards)</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Payments</w:t>
            </w: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3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26,059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344,955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371,014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Jeffrey H. Vanneste</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18,857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90,862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109,719</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358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134,086</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Terrence B. Larkin</w:t>
            </w:r>
          </w:p>
        </w:tc>
        <w:tc>
          <w:tcPr>
            <w:tcW w:w="358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14,592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119,494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134,086</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358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58,181</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PENSION BENEFITS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of 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Present</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Credited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During</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2640" w:type="dxa"/>
            <w:vAlign w:val="bottom"/>
            <w:vMerge w:val="restart"/>
          </w:tcPr>
          <w:p>
            <w:pPr>
              <w:spacing w:after="0"/>
              <w:rPr>
                <w:sz w:val="12"/>
                <w:szCs w:val="12"/>
                <w:color w:val="auto"/>
              </w:rPr>
            </w:pPr>
          </w:p>
        </w:tc>
        <w:tc>
          <w:tcPr>
            <w:tcW w:w="4600" w:type="dxa"/>
            <w:vAlign w:val="bottom"/>
            <w:gridSpan w:val="2"/>
            <w:vMerge w:val="restart"/>
          </w:tcPr>
          <w:p>
            <w:pPr>
              <w:jc w:val="right"/>
              <w:ind w:right="1980"/>
              <w:spacing w:after="0"/>
              <w:rPr>
                <w:sz w:val="20"/>
                <w:szCs w:val="20"/>
                <w:color w:val="auto"/>
              </w:rPr>
            </w:pPr>
            <w:r>
              <w:rPr>
                <w:rFonts w:ascii="Arial" w:cs="Arial" w:eastAsia="Arial" w:hAnsi="Arial"/>
                <w:sz w:val="14"/>
                <w:szCs w:val="14"/>
                <w:b w:val="1"/>
                <w:bCs w:val="1"/>
                <w:color w:val="auto"/>
              </w:rPr>
              <w:t>Plan Name(s)(b)</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Service</w:t>
            </w:r>
          </w:p>
        </w:tc>
        <w:tc>
          <w:tcPr>
            <w:tcW w:w="22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Last Fiscal</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(#)(c)</w:t>
            </w:r>
          </w:p>
        </w:tc>
        <w:tc>
          <w:tcPr>
            <w:tcW w:w="220" w:type="dxa"/>
            <w:vAlign w:val="bottom"/>
          </w:tcPr>
          <w:p>
            <w:pPr>
              <w:spacing w:after="0"/>
              <w:rPr>
                <w:sz w:val="14"/>
                <w:szCs w:val="14"/>
                <w:color w:val="auto"/>
              </w:rPr>
            </w:pPr>
          </w:p>
        </w:tc>
        <w:tc>
          <w:tcPr>
            <w:tcW w:w="116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Benefit(1)(d)</w:t>
            </w:r>
          </w:p>
        </w:tc>
        <w:tc>
          <w:tcPr>
            <w:tcW w:w="100" w:type="dxa"/>
            <w:vAlign w:val="bottom"/>
          </w:tcPr>
          <w:p>
            <w:pPr>
              <w:spacing w:after="0"/>
              <w:rPr>
                <w:sz w:val="14"/>
                <w:szCs w:val="14"/>
                <w:color w:val="auto"/>
              </w:rPr>
            </w:pPr>
          </w:p>
        </w:tc>
        <w:tc>
          <w:tcPr>
            <w:tcW w:w="54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Year(e)</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Simoncini(2)</w:t>
            </w:r>
          </w:p>
        </w:tc>
        <w:tc>
          <w:tcPr>
            <w:tcW w:w="4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Pension Plan (tax-qualified plan)</w:t>
            </w: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192,674</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0" w:type="dxa"/>
            <w:vAlign w:val="bottom"/>
            <w:gridSpan w:val="2"/>
          </w:tcPr>
          <w:p>
            <w:pPr>
              <w:jc w:val="right"/>
              <w:ind w:right="320"/>
              <w:spacing w:after="0"/>
              <w:rPr>
                <w:sz w:val="20"/>
                <w:szCs w:val="20"/>
                <w:color w:val="auto"/>
              </w:rPr>
            </w:pPr>
            <w:r>
              <w:rPr>
                <w:rFonts w:ascii="Arial" w:cs="Arial" w:eastAsia="Arial" w:hAnsi="Arial"/>
                <w:sz w:val="18"/>
                <w:szCs w:val="18"/>
                <w:color w:val="auto"/>
              </w:rPr>
              <w:t>Pension Equalization Program</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90,473</w:t>
            </w:r>
          </w:p>
        </w:tc>
        <w:tc>
          <w:tcPr>
            <w:tcW w:w="4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Salaried Retirement Restoration Program</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101,112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Jeffrey H. Vanneste(3)</w:t>
            </w:r>
          </w:p>
        </w:tc>
        <w:tc>
          <w:tcPr>
            <w:tcW w:w="4600" w:type="dxa"/>
            <w:vAlign w:val="bottom"/>
            <w:gridSpan w:val="2"/>
          </w:tcPr>
          <w:p>
            <w:pPr>
              <w:jc w:val="right"/>
              <w:ind w:right="320"/>
              <w:spacing w:after="0"/>
              <w:rPr>
                <w:sz w:val="20"/>
                <w:szCs w:val="20"/>
                <w:color w:val="auto"/>
              </w:rPr>
            </w:pPr>
            <w:r>
              <w:rPr>
                <w:rFonts w:ascii="Arial" w:cs="Arial" w:eastAsia="Arial" w:hAnsi="Arial"/>
                <w:sz w:val="18"/>
                <w:szCs w:val="18"/>
                <w:color w:val="auto"/>
              </w:rPr>
              <w:t>Pension Plan (tax-qualified plan)</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410,503</w:t>
            </w:r>
          </w:p>
        </w:tc>
        <w:tc>
          <w:tcPr>
            <w:tcW w:w="4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Pension Equalization Program</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0" w:type="dxa"/>
            <w:vAlign w:val="bottom"/>
            <w:gridSpan w:val="2"/>
          </w:tcPr>
          <w:p>
            <w:pPr>
              <w:jc w:val="right"/>
              <w:ind w:right="320"/>
              <w:spacing w:after="0"/>
              <w:rPr>
                <w:sz w:val="20"/>
                <w:szCs w:val="20"/>
                <w:color w:val="auto"/>
              </w:rPr>
            </w:pPr>
            <w:r>
              <w:rPr>
                <w:rFonts w:ascii="Arial" w:cs="Arial" w:eastAsia="Arial" w:hAnsi="Arial"/>
                <w:sz w:val="18"/>
                <w:szCs w:val="18"/>
                <w:color w:val="auto"/>
              </w:rPr>
              <w:t>Salaried Retirement Restoration Program</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354,219</w:t>
            </w:r>
          </w:p>
        </w:tc>
        <w:tc>
          <w:tcPr>
            <w:tcW w:w="4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4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Pension Plan (tax-qualified plan)</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395,238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0" w:type="dxa"/>
            <w:vAlign w:val="bottom"/>
            <w:gridSpan w:val="2"/>
          </w:tcPr>
          <w:p>
            <w:pPr>
              <w:jc w:val="right"/>
              <w:ind w:right="320"/>
              <w:spacing w:after="0"/>
              <w:rPr>
                <w:sz w:val="20"/>
                <w:szCs w:val="20"/>
                <w:color w:val="auto"/>
              </w:rPr>
            </w:pPr>
            <w:r>
              <w:rPr>
                <w:rFonts w:ascii="Arial" w:cs="Arial" w:eastAsia="Arial" w:hAnsi="Arial"/>
                <w:sz w:val="18"/>
                <w:szCs w:val="18"/>
                <w:color w:val="auto"/>
              </w:rPr>
              <w:t>Pension Equalization Program</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526,097</w:t>
            </w:r>
          </w:p>
        </w:tc>
        <w:tc>
          <w:tcPr>
            <w:tcW w:w="4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Salaried Retirement Restoration Program</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341,139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Terrence B. Larkin(4)</w:t>
            </w:r>
          </w:p>
        </w:tc>
        <w:tc>
          <w:tcPr>
            <w:tcW w:w="460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4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Pension Plan (tax-qualified plan)</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205,232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600" w:type="dxa"/>
            <w:vAlign w:val="bottom"/>
            <w:gridSpan w:val="2"/>
          </w:tcPr>
          <w:p>
            <w:pPr>
              <w:jc w:val="right"/>
              <w:ind w:right="320"/>
              <w:spacing w:after="0"/>
              <w:rPr>
                <w:sz w:val="20"/>
                <w:szCs w:val="20"/>
                <w:color w:val="auto"/>
              </w:rPr>
            </w:pPr>
            <w:r>
              <w:rPr>
                <w:rFonts w:ascii="Arial" w:cs="Arial" w:eastAsia="Arial" w:hAnsi="Arial"/>
                <w:sz w:val="18"/>
                <w:szCs w:val="18"/>
                <w:color w:val="auto"/>
              </w:rPr>
              <w:t>Pension Equalization Program</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80,936</w:t>
            </w:r>
          </w:p>
        </w:tc>
        <w:tc>
          <w:tcPr>
            <w:tcW w:w="4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Salaried Retirement Restoration Program</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103,531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Present values determined using a December 31, 2014 measurement date and reflect benefits accrued based on service and pay earned through such date. Figures for the tax-qualified pension plan are determined based on post-commencement valuation mortality (2015 IRS Applicable Mortality Table for Code Section 417(e)), commencement of benefits at age 65 and an assumed discount rate of 4.10% as of the measurement date. Figures for the Pension Equalization Plan and the Salaried Retirement Restoration Program (collectively, the “SERP”) are determined based on the 2015 IRS Applicable Mortality Table for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Code Section 417(e), commencement of benefits at the later of age 60 and full vesting and an assumed discount rate of 3.25% as of the measurement date.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assumed future SERP present value conversion rate for those not yet in payment is 3.04%.</w:t>
      </w:r>
    </w:p>
    <w:p>
      <w:pPr>
        <w:spacing w:after="0" w:line="84" w:lineRule="exact"/>
        <w:rPr>
          <w:sz w:val="20"/>
          <w:szCs w:val="20"/>
          <w:color w:val="auto"/>
        </w:rPr>
      </w:pPr>
    </w:p>
    <w:p>
      <w:pPr>
        <w:ind w:left="460" w:right="88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Simoncini was not fully vested in the Pension Equalization Program or the Salaried Retirement Restoration Program Pension benefits as of December 31, 2014. These figures are shown for illustrative purposes and assume full vesting.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Vanneste was credited with prior service for his past affiliation with the Company in accordance with plan provisions.</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Larkin is not a participant in the Pension Plan, Pension Equalization Program or Salaried Retirement Restoration Program pension make-up account (“Pension Make-Up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Pension Plan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Named Executive Officers (as well as other eligible employees), other than Mr. Larkin,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10 years of employment in which the participant had his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35" w:lineRule="exact"/>
        <w:rPr>
          <w:sz w:val="20"/>
          <w:szCs w:val="20"/>
          <w:color w:val="auto"/>
        </w:rPr>
      </w:pPr>
    </w:p>
    <w:p>
      <w:pPr>
        <w:ind w:left="660" w:right="80" w:hanging="206"/>
        <w:spacing w:after="0" w:line="305" w:lineRule="auto"/>
        <w:tabs>
          <w:tab w:leader="none" w:pos="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w:t>
      </w:r>
    </w:p>
    <w:p>
      <w:pPr>
        <w:ind w:left="660" w:right="80"/>
        <w:spacing w:after="0" w:line="261" w:lineRule="auto"/>
        <w:rPr>
          <w:rFonts w:ascii="Arial" w:cs="Arial" w:eastAsia="Arial" w:hAnsi="Arial"/>
          <w:sz w:val="15"/>
          <w:szCs w:val="15"/>
          <w:color w:val="auto"/>
        </w:rPr>
      </w:pPr>
      <w:r>
        <w:rPr>
          <w:rFonts w:ascii="Arial" w:cs="Arial" w:eastAsia="Arial" w:hAnsi="Arial"/>
          <w:sz w:val="18"/>
          <w:szCs w:val="18"/>
          <w:color w:val="auto"/>
        </w:rPr>
        <w:t>(c) 0.65% times final average annual earnings in excess of covered compensation (as defined in IRS Notice 89-70) times years of credited service (with a maximum of 35 years); and</w:t>
      </w:r>
    </w:p>
    <w:p>
      <w:pPr>
        <w:spacing w:after="0" w:line="56" w:lineRule="exact"/>
        <w:rPr>
          <w:rFonts w:ascii="Arial" w:cs="Arial" w:eastAsia="Arial" w:hAnsi="Arial"/>
          <w:sz w:val="15"/>
          <w:szCs w:val="15"/>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132" w:lineRule="exact"/>
        <w:rPr>
          <w:sz w:val="20"/>
          <w:szCs w:val="20"/>
          <w:color w:val="auto"/>
        </w:rPr>
      </w:pPr>
    </w:p>
    <w:p>
      <w:pPr>
        <w:jc w:val="both"/>
        <w:ind w:right="520" w:firstLine="456"/>
        <w:spacing w:after="0" w:line="29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Equalization Program</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other than Mr. Larkin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receive any cash payments until the participant retires or otherwise terminates employment with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Salaried Retirement Restoration Program</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Salaried Retirement Restoration Program has both defined benefit and defined contribution elements. The defined benefit element has been quantified and described in the 2014 Pension Benefits table and in the narrative below. The 2014 Nonqualified Deferred Compensation table below identifies the defined contribution components of the Salaried Retirement Restoration Program.</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November 14, 2012, the Compensation Committee approved an amendment and restatement of the Lear Corporation Salaried Retirement Restoration Program. The amendment renamed the plan to its current name and, for eligible participants, reinstated, effective January 1, 2013, non-qualified elective deferrals of salary and annual incentive award/bonus and associated Company matching contributions into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Element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as from time to time was in effect.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Element</w:t>
      </w:r>
    </w:p>
    <w:p>
      <w:pPr>
        <w:spacing w:after="0" w:line="96"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color w:val="auto"/>
        </w:rPr>
        <w:t>In 2014, the defined contribution component of the Salaried Retirement Restoration Program generally provided a defined contribution benefit of an amount that the participant would have received under the Pension Savings Plan but could not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 lump sum in the calendar year following the year of the participant’s termination of employment.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NONQUALIFIED DEFERRED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Aggregate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Executive</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350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Last FY(1)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Last</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Withdrawals/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91"/>
              </w:rPr>
              <w:t>in Last FY(b)</w:t>
            </w:r>
          </w:p>
        </w:tc>
        <w:tc>
          <w:tcPr>
            <w:tcW w:w="120" w:type="dxa"/>
            <w:vAlign w:val="bottom"/>
          </w:tcPr>
          <w:p>
            <w:pPr>
              <w:spacing w:after="0"/>
              <w:rPr>
                <w:sz w:val="14"/>
                <w:szCs w:val="14"/>
                <w:color w:val="auto"/>
              </w:rPr>
            </w:pPr>
          </w:p>
        </w:tc>
        <w:tc>
          <w:tcPr>
            <w:tcW w:w="80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4"/>
              </w:rPr>
              <w:t>FY(d)</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6"/>
              </w:rPr>
              <w:t>Distributions(e)</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94"/>
              </w:rPr>
              <w:t>Last FYE(f)</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222,300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2"/>
              </w:rPr>
              <w:t>517,155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244,018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2,185,623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Jeffrey H. Vanneste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92,245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8"/>
              </w:rPr>
              <w:t>192,018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37,703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536,890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234,488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1,429,827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109,233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8"/>
              </w:rPr>
              <w:t>210,675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73,709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1,203,692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Orsini</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127,550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are included in column (i) of the 2014 Summary Compensation Table.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Salaried Retirement Restoration Program</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defined contribution element of the Salaried Retirement Restoration Program is described in the narrative accompanying the 2014 Pension Benefits table above and is quantified in the 2014 Nonqualified Deferred Compensation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his termination of employment with the Company. The amount each executive will actually receive depends on the circumstances surrounding his termination of employment. The amount payable is shown for each of six categories of termination triggers. All amounts are calculated as if the executive terminated effective December 31, 2014. Values of accelerated equity awards are based on the closing price of our common stock on December 31, 2014, which was $98.08.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Accrued amounts (other than the pension vesting enhancement as noted below) under the Company’s pension and deferred compensation plans are not included in this table. For these amounts, see the 2014 Pension Benefits table above and the 2014 Nonqualified Deferred Compensation table above.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Pension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Accelerated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Vesting</w:t>
            </w:r>
          </w:p>
        </w:tc>
        <w:tc>
          <w:tcPr>
            <w:tcW w:w="11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Continuation of</w:t>
            </w: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Vesting or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Enhancement</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Medical/Welfare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Payout of</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49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Cash</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2"/>
              </w:rPr>
              <w:t>(Present</w:t>
            </w:r>
          </w:p>
        </w:tc>
        <w:tc>
          <w:tcPr>
            <w:tcW w:w="11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Benefits (Present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Equity</w:t>
            </w:r>
          </w:p>
        </w:tc>
        <w:tc>
          <w:tcPr>
            <w:tcW w:w="40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940" w:type="dxa"/>
            <w:vAlign w:val="bottom"/>
          </w:tcPr>
          <w:p>
            <w:pPr>
              <w:spacing w:after="0"/>
              <w:rPr>
                <w:sz w:val="12"/>
                <w:szCs w:val="12"/>
                <w:color w:val="auto"/>
              </w:rPr>
            </w:pPr>
          </w:p>
        </w:tc>
        <w:tc>
          <w:tcPr>
            <w:tcW w:w="9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2"/>
              </w:rPr>
              <w:t>Severance(1)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1"/>
              </w:rPr>
              <w:t>Value)(2)</w:t>
            </w: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Value)(3)</w:t>
            </w:r>
          </w:p>
        </w:tc>
        <w:tc>
          <w:tcPr>
            <w:tcW w:w="200" w:type="dxa"/>
            <w:vAlign w:val="bottom"/>
          </w:tcPr>
          <w:p>
            <w:pPr>
              <w:spacing w:after="0"/>
              <w:rPr>
                <w:sz w:val="12"/>
                <w:szCs w:val="12"/>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Awards(4)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9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Matthew J. Simoncini</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6,180,000</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24,323</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26,944,096</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33,148,419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6,180,000</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24,323</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18,878,534</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25,082,857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Retirement(5)</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Disability</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19,398,140</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19,398,140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Death</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191,585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19,398,140</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19,589,725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Jeffrey H. Vanneste</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2,550,000</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27,577</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7,712,432</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10,290,009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2,550,000</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27,577</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5,511,259</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8,088,836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Retirement(5)</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4,928,399</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4,928,399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Disability</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5,719,023</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5,719,023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Death</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5,719,023</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5,719,023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Raymond E. Scott</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2,889,150</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23,021</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8,824,145</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11,736,316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2,889,150</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23,021</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6,230,696</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9,142,867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Retirement(5)</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Disability</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6,438,460</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6,438,460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Death</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6,438,460</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6,438,460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Terrence B. Larkin</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2,889,150</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31,319</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8,824,145</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11,744,614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2,889,150</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31,319</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6,230,696</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9,151,165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Retirement(5)</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Disability</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6,438,460</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6,438,460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Death</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6,438,460</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6,438,460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Frank C. Orsini</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Involuntary Termination (or for Good Reason) With Change in Control</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2,437,500</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22,208</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6,272,456</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8,732,164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Involuntary Termination (or for Good Reason)</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2,437,500</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22,208</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4,287,749</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6,747,457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Retirement(5)</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Voluntary Termination (or for Cause)</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Ÿ Disability</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4,412,368</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4,412,368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Ÿ Death</w:t>
            </w:r>
          </w:p>
        </w:tc>
        <w:tc>
          <w:tcPr>
            <w:tcW w:w="10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4,412,368</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4,412,368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severance (in an amount equal to two times base salary plus target annual incentive bonus amount) is paid in a lump sum to each Named Executive Officer on the date that is six months after the date of termination (other than Mr. Vanneste who receives cash severance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spacing w:after="0" w:line="63"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Messrs. Scott, Orsini and Vanneste are fully vested in their pension benefits, and, as such, there would be no additional enhancement with respect to death benefits for them. Since Mr. Simoncini is not fully vested in his pension benefits, there would be a vesting enhancement upon death. Mr. Larkin is not a participant in the Pension Plan and therefore is not eligible for such death benefit.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continuation of health insurance, life insurance premium and imputed income amounts.</w:t>
      </w:r>
    </w:p>
    <w:p>
      <w:pPr>
        <w:spacing w:after="0" w:line="90"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accelerated vesting of RSUs and accelerated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portions of the RSUs and performance shares are valued based on the December 31, 2014 closing price of the Company’s common stock.</w:t>
      </w:r>
    </w:p>
    <w:p>
      <w:pPr>
        <w:spacing w:after="0" w:line="39"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2014, only Mr. Vanneste was retirement-eligible and, therefore, he qualifies for accelerated vesting of certain incentive awards upon retirement. The Company does not provide for enhanced early retirement benefits under its pension programs.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our executive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 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 with a Change in Control</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 change in control occurs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None of our Named Executive Officers is a party to an 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a lump sum payment equal to two (2) times the sum of his annual base salary rate and annual target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bonus amount, each as in effect as of the termination date. In the event of an involuntary termination for any reason other than cause, or by the executive for good reason, all unvested RSUs (other than Career Shares)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employment agreements do not distinguish between retirement and voluntary termination for other reasons, but under the LTSIP, an executive who retires with 10 or more years of service and who is age 55 or older when he terminates is entitled to additional vesting credit for RSU awards. The executive will be entitled to receive the shares underlying the RSUs that would have vested if the date of 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completed 10 or more years of service and has not attained age 55 or older, he will be entitled to receive all of the shares underlying his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90"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the date that the executive reaches age 62 or completes ten years of service on or after age 55) or for violating non-competition and non-solicitation covenants prior to distribution of the shares. If the executive has a qualifying retirement or is terminated without “cause” or resigns for “good reason,” in each case within 24 months of the vesting date, the Career Shares will continue to vest as originally scheduled.</w:t>
      </w:r>
    </w:p>
    <w:p>
      <w:pPr>
        <w:spacing w:after="0" w:line="113"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w:t>
      </w:r>
    </w:p>
    <w:p>
      <w:pPr>
        <w:jc w:val="both"/>
        <w:ind w:right="80" w:firstLine="8"/>
        <w:spacing w:after="0" w:line="302" w:lineRule="auto"/>
        <w:tabs>
          <w:tab w:leader="none" w:pos="21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age 62 (or such later vesting date) or (ii) three years after the executive’s qualifying retirement. If the executive has reached age 55 and completed 10 years of service and the executive is terminated without “cause” or resigns for “good reason,” the underlying shares of common stock for the vested Career Shares are not distributed until the earlier of (i) age 62 (or such later vesting date) or (ii) three years after the executive’s termination of employment.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Following the death of the executive, we will pay to his estate or designated beneficiary a pro rata portion of any bonus earned prior to the date of death. In the event of the executive’s death, all unvested RSUs become vested in their entirety and a pro rata amount of Performance Shares may be earned through the date of death if actual performance during 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executive who has entered into an employment agreement with the Company is obligated to:</w:t>
      </w:r>
    </w:p>
    <w:p>
      <w:pPr>
        <w:spacing w:after="0" w:line="90"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confidentiality, non-competition and non-solicitation covenants during employment;</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5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order to receive severance payments due under the employment agreement, sign a general release relating to his employment (applies only in the case of termination by the Company without “cause” or by the executive for “good reason”);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return data and materials relating to the business of the Company in his possession;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employment;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cooperate with litigation matters or investigations as the Company deems necessary.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37"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appropriate compensation mix between fixed (base salary) and variable (annual and long-term incentive) pay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review of market data and competitive practices for elements of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measures that are tied to key Company short and long-term performance metrics;</w:t>
      </w:r>
    </w:p>
    <w:p>
      <w:pPr>
        <w:spacing w:after="0" w:line="90" w:lineRule="exact"/>
        <w:rPr>
          <w:rFonts w:ascii="Arial" w:cs="Arial" w:eastAsia="Arial" w:hAnsi="Arial"/>
          <w:sz w:val="18"/>
          <w:szCs w:val="18"/>
          <w:color w:val="auto"/>
        </w:rPr>
      </w:pPr>
    </w:p>
    <w:p>
      <w:pPr>
        <w:ind w:left="660" w:right="92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alignment of annual and long-term award objectives to ensure that both types of awards encourage consistent behaviors and sustainable performance results;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20" w:hanging="206"/>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balanced mix of four performance measures for incentive awards (Free Cash Flow, Adjusted Operating Income, Cumulative Pre-Tax Income and Adjusted ROIC) that encourage value creation, retention and stock price appreciation.</w:t>
      </w:r>
    </w:p>
    <w:p>
      <w:pPr>
        <w:spacing w:after="0" w:line="132"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INTERLOCKS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INSIDER PARTICIPATION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persons served on our Compensation Committee during all or a portion of 2014: Ms. Ligocki and Messrs. Capo, Mallett, Runkle, Smith and Wallace. No member of the Compensation Committee was, during the fiscal year ended December 31, 2014, an officer, former officer or employee of the Company or any of our subsidiaries. None of our executive officers served as a member of:</w:t>
      </w:r>
    </w:p>
    <w:p>
      <w:pPr>
        <w:spacing w:after="0" w:line="59"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2014.</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Report is submitted by Ms. Ligocki and Messrs. Capo, Mallett and Runkle, being all of the current members of the Compensation Committee, and Messrs. Wallace and Smith, who were also members of the Compensation Committee in 2014.</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P. Capo,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Kathleen A. Ligocki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Conrad L. Mallett, Jr.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L. Runkle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Henry D.G. Wallace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is currently comprised of Messrs. Smith, Bott, Capo and Foster, each a non-employee director, and operates under a written charter which was last amended by our Board in February 2015. A copy of the current charter is available on our website</w:t>
      </w:r>
      <w:r>
        <w:rPr>
          <w:rFonts w:ascii="Arial" w:cs="Arial" w:eastAsia="Arial" w:hAnsi="Arial"/>
          <w:sz w:val="10"/>
          <w:szCs w:val="10"/>
          <w:color w:val="auto"/>
        </w:rPr>
        <w:t>1</w:t>
      </w:r>
      <w:r>
        <w:rPr>
          <w:rFonts w:ascii="Arial" w:cs="Arial" w:eastAsia="Arial" w:hAnsi="Arial"/>
          <w:sz w:val="16"/>
          <w:szCs w:val="16"/>
          <w:color w:val="auto"/>
        </w:rPr>
        <w:t xml:space="preserve">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2014, as well as the report of management, for the year ended December 31, 2014, regarding the Company’s internal control over financial reporting required by Section 404 of the Sarbanes-Oxley Act.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has retained Ernst &amp; Young LLP as the Company’s independent registered public accounting firm for 2014.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independence, objectivity, industry experience and commitment to serving the Company.</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5560" w:right="2420" w:hanging="5552"/>
        <w:spacing w:after="0" w:line="387" w:lineRule="auto"/>
        <w:tabs>
          <w:tab w:leader="none" w:pos="446" w:val="left"/>
        </w:tabs>
        <w:numPr>
          <w:ilvl w:val="0"/>
          <w:numId w:val="62"/>
        </w:numPr>
        <w:rPr>
          <w:rFonts w:ascii="Arial" w:cs="Arial" w:eastAsia="Arial" w:hAnsi="Arial"/>
          <w:sz w:val="22"/>
          <w:szCs w:val="22"/>
          <w:color w:val="auto"/>
          <w:vertAlign w:val="superscript"/>
        </w:rPr>
      </w:pPr>
      <w:r>
        <w:rPr>
          <w:rFonts w:ascii="Arial" w:cs="Arial" w:eastAsia="Arial" w:hAnsi="Arial"/>
          <w:sz w:val="18"/>
          <w:szCs w:val="18"/>
          <w:color w:val="auto"/>
        </w:rPr>
        <w:t>http://files.shareholder.com/downloads/LEA/2950985911x0x273910/9dd028e6-4ab9-4052-82b4-1978cd23fbb3/audit.pdf -56-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Audit Committee reviewed with Ernst &amp; Young LLP, its judgments as to the quality, not just the acceptability, of the Company’s accounting policies and such other matters as are required to be discussed with the Audit Committee by the Standards of the Public Company Oversight Board (United States) (PCAOB), including PCAOB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the rules of the SEC, and other 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14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that the Company’s audited consolidated financial statements be included in the Company’s Annual Report on Form 10-K for the fiscal year ended December 31, 2014, filed with the SEC on February 10, 2015.</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Messrs. Smith, Bott, Capo and Foster, being all of the 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H. Bott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P. Capo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F. Foster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 OF INDEPENDENT ACCOUNTANTS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retaining Ernst &amp; Young LLP to audit our consolidated financial statements for 2014, we retained Ernst &amp;Young LLP, as well as other accounting firms, to provide tax and other advisory services in 2014.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2014 and 2013.</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Audit Committee has adopted policies regarding our ability to hire employees, former employees and certain relatives of employees of the Company’s independent registered public accounting firm.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2014 and 2013, we retained Ernst &amp; Young LLP to provide services in the following categories and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8,097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8,175</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Audit-related fees(2)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659</w:t>
            </w:r>
          </w:p>
        </w:tc>
        <w:tc>
          <w:tcPr>
            <w:tcW w:w="6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8"/>
                <w:szCs w:val="18"/>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All other fees(4)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Audit fees in 2014 and 2013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59"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Audit-related fees in 2014 and 2013 include services related to the audits of employee benefit plans, agreed-upon procedures related to certain due diligence services, and other risk assessment services.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other fees in 2014 include services for assistance with insurance claims. There were no other fees billed by Ernst &amp; Young LLP for any other services.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established a written policy that has been broadly disseminated within the Company regarding commercial transactions with related parties. This policy assists us in identifying, reviewing, monitoring and, as necessary, approving commercial transactions with related parties. The policy requires that any transaction, or series of transactions, with related parties in excess of $500,000, whether undertaken in or outside the ordinary course of our business, be presented to the Audit Committee for approval.</w:t>
      </w:r>
    </w:p>
    <w:p>
      <w:pPr>
        <w:spacing w:after="0" w:line="14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have implemented various procedures to ensure compliance with the related party transaction policy. For example, the Company’s standard purchasing terms and conditions require vendors to advise us upon any such vendor becoming aware of certain directors, employees or stockholders of the vendor being affiliated with a director or officer (or immediate family member of either) of the Company or its subsidiaries. This requirement applies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member of his or her family living in the same household)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 vendors identified as related party vendors in North America are processed through a centralized payables system. At least twice per year, the list of related parties is updated by directors, members of senior management and certain other employees.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least twice per year, the Chief Accounting Officer reports to the Vice President of Internal Audit on related party relationships, including those with customers, as well as the amount of business performed between the Company and each related party during the preceding six months, year-to-date and for the preceding fiscal year. At least annually, the Vice President of Internal Audit prepares an audit plan for reviewing significant transactions with related parties and reports such audit plan and the results to the Audit Committee. The Audit Committee also receives a summary of all significant transactions with related parties at least annually.</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connection with any required Audit Committee approval, a member of our senior management must represent to the Audit Committee that the related party at issue has been held to the same standards as unaffiliated third parties. Audit Committee members having (or having an immediate family member that has) a direct or indirect interest in the transaction must recuse themselves from consideration of the transaction.</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Chief Accounting Officer, General Counsel and Vice President of Internal Audit meet at least twice per year to confirm the adequate monitoring and reporting of related party transactions. The Chief Accounting Officer then reports on such monitoring and disclosure at least annually to the Audit Committee, which in turn reports to the Board regarding its review and approval of related party transactions.</w:t>
      </w:r>
    </w:p>
    <w:p>
      <w:pPr>
        <w:spacing w:after="0" w:line="107" w:lineRule="exact"/>
        <w:rPr>
          <w:sz w:val="20"/>
          <w:szCs w:val="20"/>
          <w:color w:val="auto"/>
        </w:rPr>
      </w:pPr>
    </w:p>
    <w:p>
      <w:pPr>
        <w:jc w:val="both"/>
        <w:ind w:right="500" w:firstLine="456"/>
        <w:spacing w:after="0" w:line="298" w:lineRule="auto"/>
        <w:rPr>
          <w:sz w:val="20"/>
          <w:szCs w:val="20"/>
          <w:color w:val="auto"/>
        </w:rPr>
      </w:pPr>
      <w:r>
        <w:rPr>
          <w:rFonts w:ascii="Arial" w:cs="Arial" w:eastAsia="Arial" w:hAnsi="Arial"/>
          <w:sz w:val="16"/>
          <w:szCs w:val="16"/>
          <w:color w:val="auto"/>
        </w:rPr>
        <w:t>With respect to the employment of immediate family members of directors and executive officers, we have adopted a written policy that requires the identification, monitoring and review of such employment relationships by our human resources department. The policy provides that all such employment decisions should be made in accordance with the Company’s policies and procedures and that directors and executive officers must not seek to improperly influence any employment decisions regarding their immediate family members.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this policy, we have adopted procedures which assist us in identifying and reviewing such employment relationships.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and compiled in a report to assure related parties are held to the same employment standards as non-affiliated employees or parties. Senior management reports annually to the Board with respect to related persons employed by the Company.</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2014, these procedures resulted in the review by the Nominating and Corporate Governance Committee of the employment relationship set forth below under “— Certain Transactions.”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our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Mark Mueller, a Principal Engineer for the Company, is a brother-in-law of Raymond E. Scott, the Company’s Executive Vice President and President, Seating. In 2014, the Company paid Mr. Mueller approximately $162,000, which included a bonus payment and other standard benefit arrangements. The compensation paid to Mr. Mueller was approved in accordance with the Company’s standard compensation practices for similarly situated employees.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RETENTION OF INDEPENDENT REGISTERED PUBLIC ACCOUNTING FIRM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2015.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 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112"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THE BOARD UNANIMOUSLY RECOMMENDS A VOTE “FOR” RATIFICATION OF</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THE RETENTION OF ERNST &amp; YOUNG LLP AS OUR INDEPENDENT REGISTERED PUBLIC ACCOUNTING FIRM FOR 2015. PROXIES</w:t>
      </w:r>
    </w:p>
    <w:p>
      <w:pPr>
        <w:spacing w:after="0" w:line="44" w:lineRule="exact"/>
        <w:rPr>
          <w:sz w:val="20"/>
          <w:szCs w:val="20"/>
          <w:color w:val="auto"/>
        </w:rPr>
      </w:pPr>
    </w:p>
    <w:p>
      <w:pPr>
        <w:jc w:val="center"/>
        <w:ind w:left="260" w:right="440"/>
        <w:spacing w:after="0" w:line="433" w:lineRule="auto"/>
        <w:rPr>
          <w:sz w:val="20"/>
          <w:szCs w:val="20"/>
          <w:color w:val="auto"/>
        </w:rPr>
      </w:pPr>
      <w:r>
        <w:rPr>
          <w:rFonts w:ascii="Arial" w:cs="Arial" w:eastAsia="Arial" w:hAnsi="Arial"/>
          <w:sz w:val="18"/>
          <w:szCs w:val="18"/>
          <w:b w:val="1"/>
          <w:bCs w:val="1"/>
          <w:color w:val="auto"/>
        </w:rPr>
        <w:t xml:space="preserve">SOLICITED BY THE BOARD WILL BE VOTED FOR THE PROPOSAL UNLESS STOCKHOLDERS SPECIFY A CONTRARY VOTE. </w:t>
      </w: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 SET FORTH IN THIS PROXY STATEMENT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initially approved by stockholders at the annual meeting of stockholders in 2011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2014, our executive compensation program and practices disclosed in our 2014 Proxy Statement received a favorable vote by over 98% of shares voted.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are being asked to vote on the following advisory resolution:</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“RESOLVED, that the Company’s stockholders approve, on an advisory basis, the compensation of the Company’s executive officers, as disclosed in the 2015 Proxy Statement pursuant to the compensation disclosure rules of the Securities and Exchange Commission, including the Compensation Discussion and Analysis, the 2014 Summary Compensation Table and the other related tables and disclosures.”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207"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BOARD UNANIMOUSLY RECOMMENDS A VOTE “FOR” THE ADVISORY APPROVAL OF EXECUTIVE COMPENSATION SET FORTH IN THIS PROXY STATEMENT.</w:t>
      </w:r>
    </w:p>
    <w:p>
      <w:pPr>
        <w:spacing w:after="0" w:line="120" w:lineRule="exact"/>
        <w:rPr>
          <w:sz w:val="20"/>
          <w:szCs w:val="20"/>
          <w:color w:val="auto"/>
        </w:rPr>
      </w:pPr>
    </w:p>
    <w:p>
      <w:pPr>
        <w:jc w:val="center"/>
        <w:ind w:left="260" w:right="20"/>
        <w:spacing w:after="0" w:line="275" w:lineRule="auto"/>
        <w:rPr>
          <w:sz w:val="20"/>
          <w:szCs w:val="20"/>
          <w:color w:val="auto"/>
        </w:rPr>
      </w:pPr>
      <w:r>
        <w:rPr>
          <w:rFonts w:ascii="Arial" w:cs="Arial" w:eastAsia="Arial" w:hAnsi="Arial"/>
          <w:sz w:val="18"/>
          <w:szCs w:val="18"/>
          <w:b w:val="1"/>
          <w:bCs w:val="1"/>
          <w:color w:val="auto"/>
        </w:rPr>
        <w:t>PROXIES SOLICITED BY THE BOARD WILL BE VOTED FOR THE ADVISORY APPROVAL OF EXECUTIVE COMPENSATION SET FORTH IN THIS PROXY STATEMENT UNLESS STOCKHOLDERS SPECIFY A CONTRARY VOTE.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2016 ANNUAL MEETING OF STOCKHOLDERS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Stockholders who intend to present proposals at the Company’s annual meeting of stockholders in 2016 pursuant to Rule 14a-8 under the Exchange Act must send notice of their proposal to us so that we receive it no later than December 1, 2015. Stockholders who intend to present proposals at the annual meeting of stockholders in 2015 other than pursuant to Rule 14a-8 must comply with the notice provisions in our Bylaws. The notice provisions in our Bylaws require that, for a proposal to be properly brought before the annual meeting of stockholders in 2016, proper notice of the proposal be received by us not less than 90 days nor more than 120 days prior to the first anniversary of the preceding 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14, 2016. February 14, 2016 is a Sunday; therefore, the last day on which the Company may timely receive a stockholder proposal under our Bylaws is Friday, February 12, 2016. Stockholder proposals should be addressed to Lear Corporation, 21557 Telegraph Road, Southfield, Michigan 48033, Attention: Terrence B. Larkin, Executive Vice President, Business Development, General Counsel and Corporate Secretary.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126"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color w:val="auto"/>
        </w:rPr>
        <w:t>Upon written request by any stockholder entitled to vote at the Annual Meeting, we will promptly furnish, without charge, a copy of the Annual Report on Form 10-K for the fiscal year ended December 31, 2014 which we filed with the SEC, including the financial statements and schedule. If the person requesting the report was not a stockholder of record on March 19, 2015,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WE URGE YOU TO VOTE TODAY BY THE TELEPHONE, VIA THE INTERNET OR BY MAIL.</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19189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918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Business Development,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information presented in this proxy statement under the caption “Compensation Discussion and Analysis—Executive Summary” regarding adjusted earnings per share does not conform to generally accepted accounting principles (GAAP) and should not be construed as an alternative to the reported financial results of the Company determined in accordance with GAAP. Management believes that the non-GAAP information used in this proxy statement is useful to both management and investors in their analysis of the Company’s financial position and results of operations. The non-GAAP information provided may not be consistent with methodologies used by other companies. All non-GAAP information regarding adjusted earnings per share is reconciled with reported GAAP results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(unaudited; in millions, except per share amounts)</w:t>
            </w:r>
          </w:p>
        </w:tc>
        <w:tc>
          <w:tcPr>
            <w:tcW w:w="44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5"/>
                <w:szCs w:val="15"/>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 attributable to Lear</w:t>
            </w:r>
          </w:p>
        </w:tc>
        <w:tc>
          <w:tcPr>
            <w:tcW w:w="2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672.4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431.4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gridSpan w:val="3"/>
          </w:tcPr>
          <w:p>
            <w:pPr>
              <w:ind w:left="220"/>
              <w:spacing w:after="0"/>
              <w:rPr>
                <w:sz w:val="20"/>
                <w:szCs w:val="20"/>
                <w:color w:val="auto"/>
              </w:rPr>
            </w:pPr>
            <w:r>
              <w:rPr>
                <w:rFonts w:ascii="Arial" w:cs="Arial" w:eastAsia="Arial" w:hAnsi="Arial"/>
                <w:sz w:val="18"/>
                <w:szCs w:val="18"/>
                <w:color w:val="auto"/>
              </w:rPr>
              <w:t>Restructuring costs and other special items -</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Costs related to restructuring actions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r>
      <w:tr>
        <w:trPr>
          <w:trHeight w:val="216"/>
        </w:trPr>
        <w:tc>
          <w:tcPr>
            <w:tcW w:w="7480" w:type="dxa"/>
            <w:vAlign w:val="bottom"/>
            <w:gridSpan w:val="3"/>
          </w:tcPr>
          <w:p>
            <w:pPr>
              <w:ind w:left="440"/>
              <w:spacing w:after="0"/>
              <w:rPr>
                <w:sz w:val="20"/>
                <w:szCs w:val="20"/>
                <w:color w:val="auto"/>
              </w:rPr>
            </w:pPr>
            <w:r>
              <w:rPr>
                <w:rFonts w:ascii="Arial" w:cs="Arial" w:eastAsia="Arial" w:hAnsi="Arial"/>
                <w:sz w:val="18"/>
                <w:szCs w:val="18"/>
                <w:color w:val="auto"/>
              </w:rPr>
              <w:t>Costs related to proxy contest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Acquisition and other related costs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gridSpan w:val="3"/>
          </w:tcPr>
          <w:p>
            <w:pPr>
              <w:ind w:left="440"/>
              <w:spacing w:after="0"/>
              <w:rPr>
                <w:sz w:val="20"/>
                <w:szCs w:val="20"/>
                <w:color w:val="auto"/>
              </w:rPr>
            </w:pPr>
            <w:r>
              <w:rPr>
                <w:rFonts w:ascii="Arial" w:cs="Arial" w:eastAsia="Arial" w:hAnsi="Arial"/>
                <w:sz w:val="18"/>
                <w:szCs w:val="18"/>
                <w:color w:val="auto"/>
              </w:rPr>
              <w:t>Losses and incremental costs related to the destruction of assets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Labor-related litigation claims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480" w:type="dxa"/>
            <w:vAlign w:val="bottom"/>
            <w:gridSpan w:val="3"/>
          </w:tcPr>
          <w:p>
            <w:pPr>
              <w:ind w:left="440"/>
              <w:spacing w:after="0"/>
              <w:rPr>
                <w:sz w:val="20"/>
                <w:szCs w:val="20"/>
                <w:color w:val="auto"/>
              </w:rPr>
            </w:pPr>
            <w:r>
              <w:rPr>
                <w:rFonts w:ascii="Arial" w:cs="Arial" w:eastAsia="Arial" w:hAnsi="Arial"/>
                <w:sz w:val="18"/>
                <w:szCs w:val="18"/>
                <w:color w:val="auto"/>
              </w:rPr>
              <w:t>Loss on extinguishment of debt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Loss related to affiliates, net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Tax impact of special items and other net tax adjustments (1)</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(27.8)</w:t>
            </w: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attributable to Lear</w:t>
            </w:r>
          </w:p>
        </w:tc>
        <w:tc>
          <w:tcPr>
            <w:tcW w:w="2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665.9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510.0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diluted shares outstanding</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Diluted net income per share attributable to Lear</w:t>
            </w: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8.23</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4.99</w:t>
            </w:r>
          </w:p>
        </w:tc>
      </w:tr>
      <w:tr>
        <w:trPr>
          <w:trHeight w:val="20"/>
        </w:trPr>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5.90</w:t>
            </w:r>
          </w:p>
        </w:tc>
      </w:tr>
      <w:tr>
        <w:trPr>
          <w:trHeight w:val="20"/>
        </w:trPr>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tax effect of restructuring costs and other special items, as well as several discrete tax items including changes in valuation allowances in several foreign and domestic subsidiaries. The identification of these tax items is judgmental in nature, and their calculation is based on various assumptions and estimates.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240030</wp:posOffset>
            </wp:positionV>
            <wp:extent cx="2280920" cy="643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80920" cy="643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7180" w:type="dxa"/>
            <w:vAlign w:val="bottom"/>
          </w:tcPr>
          <w:p>
            <w:pPr>
              <w:ind w:left="1740"/>
              <w:spacing w:after="0"/>
              <w:rPr>
                <w:sz w:val="20"/>
                <w:szCs w:val="20"/>
                <w:color w:val="auto"/>
              </w:rPr>
            </w:pPr>
            <w:r>
              <w:rPr>
                <w:rFonts w:ascii="Arial" w:cs="Arial" w:eastAsia="Arial" w:hAnsi="Arial"/>
                <w:sz w:val="14"/>
                <w:szCs w:val="14"/>
                <w:b w:val="1"/>
                <w:bCs w:val="1"/>
                <w:color w:val="auto"/>
              </w:rPr>
              <w:t>VOTE BY INTERNET - www.proxyvote.com</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5"/>
              </w:rPr>
              <w:t>Use the Internet to transmit your voting instructions and for electronic delivery of information</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7"/>
              </w:rPr>
              <w:t>up until 11:59 P.M. Eastern Daylight Time on May 13, 2015. Have your proxy card in hand</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4"/>
              </w:rPr>
              <w:t>when you access the web site and follow the instructions to obtain your records and to create</w:t>
            </w:r>
          </w:p>
        </w:tc>
      </w:tr>
      <w:tr>
        <w:trPr>
          <w:trHeight w:val="182"/>
        </w:trPr>
        <w:tc>
          <w:tcPr>
            <w:tcW w:w="3740" w:type="dxa"/>
            <w:vAlign w:val="bottom"/>
          </w:tcPr>
          <w:p>
            <w:pPr>
              <w:spacing w:after="0"/>
              <w:rPr>
                <w:sz w:val="15"/>
                <w:szCs w:val="15"/>
                <w:color w:val="auto"/>
              </w:rPr>
            </w:pPr>
          </w:p>
        </w:tc>
        <w:tc>
          <w:tcPr>
            <w:tcW w:w="7180" w:type="dxa"/>
            <w:vAlign w:val="bottom"/>
          </w:tcPr>
          <w:p>
            <w:pPr>
              <w:ind w:left="1740"/>
              <w:spacing w:after="0"/>
              <w:rPr>
                <w:sz w:val="20"/>
                <w:szCs w:val="20"/>
                <w:color w:val="auto"/>
              </w:rPr>
            </w:pPr>
            <w:r>
              <w:rPr>
                <w:rFonts w:ascii="Arial" w:cs="Arial" w:eastAsia="Arial" w:hAnsi="Arial"/>
                <w:sz w:val="14"/>
                <w:szCs w:val="14"/>
                <w:color w:val="auto"/>
              </w:rPr>
              <w:t>an electronic voting instruction form.</w:t>
            </w:r>
          </w:p>
        </w:tc>
      </w:tr>
      <w:tr>
        <w:trPr>
          <w:trHeight w:val="169"/>
        </w:trPr>
        <w:tc>
          <w:tcPr>
            <w:tcW w:w="3740" w:type="dxa"/>
            <w:vAlign w:val="bottom"/>
          </w:tcPr>
          <w:p>
            <w:pPr>
              <w:spacing w:after="0"/>
              <w:rPr>
                <w:sz w:val="20"/>
                <w:szCs w:val="20"/>
                <w:color w:val="auto"/>
              </w:rPr>
            </w:pPr>
            <w:r>
              <w:rPr>
                <w:rFonts w:ascii="Arial" w:cs="Arial" w:eastAsia="Arial" w:hAnsi="Arial"/>
                <w:sz w:val="14"/>
                <w:szCs w:val="14"/>
                <w:b w:val="1"/>
                <w:bCs w:val="1"/>
                <w:i w:val="1"/>
                <w:iCs w:val="1"/>
                <w:color w:val="auto"/>
              </w:rPr>
              <w:t>LEAR CORPORATION</w:t>
            </w:r>
          </w:p>
        </w:tc>
        <w:tc>
          <w:tcPr>
            <w:tcW w:w="7180" w:type="dxa"/>
            <w:vAlign w:val="bottom"/>
          </w:tcPr>
          <w:p>
            <w:pPr>
              <w:spacing w:after="0"/>
              <w:rPr>
                <w:sz w:val="14"/>
                <w:szCs w:val="14"/>
                <w:color w:val="auto"/>
              </w:rPr>
            </w:pPr>
          </w:p>
        </w:tc>
      </w:tr>
      <w:tr>
        <w:trPr>
          <w:trHeight w:val="154"/>
        </w:trPr>
        <w:tc>
          <w:tcPr>
            <w:tcW w:w="3740" w:type="dxa"/>
            <w:vAlign w:val="bottom"/>
          </w:tcPr>
          <w:p>
            <w:pPr>
              <w:spacing w:after="0" w:line="154" w:lineRule="exact"/>
              <w:rPr>
                <w:sz w:val="20"/>
                <w:szCs w:val="20"/>
                <w:color w:val="auto"/>
              </w:rPr>
            </w:pPr>
            <w:r>
              <w:rPr>
                <w:rFonts w:ascii="Arial" w:cs="Arial" w:eastAsia="Arial" w:hAnsi="Arial"/>
                <w:sz w:val="14"/>
                <w:szCs w:val="14"/>
                <w:b w:val="1"/>
                <w:bCs w:val="1"/>
                <w:i w:val="1"/>
                <w:iCs w:val="1"/>
                <w:color w:val="auto"/>
              </w:rPr>
              <w:t>ATTN: INVESTOR RELATIONS</w:t>
            </w:r>
          </w:p>
        </w:tc>
        <w:tc>
          <w:tcPr>
            <w:tcW w:w="7180" w:type="dxa"/>
            <w:vAlign w:val="bottom"/>
          </w:tcPr>
          <w:p>
            <w:pPr>
              <w:ind w:left="1740"/>
              <w:spacing w:after="0" w:line="154" w:lineRule="exact"/>
              <w:rPr>
                <w:sz w:val="20"/>
                <w:szCs w:val="20"/>
                <w:color w:val="auto"/>
              </w:rPr>
            </w:pPr>
            <w:r>
              <w:rPr>
                <w:rFonts w:ascii="Arial" w:cs="Arial" w:eastAsia="Arial" w:hAnsi="Arial"/>
                <w:sz w:val="14"/>
                <w:szCs w:val="14"/>
                <w:b w:val="1"/>
                <w:bCs w:val="1"/>
                <w:color w:val="auto"/>
              </w:rPr>
              <w:t>ELECTRONIC DELIVERY OF FUTURE PROXY MATERIALS</w:t>
            </w: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21557 TELEGRAPH ROAD</w:t>
            </w: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w:t>
            </w: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b w:val="1"/>
                <w:bCs w:val="1"/>
                <w:i w:val="1"/>
                <w:iCs w:val="1"/>
                <w:color w:val="auto"/>
              </w:rPr>
              <w:t>SOUTHFIELD, MI 48033</w:t>
            </w:r>
          </w:p>
        </w:tc>
        <w:tc>
          <w:tcPr>
            <w:tcW w:w="7180" w:type="dxa"/>
            <w:vAlign w:val="bottom"/>
          </w:tcPr>
          <w:p>
            <w:pPr>
              <w:ind w:left="1740"/>
              <w:spacing w:after="0" w:line="157"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7"/>
              </w:rPr>
              <w:t>electronically via e-mail or the Internet. To sign up for electronic delivery, please follow the</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r>
      <w:tr>
        <w:trPr>
          <w:trHeight w:val="182"/>
        </w:trPr>
        <w:tc>
          <w:tcPr>
            <w:tcW w:w="3740" w:type="dxa"/>
            <w:vAlign w:val="bottom"/>
          </w:tcPr>
          <w:p>
            <w:pPr>
              <w:spacing w:after="0"/>
              <w:rPr>
                <w:sz w:val="15"/>
                <w:szCs w:val="15"/>
                <w:color w:val="auto"/>
              </w:rPr>
            </w:pPr>
          </w:p>
        </w:tc>
        <w:tc>
          <w:tcPr>
            <w:tcW w:w="7180" w:type="dxa"/>
            <w:vAlign w:val="bottom"/>
          </w:tcPr>
          <w:p>
            <w:pPr>
              <w:ind w:left="1740"/>
              <w:spacing w:after="0"/>
              <w:rPr>
                <w:sz w:val="20"/>
                <w:szCs w:val="20"/>
                <w:color w:val="auto"/>
              </w:rPr>
            </w:pPr>
            <w:r>
              <w:rPr>
                <w:rFonts w:ascii="Arial" w:cs="Arial" w:eastAsia="Arial" w:hAnsi="Arial"/>
                <w:sz w:val="14"/>
                <w:szCs w:val="14"/>
                <w:color w:val="auto"/>
              </w:rPr>
              <w:t>receive or access proxy materials electronically in future years.</w:t>
            </w:r>
          </w:p>
        </w:tc>
      </w:tr>
      <w:tr>
        <w:trPr>
          <w:trHeight w:val="331"/>
        </w:trPr>
        <w:tc>
          <w:tcPr>
            <w:tcW w:w="3740" w:type="dxa"/>
            <w:vAlign w:val="bottom"/>
          </w:tcPr>
          <w:p>
            <w:pPr>
              <w:spacing w:after="0"/>
              <w:rPr>
                <w:sz w:val="24"/>
                <w:szCs w:val="24"/>
                <w:color w:val="auto"/>
              </w:rPr>
            </w:pPr>
          </w:p>
        </w:tc>
        <w:tc>
          <w:tcPr>
            <w:tcW w:w="7180" w:type="dxa"/>
            <w:vAlign w:val="bottom"/>
          </w:tcPr>
          <w:p>
            <w:pPr>
              <w:ind w:left="1740"/>
              <w:spacing w:after="0"/>
              <w:rPr>
                <w:sz w:val="20"/>
                <w:szCs w:val="20"/>
                <w:color w:val="auto"/>
              </w:rPr>
            </w:pPr>
            <w:r>
              <w:rPr>
                <w:rFonts w:ascii="Arial" w:cs="Arial" w:eastAsia="Arial" w:hAnsi="Arial"/>
                <w:sz w:val="14"/>
                <w:szCs w:val="14"/>
                <w:b w:val="1"/>
                <w:bCs w:val="1"/>
                <w:color w:val="auto"/>
              </w:rPr>
              <w:t>VOTE BY PHONE - 1-800-690-6903</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4"/>
              </w:rPr>
              <w:t>Use any touch-tone telephone to transmit your voting instructions up until 11:59 P.M. Eastern</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4"/>
              </w:rPr>
              <w:t>Daylight Time on May 13, 2015. Have your proxy card in hand when you call and then follow</w:t>
            </w:r>
          </w:p>
        </w:tc>
      </w:tr>
      <w:tr>
        <w:trPr>
          <w:trHeight w:val="182"/>
        </w:trPr>
        <w:tc>
          <w:tcPr>
            <w:tcW w:w="3740" w:type="dxa"/>
            <w:vAlign w:val="bottom"/>
          </w:tcPr>
          <w:p>
            <w:pPr>
              <w:spacing w:after="0"/>
              <w:rPr>
                <w:sz w:val="15"/>
                <w:szCs w:val="15"/>
                <w:color w:val="auto"/>
              </w:rPr>
            </w:pPr>
          </w:p>
        </w:tc>
        <w:tc>
          <w:tcPr>
            <w:tcW w:w="7180" w:type="dxa"/>
            <w:vAlign w:val="bottom"/>
          </w:tcPr>
          <w:p>
            <w:pPr>
              <w:ind w:left="1740"/>
              <w:spacing w:after="0"/>
              <w:rPr>
                <w:sz w:val="20"/>
                <w:szCs w:val="20"/>
                <w:color w:val="auto"/>
              </w:rPr>
            </w:pPr>
            <w:r>
              <w:rPr>
                <w:rFonts w:ascii="Arial" w:cs="Arial" w:eastAsia="Arial" w:hAnsi="Arial"/>
                <w:sz w:val="14"/>
                <w:szCs w:val="14"/>
                <w:color w:val="auto"/>
              </w:rPr>
              <w:t>the instructions.</w:t>
            </w:r>
          </w:p>
        </w:tc>
      </w:tr>
      <w:tr>
        <w:trPr>
          <w:trHeight w:val="331"/>
        </w:trPr>
        <w:tc>
          <w:tcPr>
            <w:tcW w:w="3740" w:type="dxa"/>
            <w:vAlign w:val="bottom"/>
          </w:tcPr>
          <w:p>
            <w:pPr>
              <w:spacing w:after="0"/>
              <w:rPr>
                <w:sz w:val="24"/>
                <w:szCs w:val="24"/>
                <w:color w:val="auto"/>
              </w:rPr>
            </w:pPr>
          </w:p>
        </w:tc>
        <w:tc>
          <w:tcPr>
            <w:tcW w:w="7180" w:type="dxa"/>
            <w:vAlign w:val="bottom"/>
          </w:tcPr>
          <w:p>
            <w:pPr>
              <w:ind w:left="1740"/>
              <w:spacing w:after="0"/>
              <w:rPr>
                <w:sz w:val="20"/>
                <w:szCs w:val="20"/>
                <w:color w:val="auto"/>
              </w:rPr>
            </w:pPr>
            <w:r>
              <w:rPr>
                <w:rFonts w:ascii="Arial" w:cs="Arial" w:eastAsia="Arial" w:hAnsi="Arial"/>
                <w:sz w:val="14"/>
                <w:szCs w:val="14"/>
                <w:b w:val="1"/>
                <w:bCs w:val="1"/>
                <w:color w:val="auto"/>
              </w:rPr>
              <w:t>VOTE BY MAIL</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r>
      <w:tr>
        <w:trPr>
          <w:trHeight w:val="149"/>
        </w:trPr>
        <w:tc>
          <w:tcPr>
            <w:tcW w:w="3740" w:type="dxa"/>
            <w:vAlign w:val="bottom"/>
          </w:tcPr>
          <w:p>
            <w:pPr>
              <w:spacing w:after="0"/>
              <w:rPr>
                <w:sz w:val="12"/>
                <w:szCs w:val="12"/>
                <w:color w:val="auto"/>
              </w:rPr>
            </w:pPr>
          </w:p>
        </w:tc>
        <w:tc>
          <w:tcPr>
            <w:tcW w:w="7180" w:type="dxa"/>
            <w:vAlign w:val="bottom"/>
          </w:tcPr>
          <w:p>
            <w:pPr>
              <w:ind w:left="1740"/>
              <w:spacing w:after="0" w:line="149" w:lineRule="exact"/>
              <w:rPr>
                <w:sz w:val="20"/>
                <w:szCs w:val="20"/>
                <w:color w:val="auto"/>
              </w:rPr>
            </w:pPr>
            <w:r>
              <w:rPr>
                <w:rFonts w:ascii="Arial" w:cs="Arial" w:eastAsia="Arial" w:hAnsi="Arial"/>
                <w:sz w:val="14"/>
                <w:szCs w:val="14"/>
                <w:color w:val="auto"/>
                <w:w w:val="96"/>
              </w:rPr>
              <w:t>provided or return it to Vote Processing, c/o Broadridge, 51 Mercedes Way, Edgewood, NY</w:t>
            </w:r>
          </w:p>
        </w:tc>
      </w:tr>
      <w:tr>
        <w:trPr>
          <w:trHeight w:val="182"/>
        </w:trPr>
        <w:tc>
          <w:tcPr>
            <w:tcW w:w="3740" w:type="dxa"/>
            <w:vAlign w:val="bottom"/>
          </w:tcPr>
          <w:p>
            <w:pPr>
              <w:spacing w:after="0"/>
              <w:rPr>
                <w:sz w:val="15"/>
                <w:szCs w:val="15"/>
                <w:color w:val="auto"/>
              </w:rPr>
            </w:pPr>
          </w:p>
        </w:tc>
        <w:tc>
          <w:tcPr>
            <w:tcW w:w="7180" w:type="dxa"/>
            <w:vAlign w:val="bottom"/>
          </w:tcPr>
          <w:p>
            <w:pPr>
              <w:ind w:left="1740"/>
              <w:spacing w:after="0"/>
              <w:rPr>
                <w:sz w:val="20"/>
                <w:szCs w:val="20"/>
                <w:color w:val="auto"/>
              </w:rPr>
            </w:pPr>
            <w:r>
              <w:rPr>
                <w:rFonts w:ascii="Arial" w:cs="Arial" w:eastAsia="Arial" w:hAnsi="Arial"/>
                <w:sz w:val="14"/>
                <w:szCs w:val="14"/>
                <w:color w:val="auto"/>
              </w:rPr>
              <w:t>11717.</w:t>
            </w: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221" w:lineRule="auto"/>
        <w:rPr>
          <w:sz w:val="20"/>
          <w:szCs w:val="20"/>
          <w:color w:val="auto"/>
        </w:rPr>
      </w:pPr>
      <w:r>
        <w:rPr>
          <w:rFonts w:ascii="Arial" w:cs="Arial" w:eastAsia="Arial" w:hAnsi="Arial"/>
          <w:sz w:val="14"/>
          <w:szCs w:val="14"/>
          <w:color w:val="auto"/>
        </w:rPr>
        <w:t>— — — — — — — — — — — — — — — — — — — — — — — — — — — — — — — — — — — — — — — — — — — — — — — — — — — — — — — — — — —</w:t>
      </w:r>
    </w:p>
    <w:p>
      <w:pPr>
        <w:jc w:val="right"/>
        <w:ind w:right="60"/>
        <w:spacing w:after="0" w:line="221" w:lineRule="auto"/>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80010</wp:posOffset>
            </wp:positionV>
            <wp:extent cx="7276465" cy="4309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4309110"/>
                    </a:xfrm>
                    <a:prstGeom prst="rect">
                      <a:avLst/>
                    </a:prstGeom>
                    <a:noFill/>
                  </pic:spPr>
                </pic:pic>
              </a:graphicData>
            </a:graphic>
          </wp:anchor>
        </w:drawing>
      </w:r>
    </w:p>
    <w:p>
      <w:pPr>
        <w:spacing w:after="0" w:line="27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ectPr>
          <w:pgSz w:w="11900" w:h="16838" w:orient="portrait"/>
          <w:cols w:equalWidth="0" w:num="1">
            <w:col w:w="11480"/>
          </w:cols>
          <w:pgMar w:left="240" w:top="459" w:right="179" w:bottom="1440" w:gutter="0" w:footer="0" w:header="0"/>
        </w:sectPr>
      </w:pPr>
    </w:p>
    <w:p>
      <w:pPr>
        <w:spacing w:after="0" w:line="343" w:lineRule="exact"/>
        <w:rPr>
          <w:sz w:val="20"/>
          <w:szCs w:val="20"/>
          <w:color w:val="auto"/>
        </w:rPr>
      </w:pPr>
    </w:p>
    <w:p>
      <w:pPr>
        <w:ind w:left="580" w:hanging="289"/>
        <w:spacing w:after="0"/>
        <w:tabs>
          <w:tab w:leader="none" w:pos="580" w:val="left"/>
        </w:tabs>
        <w:numPr>
          <w:ilvl w:val="0"/>
          <w:numId w:val="65"/>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95" w:lineRule="exact"/>
        <w:rPr>
          <w:rFonts w:ascii="Arial" w:cs="Arial" w:eastAsia="Arial" w:hAnsi="Arial"/>
          <w:sz w:val="14"/>
          <w:szCs w:val="14"/>
          <w:b w:val="1"/>
          <w:bCs w:val="1"/>
          <w:color w:val="auto"/>
        </w:rPr>
      </w:pPr>
    </w:p>
    <w:p>
      <w:pPr>
        <w:ind w:left="300"/>
        <w:spacing w:after="0"/>
        <w:rPr>
          <w:rFonts w:ascii="Arial" w:cs="Arial" w:eastAsia="Arial" w:hAnsi="Arial"/>
          <w:sz w:val="14"/>
          <w:szCs w:val="14"/>
          <w:b w:val="1"/>
          <w:bCs w:val="1"/>
          <w:color w:val="auto"/>
        </w:rPr>
      </w:pPr>
      <w:r>
        <w:rPr>
          <w:rFonts w:ascii="Arial" w:cs="Arial" w:eastAsia="Arial" w:hAnsi="Arial"/>
          <w:sz w:val="14"/>
          <w:szCs w:val="14"/>
          <w:color w:val="auto"/>
        </w:rPr>
        <w:t>1a  Richard H. Bott</w:t>
      </w:r>
    </w:p>
    <w:p>
      <w:pPr>
        <w:spacing w:after="0" w:line="163"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4"/>
          <w:szCs w:val="14"/>
          <w:color w:val="auto"/>
        </w:rPr>
        <w:t>1b</w:t>
      </w:r>
      <w:r>
        <w:rPr>
          <w:sz w:val="20"/>
          <w:szCs w:val="20"/>
          <w:color w:val="auto"/>
        </w:rPr>
        <w:tab/>
      </w:r>
      <w:r>
        <w:rPr>
          <w:rFonts w:ascii="Arial" w:cs="Arial" w:eastAsia="Arial" w:hAnsi="Arial"/>
          <w:sz w:val="12"/>
          <w:szCs w:val="12"/>
          <w:color w:val="auto"/>
        </w:rPr>
        <w:t>Thomas P. Capo</w:t>
      </w:r>
    </w:p>
    <w:p>
      <w:pPr>
        <w:spacing w:after="0" w:line="163"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4"/>
          <w:szCs w:val="14"/>
          <w:color w:val="auto"/>
        </w:rPr>
        <w:t>1c</w:t>
      </w:r>
      <w:r>
        <w:rPr>
          <w:sz w:val="20"/>
          <w:szCs w:val="20"/>
          <w:color w:val="auto"/>
        </w:rPr>
        <w:tab/>
      </w:r>
      <w:r>
        <w:rPr>
          <w:rFonts w:ascii="Arial" w:cs="Arial" w:eastAsia="Arial" w:hAnsi="Arial"/>
          <w:sz w:val="12"/>
          <w:szCs w:val="12"/>
          <w:color w:val="auto"/>
        </w:rPr>
        <w:t>Jonathan F. Foster</w:t>
      </w:r>
    </w:p>
    <w:p>
      <w:pPr>
        <w:spacing w:after="0" w:line="163"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4"/>
          <w:szCs w:val="14"/>
          <w:color w:val="auto"/>
        </w:rPr>
        <w:t>1d</w:t>
      </w:r>
      <w:r>
        <w:rPr>
          <w:sz w:val="20"/>
          <w:szCs w:val="20"/>
          <w:color w:val="auto"/>
        </w:rPr>
        <w:tab/>
      </w:r>
      <w:r>
        <w:rPr>
          <w:rFonts w:ascii="Arial" w:cs="Arial" w:eastAsia="Arial" w:hAnsi="Arial"/>
          <w:sz w:val="13"/>
          <w:szCs w:val="13"/>
          <w:color w:val="auto"/>
        </w:rPr>
        <w:t>Kathleen A. Ligocki</w:t>
      </w:r>
    </w:p>
    <w:p>
      <w:pPr>
        <w:spacing w:after="0" w:line="163"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4"/>
          <w:szCs w:val="14"/>
          <w:color w:val="auto"/>
        </w:rPr>
        <w:t>1e</w:t>
      </w:r>
      <w:r>
        <w:rPr>
          <w:sz w:val="20"/>
          <w:szCs w:val="20"/>
          <w:color w:val="auto"/>
        </w:rPr>
        <w:tab/>
      </w:r>
      <w:r>
        <w:rPr>
          <w:rFonts w:ascii="Arial" w:cs="Arial" w:eastAsia="Arial" w:hAnsi="Arial"/>
          <w:sz w:val="13"/>
          <w:szCs w:val="13"/>
          <w:color w:val="auto"/>
        </w:rPr>
        <w:t>Conrad L. Mallett, Jr.</w:t>
      </w:r>
    </w:p>
    <w:p>
      <w:pPr>
        <w:spacing w:after="0" w:line="163" w:lineRule="exact"/>
        <w:rPr>
          <w:sz w:val="20"/>
          <w:szCs w:val="20"/>
          <w:color w:val="auto"/>
        </w:rPr>
      </w:pPr>
    </w:p>
    <w:p>
      <w:pPr>
        <w:ind w:left="300"/>
        <w:spacing w:after="0"/>
        <w:tabs>
          <w:tab w:leader="none" w:pos="540" w:val="left"/>
        </w:tabs>
        <w:rPr>
          <w:sz w:val="20"/>
          <w:szCs w:val="20"/>
          <w:color w:val="auto"/>
        </w:rPr>
      </w:pPr>
      <w:r>
        <w:rPr>
          <w:rFonts w:ascii="Arial" w:cs="Arial" w:eastAsia="Arial" w:hAnsi="Arial"/>
          <w:sz w:val="14"/>
          <w:szCs w:val="14"/>
          <w:color w:val="auto"/>
        </w:rPr>
        <w:t>1f</w:t>
      </w:r>
      <w:r>
        <w:rPr>
          <w:sz w:val="20"/>
          <w:szCs w:val="20"/>
          <w:color w:val="auto"/>
        </w:rPr>
        <w:tab/>
      </w:r>
      <w:r>
        <w:rPr>
          <w:rFonts w:ascii="Arial" w:cs="Arial" w:eastAsia="Arial" w:hAnsi="Arial"/>
          <w:sz w:val="13"/>
          <w:szCs w:val="13"/>
          <w:color w:val="auto"/>
        </w:rPr>
        <w:t>Donald L. Runkle</w:t>
      </w:r>
    </w:p>
    <w:p>
      <w:pPr>
        <w:spacing w:after="0" w:line="163"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4"/>
          <w:szCs w:val="14"/>
          <w:color w:val="auto"/>
        </w:rPr>
        <w:t>1g</w:t>
      </w:r>
      <w:r>
        <w:rPr>
          <w:sz w:val="20"/>
          <w:szCs w:val="20"/>
          <w:color w:val="auto"/>
        </w:rPr>
        <w:tab/>
      </w:r>
      <w:r>
        <w:rPr>
          <w:rFonts w:ascii="Arial" w:cs="Arial" w:eastAsia="Arial" w:hAnsi="Arial"/>
          <w:sz w:val="13"/>
          <w:szCs w:val="13"/>
          <w:color w:val="auto"/>
        </w:rPr>
        <w:t>Matthew J. Simoncini</w:t>
      </w:r>
    </w:p>
    <w:p>
      <w:pPr>
        <w:spacing w:after="0" w:line="163"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4"/>
          <w:szCs w:val="14"/>
          <w:color w:val="auto"/>
        </w:rPr>
        <w:t>1h</w:t>
      </w:r>
      <w:r>
        <w:rPr>
          <w:sz w:val="20"/>
          <w:szCs w:val="20"/>
          <w:color w:val="auto"/>
        </w:rPr>
        <w:tab/>
      </w:r>
      <w:r>
        <w:rPr>
          <w:rFonts w:ascii="Arial" w:cs="Arial" w:eastAsia="Arial" w:hAnsi="Arial"/>
          <w:sz w:val="13"/>
          <w:szCs w:val="13"/>
          <w:color w:val="auto"/>
        </w:rPr>
        <w:t>Gregory C. Smith</w:t>
      </w:r>
    </w:p>
    <w:p>
      <w:pPr>
        <w:spacing w:after="0" w:line="163"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4"/>
          <w:szCs w:val="14"/>
          <w:color w:val="auto"/>
        </w:rPr>
        <w:t>1i</w:t>
        <w:tab/>
        <w:t>Henry D. G. Wallace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For address change/comments, mark here.</w:t>
      </w:r>
    </w:p>
    <w:p>
      <w:pPr>
        <w:ind w:left="300"/>
        <w:spacing w:after="0"/>
        <w:rPr>
          <w:sz w:val="20"/>
          <w:szCs w:val="20"/>
          <w:color w:val="auto"/>
        </w:rPr>
      </w:pPr>
      <w:r>
        <w:rPr>
          <w:rFonts w:ascii="Arial" w:cs="Arial" w:eastAsia="Arial" w:hAnsi="Arial"/>
          <w:sz w:val="14"/>
          <w:szCs w:val="14"/>
          <w:color w:val="auto"/>
        </w:rPr>
        <w:t>(see reverse for instructions)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Please indicate if you plan to attend this meeting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w w:val="94"/>
              </w:rPr>
              <w:t>Against  Abstain</w:t>
            </w:r>
          </w:p>
        </w:tc>
      </w:tr>
      <w:tr>
        <w:trPr>
          <w:trHeight w:val="329"/>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419"/>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320" w:type="dxa"/>
            <w:vAlign w:val="bottom"/>
          </w:tcPr>
          <w:p>
            <w:pPr>
              <w:spacing w:after="0"/>
              <w:rPr>
                <w:sz w:val="20"/>
                <w:szCs w:val="20"/>
                <w:color w:val="auto"/>
              </w:rPr>
            </w:pPr>
            <w:r>
              <w:rPr>
                <w:rFonts w:ascii="Arial" w:cs="Arial" w:eastAsia="Arial" w:hAnsi="Arial"/>
                <w:sz w:val="14"/>
                <w:szCs w:val="14"/>
                <w:b w:val="1"/>
                <w:bCs w:val="1"/>
                <w:color w:val="auto"/>
              </w:rPr>
              <w:t>Yes</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8"/>
                <w:szCs w:val="18"/>
                <w:color w:val="auto"/>
              </w:rPr>
            </w:pPr>
          </w:p>
        </w:tc>
      </w:tr>
      <w:tr>
        <w:trPr>
          <w:trHeight w:val="283"/>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spacing w:after="0" w:line="259" w:lineRule="auto"/>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210" w:lineRule="exact"/>
        <w:rPr>
          <w:sz w:val="20"/>
          <w:szCs w:val="20"/>
          <w:color w:val="auto"/>
        </w:rPr>
      </w:pPr>
    </w:p>
    <w:p>
      <w:pPr>
        <w:ind w:left="320" w:right="40" w:hanging="320"/>
        <w:spacing w:after="0" w:line="291" w:lineRule="auto"/>
        <w:tabs>
          <w:tab w:leader="none" w:pos="320" w:val="left"/>
        </w:tabs>
        <w:numPr>
          <w:ilvl w:val="0"/>
          <w:numId w:val="66"/>
        </w:numPr>
        <w:rPr>
          <w:rFonts w:ascii="Arial" w:cs="Arial" w:eastAsia="Arial" w:hAnsi="Arial"/>
          <w:sz w:val="13"/>
          <w:szCs w:val="13"/>
          <w:b w:val="1"/>
          <w:bCs w:val="1"/>
          <w:color w:val="auto"/>
        </w:rPr>
      </w:pPr>
      <w:r>
        <w:rPr>
          <w:rFonts w:ascii="Arial" w:cs="Arial" w:eastAsia="Arial" w:hAnsi="Arial"/>
          <w:sz w:val="13"/>
          <w:szCs w:val="13"/>
          <w:color w:val="auto"/>
        </w:rPr>
        <w:t>Ratification of the retention of Ernst &amp; Young LLP as independent registered public accounting firm for 2015.</w:t>
      </w:r>
    </w:p>
    <w:p>
      <w:pPr>
        <w:spacing w:after="0" w:line="42" w:lineRule="exact"/>
        <w:rPr>
          <w:rFonts w:ascii="Arial" w:cs="Arial" w:eastAsia="Arial" w:hAnsi="Arial"/>
          <w:sz w:val="13"/>
          <w:szCs w:val="13"/>
          <w:b w:val="1"/>
          <w:bCs w:val="1"/>
          <w:color w:val="auto"/>
        </w:rPr>
      </w:pPr>
    </w:p>
    <w:p>
      <w:pPr>
        <w:ind w:left="320" w:right="60" w:hanging="320"/>
        <w:spacing w:after="0" w:line="253" w:lineRule="auto"/>
        <w:tabs>
          <w:tab w:leader="none" w:pos="320"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Advisory vote to approve Lear Corporation’s executive compensation.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auto"/>
        </w:rPr>
        <w:t>For</w:t>
        <w:tab/>
        <w:t>Against Abstain</w:t>
      </w:r>
    </w:p>
    <w:p>
      <w:pPr>
        <w:spacing w:after="0" w:line="83" w:lineRule="exact"/>
        <w:rPr>
          <w:sz w:val="20"/>
          <w:szCs w:val="20"/>
          <w:color w:val="auto"/>
        </w:rPr>
      </w:pPr>
    </w:p>
    <w:p>
      <w:pPr>
        <w:ind w:left="40"/>
        <w:spacing w:after="0" w:line="181" w:lineRule="exact"/>
        <w:tabs>
          <w:tab w:leader="none" w:pos="540" w:val="left"/>
          <w:tab w:leader="none" w:pos="11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25" w:lineRule="exact"/>
        <w:rPr>
          <w:sz w:val="20"/>
          <w:szCs w:val="20"/>
          <w:color w:val="auto"/>
        </w:rPr>
      </w:pPr>
    </w:p>
    <w:p>
      <w:pPr>
        <w:ind w:left="40"/>
        <w:spacing w:after="0" w:line="181" w:lineRule="exact"/>
        <w:tabs>
          <w:tab w:leader="none" w:pos="540" w:val="left"/>
          <w:tab w:leader="none" w:pos="11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510" w:lineRule="exact"/>
        <w:rPr>
          <w:sz w:val="20"/>
          <w:szCs w:val="20"/>
          <w:color w:val="auto"/>
        </w:rPr>
      </w:pPr>
    </w:p>
    <w:p>
      <w:pPr>
        <w:sectPr>
          <w:pgSz w:w="11900" w:h="16838" w:orient="portrait"/>
          <w:cols w:equalWidth="0" w:num="4">
            <w:col w:w="3280" w:space="720"/>
            <w:col w:w="1480" w:space="340"/>
            <w:col w:w="3560" w:space="440"/>
            <w:col w:w="1660"/>
          </w:cols>
          <w:pgMar w:left="240" w:top="459" w:right="179" w:bottom="1440" w:gutter="0" w:footer="0" w:header="0"/>
          <w:type w:val="continuous"/>
        </w:sectPr>
      </w:pPr>
    </w:p>
    <w:p>
      <w:pPr>
        <w:spacing w:after="0" w:line="349" w:lineRule="exact"/>
        <w:rPr>
          <w:sz w:val="20"/>
          <w:szCs w:val="20"/>
          <w:color w:val="auto"/>
        </w:rPr>
      </w:pPr>
    </w:p>
    <w:p>
      <w:pPr>
        <w:ind w:left="160" w:right="4240"/>
        <w:spacing w:after="0" w:line="23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80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3380" w:type="dxa"/>
            <w:vAlign w:val="bottom"/>
            <w:tcBorders>
              <w:top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auto"/>
              </w:rPr>
              <w:t>Signature [PLEASE SIGN WITHIN BOX]</w:t>
            </w:r>
          </w:p>
        </w:tc>
        <w:tc>
          <w:tcPr>
            <w:tcW w:w="660" w:type="dxa"/>
            <w:vAlign w:val="bottom"/>
          </w:tcPr>
          <w:p>
            <w:pPr>
              <w:ind w:left="40"/>
              <w:spacing w:after="0"/>
              <w:rPr>
                <w:sz w:val="20"/>
                <w:szCs w:val="20"/>
                <w:color w:val="auto"/>
              </w:rPr>
            </w:pPr>
            <w:r>
              <w:rPr>
                <w:rFonts w:ascii="Arial" w:cs="Arial" w:eastAsia="Arial" w:hAnsi="Arial"/>
                <w:sz w:val="14"/>
                <w:szCs w:val="14"/>
                <w:color w:val="auto"/>
              </w:rPr>
              <w:t>Date</w:t>
            </w:r>
          </w:p>
        </w:tc>
        <w:tc>
          <w:tcPr>
            <w:tcW w:w="210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4"/>
                <w:szCs w:val="14"/>
                <w:color w:val="auto"/>
              </w:rPr>
              <w:t>Signature (Joint Owners)</w:t>
            </w:r>
          </w:p>
        </w:tc>
        <w:tc>
          <w:tcPr>
            <w:tcW w:w="2260" w:type="dxa"/>
            <w:vAlign w:val="bottom"/>
            <w:gridSpan w:val="2"/>
            <w:vMerge w:val="restart"/>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3080" w:type="dxa"/>
            <w:vAlign w:val="bottom"/>
            <w:gridSpan w:val="3"/>
          </w:tcPr>
          <w:p>
            <w:pPr>
              <w:spacing w:after="0"/>
              <w:rPr>
                <w:sz w:val="20"/>
                <w:szCs w:val="20"/>
                <w:color w:val="auto"/>
              </w:rPr>
            </w:pPr>
            <w:r>
              <w:rPr>
                <w:rFonts w:ascii="Arial" w:cs="Arial" w:eastAsia="Arial" w:hAnsi="Arial"/>
                <w:sz w:val="14"/>
                <w:szCs w:val="14"/>
                <w:color w:val="auto"/>
              </w:rPr>
              <w:t>0000233673_1   R1.0.0.51160</w:t>
            </w: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459" w:right="17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Lear Proxy Statement, Lear Annual Report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rPr>
          <w:sz w:val="20"/>
          <w:szCs w:val="20"/>
          <w:color w:val="auto"/>
        </w:rPr>
      </w:pPr>
      <w:r>
        <w:rPr>
          <w:rFonts w:ascii="Arial" w:cs="Arial" w:eastAsia="Arial" w:hAnsi="Arial"/>
          <w:sz w:val="14"/>
          <w:szCs w:val="14"/>
          <w:color w:val="auto"/>
        </w:rPr>
        <w:t>—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54875" cy="37992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3799205"/>
                    </a:xfrm>
                    <a:prstGeom prst="rect">
                      <a:avLst/>
                    </a:prstGeom>
                    <a:noFill/>
                  </pic:spPr>
                </pic:pic>
              </a:graphicData>
            </a:graphic>
          </wp:anchor>
        </w:drawing>
      </w:r>
    </w:p>
    <w:p>
      <w:pPr>
        <w:spacing w:after="0" w:line="348"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LEAR CORPORATION</w:t>
      </w:r>
    </w:p>
    <w:p>
      <w:pPr>
        <w:spacing w:after="0" w:line="2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This proxy is solicited on behalf of the Board of Directors of Lear</w:t>
      </w:r>
    </w:p>
    <w:p>
      <w:pPr>
        <w:spacing w:after="0" w:line="9"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Corporation for the Annual Meeting of Stockholders on</w:t>
      </w:r>
    </w:p>
    <w:p>
      <w:pPr>
        <w:spacing w:after="0" w:line="9"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May 14, 2015, at 9:00 a.m. (Eastern Daylight Time).</w:t>
      </w:r>
    </w:p>
    <w:p>
      <w:pPr>
        <w:spacing w:after="0" w:line="116" w:lineRule="exact"/>
        <w:rPr>
          <w:sz w:val="20"/>
          <w:szCs w:val="20"/>
          <w:color w:val="auto"/>
        </w:rPr>
      </w:pPr>
    </w:p>
    <w:p>
      <w:pPr>
        <w:ind w:left="840" w:right="540"/>
        <w:spacing w:after="0" w:line="277" w:lineRule="auto"/>
        <w:rPr>
          <w:sz w:val="20"/>
          <w:szCs w:val="20"/>
          <w:color w:val="auto"/>
        </w:rPr>
      </w:pPr>
      <w:r>
        <w:rPr>
          <w:rFonts w:ascii="Arial" w:cs="Arial" w:eastAsia="Arial" w:hAnsi="Arial"/>
          <w:sz w:val="18"/>
          <w:szCs w:val="18"/>
          <w:color w:val="auto"/>
        </w:rPr>
        <w:t>This proxy is solicited on behalf of the Board of Directors of Lear Corporation for the Annual Meeting of Stockholders on May 14, 2015 or any adjournment or postponement thereof (the “Meeting”).</w:t>
      </w:r>
    </w:p>
    <w:p>
      <w:pPr>
        <w:spacing w:after="0" w:line="197" w:lineRule="exact"/>
        <w:rPr>
          <w:sz w:val="20"/>
          <w:szCs w:val="20"/>
          <w:color w:val="auto"/>
        </w:rPr>
      </w:pPr>
    </w:p>
    <w:p>
      <w:pPr>
        <w:ind w:left="840" w:right="360"/>
        <w:spacing w:after="0" w:line="279" w:lineRule="auto"/>
        <w:rPr>
          <w:sz w:val="20"/>
          <w:szCs w:val="20"/>
          <w:color w:val="auto"/>
        </w:rPr>
      </w:pPr>
      <w:r>
        <w:rPr>
          <w:rFonts w:ascii="Arial" w:cs="Arial" w:eastAsia="Arial" w:hAnsi="Arial"/>
          <w:sz w:val="17"/>
          <w:szCs w:val="17"/>
          <w:color w:val="auto"/>
        </w:rPr>
        <w:t>The undersigned appoints Matthew J. Simoncini and Terrence B. Larkin,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94" w:lineRule="exact"/>
        <w:rPr>
          <w:sz w:val="20"/>
          <w:szCs w:val="20"/>
          <w:color w:val="auto"/>
        </w:rPr>
      </w:pPr>
    </w:p>
    <w:p>
      <w:pPr>
        <w:ind w:left="840" w:right="6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all nominees for director and FOR proposals 2 and 3.</w:t>
      </w:r>
    </w:p>
    <w:p>
      <w:pPr>
        <w:spacing w:after="0" w:line="20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Address change /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(If you noted any Address Changes and/or Comments above, please mark corresponding box on the reverse side.)</w:t>
      </w: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36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0000233673_2</w:t>
      </w:r>
      <w:r>
        <w:rPr>
          <w:sz w:val="20"/>
          <w:szCs w:val="20"/>
          <w:color w:val="auto"/>
        </w:rPr>
        <w:tab/>
      </w:r>
      <w:r>
        <w:rPr>
          <w:rFonts w:ascii="Arial" w:cs="Arial" w:eastAsia="Arial" w:hAnsi="Arial"/>
          <w:sz w:val="15"/>
          <w:szCs w:val="15"/>
          <w:color w:val="auto"/>
        </w:rPr>
        <w:t>R1.0.0.51160</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lvl w:ilvl="1">
      <w:lvlJc w:val="left"/>
      <w:lvlText w:val="(%2)"/>
      <w:numFmt w:val="decimal"/>
      <w:start w:val="1"/>
    </w:lvl>
  </w:abstractNum>
  <w:abstractNum w:abstractNumId="5">
    <w:nsid w:val="5072367"/>
    <w:multiLevelType w:val="hybridMultilevel"/>
    <w:lvl w:ilvl="0">
      <w:lvlJc w:val="left"/>
      <w:lvlText w:val="(%1)"/>
      <w:numFmt w:val="decimal"/>
      <w:start w:val="2"/>
    </w:lvl>
  </w:abstractNum>
  <w:abstractNum w:abstractNumId="6">
    <w:nsid w:val="3804823E"/>
    <w:multiLevelType w:val="hybridMultilevel"/>
    <w:lvl w:ilvl="0">
      <w:lvlJc w:val="left"/>
      <w:lvlText w:val="(%1)"/>
      <w:numFmt w:val="decimal"/>
      <w:start w:val="3"/>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2"/>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lowerRoman"/>
      <w:start w:val="3"/>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2"/>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2"/>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lowerRoman"/>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2"/>
    </w:lvl>
  </w:abstractNum>
  <w:abstractNum w:abstractNumId="40">
    <w:nsid w:val="520EEDD1"/>
    <w:multiLevelType w:val="hybridMultilevel"/>
    <w:lvl w:ilvl="0">
      <w:lvlJc w:val="left"/>
      <w:lvlText w:val="(%1)"/>
      <w:numFmt w:val="decimal"/>
      <w:start w:val="4"/>
    </w:lvl>
    <w:lvl w:ilvl="1">
      <w:lvlJc w:val="left"/>
      <w:lvlText w:val="•"/>
      <w:numFmt w:val="bullet"/>
      <w:start w:val="1"/>
    </w:lvl>
  </w:abstractNum>
  <w:abstractNum w:abstractNumId="41">
    <w:nsid w:val="374A3FE6"/>
    <w:multiLevelType w:val="hybridMultilevel"/>
    <w:lvl w:ilvl="0">
      <w:lvlJc w:val="left"/>
      <w:lvlText w:val="(%1)"/>
      <w:numFmt w:val="decimal"/>
      <w:start w:val="4"/>
    </w:lvl>
    <w:lvl w:ilvl="1">
      <w:lvlJc w:val="left"/>
      <w:lvlText w:val="•"/>
      <w:numFmt w:val="bullet"/>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lowerRoman"/>
      <w:start w:val="1"/>
    </w:lvl>
  </w:abstractNum>
  <w:abstractNum w:abstractNumId="44">
    <w:nsid w:val="649BB77C"/>
    <w:multiLevelType w:val="hybridMultilevel"/>
    <w:lvl w:ilvl="0">
      <w:lvlJc w:val="left"/>
      <w:lvlText w:val="(%1)"/>
      <w:numFmt w:val="lowerRoman"/>
      <w:start w:val="2"/>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2"/>
    </w:lvl>
  </w:abstractNum>
  <w:abstractNum w:abstractNumId="47">
    <w:nsid w:val="1CF10FD8"/>
    <w:multiLevelType w:val="hybridMultilevel"/>
    <w:lvl w:ilvl="0">
      <w:lvlJc w:val="left"/>
      <w:lvlText w:val="(%1)"/>
      <w:numFmt w:val="decimal"/>
      <w:start w:val="3"/>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2"/>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2"/>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3"/>
    </w:lvl>
  </w:abstractNum>
  <w:abstractNum w:abstractNumId="56">
    <w:nsid w:val="3F6AB60F"/>
    <w:multiLevelType w:val="hybridMultilevel"/>
    <w:lvl w:ilvl="0">
      <w:lvlJc w:val="left"/>
      <w:lvlText w:val="(%1)"/>
      <w:numFmt w:val="lowerRoman"/>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2019-12-06T03:33:03Z</dcterms:created>
  <dcterms:modified xsi:type="dcterms:W3CDTF">2019-12-06T03:33:03Z</dcterms:modified>
</cp:coreProperties>
</file>