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1509" w:hanging="1509"/>
        <w:spacing w:after="0"/>
        <w:tabs>
          <w:tab w:leader="none" w:pos="150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w:t>
      </w:r>
    </w:p>
    <w:p>
      <w:pPr>
        <w:spacing w:after="0" w:line="9" w:lineRule="exact"/>
        <w:rPr>
          <w:rFonts w:ascii="Courier New" w:cs="Courier New" w:eastAsia="Courier New" w:hAnsi="Courier New"/>
          <w:sz w:val="14"/>
          <w:szCs w:val="14"/>
          <w:color w:val="auto"/>
        </w:rPr>
      </w:pPr>
    </w:p>
    <w:p>
      <w:pPr>
        <w:ind w:left="18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THE SECURITIES EXCHANGE ACT OF 1934</w:t>
      </w:r>
    </w:p>
    <w:p>
      <w:pPr>
        <w:spacing w:after="0" w:line="171"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For the quarterly period ended JULY 1, 1995</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8"/>
          </w:cols>
          <w:pgMar w:left="231" w:top="230" w:right="1440" w:bottom="1440" w:gutter="0" w:footer="0" w:header="0"/>
        </w:sectPr>
      </w:pP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w:t>
      </w:r>
    </w:p>
    <w:p>
      <w:pPr>
        <w:spacing w:after="0" w:line="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74" w:lineRule="exact"/>
        <w:rPr>
          <w:sz w:val="24"/>
          <w:szCs w:val="24"/>
          <w:color w:val="auto"/>
        </w:rPr>
      </w:pPr>
    </w:p>
    <w:p>
      <w:pPr>
        <w:sectPr>
          <w:pgSz w:w="11900" w:h="16838" w:orient="portrait"/>
          <w:cols w:equalWidth="0" w:num="2">
            <w:col w:w="789" w:space="720"/>
            <w:col w:w="8719"/>
          </w:cols>
          <w:pgMar w:left="231" w:top="230" w:right="1440" w:bottom="1440" w:gutter="0" w:footer="0" w:header="0"/>
          <w:type w:val="continuous"/>
        </w:sectPr>
      </w:pPr>
    </w:p>
    <w:p>
      <w:pPr>
        <w:ind w:left="89"/>
        <w:spacing w:after="0"/>
        <w:rPr>
          <w:sz w:val="20"/>
          <w:szCs w:val="20"/>
          <w:color w:val="auto"/>
        </w:rPr>
      </w:pPr>
      <w:r>
        <w:rPr>
          <w:rFonts w:ascii="Courier New" w:cs="Courier New" w:eastAsia="Courier New" w:hAnsi="Courier New"/>
          <w:sz w:val="14"/>
          <w:szCs w:val="14"/>
          <w:color w:val="auto"/>
        </w:rPr>
        <w:t>For the transition period from ___________________ to ______________________.</w:t>
      </w:r>
    </w:p>
    <w:p>
      <w:pPr>
        <w:spacing w:after="0" w:line="180" w:lineRule="exact"/>
        <w:rPr>
          <w:sz w:val="24"/>
          <w:szCs w:val="24"/>
          <w:color w:val="auto"/>
        </w:rPr>
      </w:pPr>
    </w:p>
    <w:p>
      <w:pPr>
        <w:ind w:left="89"/>
        <w:spacing w:after="0"/>
        <w:tabs>
          <w:tab w:leader="none" w:pos="2289"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1-11311</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LEAR SEATING CORPORATION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1440" w:gutter="0" w:footer="0" w:header="0"/>
          <w:type w:val="continuous"/>
        </w:sectPr>
      </w:pPr>
    </w:p>
    <w:p>
      <w:pPr>
        <w:spacing w:after="0" w:line="171"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13-3386776</w:t>
      </w:r>
    </w:p>
    <w:p>
      <w:pPr>
        <w:spacing w:after="0" w:line="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9" w:lineRule="exact"/>
        <w:rPr>
          <w:sz w:val="24"/>
          <w:szCs w:val="24"/>
          <w:color w:val="auto"/>
        </w:rPr>
      </w:pPr>
    </w:p>
    <w:p>
      <w:pPr>
        <w:sectPr>
          <w:pgSz w:w="11900" w:h="16838" w:orient="portrait"/>
          <w:cols w:equalWidth="0" w:num="2">
            <w:col w:w="3189" w:space="720"/>
            <w:col w:w="6319"/>
          </w:cols>
          <w:pgMar w:left="231" w:top="230" w:right="1440" w:bottom="1440" w:gutter="0" w:footer="0" w:header="0"/>
          <w:type w:val="continuous"/>
        </w:sectPr>
      </w:pPr>
    </w:p>
    <w:p>
      <w:pPr>
        <w:spacing w:after="0" w:line="142" w:lineRule="exact"/>
        <w:rPr>
          <w:sz w:val="24"/>
          <w:szCs w:val="24"/>
          <w:color w:val="auto"/>
        </w:rPr>
      </w:pPr>
    </w:p>
    <w:p>
      <w:pPr>
        <w:jc w:val="center"/>
        <w:ind w:right="951"/>
        <w:spacing w:after="0"/>
        <w:rPr>
          <w:sz w:val="20"/>
          <w:szCs w:val="20"/>
          <w:color w:val="auto"/>
        </w:rPr>
      </w:pPr>
      <w:r>
        <w:rPr>
          <w:rFonts w:ascii="Courier New" w:cs="Courier New" w:eastAsia="Courier New" w:hAnsi="Courier New"/>
          <w:sz w:val="15"/>
          <w:szCs w:val="15"/>
          <w:color w:val="auto"/>
        </w:rPr>
        <w:t>21557 TELEGRAPH ROAD, SOUTHFIELD, MI</w:t>
      </w:r>
    </w:p>
    <w:p>
      <w:pPr>
        <w:spacing w:after="0" w:line="3" w:lineRule="exact"/>
        <w:rPr>
          <w:sz w:val="24"/>
          <w:szCs w:val="24"/>
          <w:color w:val="auto"/>
        </w:rPr>
      </w:pPr>
    </w:p>
    <w:p>
      <w:pPr>
        <w:jc w:val="center"/>
        <w:ind w:right="951"/>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48034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509" w:space="720"/>
            <w:col w:w="4999"/>
          </w:cols>
          <w:pgMar w:left="231" w:top="230" w:right="1440" w:bottom="1440" w:gutter="0" w:footer="0" w:header="0"/>
          <w:type w:val="continuous"/>
        </w:sectPr>
      </w:pPr>
    </w:p>
    <w:p>
      <w:pPr>
        <w:jc w:val="center"/>
        <w:ind w:right="3130"/>
        <w:spacing w:after="0"/>
        <w:rPr>
          <w:sz w:val="20"/>
          <w:szCs w:val="20"/>
          <w:color w:val="auto"/>
        </w:rPr>
      </w:pPr>
      <w:r>
        <w:rPr>
          <w:rFonts w:ascii="Courier New" w:cs="Courier New" w:eastAsia="Courier New" w:hAnsi="Courier New"/>
          <w:sz w:val="15"/>
          <w:szCs w:val="15"/>
          <w:color w:val="auto"/>
        </w:rPr>
        <w:t>(810) 746-1500</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Indicate by check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mark</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whether</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registrant (1)</w:t>
            </w: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has filed all</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reports required to</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filed by</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Section</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13 or 15(d) of the</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Securities Exchange</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Act of</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1934 during the</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preceding 12</w:t>
            </w: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months (or for such shorter</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period that the</w:t>
            </w:r>
          </w:p>
        </w:tc>
      </w:tr>
      <w:tr>
        <w:trPr>
          <w:trHeight w:val="171"/>
        </w:trPr>
        <w:tc>
          <w:tcPr>
            <w:tcW w:w="2040" w:type="dxa"/>
            <w:vAlign w:val="bottom"/>
            <w:gridSpan w:val="3"/>
          </w:tcPr>
          <w:p>
            <w:pPr>
              <w:spacing w:after="0"/>
              <w:rPr>
                <w:sz w:val="20"/>
                <w:szCs w:val="20"/>
                <w:color w:val="auto"/>
              </w:rPr>
            </w:pPr>
            <w:r>
              <w:rPr>
                <w:rFonts w:ascii="Courier New" w:cs="Courier New" w:eastAsia="Courier New" w:hAnsi="Courier New"/>
                <w:sz w:val="15"/>
                <w:szCs w:val="15"/>
                <w:color w:val="auto"/>
                <w:w w:val="97"/>
              </w:rPr>
              <w:t>registrant was required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file such reports), and (2) has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been</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subject to the</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filing</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requirements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for</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past 90</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Yes X</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1380" w:type="dxa"/>
            <w:vAlign w:val="bottom"/>
          </w:tcPr>
          <w:p>
            <w:pPr>
              <w:spacing w:after="0"/>
              <w:rPr>
                <w:sz w:val="14"/>
                <w:szCs w:val="14"/>
                <w:color w:val="auto"/>
              </w:rPr>
            </w:pPr>
          </w:p>
        </w:tc>
      </w:tr>
    </w:tbl>
    <w:p>
      <w:pPr>
        <w:spacing w:after="0" w:line="345" w:lineRule="exact"/>
        <w:rPr>
          <w:sz w:val="24"/>
          <w:szCs w:val="24"/>
          <w:color w:val="auto"/>
        </w:rPr>
      </w:pPr>
    </w:p>
    <w:p>
      <w:pPr>
        <w:ind w:left="9" w:right="3659" w:firstLine="79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7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Approximate number of shares of Common Stock, $0.01 par value per share,</w:t>
      </w:r>
    </w:p>
    <w:p>
      <w:pPr>
        <w:spacing w:after="0" w:line="1" w:lineRule="exact"/>
        <w:rPr>
          <w:sz w:val="24"/>
          <w:szCs w:val="24"/>
          <w:color w:val="auto"/>
        </w:rPr>
      </w:pPr>
    </w:p>
    <w:p>
      <w:pPr>
        <w:ind w:left="9"/>
        <w:spacing w:after="0"/>
        <w:tabs>
          <w:tab w:leader="none" w:pos="2909" w:val="left"/>
        </w:tabs>
        <w:rPr>
          <w:sz w:val="20"/>
          <w:szCs w:val="20"/>
          <w:color w:val="auto"/>
        </w:rPr>
      </w:pPr>
      <w:r>
        <w:rPr>
          <w:rFonts w:ascii="Courier New" w:cs="Courier New" w:eastAsia="Courier New" w:hAnsi="Courier New"/>
          <w:sz w:val="15"/>
          <w:szCs w:val="15"/>
          <w:color w:val="auto"/>
        </w:rPr>
        <w:t>outstanding at July 29, 1995:</w:t>
      </w:r>
      <w:r>
        <w:rPr>
          <w:sz w:val="20"/>
          <w:szCs w:val="20"/>
          <w:color w:val="auto"/>
        </w:rPr>
        <w:tab/>
      </w:r>
      <w:r>
        <w:rPr>
          <w:rFonts w:ascii="Courier New" w:cs="Courier New" w:eastAsia="Courier New" w:hAnsi="Courier New"/>
          <w:sz w:val="14"/>
          <w:szCs w:val="14"/>
          <w:color w:val="auto"/>
        </w:rPr>
        <w:t>46,171,522</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LEAR SEATING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 ENDED JULY 1, 1995</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Part I - Financial Information:</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1"/>
        </w:trPr>
        <w:tc>
          <w:tcPr>
            <w:tcW w:w="7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Item 1</w:t>
            </w: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 Consolidated Financial Statements</w:t>
            </w:r>
          </w:p>
        </w:tc>
        <w:tc>
          <w:tcPr>
            <w:tcW w:w="1600" w:type="dxa"/>
            <w:vAlign w:val="bottom"/>
          </w:tcPr>
          <w:p>
            <w:pPr>
              <w:spacing w:after="0"/>
              <w:rPr>
                <w:sz w:val="24"/>
                <w:szCs w:val="24"/>
                <w:color w:val="auto"/>
              </w:rPr>
            </w:pPr>
          </w:p>
        </w:tc>
      </w:tr>
      <w:tr>
        <w:trPr>
          <w:trHeight w:val="341"/>
        </w:trPr>
        <w:tc>
          <w:tcPr>
            <w:tcW w:w="13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Introduction to the Consolidated Financial Statements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512"/>
        </w:trPr>
        <w:tc>
          <w:tcPr>
            <w:tcW w:w="13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 July 1, 1995 and</w:t>
            </w:r>
          </w:p>
        </w:tc>
        <w:tc>
          <w:tcPr>
            <w:tcW w:w="16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6480" w:type="dxa"/>
            <w:vAlign w:val="bottom"/>
          </w:tcPr>
          <w:p>
            <w:pPr>
              <w:ind w:left="800"/>
              <w:spacing w:after="0"/>
              <w:rPr>
                <w:sz w:val="20"/>
                <w:szCs w:val="20"/>
                <w:color w:val="auto"/>
              </w:rPr>
            </w:pPr>
            <w:r>
              <w:rPr>
                <w:rFonts w:ascii="Courier New" w:cs="Courier New" w:eastAsia="Courier New" w:hAnsi="Courier New"/>
                <w:sz w:val="15"/>
                <w:szCs w:val="15"/>
                <w:color w:val="auto"/>
              </w:rPr>
              <w:t>December 31, 1994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341"/>
        </w:trPr>
        <w:tc>
          <w:tcPr>
            <w:tcW w:w="13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 Three and Six Month Periods</w:t>
            </w:r>
          </w:p>
        </w:tc>
        <w:tc>
          <w:tcPr>
            <w:tcW w:w="16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6480" w:type="dxa"/>
            <w:vAlign w:val="bottom"/>
          </w:tcPr>
          <w:p>
            <w:pPr>
              <w:ind w:left="800"/>
              <w:spacing w:after="0"/>
              <w:rPr>
                <w:sz w:val="20"/>
                <w:szCs w:val="20"/>
                <w:color w:val="auto"/>
              </w:rPr>
            </w:pPr>
            <w:r>
              <w:rPr>
                <w:rFonts w:ascii="Courier New" w:cs="Courier New" w:eastAsia="Courier New" w:hAnsi="Courier New"/>
                <w:sz w:val="15"/>
                <w:szCs w:val="15"/>
                <w:color w:val="auto"/>
              </w:rPr>
              <w:t>ended July 1, 1995 and July 2, 1994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512"/>
        </w:trPr>
        <w:tc>
          <w:tcPr>
            <w:tcW w:w="13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 Six Month</w:t>
            </w:r>
          </w:p>
        </w:tc>
        <w:tc>
          <w:tcPr>
            <w:tcW w:w="16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6480" w:type="dxa"/>
            <w:vAlign w:val="bottom"/>
          </w:tcPr>
          <w:p>
            <w:pPr>
              <w:ind w:left="800"/>
              <w:spacing w:after="0"/>
              <w:rPr>
                <w:sz w:val="20"/>
                <w:szCs w:val="20"/>
                <w:color w:val="auto"/>
              </w:rPr>
            </w:pPr>
            <w:r>
              <w:rPr>
                <w:rFonts w:ascii="Courier New" w:cs="Courier New" w:eastAsia="Courier New" w:hAnsi="Courier New"/>
                <w:sz w:val="15"/>
                <w:szCs w:val="15"/>
                <w:color w:val="auto"/>
              </w:rPr>
              <w:t>Periods ended July 1, 1995 and July 2, 1994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341"/>
        </w:trPr>
        <w:tc>
          <w:tcPr>
            <w:tcW w:w="13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512"/>
        </w:trPr>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Item 2</w:t>
            </w: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 Management's Discussion and Analysis of</w:t>
            </w:r>
          </w:p>
        </w:tc>
        <w:tc>
          <w:tcPr>
            <w:tcW w:w="16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6480" w:type="dxa"/>
            <w:vAlign w:val="bottom"/>
          </w:tcPr>
          <w:p>
            <w:pPr>
              <w:ind w:left="80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r>
      <w:tr>
        <w:trPr>
          <w:trHeight w:val="512"/>
        </w:trPr>
        <w:tc>
          <w:tcPr>
            <w:tcW w:w="7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Part II - Other Information:</w:t>
            </w:r>
          </w:p>
        </w:tc>
        <w:tc>
          <w:tcPr>
            <w:tcW w:w="1600" w:type="dxa"/>
            <w:vAlign w:val="bottom"/>
          </w:tcPr>
          <w:p>
            <w:pPr>
              <w:spacing w:after="0"/>
              <w:rPr>
                <w:sz w:val="24"/>
                <w:szCs w:val="24"/>
                <w:color w:val="auto"/>
              </w:rPr>
            </w:pPr>
          </w:p>
        </w:tc>
      </w:tr>
      <w:tr>
        <w:trPr>
          <w:trHeight w:val="171"/>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r>
      <w:tr>
        <w:trPr>
          <w:trHeight w:val="171"/>
        </w:trPr>
        <w:tc>
          <w:tcPr>
            <w:tcW w:w="7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6 - Exhibits and Reports on Form 8-K</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r>
      <w:tr>
        <w:trPr>
          <w:trHeight w:val="341"/>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Signatures</w:t>
            </w:r>
          </w:p>
        </w:tc>
        <w:tc>
          <w:tcPr>
            <w:tcW w:w="6480" w:type="dxa"/>
            <w:vAlign w:val="bottom"/>
          </w:tcPr>
          <w:p>
            <w:pPr>
              <w:spacing w:after="0"/>
              <w:rPr>
                <w:sz w:val="24"/>
                <w:szCs w:val="2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r>
      <w:tr>
        <w:trPr>
          <w:trHeight w:val="512"/>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Exhibit Index</w:t>
            </w:r>
          </w:p>
        </w:tc>
        <w:tc>
          <w:tcPr>
            <w:tcW w:w="6480" w:type="dxa"/>
            <w:vAlign w:val="bottom"/>
          </w:tcPr>
          <w:p>
            <w:pPr>
              <w:spacing w:after="0"/>
              <w:rPr>
                <w:sz w:val="24"/>
                <w:szCs w:val="2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LEAR SEATING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FINANCIAL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 TO THE CONSOLIDATED FINANCIAL STATEMENTS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condensed consolidated financial statements of Lear Seating Corporation and subsidiaries ("the company") (Note 1) have been prepared by Lear Seating Corporation, without audit,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The Company believes that the disclosures are adequate to make the information presented not misleading when read in conjunction with the financial statements and the notes thereto included in the Company's Annual Report on Form 10-K as filed with the Securities and Exchange Commission for the period ended December 31, 1994.</w:t>
      </w:r>
    </w:p>
    <w:p>
      <w:pPr>
        <w:spacing w:after="0" w:line="179"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financial information presented reflects all adjustments (consisting only of normal recurring adjustments) which are, in the opinion of management, necessary for a fair statement of the results of operations and financial position for the interim periods presented. These results are not necessarily indicative of a full year's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6400" w:type="dxa"/>
            <w:vAlign w:val="bottom"/>
          </w:tcPr>
          <w:p>
            <w:pPr>
              <w:ind w:left="540"/>
              <w:spacing w:after="0"/>
              <w:rPr>
                <w:sz w:val="20"/>
                <w:szCs w:val="20"/>
                <w:color w:val="auto"/>
              </w:rPr>
            </w:pPr>
            <w:r>
              <w:rPr>
                <w:rFonts w:ascii="Courier New" w:cs="Courier New" w:eastAsia="Courier New" w:hAnsi="Courier New"/>
                <w:sz w:val="15"/>
                <w:szCs w:val="15"/>
                <w:color w:val="auto"/>
              </w:rPr>
              <w:t>(IN MILLIONS, EXCEPT SHARE DATA)</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6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July 1,</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17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Accounts receivable</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700.2</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579.8</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111.0</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126.6</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Unbilled customer tooling</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54.3</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40.6</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959.1</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818.3</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Land</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Buildings and improvements</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154.5</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141.1</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Machinery and equipment</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353.3</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326.8</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545.3</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504.5</w:t>
            </w:r>
          </w:p>
        </w:tc>
      </w:tr>
      <w:tr>
        <w:trPr>
          <w:trHeight w:val="171"/>
        </w:trPr>
        <w:tc>
          <w:tcPr>
            <w:tcW w:w="6400" w:type="dxa"/>
            <w:vAlign w:val="bottom"/>
          </w:tcPr>
          <w:p>
            <w:pPr>
              <w:ind w:left="900"/>
              <w:spacing w:after="0"/>
              <w:rPr>
                <w:sz w:val="20"/>
                <w:szCs w:val="20"/>
                <w:color w:val="auto"/>
              </w:rPr>
            </w:pPr>
            <w:r>
              <w:rPr>
                <w:rFonts w:ascii="Courier New" w:cs="Courier New" w:eastAsia="Courier New" w:hAnsi="Courier New"/>
                <w:sz w:val="15"/>
                <w:szCs w:val="15"/>
                <w:color w:val="auto"/>
              </w:rPr>
              <w:t>Less-Accumulated depreciation</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(181.4)</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363.9</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354.2</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Goodwill, net</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494.4</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499.5</w:t>
            </w:r>
          </w:p>
        </w:tc>
      </w:tr>
      <w:tr>
        <w:trPr>
          <w:trHeight w:val="171"/>
        </w:trPr>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Deferred financing fees and other</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37.7</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532.1</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542.6</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w:t>
            </w: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Cash overdrafts</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55.2</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27.6</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766.0</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656.7</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210.9</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1,041.6</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981.2</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Deferred national income taxes</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25.3</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460.1</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418.7</w:t>
            </w: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82.6</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76.3</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567.0</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520.3</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 authorized at July 1,</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460"/>
              <w:spacing w:after="0"/>
              <w:rPr>
                <w:sz w:val="20"/>
                <w:szCs w:val="20"/>
                <w:color w:val="auto"/>
              </w:rPr>
            </w:pPr>
            <w:r>
              <w:rPr>
                <w:rFonts w:ascii="Courier New" w:cs="Courier New" w:eastAsia="Courier New" w:hAnsi="Courier New"/>
                <w:sz w:val="15"/>
                <w:szCs w:val="15"/>
                <w:color w:val="auto"/>
              </w:rPr>
              <w:t>1995 and December 31, 1994; 46,142,594 issued at July 1, 1995</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460"/>
              <w:spacing w:after="0"/>
              <w:rPr>
                <w:sz w:val="20"/>
                <w:szCs w:val="20"/>
                <w:color w:val="auto"/>
              </w:rPr>
            </w:pPr>
            <w:r>
              <w:rPr>
                <w:rFonts w:ascii="Courier New" w:cs="Courier New" w:eastAsia="Courier New" w:hAnsi="Courier New"/>
                <w:sz w:val="15"/>
                <w:szCs w:val="15"/>
                <w:color w:val="auto"/>
              </w:rPr>
              <w:t>and 46,088,278 issued at December 31, 1994</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274.4</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274.3</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Notes receivable from sale of common stock</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Less- Common stock held in treasury, 10,230 shares at</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July 1, 1995 and December 31, 1994 , at cost</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Retained deficit</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Minimum pension liability adjustment</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6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246.5</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213.6</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400" w:type="dxa"/>
            <w:vAlign w:val="bottom"/>
          </w:tcPr>
          <w:p>
            <w:pPr>
              <w:spacing w:after="0"/>
              <w:rPr>
                <w:sz w:val="14"/>
                <w:szCs w:val="14"/>
                <w:color w:val="auto"/>
              </w:rPr>
            </w:pP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ectPr>
          <w:pgSz w:w="11900" w:h="16838" w:orient="portrait"/>
          <w:cols w:equalWidth="0" w:num="1">
            <w:col w:w="10820"/>
          </w:cols>
          <w:pgMar w:left="500" w:top="287" w:right="579" w:bottom="9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820"/>
          </w:cols>
          <w:pgMar w:left="500" w:top="287" w:right="579" w:bottom="989"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 MILLIONS, EXCEPT PER SHARE DATA)</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53"/>
        </w:trPr>
        <w:tc>
          <w:tcPr>
            <w:tcW w:w="4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Three Months Ended</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8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July 1,</w:t>
            </w:r>
          </w:p>
        </w:tc>
        <w:tc>
          <w:tcPr>
            <w:tcW w:w="12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July 2,</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July 1,</w:t>
            </w:r>
          </w:p>
        </w:tc>
        <w:tc>
          <w:tcPr>
            <w:tcW w:w="1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July 2,</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1006"/>
              <w:spacing w:after="0"/>
              <w:rPr>
                <w:sz w:val="20"/>
                <w:szCs w:val="20"/>
                <w:color w:val="auto"/>
              </w:rPr>
            </w:pPr>
            <w:r>
              <w:rPr>
                <w:rFonts w:ascii="Courier New" w:cs="Courier New" w:eastAsia="Courier New" w:hAnsi="Courier New"/>
                <w:sz w:val="15"/>
                <w:szCs w:val="15"/>
                <w:color w:val="auto"/>
                <w:w w:val="88"/>
              </w:rPr>
              <w:t>1995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1994</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1006"/>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00" w:type="dxa"/>
            <w:vAlign w:val="bottom"/>
          </w:tcPr>
          <w:p>
            <w:pPr>
              <w:spacing w:after="0"/>
              <w:rPr>
                <w:sz w:val="14"/>
                <w:szCs w:val="14"/>
                <w:color w:val="auto"/>
              </w:rPr>
            </w:pP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1,142.6</w:t>
            </w:r>
          </w:p>
        </w:tc>
        <w:tc>
          <w:tcPr>
            <w:tcW w:w="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822.1</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2,186.1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1,508.9</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1,047.8</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743.5</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2,014.7</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1,380.3</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24.3</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21.4</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50.1</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67.2</w:t>
            </w:r>
          </w:p>
        </w:tc>
        <w:tc>
          <w:tcPr>
            <w:tcW w:w="4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54.3</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114.9</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84.6</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14.3</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28.5</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national income taxes</w:t>
            </w: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49.2</w:t>
            </w:r>
          </w:p>
        </w:tc>
        <w:tc>
          <w:tcPr>
            <w:tcW w:w="4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Provision for national income taxes</w:t>
            </w:r>
          </w:p>
        </w:tc>
        <w:tc>
          <w:tcPr>
            <w:tcW w:w="460" w:type="dxa"/>
            <w:vAlign w:val="bottom"/>
          </w:tcPr>
          <w:p>
            <w:pPr>
              <w:spacing w:after="0"/>
              <w:rPr>
                <w:sz w:val="24"/>
                <w:szCs w:val="2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20.3</w:t>
            </w:r>
          </w:p>
        </w:tc>
        <w:tc>
          <w:tcPr>
            <w:tcW w:w="480" w:type="dxa"/>
            <w:vAlign w:val="bottom"/>
          </w:tcPr>
          <w:p>
            <w:pPr>
              <w:spacing w:after="0"/>
              <w:rPr>
                <w:sz w:val="24"/>
                <w:szCs w:val="2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20.1</w:t>
            </w:r>
          </w:p>
        </w:tc>
        <w:tc>
          <w:tcPr>
            <w:tcW w:w="340" w:type="dxa"/>
            <w:vAlign w:val="bottom"/>
          </w:tcPr>
          <w:p>
            <w:pPr>
              <w:spacing w:after="0"/>
              <w:rPr>
                <w:sz w:val="24"/>
                <w:szCs w:val="2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34.7</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28.9</w:t>
            </w:r>
          </w:p>
        </w:tc>
        <w:tc>
          <w:tcPr>
            <w:tcW w:w="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Primary</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ind w:left="260"/>
              <w:spacing w:after="0"/>
              <w:rPr>
                <w:sz w:val="20"/>
                <w:szCs w:val="20"/>
                <w:color w:val="auto"/>
              </w:rPr>
            </w:pPr>
            <w:r>
              <w:rPr>
                <w:rFonts w:ascii="Courier New" w:cs="Courier New" w:eastAsia="Courier New" w:hAnsi="Courier New"/>
                <w:sz w:val="15"/>
                <w:szCs w:val="15"/>
                <w:color w:val="auto"/>
              </w:rPr>
              <w:t>Fully diluted</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1"/>
        </w:trPr>
        <w:tc>
          <w:tcPr>
            <w:tcW w:w="4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260"/>
          </w:cols>
          <w:pgMar w:left="500" w:top="287"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Six Months</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750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July 1, 1995</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July 2, 1994</w:t>
            </w:r>
          </w:p>
        </w:tc>
      </w:tr>
      <w:tr>
        <w:trPr>
          <w:trHeight w:val="171"/>
        </w:trPr>
        <w:tc>
          <w:tcPr>
            <w:tcW w:w="750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income to net cash provided by operating activities:</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of goodwill</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37.1</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financing fees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Deferred national income taxes</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Change in working capital items</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(52.2)</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(42.6)</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by investing activities</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(41.7)</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Change in long-term debt, net</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Short-term borrowings, net</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(61.6)</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Increase (decrease) in cash overdrafts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 common stock, net</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103.7</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Effect of foreign currency translation</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55.0</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47.1</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CHANGES IN WORKING CAPITAL</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(125.9)</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124.5</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w:t>
            </w:r>
          </w:p>
        </w:tc>
      </w:tr>
      <w:tr>
        <w:trPr>
          <w:trHeight w:val="171"/>
        </w:trPr>
        <w:tc>
          <w:tcPr>
            <w:tcW w:w="75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 and other</w:t>
            </w:r>
          </w:p>
        </w:tc>
        <w:tc>
          <w:tcPr>
            <w:tcW w:w="58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(29.6)</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SUPPLEMENTARY DISCLOSURE:</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income taxes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7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000"/>
          </w:cols>
          <w:pgMar w:left="500" w:top="287" w:right="39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4" w:lineRule="exact"/>
        <w:rPr>
          <w:sz w:val="20"/>
          <w:szCs w:val="20"/>
          <w:color w:val="auto"/>
        </w:rPr>
      </w:pPr>
    </w:p>
    <w:p>
      <w:pPr>
        <w:ind w:right="3579" w:firstLine="799"/>
        <w:spacing w:after="0" w:line="239" w:lineRule="auto"/>
        <w:rPr>
          <w:sz w:val="20"/>
          <w:szCs w:val="20"/>
          <w:color w:val="auto"/>
        </w:rPr>
      </w:pPr>
      <w:r>
        <w:rPr>
          <w:rFonts w:ascii="Courier New" w:cs="Courier New" w:eastAsia="Courier New" w:hAnsi="Courier New"/>
          <w:sz w:val="15"/>
          <w:szCs w:val="15"/>
          <w:color w:val="auto"/>
        </w:rPr>
        <w:t>The consolidated financial statements include the accounts of Lear Seating Corporation, a Delaware corporation, and its wholly-owned and majority-owned subsidiaries. Investments in less than majority-owned businesses are generally accounted for under the equity method.</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 33-for-1 split of the Company's common stock was effective as of the Company's initial public offering in April, 1994. All references to the numbers of shares of common stock, stock options, warrants and income (loss) per share in the accompanying consolidated financial statements and notes thereto have been adjusted to give effect to the split.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AUTOMOTIVE INDUSTRIES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On July 16, 1995, the Company, AIHI Acquisition Corp., a wholly-owned subsidiary of the Company ("Acquisition Corp."), and Automotive Industries Holding, Inc. ("AIH") entered into an Agreement and Plan of Merger (the "Merger Agreement") pursuant to which Acquisition Corp. has made an offer to purchase all the issued and outstanding shares of common stock of AIH (including shares subject to options) for a purchase price of $33.50 per share. The aggregate purchase price for the acquisition of AIH (the "AIH Acquisition") will be approximately $926.4 million, including the assumption of $282.3 million of AIH's existing indebtedness and $18.4 million in fees and expenses. Funds for the purchase of AIH are expected to be provided by borrowings under the New Credit Agreement, as described in Note 3.</w:t>
      </w:r>
    </w:p>
    <w:p>
      <w:pPr>
        <w:spacing w:after="0" w:line="179"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AIH is a leading designer and manufacturer of high quality interior trim systems and blow molded products principally for North American and European automobile and light truck manufacturers. AIH's interior trim products include complete door panel assemblies, seatbacks and inserts, armrests, consoles and headliners. Blow molded products include windshield wiper reservoirs, fuel tank shields and radiator coolant overflow reservoirs. In 1994, AIH had revenues of approximately $512.8 million and operating income of $63.9 million.</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Consummation of the AIH Acquisition is subject to certain conditions, including the tender of the majority of Automotive Industries' outstanding shares, the expiration or termination of any applicable waiting periods under Federal Antitrust laws, the Company obtaining sufficient financing for the AIH acquisition under the New Credit Agreement as described in Note 3, and other customary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NOTES TO THE CONSOLIDATED FINANCIAL STATEMENTS -- (CONTINUED)</w:t>
      </w:r>
    </w:p>
    <w:p>
      <w:pPr>
        <w:spacing w:after="0" w:line="342" w:lineRule="exact"/>
        <w:rPr>
          <w:sz w:val="20"/>
          <w:szCs w:val="20"/>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CREDIT AGREEMENT</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In connection with the AIH Acquisition, the Company expects to enter into a $1.5 billion secured revolving credit agreement to be established with Chemical Bank and a syndicate of financial institutions (the "New Credit Agreement"). Borrowings under the New Credit Agreement will be used to finance the purchase of AIH, refinance a portion of the existing indebtedness of AIH, refinance the Company's existing $500 million credit facility (the "Prior Credit Facility"), and for general corporate purposes.</w:t>
      </w:r>
    </w:p>
    <w:p>
      <w:pPr>
        <w:spacing w:after="0" w:line="176" w:lineRule="exact"/>
        <w:rPr>
          <w:sz w:val="20"/>
          <w:szCs w:val="20"/>
          <w:color w:val="auto"/>
        </w:rPr>
      </w:pPr>
    </w:p>
    <w:p>
      <w:pPr>
        <w:ind w:left="9" w:right="3219" w:firstLine="799"/>
        <w:spacing w:after="0" w:line="259" w:lineRule="auto"/>
        <w:rPr>
          <w:sz w:val="20"/>
          <w:szCs w:val="20"/>
          <w:color w:val="auto"/>
        </w:rPr>
      </w:pPr>
      <w:r>
        <w:rPr>
          <w:rFonts w:ascii="Courier New" w:cs="Courier New" w:eastAsia="Courier New" w:hAnsi="Courier New"/>
          <w:sz w:val="14"/>
          <w:szCs w:val="14"/>
          <w:color w:val="auto"/>
        </w:rPr>
        <w:t>Borrowings under the New Credit Agreement will bear interest, at the election of the Company, at a floating rate equal to (i) the higher of Chemical Bank's prime rate and the federal funds rate plus .5% or (ii) the Eurodollar rate (as defined in the New Credit Agreement) plus a borrowing margin of .5% to 1.0%. The New Credit Agreement will be guaranteed by all of the Company's direct and indirect wholly-owned domestic subsidiaries. The applicable borrowing margin will be determined based on the satisfaction of specified ratios by the Company. Amounts available to be drawn under the New Credit Agreement will be reduced by an aggregate amount of $650 million during the term of the New Credit Agreement, which would mature on September 30, 2001.</w:t>
      </w:r>
    </w:p>
    <w:p>
      <w:pPr>
        <w:spacing w:after="0" w:line="166"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Definitive documentation of the New Credit Agreement will contain covenants similar to those contained in the Prior Credit Facility, as modified to reflect the acquisition of AIH. Such covenants include, among other things, the maintenance of certain financial ratios as well as restrictions on indebtedness, guarantees, acquisitions, capital expenditures, investments, dividends and other stock payments, asset sales and issuances of common stock. Under the New Credit Agreement, dividends are limited to $2.5 million per quarter assuming no other events of default had occurred.</w:t>
      </w:r>
    </w:p>
    <w:p>
      <w:pPr>
        <w:spacing w:after="0" w:line="177"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As the Company's obligations under the New Credit Agreement will bear interest at fluctuating rates, increases in interest rates on such obligations could adversely affect the Company's results of operations and financial condition. Under the proposed New Credit Agreement, the Company will be permitted to convert variable rate interest obligations up to an aggregate of $500 million into fixed interest rate agreements.</w:t>
      </w:r>
    </w:p>
    <w:p>
      <w:pPr>
        <w:spacing w:after="0" w:line="172"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FIAT SEAT BUSINESS</w:t>
      </w:r>
    </w:p>
    <w:p>
      <w:pPr>
        <w:spacing w:after="0" w:line="174"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On December 15, 1994, the Company purchased from Gilardini S.p.A., an Italian Corporation, all of the outstanding common stock of Sepi S.p.A., an Italian Corporation, all of the outstanding common stock of Sepi Poland</w:t>
      </w:r>
    </w:p>
    <w:p>
      <w:pPr>
        <w:spacing w:after="0" w:line="4"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S.p. Z.o.o. and a 35% interest in a Turkish joint venture (collectively, the "Fiat Seat Business," or "FSB"). FSB is engaged in the design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NOTES TO THE CONSOLIDATED FINANCIAL STATEMENTS -- (CONTINUED)</w:t>
      </w:r>
    </w:p>
    <w:p>
      <w:pPr>
        <w:spacing w:after="0" w:line="345" w:lineRule="exact"/>
        <w:rPr>
          <w:sz w:val="20"/>
          <w:szCs w:val="20"/>
          <w:color w:val="auto"/>
        </w:rPr>
      </w:pPr>
    </w:p>
    <w:p>
      <w:pPr>
        <w:ind w:left="9" w:right="260"/>
        <w:spacing w:after="0" w:line="239" w:lineRule="auto"/>
        <w:rPr>
          <w:sz w:val="20"/>
          <w:szCs w:val="20"/>
          <w:color w:val="auto"/>
        </w:rPr>
      </w:pPr>
      <w:r>
        <w:rPr>
          <w:rFonts w:ascii="Courier New" w:cs="Courier New" w:eastAsia="Courier New" w:hAnsi="Courier New"/>
          <w:sz w:val="15"/>
          <w:szCs w:val="15"/>
          <w:color w:val="auto"/>
        </w:rPr>
        <w:t>manufacture of automotive seating, with its principal customers being Fiat S.p.A. and its affiliates ("Fiat"). In connection with this transaction, the Company and Fiat entered into a long-term supply agreement for certain products produced by FSB.</w:t>
      </w:r>
    </w:p>
    <w:p>
      <w:pPr>
        <w:spacing w:after="0" w:line="176" w:lineRule="exact"/>
        <w:rPr>
          <w:sz w:val="20"/>
          <w:szCs w:val="20"/>
          <w:color w:val="auto"/>
        </w:rPr>
      </w:pPr>
    </w:p>
    <w:p>
      <w:pPr>
        <w:ind w:left="9" w:right="260" w:firstLine="799"/>
        <w:spacing w:after="0"/>
        <w:rPr>
          <w:sz w:val="20"/>
          <w:szCs w:val="20"/>
          <w:color w:val="auto"/>
        </w:rPr>
      </w:pPr>
      <w:r>
        <w:rPr>
          <w:rFonts w:ascii="Courier New" w:cs="Courier New" w:eastAsia="Courier New" w:hAnsi="Courier New"/>
          <w:sz w:val="15"/>
          <w:szCs w:val="15"/>
          <w:color w:val="auto"/>
        </w:rPr>
        <w:t>This acquisition was accounted for as a purchase, and accordingly, the operating results of the FSB have been included in the accompanying financial statements since the date of the acquisition. Because the Company consolidates the FSB on a one month lag, the results of operations for the quarter and year-to-date ended July 1, 1995 include only the results of operations of FSB from the acquisition date to the end of May 1995.</w:t>
      </w:r>
    </w:p>
    <w:p>
      <w:pPr>
        <w:spacing w:after="0" w:line="175" w:lineRule="exact"/>
        <w:rPr>
          <w:sz w:val="20"/>
          <w:szCs w:val="20"/>
          <w:color w:val="auto"/>
        </w:rPr>
      </w:pPr>
    </w:p>
    <w:p>
      <w:pPr>
        <w:ind w:left="9" w:right="520" w:firstLine="799"/>
        <w:spacing w:after="0"/>
        <w:rPr>
          <w:sz w:val="20"/>
          <w:szCs w:val="20"/>
          <w:color w:val="auto"/>
        </w:rPr>
      </w:pPr>
      <w:r>
        <w:rPr>
          <w:rFonts w:ascii="Courier New" w:cs="Courier New" w:eastAsia="Courier New" w:hAnsi="Courier New"/>
          <w:sz w:val="15"/>
          <w:szCs w:val="15"/>
          <w:color w:val="auto"/>
        </w:rPr>
        <w:t>Assuming the acquisition had taken place as of the beginning of the quarter and year-to-date ending July 2, 1994, the consolidated pro forma results of operations of the Company for the first quarter and first half of 1994 would have been as follows, after giving effect to certain pro forma adjustments, (Unaudited: in millions, except per share data):</w:t>
      </w:r>
    </w:p>
    <w:p>
      <w:pPr>
        <w:spacing w:after="0" w:line="200" w:lineRule="exact"/>
        <w:rPr>
          <w:sz w:val="20"/>
          <w:szCs w:val="20"/>
          <w:color w:val="auto"/>
        </w:rPr>
      </w:pPr>
    </w:p>
    <w:p>
      <w:pPr>
        <w:spacing w:after="0" w:line="313" w:lineRule="exact"/>
        <w:rPr>
          <w:sz w:val="20"/>
          <w:szCs w:val="20"/>
          <w:color w:val="auto"/>
        </w:rPr>
      </w:pPr>
    </w:p>
    <w:p>
      <w:pPr>
        <w:jc w:val="center"/>
        <w:ind w:left="4969"/>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jc w:val="center"/>
        <w:ind w:left="4969"/>
        <w:spacing w:after="0"/>
        <w:rPr>
          <w:sz w:val="20"/>
          <w:szCs w:val="20"/>
          <w:color w:val="auto"/>
        </w:rPr>
      </w:pPr>
      <w:r>
        <w:rPr>
          <w:rFonts w:ascii="Courier New" w:cs="Courier New" w:eastAsia="Courier New" w:hAnsi="Courier New"/>
          <w:sz w:val="15"/>
          <w:szCs w:val="15"/>
          <w:color w:val="auto"/>
        </w:rPr>
        <w:t>July 2, 1994</w:t>
      </w:r>
    </w:p>
    <w:p>
      <w:pPr>
        <w:spacing w:after="0" w:line="1" w:lineRule="exact"/>
        <w:rPr>
          <w:sz w:val="20"/>
          <w:szCs w:val="20"/>
          <w:color w:val="auto"/>
        </w:rPr>
      </w:pPr>
    </w:p>
    <w:p>
      <w:pPr>
        <w:ind w:left="55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9"/>
        <w:spacing w:after="0"/>
        <w:tabs>
          <w:tab w:leader="none" w:pos="5829"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4"/>
          <w:szCs w:val="14"/>
          <w:color w:val="auto"/>
        </w:rPr>
        <w:t>$ 945.9</w:t>
      </w:r>
    </w:p>
    <w:p>
      <w:pPr>
        <w:spacing w:after="0" w:line="1" w:lineRule="exact"/>
        <w:rPr>
          <w:sz w:val="20"/>
          <w:szCs w:val="20"/>
          <w:color w:val="auto"/>
        </w:rPr>
      </w:pPr>
    </w:p>
    <w:p>
      <w:pPr>
        <w:ind w:left="1949"/>
        <w:spacing w:after="0"/>
        <w:tabs>
          <w:tab w:leader="none" w:pos="6109"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15.6</w:t>
      </w:r>
    </w:p>
    <w:p>
      <w:pPr>
        <w:spacing w:after="0" w:line="1" w:lineRule="exact"/>
        <w:rPr>
          <w:sz w:val="20"/>
          <w:szCs w:val="20"/>
          <w:color w:val="auto"/>
        </w:rPr>
      </w:pPr>
    </w:p>
    <w:p>
      <w:pPr>
        <w:ind w:left="1949"/>
        <w:spacing w:after="0"/>
        <w:tabs>
          <w:tab w:leader="none" w:pos="6189" w:val="left"/>
        </w:tabs>
        <w:rPr>
          <w:sz w:val="20"/>
          <w:szCs w:val="20"/>
          <w:color w:val="auto"/>
        </w:rPr>
      </w:pPr>
      <w:r>
        <w:rPr>
          <w:rFonts w:ascii="Courier New" w:cs="Courier New" w:eastAsia="Courier New" w:hAnsi="Courier New"/>
          <w:sz w:val="15"/>
          <w:szCs w:val="15"/>
          <w:color w:val="auto"/>
        </w:rPr>
        <w:t>Net income per share</w:t>
      </w:r>
      <w:r>
        <w:rPr>
          <w:sz w:val="20"/>
          <w:szCs w:val="20"/>
          <w:color w:val="auto"/>
        </w:rPr>
        <w:tab/>
      </w: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260" w:firstLine="799"/>
        <w:spacing w:after="0" w:line="239" w:lineRule="auto"/>
        <w:rPr>
          <w:sz w:val="20"/>
          <w:szCs w:val="20"/>
          <w:color w:val="auto"/>
        </w:rPr>
      </w:pPr>
      <w:r>
        <w:rPr>
          <w:rFonts w:ascii="Courier New" w:cs="Courier New" w:eastAsia="Courier New" w:hAnsi="Courier New"/>
          <w:sz w:val="15"/>
          <w:szCs w:val="15"/>
          <w:color w:val="auto"/>
        </w:rPr>
        <w:t>Inventories are stated at the lower of cost or market. Cost is principally determined by using the first-in, first-out method. Finished goods and work-in-process inventories include material, labor and manufacturing overhead costs.</w:t>
      </w: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Inventories are comprised of the following (in millions):</w:t>
      </w:r>
    </w:p>
    <w:p>
      <w:pPr>
        <w:spacing w:after="0" w:line="200" w:lineRule="exact"/>
        <w:rPr>
          <w:sz w:val="20"/>
          <w:szCs w:val="20"/>
          <w:color w:val="auto"/>
        </w:rPr>
      </w:pPr>
    </w:p>
    <w:p>
      <w:pPr>
        <w:spacing w:after="0" w:line="313"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1,</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00" w:type="dxa"/>
            <w:vAlign w:val="bottom"/>
          </w:tcPr>
          <w:p>
            <w:pPr>
              <w:spacing w:after="0"/>
              <w:rPr>
                <w:sz w:val="14"/>
                <w:szCs w:val="14"/>
                <w:color w:val="auto"/>
              </w:rPr>
            </w:pPr>
          </w:p>
        </w:tc>
        <w:tc>
          <w:tcPr>
            <w:tcW w:w="24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700" w:type="dxa"/>
            <w:vAlign w:val="bottom"/>
          </w:tcPr>
          <w:p>
            <w:pPr>
              <w:spacing w:after="0"/>
              <w:rPr>
                <w:sz w:val="14"/>
                <w:szCs w:val="14"/>
                <w:color w:val="auto"/>
              </w:rPr>
            </w:pPr>
          </w:p>
        </w:tc>
        <w:tc>
          <w:tcPr>
            <w:tcW w:w="24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70.8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93.4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13.5</w:t>
            </w:r>
          </w:p>
        </w:tc>
        <w:tc>
          <w:tcPr>
            <w:tcW w:w="6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26.7</w:t>
            </w:r>
          </w:p>
        </w:tc>
        <w:tc>
          <w:tcPr>
            <w:tcW w:w="6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w:t>
            </w:r>
          </w:p>
        </w:tc>
      </w:tr>
      <w:tr>
        <w:trPr>
          <w:trHeight w:val="171"/>
        </w:trPr>
        <w:tc>
          <w:tcPr>
            <w:tcW w:w="2700" w:type="dxa"/>
            <w:vAlign w:val="bottom"/>
          </w:tcPr>
          <w:p>
            <w:pPr>
              <w:spacing w:after="0"/>
              <w:rPr>
                <w:sz w:val="14"/>
                <w:szCs w:val="14"/>
                <w:color w:val="auto"/>
              </w:rPr>
            </w:pP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14"/>
                <w:szCs w:val="14"/>
                <w:color w:val="auto"/>
              </w:rPr>
            </w:pP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$ 111.0</w:t>
            </w:r>
          </w:p>
        </w:tc>
        <w:tc>
          <w:tcPr>
            <w:tcW w:w="6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$ 126.6</w:t>
            </w:r>
          </w:p>
        </w:tc>
      </w:tr>
      <w:tr>
        <w:trPr>
          <w:trHeight w:val="171"/>
        </w:trPr>
        <w:tc>
          <w:tcPr>
            <w:tcW w:w="2700" w:type="dxa"/>
            <w:vAlign w:val="bottom"/>
          </w:tcPr>
          <w:p>
            <w:pPr>
              <w:spacing w:after="0"/>
              <w:rPr>
                <w:sz w:val="14"/>
                <w:szCs w:val="14"/>
                <w:color w:val="auto"/>
              </w:rPr>
            </w:pPr>
          </w:p>
        </w:tc>
        <w:tc>
          <w:tcPr>
            <w:tcW w:w="2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Six Months Ended</w:t>
      </w:r>
    </w:p>
    <w:p>
      <w:pPr>
        <w:spacing w:after="0" w:line="9"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July 2, 1994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540" w:hanging="176"/>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1,739.1</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16.7</w:t>
      </w: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.37</w:t>
      </w:r>
    </w:p>
    <w:p>
      <w:pPr>
        <w:sectPr>
          <w:pgSz w:w="11900" w:h="16838" w:orient="portrait"/>
          <w:cols w:equalWidth="0" w:num="2">
            <w:col w:w="7269" w:space="620"/>
            <w:col w:w="2339"/>
          </w:cols>
          <w:pgMar w:left="231" w:top="287" w:right="1440" w:bottom="1440" w:gutter="0" w:footer="0" w:header="0"/>
        </w:sectPr>
      </w:pPr>
    </w:p>
    <w:bookmarkStart w:id="9" w:name="page10"/>
    <w:bookmarkEnd w:id="9"/>
    <w:p>
      <w:pPr>
        <w:ind w:left="269"/>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NOTES TO THE CONSOLIDATED FINANCIAL STATEMENTS (CONTINUED)</w:t>
      </w:r>
    </w:p>
    <w:p>
      <w:pPr>
        <w:spacing w:after="0" w:line="342" w:lineRule="exact"/>
        <w:rPr>
          <w:sz w:val="20"/>
          <w:szCs w:val="20"/>
          <w:color w:val="auto"/>
        </w:rPr>
      </w:pPr>
    </w:p>
    <w:p>
      <w:pPr>
        <w:ind w:left="44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Long term debt is comprised of the following (in millions):</w:t>
      </w:r>
    </w:p>
    <w:p>
      <w:pPr>
        <w:spacing w:after="0" w:line="200" w:lineRule="exact"/>
        <w:rPr>
          <w:sz w:val="20"/>
          <w:szCs w:val="20"/>
          <w:color w:val="auto"/>
        </w:rPr>
      </w:pPr>
    </w:p>
    <w:p>
      <w:pPr>
        <w:spacing w:after="0" w:line="313"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July 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Domestic revolving credit loan</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$ 160.0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$ 121.9</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German term loan</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Industrial Revenue Bonds</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Loans from Governmental Agencies</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191.8</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150.6</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190.1</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148.7</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Subordinated Debt:</w:t>
            </w: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8 1/4% Subordinated Notes</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145.0</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11 1/4% Senior Subordinated Notes</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125.0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125.0</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270.0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270.0</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$ 460.1</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$ 418.7</w:t>
            </w:r>
          </w:p>
        </w:tc>
      </w:tr>
      <w:tr>
        <w:trPr>
          <w:trHeight w:val="171"/>
        </w:trPr>
        <w:tc>
          <w:tcPr>
            <w:tcW w:w="4080" w:type="dxa"/>
            <w:vAlign w:val="bottom"/>
          </w:tcPr>
          <w:p>
            <w:pPr>
              <w:spacing w:after="0"/>
              <w:rPr>
                <w:sz w:val="14"/>
                <w:szCs w:val="14"/>
                <w:color w:val="auto"/>
              </w:rPr>
            </w:pP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LEAR SEATING CORPORATION AND SUBSIDIARIES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POST-RETIREMENT BENEFITS FOR FOREIGN PLANS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January 1, 1995, the Company adopted Statement of Financial Accounting Standards No. 106, "Employers' Accounting for Post-Retirement Benefits" for its foreign plans. The Company adopted this statement for its domestic plans in July, 1993. This standard requires that the expected cost of post-retirement benefits be charged to expense during the years in which the employees render service to the Company. The adoption of this statement for the Company's foreign plans did not have a material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COMMON SHARES OUTSTANDING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weighted average number of shares of common stock after giving effect to the split of the Company's common stock (Note 1) is as follows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35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Three Months Ended</w:t>
            </w:r>
          </w:p>
        </w:tc>
        <w:tc>
          <w:tcPr>
            <w:tcW w:w="32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1480" w:type="dxa"/>
            <w:vAlign w:val="bottom"/>
          </w:tcPr>
          <w:p>
            <w:pPr>
              <w:spacing w:after="0"/>
              <w:rPr>
                <w:sz w:val="14"/>
                <w:szCs w:val="14"/>
                <w:color w:val="auto"/>
              </w:rPr>
            </w:pPr>
          </w:p>
        </w:tc>
        <w:tc>
          <w:tcPr>
            <w:tcW w:w="35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324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w:t>
            </w:r>
          </w:p>
        </w:tc>
      </w:tr>
      <w:tr>
        <w:trPr>
          <w:trHeight w:val="171"/>
        </w:trPr>
        <w:tc>
          <w:tcPr>
            <w:tcW w:w="148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July 1, 1995</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July 2, 1994</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July 1, 1995</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w w:val="96"/>
              </w:rPr>
              <w:t>July 2, 1994</w:t>
            </w:r>
          </w:p>
        </w:tc>
      </w:tr>
      <w:tr>
        <w:trPr>
          <w:trHeight w:val="171"/>
        </w:trPr>
        <w:tc>
          <w:tcPr>
            <w:tcW w:w="1480" w:type="dxa"/>
            <w:vAlign w:val="bottom"/>
          </w:tcPr>
          <w:p>
            <w:pPr>
              <w:spacing w:after="0"/>
              <w:rPr>
                <w:sz w:val="14"/>
                <w:szCs w:val="14"/>
                <w:color w:val="auto"/>
              </w:rPr>
            </w:pPr>
          </w:p>
        </w:tc>
        <w:tc>
          <w:tcPr>
            <w:tcW w:w="208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48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20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7"/>
              </w:rPr>
              <w:t>49,537,489</w:t>
            </w:r>
          </w:p>
        </w:tc>
        <w:tc>
          <w:tcPr>
            <w:tcW w:w="146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49,058,681</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49,536,813</w:t>
            </w:r>
          </w:p>
        </w:tc>
        <w:tc>
          <w:tcPr>
            <w:tcW w:w="142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45,479,223</w:t>
            </w:r>
          </w:p>
        </w:tc>
      </w:tr>
      <w:tr>
        <w:trPr>
          <w:trHeight w:val="341"/>
        </w:trPr>
        <w:tc>
          <w:tcPr>
            <w:tcW w:w="148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0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7"/>
              </w:rPr>
              <w:t>49,635,199</w:t>
            </w:r>
          </w:p>
        </w:tc>
        <w:tc>
          <w:tcPr>
            <w:tcW w:w="146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49,070,015</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49,634,592</w:t>
            </w:r>
          </w:p>
        </w:tc>
        <w:tc>
          <w:tcPr>
            <w:tcW w:w="142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45,589,431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right="3839" w:hanging="798"/>
        <w:spacing w:after="0" w:line="238" w:lineRule="auto"/>
        <w:rPr>
          <w:sz w:val="20"/>
          <w:szCs w:val="20"/>
          <w:color w:val="auto"/>
        </w:rPr>
      </w:pPr>
      <w:r>
        <w:rPr>
          <w:rFonts w:ascii="Courier New" w:cs="Courier New" w:eastAsia="Courier New" w:hAnsi="Courier New"/>
          <w:sz w:val="15"/>
          <w:szCs w:val="15"/>
          <w:color w:val="auto"/>
        </w:rPr>
        <w:t>ITEM 2 - 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JULY 1, 1995 VS. THREE MONTHS ENDED JULY 2, 1994.</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of $1,142.6 million in the second quarter of 1995 exceeded the second quarter of 1994 by $320.5 million or 39.0%. Sales as compared to prior year benefited from the acquisition of the Fiat Seat Business in December 1994, new business in the United States and Europe and increased automotive production on carryover seat programs in North America and Europe.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in the United States of $502.0 million increased in the quarter ended July 1, 1995 as compared to the second quarter of the prior year by $2.5 million. Sales in the current quarter benefited from new Ford and General Motors passenger car and Ford truck programs as vehicle build schedules reflect a modest downturn on existing seat programs. Partially offsetting the overall increase in sales was the relocation of a passenger car program to Canada.</w:t>
      </w:r>
    </w:p>
    <w:p>
      <w:pPr>
        <w:spacing w:after="0" w:line="176" w:lineRule="exact"/>
        <w:rPr>
          <w:sz w:val="20"/>
          <w:szCs w:val="20"/>
          <w:color w:val="auto"/>
        </w:rPr>
      </w:pPr>
    </w:p>
    <w:p>
      <w:pPr>
        <w:ind w:right="3479" w:firstLine="799"/>
        <w:spacing w:after="0"/>
        <w:rPr>
          <w:sz w:val="20"/>
          <w:szCs w:val="20"/>
          <w:color w:val="auto"/>
        </w:rPr>
      </w:pPr>
      <w:r>
        <w:rPr>
          <w:rFonts w:ascii="Courier New" w:cs="Courier New" w:eastAsia="Courier New" w:hAnsi="Courier New"/>
          <w:sz w:val="15"/>
          <w:szCs w:val="15"/>
          <w:color w:val="auto"/>
        </w:rPr>
        <w:t>Net sales in Canada of $230.7 million in the second quarter of 1995 surpassed the comparable period in the prior year by $98.2 million or 74.1%. Sales in the quarter ended July 1, 1995 benefited from the attainment of targeted production levels for a General Motors replacement passenger car program, incremental volume on mature General Motors and Ford truck programs and the relocation of a Ford passenger car program.</w:t>
      </w:r>
    </w:p>
    <w:p>
      <w:pPr>
        <w:spacing w:after="0" w:line="17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Net sales in Europe of $348.5 million in the current quarter exceeded the second quarter of the prior year by $210.6 million or 152.7%. Sales in the second quarter of 1995 benefited from the contribution of $133.6 million</w:t>
      </w:r>
    </w:p>
    <w:p>
      <w:pPr>
        <w:spacing w:after="0" w:line="1"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 sales from the FSB, new business in England, additional volume on existing programs in Sweden and Germany and favorable exchange rate fluctuations in Germany and Sweden.</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Net sales in Mexico of $61.4 million increased in the second quarter of 1995 as compared to the second quarter of 1994 by $9.2 million or 17.6% largely as a result of new Ford and General Motors passenger car and Chrysler truck programs.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Gross profit (net sales less cost of sales) and gross margin (gross profit as a percentage of net sales) were $94.8 million and 8.3% for the second quarter of 1995 as compared to $78.6 million and 9.6% for the second quarter of previous year. Gross profit for the second quarter of 1995 benefited from the overall growth in domestic and foreign sales activity, including the production of certain new business programs in the United States and productivity improvement programs. Partially offsetting the increase in gross profit were engineering and pre-production expenses for the balance of new facilities in the United States and costs associated with new business opportunities in the Asian Pacific region.</w:t>
      </w:r>
    </w:p>
    <w:p>
      <w:pPr>
        <w:spacing w:after="0" w:line="178"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Selling, general and administrative expenses as a percentage of net sales declined from 2.6% in the second quarter of 1994 to 2.1% in the current year quarter. Actual expenditures for the second quarter of 1995 increased in comparison to the prior year due to the acquisition 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FSB, engineering and support expenses associated with the expansion of business and expenses related to the pursuit of new business opportunities.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Operating income and operating margin were $67.2 million and 5.9% for the quarter ended July 1, 1995 as compared to $54.3 million and 6.6% a year earlier. The increase in operating income was primarily due to the benefits derived from increased market demand for new and ongoing seat programs in North America and Europe; partially offset by increased engineering and administrative support expenses, pre-production and facility costs for new seat programs to be introduced in the United States and Asian Pacific region within the next twelve months and operating losses associated with the integration of FSB into the Company's operations. Non-cash depreciation and amortization charges were $18.7 million and $13.8 million for the second quarter of 1995 and 1994, respectively.</w:t>
      </w:r>
    </w:p>
    <w:p>
      <w:pPr>
        <w:spacing w:after="0" w:line="17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During the three months ended July 1, 1995, interest expense increased by $3.3 million over the prior year to $14.3 million. The increase is due primarily to interest incurred on the additional debt used to finance the FSB acquisition as well as due to slightly higher rates in the current period under the Company's credit facility.</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Other expenses for the quarter, which include state and local taxes, foreign exchange gains and losses, equity of non-consolidated affiliates and other non-operating expenses, increased $1.6 million over the comparable period last year. This increase was due to foreign exchange losses incurred with respect to the Company's Canadian, Italian and German operations.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Net income for the second quarter of 1995 was $28.9 million, or $.58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on a fully diluted basis compared to $21.1 million, or $.43 per share</w:t>
      </w:r>
    </w:p>
    <w:p>
      <w:pPr>
        <w:spacing w:after="0" w:line="9"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in the prior year second quarter.</w:t>
      </w:r>
      <w:r>
        <w:rPr>
          <w:sz w:val="20"/>
          <w:szCs w:val="20"/>
          <w:color w:val="auto"/>
        </w:rPr>
        <w:tab/>
      </w:r>
      <w:r>
        <w:rPr>
          <w:rFonts w:ascii="Courier New" w:cs="Courier New" w:eastAsia="Courier New" w:hAnsi="Courier New"/>
          <w:sz w:val="14"/>
          <w:szCs w:val="14"/>
          <w:color w:val="auto"/>
        </w:rPr>
        <w:t>The provision for income taxes was $20.3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 an effective rate of 41.3%, for the current year quarter, versus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 million, or an effective rate of 48.8%, in the prior year second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decline in the effective tax rate from the prior year is primarily due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improvement in the Company's North American and Mexican operations in 1995</w:t>
      </w:r>
    </w:p>
    <w:p>
      <w:pPr>
        <w:spacing w:after="0" w:line="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5"/>
          <w:szCs w:val="15"/>
          <w:color w:val="auto"/>
        </w:rPr>
        <w:t>which are at lower effective tax rates.</w:t>
      </w:r>
      <w:r>
        <w:rPr>
          <w:sz w:val="20"/>
          <w:szCs w:val="20"/>
          <w:color w:val="auto"/>
        </w:rPr>
        <w:tab/>
      </w:r>
      <w:r>
        <w:rPr>
          <w:rFonts w:ascii="Courier New" w:cs="Courier New" w:eastAsia="Courier New" w:hAnsi="Courier New"/>
          <w:sz w:val="14"/>
          <w:szCs w:val="14"/>
          <w:color w:val="auto"/>
        </w:rPr>
        <w:t>Per share earnings increased by 35%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compared to the prior year quarter, despite 500,000 more shares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fully 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JULY 1, 1995 vs. SIX MONTHS ENDED JULY 2, 1994.</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increased by 44.9% to $2,186.1 million in the first six months of 1995 as compared to $1,508.9 million in the first six months of 1994. Sales for the six month period ended July 1, 1995 benefited from incremental volume on mature seating programs in North America and Europe, new business in the United States and Europe and the FSB Acquisition in December 1994. For the first six months of 1995, the FSB accounted for 9.9% of the Company's net sales.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Gross profit and gross margin were $171.4 million and 7.8% for the six month period ended July 1, 1995 as compared to $128.6 and 8.5% for the comparable period in the prior year. Gross profit in the first six months of 1995 surpassed prior year due to increased production volumes on passenger car and truck seat programs by domestic and foreign automotive manufacturers. The increase in gross profit was offset by new program start-up expenses in North America, low margins at the FSB, increased engineering costs and pre-production and facility expenses associated with new foreign ventures.</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Selling, general and administrative expenses for the six months ended July 1, 1995 decreased as a percentage of net sales to 2.3% from 2.5% in the comparable period in the prior year. The increase in actual expenditures from $38.3 million to $50.1 million was largely the result of the acquisition of FSB, administration support expenses and design and development costs associated with the expansion of business and expenses related to new business opportunities.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Operating income and operating margin were $114.9 million and 5.3% for the first six months of 1995 as compared to $84.6 million and 5.6% for the first six months of 1994. The growth in operating income was primarily due to incremental volume on new and mature seat programs in the United States, Canada and Europe and improved performance in Mexico. Partially offsetting the increase in operating income were increased engineering and support expenses, costs associated with recently opened facilities in North America and losses related to the FSB's operations. Non-cash depreciation and amortization charges were $37.1 million and $26.9 million for the first half of the current and prior years, respectively.</w:t>
      </w:r>
    </w:p>
    <w:p>
      <w:pPr>
        <w:spacing w:after="0" w:line="178" w:lineRule="exact"/>
        <w:rPr>
          <w:sz w:val="20"/>
          <w:szCs w:val="20"/>
          <w:color w:val="auto"/>
        </w:rPr>
      </w:pPr>
    </w:p>
    <w:p>
      <w:pPr>
        <w:ind w:right="3479" w:firstLine="799"/>
        <w:spacing w:after="0"/>
        <w:rPr>
          <w:sz w:val="20"/>
          <w:szCs w:val="20"/>
          <w:color w:val="auto"/>
        </w:rPr>
      </w:pPr>
      <w:r>
        <w:rPr>
          <w:rFonts w:ascii="Courier New" w:cs="Courier New" w:eastAsia="Courier New" w:hAnsi="Courier New"/>
          <w:sz w:val="15"/>
          <w:szCs w:val="15"/>
          <w:color w:val="auto"/>
        </w:rPr>
        <w:t>During the six month period ended July 1, 1995, interest expense increased to $28.5 million as compared to $25.0 million a year earlier. The increase is primarily due to the additional debt incurred to finance the FSB acquisition in addition to slightly higher interest rates under the Prior Credit Facility.</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Primarily as a result of foreign currency exchange fluctuations, other expense, including state and local taxes, foreign exchange, minority interests and equity in income of affiliates, increased in comparison to the prior period.</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During the six months ended July 1, 1995, the provision for income taxes was $34.7 million or 43.1% of pre-tax income as compared to $27.3 million or 49.6% of pre-tax income in the six month period ended July 2, 1994. The decrease in rate compared to the previous period is due primarily to changes in operating performance and related income levels among the various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cash provided by operating activities increased to $40.3 million during the six months ended July 1, 1995 compared to $8.2 million during the comparable period in 1994, primarily due to higher earnings in 1995. Net income adjusted for non-cash depreciation and goodwill amortization was $83.0 million for the six months ended July 1, 1995 as compared to $54.6 million for the same period in 1994. Cash flow provided by earnings was partially offset by the net change in working capital.</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The net change in working capital resulted in a net use of $52.2 and $52.5 million for the six months ended July 1, 1995 and July 2, 1994 respectively. This use of working capital was the result of the increase in accounts receivable ($149.4 million in 1995 compared to $125.9 million in 1994) caused by a 33% increase in net sales over the last six months of 1994 offset by the associated increase in accounts payable and cash overdrafts combined ($151.4 million compared to $84.3 million for the same period in 1994).</w:t>
      </w:r>
    </w:p>
    <w:p>
      <w:pPr>
        <w:spacing w:after="0" w:line="16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As of July 1, 1995, the Company had $215.1 million outstanding under the Prior Credit Facility ($55.1 million of which would have been outstanding under letters of credit), resulting in approximately $284.9 million unused and available. As of July 1, 1995, the Company had net cash and cash equivalents of $53.0 million. Of the $160.0 million of borrowings actually outstanding (excluding letters of credit) under the Credit Agreement as of July 1, 1995, $156.1 million related to the FSB Acquisition.</w:t>
      </w:r>
    </w:p>
    <w:p>
      <w:pPr>
        <w:spacing w:after="0" w:line="176" w:lineRule="exact"/>
        <w:rPr>
          <w:sz w:val="20"/>
          <w:szCs w:val="20"/>
          <w:color w:val="auto"/>
        </w:rPr>
      </w:pPr>
    </w:p>
    <w:p>
      <w:pPr>
        <w:ind w:right="3479" w:firstLine="799"/>
        <w:spacing w:after="0" w:line="260" w:lineRule="auto"/>
        <w:rPr>
          <w:sz w:val="20"/>
          <w:szCs w:val="20"/>
          <w:color w:val="auto"/>
        </w:rPr>
      </w:pPr>
      <w:r>
        <w:rPr>
          <w:rFonts w:ascii="Courier New" w:cs="Courier New" w:eastAsia="Courier New" w:hAnsi="Courier New"/>
          <w:sz w:val="14"/>
          <w:szCs w:val="14"/>
          <w:color w:val="auto"/>
        </w:rPr>
        <w:t>In addition to its debt service obligations, the Company requires liquidity for capital expenditures and working capital needs. In the six months ended July 1, 1995, the Company incurred $42.6 million in capital expenditures, largely due to ramp up of a significant number of new programs scheduled for launch in the second half of 1995. The Company anticipates spending a total of $135.0 million for capital expenditures for all of 1995.</w:t>
      </w:r>
    </w:p>
    <w:p>
      <w:pPr>
        <w:spacing w:after="0" w:line="16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 believes that cash flows from operations, together with amounts available under the New Credit Agreement will be sufficient to meet its debt service obligations, projected capital expenditures and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LEAR SEATING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 Submission of matters to a vote of Security Holders</w:t>
      </w:r>
    </w:p>
    <w:p>
      <w:pPr>
        <w:spacing w:after="0" w:line="174" w:lineRule="exact"/>
        <w:rPr>
          <w:sz w:val="20"/>
          <w:szCs w:val="20"/>
          <w:color w:val="auto"/>
        </w:rPr>
      </w:pPr>
    </w:p>
    <w:p>
      <w:pPr>
        <w:ind w:right="3219" w:firstLine="790"/>
        <w:spacing w:after="0" w:line="239" w:lineRule="auto"/>
        <w:tabs>
          <w:tab w:leader="none" w:pos="115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of Lear Seating Corporation was held on May 5, 1995. At the meeting, the following matters were submitted to a vote of the stockholders of Lear Seating Corporation.</w:t>
      </w:r>
    </w:p>
    <w:p>
      <w:pPr>
        <w:spacing w:after="0" w:line="172" w:lineRule="exact"/>
        <w:rPr>
          <w:sz w:val="20"/>
          <w:szCs w:val="20"/>
          <w:color w:val="auto"/>
        </w:rPr>
      </w:pPr>
    </w:p>
    <w:p>
      <w:pPr>
        <w:ind w:left="1500" w:hanging="355"/>
        <w:spacing w:after="0"/>
        <w:tabs>
          <w:tab w:leader="none" w:pos="15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three directors to hold office until the</w:t>
      </w:r>
    </w:p>
    <w:p>
      <w:pPr>
        <w:spacing w:after="0" w:line="3" w:lineRule="exact"/>
        <w:rPr>
          <w:rFonts w:ascii="Courier New" w:cs="Courier New" w:eastAsia="Courier New" w:hAnsi="Courier New"/>
          <w:sz w:val="15"/>
          <w:szCs w:val="15"/>
          <w:color w:val="auto"/>
        </w:rPr>
      </w:pPr>
    </w:p>
    <w:p>
      <w:pPr>
        <w:ind w:left="1500"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1998 Annual Meeting of Stockholders. The vote with respect to each nominee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Nominee</w:t>
            </w:r>
          </w:p>
        </w:tc>
        <w:tc>
          <w:tcPr>
            <w:tcW w:w="25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For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171"/>
        </w:trPr>
        <w:tc>
          <w:tcPr>
            <w:tcW w:w="270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6"/>
              </w:rPr>
              <w:t>Kenneth L. Way</w:t>
            </w:r>
          </w:p>
        </w:tc>
        <w:tc>
          <w:tcPr>
            <w:tcW w:w="2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44,446,541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332,818</w:t>
            </w:r>
          </w:p>
        </w:tc>
      </w:tr>
      <w:tr>
        <w:trPr>
          <w:trHeight w:val="171"/>
        </w:trPr>
        <w:tc>
          <w:tcPr>
            <w:tcW w:w="2700" w:type="dxa"/>
            <w:vAlign w:val="bottom"/>
          </w:tcPr>
          <w:p>
            <w:pPr>
              <w:jc w:val="right"/>
              <w:ind w:right="1206"/>
              <w:spacing w:after="0"/>
              <w:rPr>
                <w:sz w:val="20"/>
                <w:szCs w:val="20"/>
                <w:color w:val="auto"/>
              </w:rPr>
            </w:pPr>
            <w:r>
              <w:rPr>
                <w:rFonts w:ascii="Courier New" w:cs="Courier New" w:eastAsia="Courier New" w:hAnsi="Courier New"/>
                <w:sz w:val="15"/>
                <w:szCs w:val="15"/>
                <w:color w:val="auto"/>
                <w:w w:val="97"/>
              </w:rPr>
              <w:t>Larry W. McCurdy</w:t>
            </w:r>
          </w:p>
        </w:tc>
        <w:tc>
          <w:tcPr>
            <w:tcW w:w="2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43,718,537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1,060,822</w:t>
            </w:r>
          </w:p>
        </w:tc>
      </w:tr>
      <w:tr>
        <w:trPr>
          <w:trHeight w:val="171"/>
        </w:trPr>
        <w:tc>
          <w:tcPr>
            <w:tcW w:w="2700" w:type="dxa"/>
            <w:vAlign w:val="bottom"/>
          </w:tcPr>
          <w:p>
            <w:pPr>
              <w:jc w:val="right"/>
              <w:ind w:right="1386"/>
              <w:spacing w:after="0"/>
              <w:rPr>
                <w:sz w:val="20"/>
                <w:szCs w:val="20"/>
                <w:color w:val="auto"/>
              </w:rPr>
            </w:pPr>
            <w:r>
              <w:rPr>
                <w:rFonts w:ascii="Courier New" w:cs="Courier New" w:eastAsia="Courier New" w:hAnsi="Courier New"/>
                <w:sz w:val="15"/>
                <w:szCs w:val="15"/>
                <w:color w:val="auto"/>
                <w:w w:val="96"/>
              </w:rPr>
              <w:t>Eliot M. Fried</w:t>
            </w:r>
          </w:p>
        </w:tc>
        <w:tc>
          <w:tcPr>
            <w:tcW w:w="2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44,448,197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331,162</w:t>
            </w:r>
          </w:p>
        </w:tc>
      </w:tr>
    </w:tbl>
    <w:p>
      <w:pPr>
        <w:spacing w:after="0" w:line="174" w:lineRule="exact"/>
        <w:rPr>
          <w:sz w:val="20"/>
          <w:szCs w:val="20"/>
          <w:color w:val="auto"/>
        </w:rPr>
      </w:pPr>
    </w:p>
    <w:p>
      <w:pPr>
        <w:ind w:left="1500" w:right="3759" w:hanging="355"/>
        <w:spacing w:after="0" w:line="239" w:lineRule="auto"/>
        <w:tabs>
          <w:tab w:leader="none" w:pos="15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the firm of Arthur Andersen LLP as independent auditors of Lear Seating Corporation for the year ending December 31, 1995.</w:t>
      </w:r>
    </w:p>
    <w:p>
      <w:pPr>
        <w:spacing w:after="0" w:line="172" w:lineRule="exact"/>
        <w:rPr>
          <w:sz w:val="20"/>
          <w:szCs w:val="20"/>
          <w:color w:val="auto"/>
        </w:rPr>
      </w:pPr>
    </w:p>
    <w:tbl>
      <w:tblPr>
        <w:tblLayout w:type="fixed"/>
        <w:tblInd w:w="3100" w:type="dxa"/>
        <w:tblCellMar>
          <w:top w:w="0" w:type="dxa"/>
          <w:left w:w="0" w:type="dxa"/>
          <w:bottom w:w="0" w:type="dxa"/>
          <w:right w:w="0" w:type="dxa"/>
        </w:tblCellMar>
      </w:tblPr>
      <w:tr>
        <w:trPr>
          <w:trHeight w:val="170"/>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For</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Against</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w w:val="95"/>
              </w:rPr>
              <w:t>Abstain</w:t>
            </w:r>
          </w:p>
        </w:tc>
      </w:tr>
      <w:tr>
        <w:trPr>
          <w:trHeight w:val="171"/>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44,764,230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7,499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7,630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No exhibits or reports on Form 8-K were filed during the quarter ended July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the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spacing w:after="0"/>
        <w:tabs>
          <w:tab w:leader="none" w:pos="2540" w:val="left"/>
          <w:tab w:leader="none" w:pos="2980" w:val="left"/>
          <w:tab w:leader="none" w:pos="3440" w:val="left"/>
        </w:tabs>
        <w:rPr>
          <w:sz w:val="20"/>
          <w:szCs w:val="20"/>
          <w:color w:val="auto"/>
        </w:rPr>
      </w:pPr>
      <w:r>
        <w:rPr>
          <w:rFonts w:ascii="Courier New" w:cs="Courier New" w:eastAsia="Courier New" w:hAnsi="Courier New"/>
          <w:sz w:val="15"/>
          <w:szCs w:val="15"/>
          <w:color w:val="auto"/>
        </w:rPr>
        <w:t>Dated: August 4, 1995</w:t>
      </w:r>
      <w:r>
        <w:rPr>
          <w:sz w:val="20"/>
          <w:szCs w:val="20"/>
          <w:color w:val="auto"/>
        </w:rPr>
        <w:tab/>
      </w: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James H. Vandenberghe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James H. Vandenberghe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4660" w:type="dxa"/>
            <w:vAlign w:val="bottom"/>
          </w:tcPr>
          <w:p>
            <w:pPr>
              <w:spacing w:after="0"/>
              <w:rPr>
                <w:sz w:val="14"/>
                <w:szCs w:val="14"/>
                <w:color w:val="auto"/>
              </w:rPr>
            </w:pPr>
          </w:p>
        </w:tc>
      </w:tr>
      <w:tr>
        <w:trPr>
          <w:trHeight w:val="853"/>
        </w:trPr>
        <w:tc>
          <w:tcPr>
            <w:tcW w:w="92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Courier New" w:cs="Courier New" w:eastAsia="Courier New" w:hAnsi="Courier New"/>
                <w:sz w:val="15"/>
                <w:szCs w:val="15"/>
                <w:color w:val="auto"/>
                <w:w w:val="98"/>
              </w:rPr>
              <w:t>LEAR SEATING CORPORATION</w:t>
            </w:r>
          </w:p>
        </w:tc>
      </w:tr>
      <w:tr>
        <w:trPr>
          <w:trHeight w:val="171"/>
        </w:trPr>
        <w:tc>
          <w:tcPr>
            <w:tcW w:w="920" w:type="dxa"/>
            <w:vAlign w:val="bottom"/>
          </w:tcPr>
          <w:p>
            <w:pPr>
              <w:spacing w:after="0"/>
              <w:rPr>
                <w:sz w:val="14"/>
                <w:szCs w:val="14"/>
                <w:color w:val="auto"/>
              </w:rPr>
            </w:pPr>
          </w:p>
        </w:tc>
        <w:tc>
          <w:tcPr>
            <w:tcW w:w="4660" w:type="dxa"/>
            <w:vAlign w:val="bottom"/>
          </w:tcPr>
          <w:p>
            <w:pPr>
              <w:jc w:val="center"/>
              <w:spacing w:after="0"/>
              <w:rPr>
                <w:sz w:val="20"/>
                <w:szCs w:val="20"/>
                <w:color w:val="auto"/>
              </w:rPr>
            </w:pPr>
            <w:r>
              <w:rPr>
                <w:rFonts w:ascii="Courier New" w:cs="Courier New" w:eastAsia="Courier New" w:hAnsi="Courier New"/>
                <w:sz w:val="15"/>
                <w:szCs w:val="15"/>
                <w:color w:val="auto"/>
                <w:w w:val="97"/>
              </w:rPr>
              <w:t>FORM 10 -Q</w:t>
            </w:r>
          </w:p>
        </w:tc>
      </w:tr>
      <w:tr>
        <w:trPr>
          <w:trHeight w:val="171"/>
        </w:trPr>
        <w:tc>
          <w:tcPr>
            <w:tcW w:w="920" w:type="dxa"/>
            <w:vAlign w:val="bottom"/>
          </w:tcPr>
          <w:p>
            <w:pPr>
              <w:spacing w:after="0"/>
              <w:rPr>
                <w:sz w:val="14"/>
                <w:szCs w:val="14"/>
                <w:color w:val="auto"/>
              </w:rPr>
            </w:pPr>
          </w:p>
        </w:tc>
        <w:tc>
          <w:tcPr>
            <w:tcW w:w="4660" w:type="dxa"/>
            <w:vAlign w:val="bottom"/>
          </w:tcPr>
          <w:p>
            <w:pPr>
              <w:ind w:left="1740"/>
              <w:spacing w:after="0"/>
              <w:rPr>
                <w:sz w:val="20"/>
                <w:szCs w:val="20"/>
                <w:color w:val="auto"/>
              </w:rPr>
            </w:pPr>
            <w:r>
              <w:rPr>
                <w:rFonts w:ascii="Courier New" w:cs="Courier New" w:eastAsia="Courier New" w:hAnsi="Courier New"/>
                <w:sz w:val="15"/>
                <w:szCs w:val="15"/>
                <w:color w:val="auto"/>
              </w:rPr>
              <w:t>EXHIBIT INDEX</w:t>
            </w:r>
          </w:p>
        </w:tc>
      </w:tr>
      <w:tr>
        <w:trPr>
          <w:trHeight w:val="171"/>
        </w:trPr>
        <w:tc>
          <w:tcPr>
            <w:tcW w:w="920" w:type="dxa"/>
            <w:vAlign w:val="bottom"/>
          </w:tcPr>
          <w:p>
            <w:pPr>
              <w:spacing w:after="0"/>
              <w:rPr>
                <w:sz w:val="14"/>
                <w:szCs w:val="14"/>
                <w:color w:val="auto"/>
              </w:rPr>
            </w:pPr>
          </w:p>
        </w:tc>
        <w:tc>
          <w:tcPr>
            <w:tcW w:w="4660" w:type="dxa"/>
            <w:vAlign w:val="bottom"/>
          </w:tcPr>
          <w:p>
            <w:pPr>
              <w:jc w:val="center"/>
              <w:spacing w:after="0"/>
              <w:rPr>
                <w:sz w:val="20"/>
                <w:szCs w:val="20"/>
                <w:color w:val="auto"/>
              </w:rPr>
            </w:pPr>
            <w:r>
              <w:rPr>
                <w:rFonts w:ascii="Courier New" w:cs="Courier New" w:eastAsia="Courier New" w:hAnsi="Courier New"/>
                <w:sz w:val="15"/>
                <w:szCs w:val="15"/>
                <w:color w:val="auto"/>
                <w:w w:val="98"/>
              </w:rPr>
              <w:t>FOR THE QUARTER ENDED JULY 1, 1995</w:t>
            </w:r>
          </w:p>
        </w:tc>
      </w:tr>
      <w:tr>
        <w:trPr>
          <w:trHeight w:val="512"/>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4660" w:type="dxa"/>
            <w:vAlign w:val="bottom"/>
          </w:tcPr>
          <w:p>
            <w:pPr>
              <w:spacing w:after="0"/>
              <w:rPr>
                <w:sz w:val="24"/>
                <w:szCs w:val="24"/>
                <w:color w:val="auto"/>
              </w:rPr>
            </w:pPr>
          </w:p>
        </w:tc>
      </w:tr>
      <w:tr>
        <w:trPr>
          <w:trHeight w:val="17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No. 1 dated as of June 30, 1995 to</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w w:val="97"/>
              </w:rPr>
              <w:t>Second Amended and Restated Credit Agreement among</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Lear, Chemical Bank as administrative agent, and</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Bankers Trust Company, The Bank of Nova Scotia,</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Citicorp USA, Inc., and Lehman Commercial Paper,</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Inc., as managing agents, filed herewith.</w:t>
            </w:r>
          </w:p>
        </w:tc>
      </w:tr>
      <w:tr>
        <w:trPr>
          <w:trHeight w:val="34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to Stock Option Agreement dated as of</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March 2, 1995 between Lear and Kenneth L. Way,</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r>
      <w:tr>
        <w:trPr>
          <w:trHeight w:val="34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to Stock Option Agreement dated as of</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w w:val="97"/>
              </w:rPr>
              <w:t>March 2, 1995 between Lear and Robert E. Rossiter,</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r>
      <w:tr>
        <w:trPr>
          <w:trHeight w:val="34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to Stock Option Agreement dated as of</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March 2, 1995 between Lear and James H.</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Vandenberghe, filed herewith.</w:t>
            </w:r>
          </w:p>
        </w:tc>
      </w:tr>
      <w:tr>
        <w:trPr>
          <w:trHeight w:val="34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to Stock Option Agreement dated as of</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March 2, 1995 between Lear and Randal T. Murphy,</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r>
      <w:tr>
        <w:trPr>
          <w:trHeight w:val="341"/>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Amendment to Stock Option Agreement dated as of</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March 2, 1995 between Lear and James A. Hollars,</w:t>
            </w:r>
          </w:p>
        </w:tc>
      </w:tr>
      <w:tr>
        <w:trPr>
          <w:trHeight w:val="171"/>
        </w:trPr>
        <w:tc>
          <w:tcPr>
            <w:tcW w:w="920" w:type="dxa"/>
            <w:vAlign w:val="bottom"/>
          </w:tcPr>
          <w:p>
            <w:pPr>
              <w:spacing w:after="0"/>
              <w:rPr>
                <w:sz w:val="14"/>
                <w:szCs w:val="14"/>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r>
    </w:tbl>
    <w:p>
      <w:pPr>
        <w:spacing w:after="0" w:line="174" w:lineRule="exact"/>
        <w:rPr>
          <w:sz w:val="20"/>
          <w:szCs w:val="20"/>
          <w:color w:val="auto"/>
        </w:rPr>
      </w:pPr>
    </w:p>
    <w:p>
      <w:pPr>
        <w:ind w:left="1160" w:right="4379" w:hanging="1074"/>
        <w:spacing w:after="0" w:line="238" w:lineRule="auto"/>
        <w:tabs>
          <w:tab w:leader="none" w:pos="11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for the Quarter Ended July 1, 1995, filed herewith.</w:t>
      </w:r>
    </w:p>
    <w:p>
      <w:pPr>
        <w:sectPr>
          <w:pgSz w:w="11900" w:h="16838" w:orient="portrait"/>
          <w:cols w:equalWidth="0" w:num="1">
            <w:col w:w="9959"/>
          </w:cols>
          <w:pgMar w:left="50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EXHIBIT 10.1</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FIRST AMENDMENT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FIRST AMENDMENT, dated as of June 16, 1995 (this "Amendment"), to the Second Amended and Restated Credit Agreement, dated as of November 29, 1994 (as amended, supplemented or otherwise modified, the "Credit Agreement"), among Lear Seating Corporation, a Delaware corporation (the "Borrower"), the several financial institutions parties thereto (the "Banks"), Chemical Bank, as administrative agent for the Banks (in such capacity, the "Agent"), and Bankers Trust Company, The Bank of Nova Scotia, Citicorp USA, Inc. and Lehman Commercial Paper Inc., as Managing Agents.</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 I T N E S S E T H :</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WHEREAS, pursuant to the Credit Agreement, the Banks have agreed to make, and have made, extensions of credit to the Borrower; and</w:t>
      </w:r>
    </w:p>
    <w:p>
      <w:pPr>
        <w:spacing w:after="0" w:line="175" w:lineRule="exact"/>
        <w:rPr>
          <w:sz w:val="20"/>
          <w:szCs w:val="20"/>
          <w:color w:val="auto"/>
        </w:rPr>
      </w:pPr>
    </w:p>
    <w:p>
      <w:pPr>
        <w:ind w:right="3659" w:firstLine="444"/>
        <w:spacing w:after="0" w:line="264" w:lineRule="auto"/>
        <w:rPr>
          <w:sz w:val="20"/>
          <w:szCs w:val="20"/>
          <w:color w:val="auto"/>
        </w:rPr>
      </w:pPr>
      <w:r>
        <w:rPr>
          <w:rFonts w:ascii="Courier New" w:cs="Courier New" w:eastAsia="Courier New" w:hAnsi="Courier New"/>
          <w:sz w:val="14"/>
          <w:szCs w:val="14"/>
          <w:color w:val="auto"/>
        </w:rPr>
        <w:t>WHEREAS, the Borrower has requested, and upon this Amendment becoming effective, the Banks have agreed, that certain provisions of the Credit Agreement be amended in the manner provided for in this Amendment;</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mutual agreements contained herein, and for other good and valuable consideration, the sufficiency of which is hereby acknowledged, the parties hereto hereby agree as follows:</w:t>
      </w:r>
    </w:p>
    <w:p>
      <w:pPr>
        <w:spacing w:after="0" w:line="176" w:lineRule="exact"/>
        <w:rPr>
          <w:sz w:val="20"/>
          <w:szCs w:val="20"/>
          <w:color w:val="auto"/>
        </w:rPr>
      </w:pPr>
    </w:p>
    <w:p>
      <w:pPr>
        <w:jc w:val="both"/>
        <w:ind w:right="3399" w:firstLine="435"/>
        <w:spacing w:after="0" w:line="239" w:lineRule="auto"/>
        <w:tabs>
          <w:tab w:leader="none" w:pos="71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defined herein, terms defined in the Credit Agreement and used herein shall have the meanings given to them in the Credit Agreement.</w:t>
      </w:r>
    </w:p>
    <w:p>
      <w:pPr>
        <w:spacing w:after="0" w:line="175" w:lineRule="exact"/>
        <w:rPr>
          <w:rFonts w:ascii="Courier New" w:cs="Courier New" w:eastAsia="Courier New" w:hAnsi="Courier New"/>
          <w:sz w:val="15"/>
          <w:szCs w:val="15"/>
          <w:color w:val="auto"/>
        </w:rPr>
      </w:pPr>
    </w:p>
    <w:p>
      <w:pPr>
        <w:ind w:right="3399" w:firstLine="435"/>
        <w:spacing w:after="0" w:line="264" w:lineRule="auto"/>
        <w:tabs>
          <w:tab w:leader="none" w:pos="71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 (a) Subsection 8.8 of the Credit Agreement is hereby amended by deleting the amount "100,000,000" in the table contained therein and adding in lieu thereof the amount "120,000,000".</w:t>
      </w:r>
    </w:p>
    <w:p>
      <w:pPr>
        <w:spacing w:after="0" w:line="159" w:lineRule="exact"/>
        <w:rPr>
          <w:sz w:val="20"/>
          <w:szCs w:val="20"/>
          <w:color w:val="auto"/>
        </w:rPr>
      </w:pPr>
    </w:p>
    <w:p>
      <w:pPr>
        <w:ind w:right="3479" w:firstLine="435"/>
        <w:spacing w:after="0" w:line="239" w:lineRule="auto"/>
        <w:tabs>
          <w:tab w:leader="none" w:pos="79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8.9 of the Credit Agreement is hereby amended by (i) deleting the last proviso contained in paragraph (d) thereof in its entirety and adding in lieu there of the following new proviso:</w:t>
      </w:r>
    </w:p>
    <w:p>
      <w:pPr>
        <w:spacing w:after="0" w:line="175" w:lineRule="exact"/>
        <w:rPr>
          <w:sz w:val="20"/>
          <w:szCs w:val="20"/>
          <w:color w:val="auto"/>
        </w:rPr>
      </w:pPr>
    </w:p>
    <w:p>
      <w:pPr>
        <w:ind w:left="340" w:right="3299"/>
        <w:spacing w:after="0"/>
        <w:rPr>
          <w:sz w:val="20"/>
          <w:szCs w:val="20"/>
          <w:color w:val="auto"/>
        </w:rPr>
      </w:pPr>
      <w:r>
        <w:rPr>
          <w:rFonts w:ascii="Courier New" w:cs="Courier New" w:eastAsia="Courier New" w:hAnsi="Courier New"/>
          <w:sz w:val="15"/>
          <w:szCs w:val="15"/>
          <w:color w:val="auto"/>
        </w:rPr>
        <w:t>"provided, still further, that notwithstanding any provision in this paragraph (d) to the contrary, the Borrower and its Subsidiaries shall not be obligated to pledge any shares of capital stock of any Foreign Subsidiary organized under the laws of Australia, Indonesia, South Africa, Argentina, Brazil or Thailand;";</w:t>
      </w:r>
    </w:p>
    <w:p>
      <w:pPr>
        <w:sectPr>
          <w:pgSz w:w="11900" w:h="16838" w:orient="portrait"/>
          <w:cols w:equalWidth="0" w:num="1">
            <w:col w:w="10219"/>
          </w:cols>
          <w:pgMar w:left="240" w:top="139"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6649"/>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left="9" w:right="3219" w:hanging="9"/>
        <w:spacing w:after="0" w:line="239" w:lineRule="auto"/>
        <w:tabs>
          <w:tab w:leader="none" w:pos="4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word "and" contained in paragraph (n) thereof; (iii) deleting the period contained in paragraph (o) thereof and adding in lieu thereof the word "; and"; and (iv) adding the following new paragraph (p):</w:t>
      </w:r>
    </w:p>
    <w:p>
      <w:pPr>
        <w:spacing w:after="0" w:line="175" w:lineRule="exact"/>
        <w:rPr>
          <w:sz w:val="20"/>
          <w:szCs w:val="20"/>
          <w:color w:val="auto"/>
        </w:rPr>
      </w:pPr>
    </w:p>
    <w:p>
      <w:pPr>
        <w:ind w:left="449" w:right="3479" w:firstLine="444"/>
        <w:spacing w:after="0" w:line="238" w:lineRule="auto"/>
        <w:rPr>
          <w:sz w:val="20"/>
          <w:szCs w:val="20"/>
          <w:color w:val="auto"/>
        </w:rPr>
      </w:pPr>
      <w:r>
        <w:rPr>
          <w:rFonts w:ascii="Courier New" w:cs="Courier New" w:eastAsia="Courier New" w:hAnsi="Courier New"/>
          <w:sz w:val="15"/>
          <w:szCs w:val="15"/>
          <w:color w:val="auto"/>
        </w:rPr>
        <w:t>"(p) other loans, advances or other investments up to an aggregate amount not to exceed $5,000,000."</w:t>
      </w:r>
    </w:p>
    <w:p>
      <w:pPr>
        <w:spacing w:after="0" w:line="175" w:lineRule="exact"/>
        <w:rPr>
          <w:sz w:val="20"/>
          <w:szCs w:val="20"/>
          <w:color w:val="auto"/>
        </w:rPr>
      </w:pPr>
    </w:p>
    <w:p>
      <w:pPr>
        <w:ind w:left="9" w:right="3399" w:firstLine="435"/>
        <w:spacing w:after="0" w:line="238" w:lineRule="auto"/>
        <w:tabs>
          <w:tab w:leader="none" w:pos="71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The Banks hereby consent to the combination of Lear Seating GmbH, Lear Seating GmbH &amp; Co. Kg. and NS Drahtfedern GmbH.</w:t>
      </w:r>
    </w:p>
    <w:p>
      <w:pPr>
        <w:spacing w:after="0" w:line="174" w:lineRule="exact"/>
        <w:rPr>
          <w:rFonts w:ascii="Courier New" w:cs="Courier New" w:eastAsia="Courier New" w:hAnsi="Courier New"/>
          <w:sz w:val="15"/>
          <w:szCs w:val="15"/>
          <w:color w:val="auto"/>
        </w:rPr>
      </w:pPr>
    </w:p>
    <w:p>
      <w:pPr>
        <w:ind w:left="9" w:right="3299" w:firstLine="435"/>
        <w:spacing w:after="0"/>
        <w:tabs>
          <w:tab w:leader="none" w:pos="71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Amendment shall become effective on the date (the "Amendment Effective Date") on which the Borrower, the Agent and the Required Banks shall have executed and delivered to the Agent this Amendment and the parties to the Subsidiary Guarantee shall have executed the Acknowledgment and Consent in the form annexed hereto.</w:t>
      </w:r>
    </w:p>
    <w:p>
      <w:pPr>
        <w:spacing w:after="0" w:line="174" w:lineRule="exact"/>
        <w:rPr>
          <w:rFonts w:ascii="Courier New" w:cs="Courier New" w:eastAsia="Courier New" w:hAnsi="Courier New"/>
          <w:sz w:val="15"/>
          <w:szCs w:val="15"/>
          <w:color w:val="auto"/>
        </w:rPr>
      </w:pPr>
    </w:p>
    <w:p>
      <w:pPr>
        <w:ind w:left="9" w:right="3219" w:firstLine="435"/>
        <w:spacing w:after="0"/>
        <w:tabs>
          <w:tab w:leader="none" w:pos="71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made by the Borrower in the Loan Documents are true and correct in all material respects on and as of the Amendment Effective Date, before and after giving effect to the effectiveness of this Amendment, as if made on and as of the Amendment Effective Date, except to the extent such representations and warranties expressly relate to an earlier date.</w:t>
      </w:r>
    </w:p>
    <w:p>
      <w:pPr>
        <w:spacing w:after="0" w:line="175" w:lineRule="exact"/>
        <w:rPr>
          <w:rFonts w:ascii="Courier New" w:cs="Courier New" w:eastAsia="Courier New" w:hAnsi="Courier New"/>
          <w:sz w:val="15"/>
          <w:szCs w:val="15"/>
          <w:color w:val="auto"/>
        </w:rPr>
      </w:pPr>
    </w:p>
    <w:p>
      <w:pPr>
        <w:ind w:left="9" w:right="3219" w:firstLine="435"/>
        <w:spacing w:after="0"/>
        <w:tabs>
          <w:tab w:leader="none" w:pos="71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Expenses. The Borrower agrees to pay or reimburse the Agent for all of its out-of-pocket costs and reasonable expenses incurred in connection with this Amendment and any other documents prepared in connection herewith and the transactions contemplated hereby, including, without limitation, the reasonable fees and disbursements of counsel to the Agent.</w:t>
      </w:r>
    </w:p>
    <w:p>
      <w:pPr>
        <w:spacing w:after="0" w:line="174" w:lineRule="exact"/>
        <w:rPr>
          <w:rFonts w:ascii="Courier New" w:cs="Courier New" w:eastAsia="Courier New" w:hAnsi="Courier New"/>
          <w:sz w:val="15"/>
          <w:szCs w:val="15"/>
          <w:color w:val="auto"/>
        </w:rPr>
      </w:pPr>
    </w:p>
    <w:p>
      <w:pPr>
        <w:ind w:left="9" w:right="3479" w:firstLine="435"/>
        <w:spacing w:after="0" w:line="239" w:lineRule="auto"/>
        <w:tabs>
          <w:tab w:leader="none" w:pos="71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Amendments; Confirmation. Except as expressly amended, modified and supplemented hereby, the provisions of the Credit Agreement and the Notes are and shall remain in full force and effect.</w:t>
      </w:r>
    </w:p>
    <w:p>
      <w:pPr>
        <w:sectPr>
          <w:pgSz w:w="11900" w:h="16838" w:orient="portrait"/>
          <w:cols w:equalWidth="0" w:num="1">
            <w:col w:w="10228"/>
          </w:cols>
          <w:pgMar w:left="231"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ind w:right="3579" w:firstLine="435"/>
        <w:spacing w:after="0" w:line="239" w:lineRule="auto"/>
        <w:tabs>
          <w:tab w:leader="none" w:pos="7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Counterparts. (a) This Amendment and the rights and obligations of the parties hereto shall be governed by, and construed and interpreted in accordance with, the laws of the State of New York.</w:t>
      </w:r>
    </w:p>
    <w:p>
      <w:pPr>
        <w:spacing w:after="0" w:line="175" w:lineRule="exact"/>
        <w:rPr>
          <w:sz w:val="20"/>
          <w:szCs w:val="20"/>
          <w:color w:val="auto"/>
        </w:rPr>
      </w:pPr>
    </w:p>
    <w:p>
      <w:pPr>
        <w:ind w:right="3299" w:firstLine="435"/>
        <w:spacing w:after="0"/>
        <w:tabs>
          <w:tab w:leader="none" w:pos="7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Agent. This Amendment may be delivered by facsimile transmission of the relevant signature pages hereof.</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by their respective proper andy duly authorized officers as of the day and year first above written.</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LEAR SEATING CORPORATION</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/s/ Donald J. Stebbins</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CHEMICAL BANK, as Agent and as a</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Bank</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BANKERS TRUST COMPANY, as a</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Managing Agent and as a Bank</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THE BANK OF NOVA SCOTIA, as a</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Managing Agent and as a Bank</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CITICORP USA, INC., as a</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Managing Agent and as a Bank</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LEHMAN COMMERCIAL PAPER INC., as</w:t>
      </w:r>
    </w:p>
    <w:p>
      <w:pPr>
        <w:spacing w:after="0" w:line="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a Managing Agent and as a Bank</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FIRST NATIONAL BANK OF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BOSTON</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BANK OF NEW YORK</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MITSUBISHI TRUST &amp;</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BANKING CORPORATION</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NIPPON CREDIT BANK, LTD.</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SHAWMUT BANK CONNECTICUT, N.A.</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ABN AMRO BANK N.V.</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CIBC INC.</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COMERICA BANK</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CAISSE NATIONALE DE CREDIT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AGRICOLE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CREDIT LYONNAIS CHICAGO BRANCH</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CREDIT LYONNAIS CAYMAN</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ISLAND BRANCH</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FUJI BANK, LIMITED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NATIONAL BANK OF CANADA</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NBD BANK, N.A.</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BANQUE PARIBAS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SOCIETE GENERALE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CREDITANSTALT-BANKVEREIN</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GIRO CREDIT BANK AG DER</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SPARKASSEN, GRAND CAYMAN ISLAND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BRANCH</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BANK ONE, MILWAUKEE, NA</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INDUSTRIAL BANK OF JAPAN, LTD.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YASUDA TRUST AND BANKING</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COMPANY, LIMITED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DRESDNER BANK AG, CHICAGO AND GRAND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CAYMAN BRANCHES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ISTITUTO BANCARIO SAN PAOLO DI</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TORINO S.p.A.</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ACKNOWLEDGEMENT AND CONSENT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of the undersigned corporations as guarantors under the Second Amended and Restated Subsidiary and Affiliate Guarantee, dated as of November 29, 1994, made by the undersigned corporations in favor of the Agent hereby (a) consents to the transactions contemplated by this Amendment and (b) acknowledges and agrees that the guarantees contained in such Amended and Restated Subsidiary and Affiliate Guarantee (and all collateral security therefor) are, and shall remain, in full force and effect after giving effect to this Amendment and all prior modifications to the Credit Agreement.</w:t>
      </w: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LS ACQUISITION CORP. NO. 14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LEAR SEATING HOLDINGS CORP.</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NO. 50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PROGRESS PATTERN CORP.</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LEAR PLASTICS CORP.</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LS ACQUISITION COPORATION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NO. 24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FAIR HAVEN INDUSTRIES, INC.</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_______________________</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34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AMENDMENT TO STOCK OPTION AGREEMENT, dated as of March 2, 1995 (this "Amendment"), between Lear Seating Corporation, a Delaware corporation (the "Company"), and the party whose name appears on the signature page hereof, an employee of the Company (the "Employee").</w:t>
      </w:r>
    </w:p>
    <w:p>
      <w:pPr>
        <w:spacing w:after="0" w:line="176" w:lineRule="exact"/>
        <w:rPr>
          <w:sz w:val="20"/>
          <w:szCs w:val="20"/>
          <w:color w:val="auto"/>
        </w:rPr>
      </w:pPr>
    </w:p>
    <w:p>
      <w:pPr>
        <w:ind w:right="3659" w:firstLine="1509"/>
        <w:spacing w:after="0"/>
        <w:rPr>
          <w:sz w:val="20"/>
          <w:szCs w:val="20"/>
          <w:color w:val="auto"/>
        </w:rPr>
      </w:pPr>
      <w:r>
        <w:rPr>
          <w:rFonts w:ascii="Courier New" w:cs="Courier New" w:eastAsia="Courier New" w:hAnsi="Courier New"/>
          <w:sz w:val="15"/>
          <w:szCs w:val="15"/>
          <w:color w:val="auto"/>
        </w:rPr>
        <w:t>WHEREAS, the Company and the Employee are parties to that certain Stock Option Agreement dated as of September 29, 1988 (the "Stock Option Agreement"), pursuant to which the Employee was granted options ("Options") to purchase 165,000 shares of Common Stock, $.01 par value per share, of the Company;</w:t>
      </w:r>
    </w:p>
    <w:p>
      <w:pPr>
        <w:spacing w:after="0" w:line="174"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WHEREAS, the Company and the Employee desire to amend the Stock Option Agreement on the terms and subject to the conditions set forth herein.</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1. Amendment to Section 9. Section 9 of the Stock Option Agreement shall be amended to add the following sentence to the end thereof:</w:t>
      </w:r>
    </w:p>
    <w:p>
      <w:pPr>
        <w:spacing w:after="0" w:line="175" w:lineRule="exact"/>
        <w:rPr>
          <w:sz w:val="20"/>
          <w:szCs w:val="20"/>
          <w:color w:val="auto"/>
        </w:rPr>
      </w:pPr>
    </w:p>
    <w:p>
      <w:pPr>
        <w:ind w:left="1500" w:right="3299"/>
        <w:spacing w:after="0"/>
        <w:rPr>
          <w:sz w:val="20"/>
          <w:szCs w:val="20"/>
          <w:color w:val="auto"/>
        </w:rPr>
      </w:pPr>
      <w:r>
        <w:rPr>
          <w:rFonts w:ascii="Courier New" w:cs="Courier New" w:eastAsia="Courier New" w:hAnsi="Courier New"/>
          <w:sz w:val="15"/>
          <w:szCs w:val="15"/>
          <w:color w:val="auto"/>
        </w:rPr>
        <w:t>"Notwithstanding the foregoing, the Employee may grant to the Company a security interest in the Option or in any portion thereof to secure the Employee's obligations under that certain Amended and Restated Secured Promissory Note dated March 2, 1995 (the "Amended and Restated Note")."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2. Performance by the Company of the Employee's Rights. The Option Agreement is amended to add a new Section 16 thereto, to read as follows:</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"16. Notwithstanding anything to the contrary contained in this Agreement, upon the occurrence and during the continuation of an event of default under the Amended and Restated Note, the Company may, to the extent expressly authorized under the Amended and Restated Note, exercise all rights of the Employee with respect to the Option or any portion thereof, including the right to exercise the Option in accordance with the terms of this Agreement. In such event, the Company shall be subject to the same limitations and restrictions as apply to the Employee hereunder."</w:t>
      </w:r>
    </w:p>
    <w:p>
      <w:pPr>
        <w:sectPr>
          <w:pgSz w:w="11900" w:h="16838" w:orient="portrait"/>
          <w:cols w:equalWidth="0" w:num="1">
            <w:col w:w="10219"/>
          </w:cols>
          <w:pgMar w:left="240" w:top="13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3. Effectiveness; Miscellaneous. (a) This Amendment shall become effective as of the date first set forth above.</w:t>
      </w:r>
    </w:p>
    <w:p>
      <w:pPr>
        <w:spacing w:after="0" w:line="172" w:lineRule="exact"/>
        <w:rPr>
          <w:sz w:val="20"/>
          <w:szCs w:val="20"/>
          <w:color w:val="auto"/>
        </w:rPr>
      </w:pPr>
    </w:p>
    <w:p>
      <w:pPr>
        <w:ind w:left="3000" w:hanging="702"/>
        <w:spacing w:after="0"/>
        <w:tabs>
          <w:tab w:leader="none" w:pos="3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entire</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understanding of the parties with respect to the subject matter hereof and supersedes any and all prior agreements and understandings, oral or written, relating to the subject matter hereof.</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used herein are for</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are not to affect the construction of, or to be taken into consideration in interpreting, this Amendment.</w:t>
      </w:r>
    </w:p>
    <w:p>
      <w:pPr>
        <w:spacing w:after="0" w:line="174" w:lineRule="exact"/>
        <w:rPr>
          <w:rFonts w:ascii="Courier New" w:cs="Courier New" w:eastAsia="Courier New" w:hAnsi="Courier New"/>
          <w:sz w:val="15"/>
          <w:szCs w:val="15"/>
          <w:color w:val="auto"/>
        </w:rPr>
      </w:pPr>
    </w:p>
    <w:p>
      <w:pPr>
        <w:jc w:val="both"/>
        <w:ind w:right="3579" w:firstLine="2298"/>
        <w:spacing w:after="0" w:line="239" w:lineRule="auto"/>
        <w:tabs>
          <w:tab w:leader="none" w:pos="301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party hereto shall be deemed to include its successors and assigns, all of whom shall be bound by this Amendment and to whose benefit the provisions of this Amendment shall inure.</w:t>
      </w:r>
    </w:p>
    <w:p>
      <w:pPr>
        <w:spacing w:after="0" w:line="173"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w:t>
      </w:r>
    </w:p>
    <w:p>
      <w:pPr>
        <w:spacing w:after="0" w:line="3" w:lineRule="exact"/>
        <w:rPr>
          <w:rFonts w:ascii="Courier New" w:cs="Courier New" w:eastAsia="Courier New" w:hAnsi="Courier New"/>
          <w:sz w:val="15"/>
          <w:szCs w:val="15"/>
          <w:color w:val="auto"/>
        </w:rPr>
      </w:pPr>
    </w:p>
    <w:p>
      <w:pPr>
        <w:ind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counterparts, each of which shall be an original but all of which, when taken together, shall constitute but one instrument.</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or modified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the Option Agreement shall continue in full force and effect in accordance with the provisions thereof. As used therein, the terms "Agreement", "herein", "hereunder", "hereinafter", "hereto", "hereof" and words of similar import shall, unless the context otherwise requires, refer to the Agreement as amended hereby.</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signed individually or by its duly authorized officer, as the case may be, as of the day and year first above written.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Name:</w:t>
        <w:tab/>
        <w:t>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Secretary and</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General Counsel</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Kenneth L. Way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Kenneth L. Way</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10.3</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34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AMENDMENT TO STOCK OPTION AGREEMENT, dated as of March 2, 1995 (this "Amendment"), between Lear Seating Corporation, a Delaware corporation (the "Company"), and the party whose name appears on the signature page hereof, an employee of the Company (the "Employee").</w:t>
      </w:r>
    </w:p>
    <w:p>
      <w:pPr>
        <w:spacing w:after="0" w:line="176" w:lineRule="exact"/>
        <w:rPr>
          <w:sz w:val="20"/>
          <w:szCs w:val="20"/>
          <w:color w:val="auto"/>
        </w:rPr>
      </w:pPr>
    </w:p>
    <w:p>
      <w:pPr>
        <w:ind w:right="3659" w:firstLine="1509"/>
        <w:spacing w:after="0"/>
        <w:rPr>
          <w:sz w:val="20"/>
          <w:szCs w:val="20"/>
          <w:color w:val="auto"/>
        </w:rPr>
      </w:pPr>
      <w:r>
        <w:rPr>
          <w:rFonts w:ascii="Courier New" w:cs="Courier New" w:eastAsia="Courier New" w:hAnsi="Courier New"/>
          <w:sz w:val="15"/>
          <w:szCs w:val="15"/>
          <w:color w:val="auto"/>
        </w:rPr>
        <w:t>WHEREAS, the Company and the Employee are parties to that certain Stock Option Agreement dated as of September 29, 1988 (the "Stock Option Agreement"), pursuant to which the Employee was granted options ("Options") to purchase 99,000 shares of Common Stock, $.01 par value per share, of the Company;</w:t>
      </w:r>
    </w:p>
    <w:p>
      <w:pPr>
        <w:spacing w:after="0" w:line="174"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WHEREAS, the Company and the Employee desire to amend the Stock Option Agreement on the terms and subject to the conditions set forth herein.</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1. Amendment to Section 9. Section 9 of the Stock Option Agreement shall be amended to add the following sentence to the end thereof:</w:t>
      </w:r>
    </w:p>
    <w:p>
      <w:pPr>
        <w:spacing w:after="0" w:line="175" w:lineRule="exact"/>
        <w:rPr>
          <w:sz w:val="20"/>
          <w:szCs w:val="20"/>
          <w:color w:val="auto"/>
        </w:rPr>
      </w:pPr>
    </w:p>
    <w:p>
      <w:pPr>
        <w:ind w:left="1500" w:right="3299"/>
        <w:spacing w:after="0"/>
        <w:rPr>
          <w:sz w:val="20"/>
          <w:szCs w:val="20"/>
          <w:color w:val="auto"/>
        </w:rPr>
      </w:pPr>
      <w:r>
        <w:rPr>
          <w:rFonts w:ascii="Courier New" w:cs="Courier New" w:eastAsia="Courier New" w:hAnsi="Courier New"/>
          <w:sz w:val="15"/>
          <w:szCs w:val="15"/>
          <w:color w:val="auto"/>
        </w:rPr>
        <w:t>"Notwithstanding the foregoing, the Employee may grant to the Company a security interest in the Option or in any portion thereof to secure the Employee's obligations under that certain Amended and Restated Secured Promissory Note dated March 2, 1995 (the "Amended and Restated Note")."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2. Performance by the Company of the Employee's Rights. The Option Agreement is amended to add a new Section 16 thereto, to read as follows:</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"16. Notwithstanding anything to the contrary contained in this Agreement, upon the occurrence and during the continuation of an event of default under the Amended and Restated Note, the Company may, to the extent expressly authorized under the Amended and Restated Note, exercise all rights of the Employee with respect to the Option or any portion thereof, including the right to exercise the Option in accordance with the</w:t>
      </w:r>
    </w:p>
    <w:p>
      <w:pPr>
        <w:sectPr>
          <w:pgSz w:w="11900" w:h="16838" w:orient="portrait"/>
          <w:cols w:equalWidth="0" w:num="1">
            <w:col w:w="10219"/>
          </w:cols>
          <w:pgMar w:left="240" w:top="13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500" w:right="3299"/>
        <w:spacing w:after="0" w:line="239" w:lineRule="auto"/>
        <w:rPr>
          <w:sz w:val="20"/>
          <w:szCs w:val="20"/>
          <w:color w:val="auto"/>
        </w:rPr>
      </w:pPr>
      <w:r>
        <w:rPr>
          <w:rFonts w:ascii="Courier New" w:cs="Courier New" w:eastAsia="Courier New" w:hAnsi="Courier New"/>
          <w:sz w:val="15"/>
          <w:szCs w:val="15"/>
          <w:color w:val="auto"/>
        </w:rPr>
        <w:t>terms of this Agreement. In such event, the Company shall be subject to the same limitations and restrictions as apply to the Employee hereunder."</w:t>
      </w:r>
    </w:p>
    <w:p>
      <w:pPr>
        <w:spacing w:after="0" w:line="17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3. Effectiveness; Miscellaneous. (a) This Amendment shall become effective as of the date first set forth above.</w:t>
      </w:r>
    </w:p>
    <w:p>
      <w:pPr>
        <w:spacing w:after="0" w:line="172" w:lineRule="exact"/>
        <w:rPr>
          <w:sz w:val="20"/>
          <w:szCs w:val="20"/>
          <w:color w:val="auto"/>
        </w:rPr>
      </w:pPr>
    </w:p>
    <w:p>
      <w:pPr>
        <w:ind w:left="3000" w:hanging="702"/>
        <w:spacing w:after="0"/>
        <w:tabs>
          <w:tab w:leader="none" w:pos="3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entire</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understanding of the parties with respect to the subject matter hereof and supersedes any and all prior agreements and understandings, oral or written, relating to the subject matter hereof.</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used herein are for</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are not to affect the construction of, or to be taken into consideration in interpreting, this Amendment.</w:t>
      </w:r>
    </w:p>
    <w:p>
      <w:pPr>
        <w:spacing w:after="0" w:line="174" w:lineRule="exact"/>
        <w:rPr>
          <w:rFonts w:ascii="Courier New" w:cs="Courier New" w:eastAsia="Courier New" w:hAnsi="Courier New"/>
          <w:sz w:val="15"/>
          <w:szCs w:val="15"/>
          <w:color w:val="auto"/>
        </w:rPr>
      </w:pPr>
    </w:p>
    <w:p>
      <w:pPr>
        <w:jc w:val="both"/>
        <w:ind w:right="3579" w:firstLine="2298"/>
        <w:spacing w:after="0" w:line="239" w:lineRule="auto"/>
        <w:tabs>
          <w:tab w:leader="none" w:pos="301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party hereto shall be deemed to include its successors and assigns, all of whom shall be bound by this Amendment and to whose benefit the provisions of this Amendment shall inure.</w:t>
      </w:r>
    </w:p>
    <w:p>
      <w:pPr>
        <w:spacing w:after="0" w:line="173"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w:t>
      </w:r>
    </w:p>
    <w:p>
      <w:pPr>
        <w:spacing w:after="0" w:line="3" w:lineRule="exact"/>
        <w:rPr>
          <w:rFonts w:ascii="Courier New" w:cs="Courier New" w:eastAsia="Courier New" w:hAnsi="Courier New"/>
          <w:sz w:val="15"/>
          <w:szCs w:val="15"/>
          <w:color w:val="auto"/>
        </w:rPr>
      </w:pPr>
    </w:p>
    <w:p>
      <w:pPr>
        <w:ind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counterparts, each of which shall be an original but all of which, when taken together, shall constitute but one instrument.</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or modified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the Option Agreement shall continue in full force and effect in accordance with the provisions thereof. As used therein, the terms "Agreement", "herein", "hereunder", "hereinafter", "hereto", "hereof" and words of similar import shall, unless the context otherwise requires, refer to the Agreement as amended hereby.</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signed individually or by its duly authorized officer, as the case may be, as of the day and year first above written.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Joseph F. McCarthy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tabs>
          <w:tab w:leader="none" w:pos="41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 Secretary and</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General Counsel</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Robert E. Rossiter</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Robert E. Rossiter</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EXHIBIT 10.4</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34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AMENDMENT TO STOCK OPTION AGREEMENT, dated as of March 2, 1995 (this "Amendment"), between Lear Seating Corporation, a Delaware corporation (the "Company"), and the party whose name appears on the signature page hereof, an employee of the Company (the "Employee").</w:t>
      </w:r>
    </w:p>
    <w:p>
      <w:pPr>
        <w:spacing w:after="0" w:line="176" w:lineRule="exact"/>
        <w:rPr>
          <w:sz w:val="20"/>
          <w:szCs w:val="20"/>
          <w:color w:val="auto"/>
        </w:rPr>
      </w:pPr>
    </w:p>
    <w:p>
      <w:pPr>
        <w:ind w:right="3659" w:firstLine="1509"/>
        <w:spacing w:after="0"/>
        <w:rPr>
          <w:sz w:val="20"/>
          <w:szCs w:val="20"/>
          <w:color w:val="auto"/>
        </w:rPr>
      </w:pPr>
      <w:r>
        <w:rPr>
          <w:rFonts w:ascii="Courier New" w:cs="Courier New" w:eastAsia="Courier New" w:hAnsi="Courier New"/>
          <w:sz w:val="15"/>
          <w:szCs w:val="15"/>
          <w:color w:val="auto"/>
        </w:rPr>
        <w:t>WHEREAS, the Company and the Employee are parties to that certain Stock Option Agreement dated as of September 29, 1988 (the "Stock Option Agreement"), pursuant to which the Employee was granted options ("Options") to purchase 62,700 shares of Common Stock, $.01 par value per share, of the Company;</w:t>
      </w:r>
    </w:p>
    <w:p>
      <w:pPr>
        <w:spacing w:after="0" w:line="174"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WHEREAS, the Company and the Employee desire to amend the Stock Option Agreement on the terms and subject to the conditions set forth herein.</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1. Amendment to Section 9. Section 9 of the Stock Option Agreement shall be amended to add the following sentence to the end thereof:</w:t>
      </w:r>
    </w:p>
    <w:p>
      <w:pPr>
        <w:spacing w:after="0" w:line="175" w:lineRule="exact"/>
        <w:rPr>
          <w:sz w:val="20"/>
          <w:szCs w:val="20"/>
          <w:color w:val="auto"/>
        </w:rPr>
      </w:pPr>
    </w:p>
    <w:p>
      <w:pPr>
        <w:ind w:left="1500" w:right="3299"/>
        <w:spacing w:after="0"/>
        <w:rPr>
          <w:sz w:val="20"/>
          <w:szCs w:val="20"/>
          <w:color w:val="auto"/>
        </w:rPr>
      </w:pPr>
      <w:r>
        <w:rPr>
          <w:rFonts w:ascii="Courier New" w:cs="Courier New" w:eastAsia="Courier New" w:hAnsi="Courier New"/>
          <w:sz w:val="15"/>
          <w:szCs w:val="15"/>
          <w:color w:val="auto"/>
        </w:rPr>
        <w:t>"Notwithstanding the foregoing, the Employee may grant to the Company a security interest in the Option or in any portion thereof to secure the Employee's obligations under that certain Amended and Restated Secured Promissory Note dated March 2, 1995 (the "Amended and Restated Note")."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2. Performance by the Company of the Employee's Rights. The Option Agreement is amended to add a new Section 16 thereto, to read as follows:</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"16. Notwithstanding anything to the contrary contained in this Agreement, upon the occurrence and during the continuation of an event of default under the Amended and Restated Note, the Company may, to the extent expressly authorized under the Amended and Restated Note, exercise all rights of the Employee with respect to the Option or any portion thereof, including the right to exercise the Option in accordance with the</w:t>
      </w:r>
    </w:p>
    <w:p>
      <w:pPr>
        <w:sectPr>
          <w:pgSz w:w="11900" w:h="16838" w:orient="portrait"/>
          <w:cols w:equalWidth="0" w:num="1">
            <w:col w:w="10219"/>
          </w:cols>
          <w:pgMar w:left="240" w:top="13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1500" w:right="3299"/>
        <w:spacing w:after="0" w:line="239" w:lineRule="auto"/>
        <w:rPr>
          <w:sz w:val="20"/>
          <w:szCs w:val="20"/>
          <w:color w:val="auto"/>
        </w:rPr>
      </w:pPr>
      <w:r>
        <w:rPr>
          <w:rFonts w:ascii="Courier New" w:cs="Courier New" w:eastAsia="Courier New" w:hAnsi="Courier New"/>
          <w:sz w:val="15"/>
          <w:szCs w:val="15"/>
          <w:color w:val="auto"/>
        </w:rPr>
        <w:t>terms of this Agreement. In such event, the Company shall be subject to the same limitations and restrictions as apply to the Employee hereunder."</w:t>
      </w:r>
    </w:p>
    <w:p>
      <w:pPr>
        <w:spacing w:after="0" w:line="17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3. Effectiveness; Miscellaneous. (a) This Amendment shall become effective as of the date first set forth above.</w:t>
      </w:r>
    </w:p>
    <w:p>
      <w:pPr>
        <w:spacing w:after="0" w:line="172" w:lineRule="exact"/>
        <w:rPr>
          <w:sz w:val="20"/>
          <w:szCs w:val="20"/>
          <w:color w:val="auto"/>
        </w:rPr>
      </w:pPr>
    </w:p>
    <w:p>
      <w:pPr>
        <w:ind w:left="3000" w:hanging="702"/>
        <w:spacing w:after="0"/>
        <w:tabs>
          <w:tab w:leader="none" w:pos="3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entire</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understanding of the parties with respect to the subject matter hereof and supersedes any and all prior agreements and understandings, oral or written, relating to the subject matter hereof.</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used herein are for</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are not to affect the construction of, or to be taken into consideration in interpreting, this Amendment.</w:t>
      </w:r>
    </w:p>
    <w:p>
      <w:pPr>
        <w:spacing w:after="0" w:line="174" w:lineRule="exact"/>
        <w:rPr>
          <w:rFonts w:ascii="Courier New" w:cs="Courier New" w:eastAsia="Courier New" w:hAnsi="Courier New"/>
          <w:sz w:val="15"/>
          <w:szCs w:val="15"/>
          <w:color w:val="auto"/>
        </w:rPr>
      </w:pPr>
    </w:p>
    <w:p>
      <w:pPr>
        <w:jc w:val="both"/>
        <w:ind w:right="3579" w:firstLine="2298"/>
        <w:spacing w:after="0" w:line="239" w:lineRule="auto"/>
        <w:tabs>
          <w:tab w:leader="none" w:pos="301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party hereto shall be deemed to include its successors and assigns, all of whom shall be bound by this Amendment and to whose benefit the provisions of this Amendment shall inure.</w:t>
      </w:r>
    </w:p>
    <w:p>
      <w:pPr>
        <w:spacing w:after="0" w:line="173"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w:t>
      </w:r>
    </w:p>
    <w:p>
      <w:pPr>
        <w:spacing w:after="0" w:line="3" w:lineRule="exact"/>
        <w:rPr>
          <w:rFonts w:ascii="Courier New" w:cs="Courier New" w:eastAsia="Courier New" w:hAnsi="Courier New"/>
          <w:sz w:val="15"/>
          <w:szCs w:val="15"/>
          <w:color w:val="auto"/>
        </w:rPr>
      </w:pPr>
    </w:p>
    <w:p>
      <w:pPr>
        <w:ind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counterparts, each of which shall be an original but all of which, when taken together, shall constitute but one instrument.</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or modified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the Option Agreement shall continue in full force and effect in accordance with the provisions thereof. As used therein, the terms "Agreement", "herein", "hereunder", "hereinafter", "hereto", "hereof" and words of similar import shall, unless the context otherwise requires, refer to the Agreement as amended hereby.</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signed individually or by its duly authorized officer, as the case may be, as of the day and year first above written.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Name:</w:t>
        <w:tab/>
        <w:t>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Secretary and</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General Counsel</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James H. Vandenberghe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James H. Vandenberghe</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EXHIBIT 10.5</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34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AMENDMENT TO STOCK OPTION AGREEMENT, dated as of March 2, 1995 (this "Amendment"), between Lear Seating Corporation, a Delaware corporation (the "Company"), and the party whose name appears on the signature page hereof, an employee of the Company (the "Employee").</w:t>
      </w:r>
    </w:p>
    <w:p>
      <w:pPr>
        <w:spacing w:after="0" w:line="176" w:lineRule="exact"/>
        <w:rPr>
          <w:sz w:val="20"/>
          <w:szCs w:val="20"/>
          <w:color w:val="auto"/>
        </w:rPr>
      </w:pPr>
    </w:p>
    <w:p>
      <w:pPr>
        <w:ind w:right="3659" w:firstLine="1509"/>
        <w:spacing w:after="0"/>
        <w:rPr>
          <w:sz w:val="20"/>
          <w:szCs w:val="20"/>
          <w:color w:val="auto"/>
        </w:rPr>
      </w:pPr>
      <w:r>
        <w:rPr>
          <w:rFonts w:ascii="Courier New" w:cs="Courier New" w:eastAsia="Courier New" w:hAnsi="Courier New"/>
          <w:sz w:val="15"/>
          <w:szCs w:val="15"/>
          <w:color w:val="auto"/>
        </w:rPr>
        <w:t>WHEREAS, the Company and the Employee are parties to that certain Stock Option Agreement dated as of September 29, 1988 (the "Stock Option Agreement"), pursuant to which the Employee was granted options ("Options") to purchase 62,700 shares of Common Stock, $.01 par value per share, of the Company;</w:t>
      </w:r>
    </w:p>
    <w:p>
      <w:pPr>
        <w:spacing w:after="0" w:line="174"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WHEREAS, the Company and the Employee desire to amend the Stock Option Agreement on the terms and subject to the conditions set forth herein.</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1. Amendment to Section 9. Section 9 of the Stock Option Agreement shall be amended to add the following sentence to the end thereof:</w:t>
      </w:r>
    </w:p>
    <w:p>
      <w:pPr>
        <w:spacing w:after="0" w:line="175" w:lineRule="exact"/>
        <w:rPr>
          <w:sz w:val="20"/>
          <w:szCs w:val="20"/>
          <w:color w:val="auto"/>
        </w:rPr>
      </w:pPr>
    </w:p>
    <w:p>
      <w:pPr>
        <w:ind w:left="1500" w:right="3299"/>
        <w:spacing w:after="0"/>
        <w:rPr>
          <w:sz w:val="20"/>
          <w:szCs w:val="20"/>
          <w:color w:val="auto"/>
        </w:rPr>
      </w:pPr>
      <w:r>
        <w:rPr>
          <w:rFonts w:ascii="Courier New" w:cs="Courier New" w:eastAsia="Courier New" w:hAnsi="Courier New"/>
          <w:sz w:val="15"/>
          <w:szCs w:val="15"/>
          <w:color w:val="auto"/>
        </w:rPr>
        <w:t>"Notwithstanding the foregoing, the Employee may grant to the Company a security interest in the Option or in any portion thereof to secure the Employee's obligations under that certain Amended and Restated Secured Promissory Note dated March 2, 1995 (the "Amended and Restated Note")."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2. Performance by the Company of the Employee's Rights. The Option Agreement is amended to add a new Section 16 thereto, to read as follows:</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"16. Notwithstanding anything to the contrary contained in this Agreement, upon the occurrence and during the continuation of an event of default under the Amended and Restated Note, the Company may, to the extent expressly authorized under the Amended and Restated Note, exercise all rights of the Employee with respect to the Option or any portion thereof, including the right to exercise the Option in accordance with the</w:t>
      </w:r>
    </w:p>
    <w:p>
      <w:pPr>
        <w:sectPr>
          <w:pgSz w:w="11900" w:h="16838" w:orient="portrait"/>
          <w:cols w:equalWidth="0" w:num="1">
            <w:col w:w="10219"/>
          </w:cols>
          <w:pgMar w:left="240" w:top="13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500" w:right="3299"/>
        <w:spacing w:after="0" w:line="239" w:lineRule="auto"/>
        <w:rPr>
          <w:sz w:val="20"/>
          <w:szCs w:val="20"/>
          <w:color w:val="auto"/>
        </w:rPr>
      </w:pPr>
      <w:r>
        <w:rPr>
          <w:rFonts w:ascii="Courier New" w:cs="Courier New" w:eastAsia="Courier New" w:hAnsi="Courier New"/>
          <w:sz w:val="15"/>
          <w:szCs w:val="15"/>
          <w:color w:val="auto"/>
        </w:rPr>
        <w:t>terms of this Agreement. In such event, the Company shall be subject to the same limitations and restrictions as apply to the Employee hereunder."</w:t>
      </w:r>
    </w:p>
    <w:p>
      <w:pPr>
        <w:spacing w:after="0" w:line="17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3. Effectiveness; Miscellaneous. (a) This Amendment shall become effective as of the date first set forth above.</w:t>
      </w:r>
    </w:p>
    <w:p>
      <w:pPr>
        <w:spacing w:after="0" w:line="172" w:lineRule="exact"/>
        <w:rPr>
          <w:sz w:val="20"/>
          <w:szCs w:val="20"/>
          <w:color w:val="auto"/>
        </w:rPr>
      </w:pPr>
    </w:p>
    <w:p>
      <w:pPr>
        <w:ind w:left="3000" w:hanging="702"/>
        <w:spacing w:after="0"/>
        <w:tabs>
          <w:tab w:leader="none" w:pos="3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entire</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understanding of the parties with respect to the subject matter hereof and supersedes any and all prior agreements and understandings, oral or written, relating to the subject matter hereof.</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used herein are for</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are not to affect the construction of, or to be taken into consideration in interpreting, this Amendment.</w:t>
      </w:r>
    </w:p>
    <w:p>
      <w:pPr>
        <w:spacing w:after="0" w:line="174" w:lineRule="exact"/>
        <w:rPr>
          <w:rFonts w:ascii="Courier New" w:cs="Courier New" w:eastAsia="Courier New" w:hAnsi="Courier New"/>
          <w:sz w:val="15"/>
          <w:szCs w:val="15"/>
          <w:color w:val="auto"/>
        </w:rPr>
      </w:pPr>
    </w:p>
    <w:p>
      <w:pPr>
        <w:jc w:val="both"/>
        <w:ind w:right="3579" w:firstLine="2298"/>
        <w:spacing w:after="0" w:line="239" w:lineRule="auto"/>
        <w:tabs>
          <w:tab w:leader="none" w:pos="301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party hereto shall be deemed to include its successors and assigns, all of whom shall be bound by this Amendment and to whose benefit the provisions of this Amendment shall inure.</w:t>
      </w:r>
    </w:p>
    <w:p>
      <w:pPr>
        <w:spacing w:after="0" w:line="173"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w:t>
      </w:r>
    </w:p>
    <w:p>
      <w:pPr>
        <w:spacing w:after="0" w:line="3" w:lineRule="exact"/>
        <w:rPr>
          <w:rFonts w:ascii="Courier New" w:cs="Courier New" w:eastAsia="Courier New" w:hAnsi="Courier New"/>
          <w:sz w:val="15"/>
          <w:szCs w:val="15"/>
          <w:color w:val="auto"/>
        </w:rPr>
      </w:pPr>
    </w:p>
    <w:p>
      <w:pPr>
        <w:ind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counterparts, each of which shall be an original but all of which, when taken together, shall constitute but one instrument.</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or modified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the Option Agreement shall continue in full force and effect in accordance with the provisions thereof. As used therein, the terms "Agreement", "herein", "hereunder", "hereinafter", "hereto", "hereof" and words of similar import shall, unless the context otherwise requires, refer to the Agreement as amended hereby.</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signed individually or by its duly authorized officer, as the case may be, as of the day and year first above written.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3540"/>
        <w:spacing w:after="0"/>
        <w:tabs>
          <w:tab w:leader="none" w:pos="4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Name:</w:t>
        <w:tab/>
        <w:t>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Secretary and</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General Counsel</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/s/ Randal T. Murphy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Randal T. Murphy</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EXHIBIT 10.6</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34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AMENDMENT TO STOCK OPTION AGREEMENT, dated as of March 2, 1995 (this "Amendment"), between Lear Seating Corporation, a Delaware corporation (the "Company"), and the party whose name appears on the signature page hereof, an employee of the Company (the "Employee").</w:t>
      </w:r>
    </w:p>
    <w:p>
      <w:pPr>
        <w:spacing w:after="0" w:line="176" w:lineRule="exact"/>
        <w:rPr>
          <w:sz w:val="20"/>
          <w:szCs w:val="20"/>
          <w:color w:val="auto"/>
        </w:rPr>
      </w:pPr>
    </w:p>
    <w:p>
      <w:pPr>
        <w:ind w:right="3659" w:firstLine="1509"/>
        <w:spacing w:after="0"/>
        <w:rPr>
          <w:sz w:val="20"/>
          <w:szCs w:val="20"/>
          <w:color w:val="auto"/>
        </w:rPr>
      </w:pPr>
      <w:r>
        <w:rPr>
          <w:rFonts w:ascii="Courier New" w:cs="Courier New" w:eastAsia="Courier New" w:hAnsi="Courier New"/>
          <w:sz w:val="15"/>
          <w:szCs w:val="15"/>
          <w:color w:val="auto"/>
        </w:rPr>
        <w:t>WHEREAS, the Company and the Employee are parties to that certain Stock Option Agreement dated as of September 29, 1988 (the "Stock Option Agreement"), pursuant to which the Employee was granted options ("Options") to purchase 62,700 shares of Common Stock, $.01 par value per share, of the Company;</w:t>
      </w:r>
    </w:p>
    <w:p>
      <w:pPr>
        <w:spacing w:after="0" w:line="174"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WHEREAS, the Company and the Employee desire to amend the Stock Option Agreement on the terms and subject to the conditions set forth herein.</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1. Amendment to Section 9. Section 9 of the Stock Option Agreement shall be amended to add the following sentence to the end thereof:</w:t>
      </w:r>
    </w:p>
    <w:p>
      <w:pPr>
        <w:spacing w:after="0" w:line="175" w:lineRule="exact"/>
        <w:rPr>
          <w:sz w:val="20"/>
          <w:szCs w:val="20"/>
          <w:color w:val="auto"/>
        </w:rPr>
      </w:pPr>
    </w:p>
    <w:p>
      <w:pPr>
        <w:ind w:left="1500" w:right="3299"/>
        <w:spacing w:after="0"/>
        <w:rPr>
          <w:sz w:val="20"/>
          <w:szCs w:val="20"/>
          <w:color w:val="auto"/>
        </w:rPr>
      </w:pPr>
      <w:r>
        <w:rPr>
          <w:rFonts w:ascii="Courier New" w:cs="Courier New" w:eastAsia="Courier New" w:hAnsi="Courier New"/>
          <w:sz w:val="15"/>
          <w:szCs w:val="15"/>
          <w:color w:val="auto"/>
        </w:rPr>
        <w:t>"Notwithstanding the foregoing, the Employee may grant to the Company a security interest in the Option or in any portion thereof to secure the Employee's obligations under that certain Amended and Restated Secured Promissory Note dated March 2, 1995 (the "Amended and Restated Note")."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SECTION 2. Performance by the Company of the Employee's Rights. The Option Agreement is amended to add a new Section 16 thereto, to read as follows:</w:t>
      </w:r>
    </w:p>
    <w:p>
      <w:pPr>
        <w:spacing w:after="0" w:line="175" w:lineRule="exact"/>
        <w:rPr>
          <w:sz w:val="20"/>
          <w:szCs w:val="20"/>
          <w:color w:val="auto"/>
        </w:rPr>
      </w:pPr>
    </w:p>
    <w:p>
      <w:pPr>
        <w:ind w:left="1500" w:right="3219" w:firstLine="799"/>
        <w:spacing w:after="0"/>
        <w:rPr>
          <w:sz w:val="20"/>
          <w:szCs w:val="20"/>
          <w:color w:val="auto"/>
        </w:rPr>
      </w:pPr>
      <w:r>
        <w:rPr>
          <w:rFonts w:ascii="Courier New" w:cs="Courier New" w:eastAsia="Courier New" w:hAnsi="Courier New"/>
          <w:sz w:val="15"/>
          <w:szCs w:val="15"/>
          <w:color w:val="auto"/>
        </w:rPr>
        <w:t>"16. Notwithstanding anything to the contrary contained in this Agreement, upon the occurrence and during the continuation of an event of default under the Amended and Restated Note, the Company may, to the extent expressly authorized under the Amended and Restated Note, exercise all rights of the Employee with respect to the Option or any portion thereof, including the right to exercise the Option in accordance with the</w:t>
      </w:r>
    </w:p>
    <w:p>
      <w:pPr>
        <w:sectPr>
          <w:pgSz w:w="11900" w:h="16838" w:orient="portrait"/>
          <w:cols w:equalWidth="0" w:num="1">
            <w:col w:w="10219"/>
          </w:cols>
          <w:pgMar w:left="240" w:top="13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500" w:right="3299"/>
        <w:spacing w:after="0" w:line="239" w:lineRule="auto"/>
        <w:rPr>
          <w:sz w:val="20"/>
          <w:szCs w:val="20"/>
          <w:color w:val="auto"/>
        </w:rPr>
      </w:pPr>
      <w:r>
        <w:rPr>
          <w:rFonts w:ascii="Courier New" w:cs="Courier New" w:eastAsia="Courier New" w:hAnsi="Courier New"/>
          <w:sz w:val="15"/>
          <w:szCs w:val="15"/>
          <w:color w:val="auto"/>
        </w:rPr>
        <w:t>terms of this Agreement. In such event, the Company shall be subject to the same limitations and restrictions as apply to the Employee hereunder."</w:t>
      </w:r>
    </w:p>
    <w:p>
      <w:pPr>
        <w:spacing w:after="0" w:line="17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3. Effectiveness; Miscellaneous. (a) This Amendment shall become effective as of the date first set forth above.</w:t>
      </w:r>
    </w:p>
    <w:p>
      <w:pPr>
        <w:spacing w:after="0" w:line="172" w:lineRule="exact"/>
        <w:rPr>
          <w:sz w:val="20"/>
          <w:szCs w:val="20"/>
          <w:color w:val="auto"/>
        </w:rPr>
      </w:pPr>
    </w:p>
    <w:p>
      <w:pPr>
        <w:ind w:left="3000" w:hanging="702"/>
        <w:spacing w:after="0"/>
        <w:tabs>
          <w:tab w:leader="none" w:pos="3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entire</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understanding of the parties with respect to the subject matter hereof and supersedes any and all prior agreements and understandings, oral or written, relating to the subject matter hereof.</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headings used herein are for</w:t>
      </w:r>
    </w:p>
    <w:p>
      <w:pPr>
        <w:spacing w:after="0" w:line="3" w:lineRule="exact"/>
        <w:rPr>
          <w:rFonts w:ascii="Courier New" w:cs="Courier New" w:eastAsia="Courier New" w:hAnsi="Courier New"/>
          <w:sz w:val="15"/>
          <w:szCs w:val="15"/>
          <w:color w:val="auto"/>
        </w:rPr>
      </w:pPr>
    </w:p>
    <w:p>
      <w:pPr>
        <w:ind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only and are not to affect the construction of, or to be taken into consideration in interpreting, this Amendment.</w:t>
      </w:r>
    </w:p>
    <w:p>
      <w:pPr>
        <w:spacing w:after="0" w:line="174" w:lineRule="exact"/>
        <w:rPr>
          <w:rFonts w:ascii="Courier New" w:cs="Courier New" w:eastAsia="Courier New" w:hAnsi="Courier New"/>
          <w:sz w:val="15"/>
          <w:szCs w:val="15"/>
          <w:color w:val="auto"/>
        </w:rPr>
      </w:pPr>
    </w:p>
    <w:p>
      <w:pPr>
        <w:jc w:val="both"/>
        <w:ind w:right="3579" w:firstLine="2298"/>
        <w:spacing w:after="0" w:line="239" w:lineRule="auto"/>
        <w:tabs>
          <w:tab w:leader="none" w:pos="301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reference to a party hereto shall be deemed to include its successors and assigns, all of whom shall be bound by this Amendment and to whose benefit the provisions of this Amendment shall inure.</w:t>
      </w:r>
    </w:p>
    <w:p>
      <w:pPr>
        <w:spacing w:after="0" w:line="173"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w:t>
      </w:r>
    </w:p>
    <w:p>
      <w:pPr>
        <w:spacing w:after="0" w:line="3" w:lineRule="exact"/>
        <w:rPr>
          <w:rFonts w:ascii="Courier New" w:cs="Courier New" w:eastAsia="Courier New" w:hAnsi="Courier New"/>
          <w:sz w:val="15"/>
          <w:szCs w:val="15"/>
          <w:color w:val="auto"/>
        </w:rPr>
      </w:pPr>
    </w:p>
    <w:p>
      <w:pPr>
        <w:ind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counterparts, each of which shall be an original but all of which, when taken together, shall constitute but one instrument.</w:t>
      </w:r>
    </w:p>
    <w:p>
      <w:pPr>
        <w:spacing w:after="0" w:line="172" w:lineRule="exact"/>
        <w:rPr>
          <w:rFonts w:ascii="Courier New" w:cs="Courier New" w:eastAsia="Courier New" w:hAnsi="Courier New"/>
          <w:sz w:val="15"/>
          <w:szCs w:val="15"/>
          <w:color w:val="auto"/>
        </w:rPr>
      </w:pPr>
    </w:p>
    <w:p>
      <w:pPr>
        <w:ind w:left="3000" w:hanging="702"/>
        <w:spacing w:after="0"/>
        <w:tabs>
          <w:tab w:leader="none" w:pos="3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or modified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hereby, the Option Agreement shall continue in full force and effect in accordance with the provisions thereof. As used therein, the terms "Agreement", "herein", "hereunder", "hereinafter", "hereto", "hereof" and words of similar import shall, unless the context otherwise requires, refer to the Agreement as amended hereby.</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signed individually or by its duly authorized officer, as the case may be, as of the day and year first above written.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LEAR SEATING CORPORATION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Name:</w:t>
        <w:tab/>
        <w:t>Joseph F. McCarthy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Vice President,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Secretary and</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General Counsel</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James A. Hollars</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James A. Hollars</w:t>
      </w:r>
    </w:p>
    <w:p>
      <w:pPr>
        <w:sectPr>
          <w:pgSz w:w="11900" w:h="16838" w:orient="portrait"/>
          <w:cols w:equalWidth="0" w:num="1">
            <w:col w:w="10219"/>
          </w:cols>
          <w:pgMar w:left="240" w:top="28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DEC-31-1995</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JAN-01-1995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JUL-01-1995</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700</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111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959</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545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181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1855</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1042</w:t>
      </w:r>
    </w:p>
    <w:p>
      <w:pPr>
        <w:spacing w:after="0" w:line="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460</w:t>
      </w:r>
    </w:p>
    <w:p>
      <w:pPr>
        <w:spacing w:after="0" w:line="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246</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1855</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2186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2186</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2015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2015</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29</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81</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.92</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Roman"/>
      <w:start w:val="10"/>
    </w:lvl>
  </w:abstractNum>
  <w:abstractNum w:abstractNumId="1">
    <w:nsid w:val="1190CDE7"/>
    <w:multiLevelType w:val="hybridMultilevel"/>
    <w:lvl w:ilvl="0">
      <w:lvlJc w:val="left"/>
      <w:lvlText w:val="(%1)"/>
      <w:numFmt w:val="decimal"/>
      <w:start w:val="3"/>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27"/>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lowerRoman"/>
      <w:start w:val="2"/>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2019-12-13T18:18:30Z</dcterms:created>
  <dcterms:modified xsi:type="dcterms:W3CDTF">2019-12-13T18:18:30Z</dcterms:modified>
</cp:coreProperties>
</file>