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Lear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73"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46"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-3096260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-2650490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-2067560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-1621790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-1176020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605" w:gutter="0" w:footer="0" w:header="0"/>
        </w:sectPr>
      </w:pPr>
    </w:p>
    <w:bookmarkStart w:id="1" w:name="page2"/>
    <w:bookmarkEnd w:id="1"/>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53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-584835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440" w:top="125"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402590</wp:posOffset>
            </wp:positionV>
            <wp:extent cx="165417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21557 Telegraph Road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Southfield, Michigan 48033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5, 2021</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w:t>
      </w:r>
    </w:p>
    <w:p>
      <w:pPr>
        <w:spacing w:after="0" w:line="113" w:lineRule="exact"/>
        <w:rPr>
          <w:sz w:val="20"/>
          <w:szCs w:val="20"/>
          <w:color w:val="auto"/>
        </w:rPr>
      </w:pPr>
    </w:p>
    <w:p>
      <w:pPr>
        <w:ind w:left="120" w:right="280"/>
        <w:spacing w:after="0" w:line="249" w:lineRule="auto"/>
        <w:rPr>
          <w:sz w:val="20"/>
          <w:szCs w:val="20"/>
          <w:color w:val="auto"/>
        </w:rPr>
      </w:pPr>
      <w:r>
        <w:rPr>
          <w:rFonts w:ascii="Arial" w:cs="Arial" w:eastAsia="Arial" w:hAnsi="Arial"/>
          <w:sz w:val="16"/>
          <w:szCs w:val="16"/>
          <w:color w:val="auto"/>
        </w:rPr>
        <w:t>On behalf of the Board of Directors of Lear Corporation, you are cordially invited to attend the 2021 Annual Meeting of Stockholders (the “Annual Meeting”) to be held through a virtual web conference at www.virtualshareholdermeeting.com/LEA2021 on May 20, 2021, at 9:00 a.m. (Eastern Time). You will be able to attend the Annual Meeting online, vote your shares electronically, and submit questions in advance of and during the meeting by logging in to the website listed above using the 16-digit control number included in your Notice of Internet Availability of Proxy Materials, on your proxy card, or on any additional voting instructions accompanying these proxy materials. We recommend that you log in a few minutes before the meeting to ensure you are admitted when the meeting starts.</w:t>
      </w:r>
    </w:p>
    <w:p>
      <w:pPr>
        <w:spacing w:after="0" w:line="97"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In light of the COVID-19 (Coronavirus) pandemic, to support the health and well-being of our stockholders, employees and directors, and taking into account federal, state and local guidance, as well as guidance from the Centers for Disease Control and Prevention and the World Health Organization, our Annual Meeting will be held in virtual format only, via live webcast, with no physical, in-person meeting. The health and well-being of our employees and stockholders is our top priority. We have adopted this technology as a part of our effort to maintain a safe and healthy environment for our directors, employees and shareholders who wish to attend the Annual Meeting.</w:t>
      </w:r>
    </w:p>
    <w:p>
      <w:pPr>
        <w:spacing w:after="0" w:line="95"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 (the “SEC”).</w:t>
      </w:r>
    </w:p>
    <w:p>
      <w:pPr>
        <w:spacing w:after="0" w:line="93"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We are delivering our proxy statement and annual report pursuant to the SEC rules that allow companies to furnish proxy materials to their stockholders over the Internet. We believe that this delivery method expedites stockholders’ receipt of proxy materials and lowers the cost and environmental impact of our Annual Meeting. On or about April 6, 2021, we will mail to our stockholders a notice containing instructions on how to access our proxy materials. In addition, the notice includes instructions on how you can receive a paper copy of our proxy materials.</w:t>
      </w:r>
    </w:p>
    <w:p>
      <w:pPr>
        <w:spacing w:after="0" w:line="94"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and to transact any other business properly brought before the meeting.</w:t>
      </w:r>
    </w:p>
    <w:p>
      <w:pPr>
        <w:spacing w:after="0" w:line="73"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color w:val="auto"/>
        </w:rPr>
        <w:t>As always, we encourage you to vote your shares prior to the Annual Meeting. You may vote your shares through one of the methods described in the enclosed proxy statement. We strongly urge you to read the accompanying proxy statement carefully and to vote FOR the nominees proposed by the Board of Directors and in accordance with the recommendations of the Board of Directors on the other proposals by following the voting instructions contained in the proxy statement.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113665</wp:posOffset>
            </wp:positionV>
            <wp:extent cx="188595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0" cy="43688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130810</wp:posOffset>
            </wp:positionV>
            <wp:extent cx="1234440"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4197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Gregory C. Smith</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Raymond E. Scott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00" w:lineRule="exact"/>
        <w:rPr>
          <w:sz w:val="20"/>
          <w:szCs w:val="20"/>
          <w:color w:val="auto"/>
        </w:rPr>
      </w:pPr>
    </w:p>
    <w:p>
      <w:pPr>
        <w:sectPr>
          <w:pgSz w:w="11900" w:h="16838" w:orient="portrait"/>
          <w:cols w:equalWidth="0" w:num="2">
            <w:col w:w="5180" w:space="720"/>
            <w:col w:w="5240"/>
          </w:cols>
          <w:pgMar w:left="320" w:top="459" w:right="43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proxy statement is dated April 5, 2021, and is first being made available to stockholders via the Internet on or about April 6, 2021.</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402590</wp:posOffset>
            </wp:positionV>
            <wp:extent cx="165417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21557 Telegraph Road</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Southfield, Michigan 48033</w:t>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NOTICE OF ANNUAL MEETING OF STOCKHOLDERS</w:t>
      </w:r>
    </w:p>
    <w:p>
      <w:pPr>
        <w:sectPr>
          <w:pgSz w:w="11900" w:h="16838" w:orient="portrait"/>
          <w:cols w:equalWidth="0" w:num="1">
            <w:col w:w="11040"/>
          </w:cols>
          <w:pgMar w:left="320" w:top="459" w:right="5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Time and Date: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Thursday, May 20, 2021, at 9:00 a.m. (Eastern Time)</w:t>
      </w:r>
    </w:p>
    <w:p>
      <w:pPr>
        <w:spacing w:after="0" w:line="200"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Place: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Online check-in will be available beginning at 8:30 a.m. (Eastern Time). Please allow ample time for the online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check-in process.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light of COVID-19, this year’s Annual Meeting will be held through a virtual web conference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www.virtualshareholdermeeting.com/LEA2021.</w:t>
      </w:r>
    </w:p>
    <w:p>
      <w:pPr>
        <w:spacing w:after="0" w:line="200"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spacing w:after="0" w:line="29" w:lineRule="exact"/>
        <w:rPr>
          <w:sz w:val="20"/>
          <w:szCs w:val="20"/>
          <w:color w:val="auto"/>
        </w:rPr>
      </w:pPr>
    </w:p>
    <w:p>
      <w:pPr>
        <w:ind w:left="2880" w:right="220"/>
        <w:spacing w:after="0" w:line="235" w:lineRule="auto"/>
        <w:rPr>
          <w:sz w:val="20"/>
          <w:szCs w:val="20"/>
          <w:color w:val="auto"/>
        </w:rPr>
      </w:pPr>
      <w:r>
        <w:rPr>
          <w:rFonts w:ascii="Arial" w:cs="Arial" w:eastAsia="Arial" w:hAnsi="Arial"/>
          <w:sz w:val="15"/>
          <w:szCs w:val="15"/>
          <w:color w:val="auto"/>
        </w:rPr>
        <w:t>To participate in the Annual Meeting, you will need your 16-digit control number included in your Notice of Internet Availability of the Proxy Materials, on your proxy card, or any additional voting instructions accompanying these Proxy Materials.</w:t>
      </w:r>
    </w:p>
    <w:p>
      <w:pPr>
        <w:sectPr>
          <w:pgSz w:w="11900" w:h="16838" w:orient="portrait"/>
          <w:cols w:equalWidth="0" w:num="1">
            <w:col w:w="11040"/>
          </w:cols>
          <w:pgMar w:left="320" w:top="459" w:right="539" w:bottom="1440" w:gutter="0" w:footer="0" w:header="0"/>
          <w:type w:val="continuous"/>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Record Date: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March 26, 2021</w:t>
      </w:r>
    </w:p>
    <w:p>
      <w:pPr>
        <w:spacing w:after="0" w:line="93"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i w:val="1"/>
          <w:iCs w:val="1"/>
          <w:color w:val="auto"/>
        </w:rPr>
        <w:t>Items of Business:</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1.</w:t>
        <w:tab/>
        <w:t>To elect the following ten nominees to the Board of Directors: Mei-Wei Cheng, Jonathan F. Foster, Bradley M.</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Halverson, Mary Lou Jepsen, Roger A. Krone, Patricia L. Lewis, Kathleen A. Ligocki, Conrad L. Mallett, Jr.,</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Raymond E. Scott and Gregory C. Smith;</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2.</w:t>
        <w:tab/>
        <w:t>To ratify the retention of Ernst &amp; Young LLP as the Company’s registered public accounting firm for 2021;</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3.</w:t>
        <w:tab/>
        <w:t>To approve, in a non-binding advisory vote, executive compensation; and</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4.</w:t>
        <w:tab/>
        <w:t>To conduct any other business properly brought before the Annual Meeting or any postponement thereof.</w:t>
      </w:r>
    </w:p>
    <w:p>
      <w:pPr>
        <w:spacing w:after="0" w:line="107"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i w:val="1"/>
          <w:iCs w:val="1"/>
          <w:color w:val="auto"/>
        </w:rPr>
        <w:t>Proxy Voting:</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b w:val="1"/>
          <w:bCs w:val="1"/>
          <w:color w:val="auto"/>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p>
      <w:pPr>
        <w:spacing w:after="0" w:line="200" w:lineRule="exact"/>
        <w:rPr>
          <w:sz w:val="20"/>
          <w:szCs w:val="20"/>
          <w:color w:val="auto"/>
        </w:rPr>
      </w:pPr>
    </w:p>
    <w:p>
      <w:pPr>
        <w:sectPr>
          <w:pgSz w:w="11900" w:h="16838" w:orient="portrait"/>
          <w:cols w:equalWidth="0" w:num="2">
            <w:col w:w="2160" w:space="720"/>
            <w:col w:w="8160"/>
          </w:cols>
          <w:pgMar w:left="320" w:top="459" w:right="539" w:bottom="1440" w:gutter="0" w:footer="0" w:header="0"/>
          <w:type w:val="continuous"/>
        </w:sectPr>
      </w:pPr>
    </w:p>
    <w:p>
      <w:pPr>
        <w:spacing w:after="0" w:line="2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113665</wp:posOffset>
            </wp:positionV>
            <wp:extent cx="140589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Harry A. Kemp</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Senior Vice President, General Counsel and Corporate Secretary</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April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162560</wp:posOffset>
            </wp:positionV>
            <wp:extent cx="6998970" cy="844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844550"/>
                    </a:xfrm>
                    <a:prstGeom prst="rect">
                      <a:avLst/>
                    </a:prstGeom>
                    <a:noFill/>
                  </pic:spPr>
                </pic:pic>
              </a:graphicData>
            </a:graphic>
          </wp:anchor>
        </w:drawing>
      </w: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33" w:lineRule="exact"/>
        <w:rPr>
          <w:sz w:val="20"/>
          <w:szCs w:val="20"/>
          <w:color w:val="auto"/>
        </w:rPr>
      </w:pPr>
    </w:p>
    <w:p>
      <w:pPr>
        <w:ind w:left="240" w:right="240"/>
        <w:spacing w:after="0" w:line="251" w:lineRule="auto"/>
        <w:rPr>
          <w:sz w:val="20"/>
          <w:szCs w:val="20"/>
          <w:color w:val="auto"/>
        </w:rPr>
      </w:pPr>
      <w:r>
        <w:rPr>
          <w:rFonts w:ascii="Arial" w:cs="Arial" w:eastAsia="Arial" w:hAnsi="Arial"/>
          <w:sz w:val="16"/>
          <w:szCs w:val="16"/>
          <w:color w:val="auto"/>
        </w:rPr>
        <w:t>We are making this proxy statement and our annual report available to stockholders electronically via the Internet. On or about April 6, 2021, we will mail to most of our stockholders a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6, 2021.</w:t>
      </w:r>
    </w:p>
    <w:p>
      <w:pPr>
        <w:sectPr>
          <w:pgSz w:w="11900" w:h="16838" w:orient="portrait"/>
          <w:cols w:equalWidth="0" w:num="1">
            <w:col w:w="11040"/>
          </w:cols>
          <w:pgMar w:left="320" w:top="459" w:right="5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505460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7480"/>
        <w:spacing w:after="0"/>
        <w:rPr>
          <w:sz w:val="20"/>
          <w:szCs w:val="20"/>
          <w:color w:val="auto"/>
        </w:rPr>
      </w:pPr>
      <w:r>
        <w:rPr>
          <w:rFonts w:ascii="Arial" w:cs="Arial" w:eastAsia="Arial" w:hAnsi="Arial"/>
          <w:sz w:val="32"/>
          <w:szCs w:val="32"/>
          <w:b w:val="1"/>
          <w:bCs w:val="1"/>
          <w:color w:val="E2231A"/>
        </w:rPr>
        <w:t>Table of Contents</w:t>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2021 PROXY STATEMENT SUMMARY</w:t>
              </w:r>
            </w:hyperlink>
          </w:p>
        </w:tc>
        <w:tc>
          <w:tcPr>
            <w:tcW w:w="480" w:type="dxa"/>
            <w:vAlign w:val="bottom"/>
          </w:tcPr>
          <w:p>
            <w:pPr>
              <w:jc w:val="right"/>
              <w:ind w:right="9"/>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gridSpan w:val="3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2021 Annual Meeting of Stockholders</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0000EE"/>
            </w:tcBorders>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Items to be Voted on</w:t>
              </w:r>
            </w:hyperlink>
          </w:p>
        </w:tc>
        <w:tc>
          <w:tcPr>
            <w:tcW w:w="1280" w:type="dxa"/>
            <w:vAlign w:val="bottom"/>
            <w:gridSpan w:val="12"/>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Director Nominees</w:t>
              </w:r>
            </w:hyperlink>
          </w:p>
        </w:tc>
        <w:tc>
          <w:tcPr>
            <w:tcW w:w="160" w:type="dxa"/>
            <w:vAlign w:val="bottom"/>
            <w:tcBorders>
              <w:top w:val="single" w:sz="8" w:color="0000EE"/>
            </w:tcBorders>
            <w:gridSpan w:val="4"/>
          </w:tcPr>
          <w:p>
            <w:pPr>
              <w:spacing w:after="0"/>
              <w:rPr>
                <w:sz w:val="18"/>
                <w:szCs w:val="18"/>
                <w:color w:val="auto"/>
              </w:rPr>
            </w:pPr>
          </w:p>
        </w:tc>
        <w:tc>
          <w:tcPr>
            <w:tcW w:w="2620" w:type="dxa"/>
            <w:vAlign w:val="bottom"/>
            <w:gridSpan w:val="23"/>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Executive Compensation Highlights</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Environmental, Social and Governance Highlights</w:t>
              </w:r>
            </w:hyperlink>
          </w:p>
        </w:tc>
        <w:tc>
          <w:tcPr>
            <w:tcW w:w="30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for 2020</w:t>
              </w:r>
            </w:hyperlink>
          </w:p>
        </w:tc>
        <w:tc>
          <w:tcPr>
            <w:tcW w:w="3420" w:type="dxa"/>
            <w:vAlign w:val="bottom"/>
            <w:gridSpan w:val="31"/>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260" w:type="dxa"/>
            <w:vAlign w:val="bottom"/>
            <w:gridSpan w:val="36"/>
          </w:tcPr>
          <w:p>
            <w:pPr>
              <w:spacing w:after="0"/>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ELECTION OF DIRECTORS (PROPOSAL NO.</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tcBorders>
            <w:gridSpan w:val="4"/>
          </w:tcPr>
          <w:p>
            <w:pPr>
              <w:ind w:left="180"/>
              <w:spacing w:after="0" w:line="183" w:lineRule="exact"/>
              <w:rPr>
                <w:rFonts w:ascii="Arial" w:cs="Arial" w:eastAsia="Arial" w:hAnsi="Arial"/>
                <w:sz w:val="19"/>
                <w:szCs w:val="19"/>
                <w:b w:val="1"/>
                <w:bCs w:val="1"/>
                <w:color w:val="0000EE"/>
              </w:rPr>
            </w:pPr>
            <w:hyperlink w:anchor="page11">
              <w:r>
                <w:rPr>
                  <w:rFonts w:ascii="Arial" w:cs="Arial" w:eastAsia="Arial" w:hAnsi="Arial"/>
                  <w:sz w:val="19"/>
                  <w:szCs w:val="19"/>
                  <w:b w:val="1"/>
                  <w:bCs w:val="1"/>
                  <w:color w:val="0000EE"/>
                </w:rPr>
                <w:t>1)</w:t>
              </w:r>
            </w:hyperlink>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9"/>
              <w:spacing w:after="0" w:line="183" w:lineRule="exact"/>
              <w:rPr>
                <w:sz w:val="20"/>
                <w:szCs w:val="20"/>
                <w:color w:val="auto"/>
              </w:rPr>
            </w:pP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260" w:type="dxa"/>
            <w:vAlign w:val="bottom"/>
            <w:gridSpan w:val="36"/>
          </w:tcPr>
          <w:p>
            <w:pPr>
              <w:spacing w:after="0"/>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DIRECTORS AND CORPORATE</w:t>
              </w:r>
            </w:hyperlink>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21"/>
          </w:tcPr>
          <w:p>
            <w:pPr>
              <w:spacing w:after="0" w:line="196" w:lineRule="exact"/>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GOVERNANCE</w:t>
              </w:r>
            </w:hyperlink>
          </w:p>
        </w:tc>
        <w:tc>
          <w:tcPr>
            <w:tcW w:w="3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Director Biographical Information and Qualifications</w:t>
              </w:r>
            </w:hyperlink>
          </w:p>
        </w:tc>
        <w:tc>
          <w:tcPr>
            <w:tcW w:w="160" w:type="dxa"/>
            <w:vAlign w:val="bottom"/>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Criteria for Selection of Directors</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tcBorders>
              <w:top w:val="single" w:sz="8" w:color="0000EE"/>
            </w:tcBorders>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Board Composition</w:t>
              </w:r>
            </w:hyperlink>
          </w:p>
        </w:tc>
        <w:tc>
          <w:tcPr>
            <w:tcW w:w="1680" w:type="dxa"/>
            <w:vAlign w:val="bottom"/>
            <w:gridSpan w:val="15"/>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Recommendation of Directors by Stockholders</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0000EE"/>
            </w:tcBorders>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Independence of Directors</w:t>
              </w:r>
            </w:hyperlink>
          </w:p>
        </w:tc>
        <w:tc>
          <w:tcPr>
            <w:tcW w:w="560" w:type="dxa"/>
            <w:vAlign w:val="bottom"/>
            <w:gridSpan w:val="6"/>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Board’s Role in Risk Oversight</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Environmental, Social and Governance</w:t>
              </w:r>
            </w:hyperlink>
          </w:p>
        </w:tc>
        <w:tc>
          <w:tcPr>
            <w:tcW w:w="1140" w:type="dxa"/>
            <w:vAlign w:val="bottom"/>
            <w:gridSpan w:val="11"/>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Board Information</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Director Compensation</w:t>
              </w:r>
            </w:hyperlink>
          </w:p>
        </w:tc>
        <w:tc>
          <w:tcPr>
            <w:tcW w:w="80" w:type="dxa"/>
            <w:vAlign w:val="bottom"/>
            <w:tcBorders>
              <w:top w:val="single" w:sz="8" w:color="0000EE"/>
            </w:tcBorders>
          </w:tcPr>
          <w:p>
            <w:pPr>
              <w:spacing w:after="0"/>
              <w:rPr>
                <w:sz w:val="18"/>
                <w:szCs w:val="18"/>
                <w:color w:val="auto"/>
              </w:rPr>
            </w:pPr>
          </w:p>
        </w:tc>
        <w:tc>
          <w:tcPr>
            <w:tcW w:w="2340" w:type="dxa"/>
            <w:vAlign w:val="bottom"/>
            <w:gridSpan w:val="21"/>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Security Ownership of Certain Beneficial Owners,</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7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Directors and Management</w:t>
              </w:r>
            </w:hyperlink>
          </w:p>
        </w:tc>
        <w:tc>
          <w:tcPr>
            <w:tcW w:w="340" w:type="dxa"/>
            <w:vAlign w:val="bottom"/>
            <w:gridSpan w:val="4"/>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60" w:type="dxa"/>
            <w:vAlign w:val="bottom"/>
            <w:gridSpan w:val="36"/>
          </w:tcPr>
          <w:p>
            <w:pPr>
              <w:spacing w:after="0"/>
              <w:rPr>
                <w:rFonts w:ascii="Arial" w:cs="Arial" w:eastAsia="Arial" w:hAnsi="Arial"/>
                <w:sz w:val="19"/>
                <w:szCs w:val="19"/>
                <w:b w:val="1"/>
                <w:bCs w:val="1"/>
                <w:color w:val="0000EE"/>
              </w:rPr>
            </w:pPr>
            <w:hyperlink w:anchor="page37">
              <w:r>
                <w:rPr>
                  <w:rFonts w:ascii="Arial" w:cs="Arial" w:eastAsia="Arial" w:hAnsi="Arial"/>
                  <w:sz w:val="19"/>
                  <w:szCs w:val="19"/>
                  <w:b w:val="1"/>
                  <w:bCs w:val="1"/>
                  <w:color w:val="0000EE"/>
                </w:rPr>
                <w:t>COMPENSATION DISCUSSION AND</w:t>
              </w:r>
            </w:hyperlink>
          </w:p>
        </w:tc>
        <w:tc>
          <w:tcPr>
            <w:tcW w:w="48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gridSpan w:val="24"/>
          </w:tcPr>
          <w:p>
            <w:pPr>
              <w:spacing w:after="0" w:line="196" w:lineRule="exact"/>
              <w:rPr>
                <w:rFonts w:ascii="Arial" w:cs="Arial" w:eastAsia="Arial" w:hAnsi="Arial"/>
                <w:sz w:val="19"/>
                <w:szCs w:val="19"/>
                <w:b w:val="1"/>
                <w:bCs w:val="1"/>
                <w:color w:val="0000EE"/>
              </w:rPr>
            </w:pPr>
            <w:hyperlink w:anchor="page37">
              <w:r>
                <w:rPr>
                  <w:rFonts w:ascii="Arial" w:cs="Arial" w:eastAsia="Arial" w:hAnsi="Arial"/>
                  <w:sz w:val="19"/>
                  <w:szCs w:val="19"/>
                  <w:b w:val="1"/>
                  <w:bCs w:val="1"/>
                  <w:color w:val="0000EE"/>
                </w:rPr>
                <w:t>ANALYSIS</w:t>
              </w:r>
            </w:hyperlink>
          </w:p>
        </w:tc>
        <w:tc>
          <w:tcPr>
            <w:tcW w:w="4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420" w:type="dxa"/>
            <w:vAlign w:val="bottom"/>
            <w:gridSpan w:val="5"/>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gridSpan w:val="3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Named Executive Officers</w:t>
              </w:r>
            </w:hyperlink>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EE"/>
            </w:tcBorders>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Executive Summary</w:t>
              </w:r>
            </w:hyperlink>
          </w:p>
        </w:tc>
        <w:tc>
          <w:tcPr>
            <w:tcW w:w="2160" w:type="dxa"/>
            <w:vAlign w:val="bottom"/>
            <w:gridSpan w:val="20"/>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Impact of the COVID-19 Pandemic</w:t>
              </w:r>
            </w:hyperlink>
          </w:p>
        </w:tc>
        <w:tc>
          <w:tcPr>
            <w:tcW w:w="1500" w:type="dxa"/>
            <w:vAlign w:val="bottom"/>
            <w:gridSpan w:val="14"/>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Pay-Performance Alignment</w:t>
              </w:r>
            </w:hyperlink>
          </w:p>
        </w:tc>
        <w:tc>
          <w:tcPr>
            <w:tcW w:w="2020" w:type="dxa"/>
            <w:vAlign w:val="bottom"/>
            <w:gridSpan w:val="18"/>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0000EE"/>
            </w:tcBorders>
            <w:gridSpan w:val="31"/>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2020 Advisory Vote on Executive Compensation</w:t>
              </w:r>
            </w:hyperlink>
          </w:p>
        </w:tc>
        <w:tc>
          <w:tcPr>
            <w:tcW w:w="420" w:type="dxa"/>
            <w:vAlign w:val="bottom"/>
            <w:gridSpan w:val="5"/>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Benchmarking</w:t>
              </w:r>
            </w:hyperlink>
          </w:p>
        </w:tc>
        <w:tc>
          <w:tcPr>
            <w:tcW w:w="3120" w:type="dxa"/>
            <w:vAlign w:val="bottom"/>
            <w:gridSpan w:val="28"/>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Total Compensation Review</w:t>
              </w:r>
            </w:hyperlink>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00" w:type="dxa"/>
            <w:vAlign w:val="bottom"/>
            <w:gridSpan w:val="11"/>
            <w:shd w:val="clear" w:color="auto" w:fill="0000EE"/>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Role of Management in Setting Compensation</w:t>
              </w:r>
            </w:hyperlink>
          </w:p>
        </w:tc>
        <w:tc>
          <w:tcPr>
            <w:tcW w:w="58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Levels</w:t>
              </w:r>
            </w:hyperlink>
          </w:p>
        </w:tc>
        <w:tc>
          <w:tcPr>
            <w:tcW w:w="3560" w:type="dxa"/>
            <w:vAlign w:val="bottom"/>
            <w:gridSpan w:val="32"/>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Discretion of Compensation Committee</w:t>
              </w:r>
            </w:hyperlink>
          </w:p>
        </w:tc>
        <w:tc>
          <w:tcPr>
            <w:tcW w:w="1140" w:type="dxa"/>
            <w:vAlign w:val="bottom"/>
            <w:gridSpan w:val="11"/>
          </w:tcPr>
          <w:p>
            <w:pPr>
              <w:spacing w:after="0"/>
              <w:rPr>
                <w:sz w:val="18"/>
                <w:szCs w:val="18"/>
                <w:color w:val="auto"/>
              </w:rPr>
            </w:pPr>
          </w:p>
        </w:tc>
        <w:tc>
          <w:tcPr>
            <w:tcW w:w="480" w:type="dxa"/>
            <w:vAlign w:val="bottom"/>
          </w:tcPr>
          <w:p>
            <w:pPr>
              <w:jc w:val="right"/>
              <w:ind w:right="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3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Executive Compensation Objectives and Core</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Elements</w:t>
              </w:r>
            </w:hyperlink>
          </w:p>
        </w:tc>
        <w:tc>
          <w:tcPr>
            <w:tcW w:w="2740" w:type="dxa"/>
            <w:vAlign w:val="bottom"/>
            <w:tcBorders>
              <w:top w:val="single" w:sz="8" w:color="0000EE"/>
            </w:tcBorders>
            <w:gridSpan w:val="22"/>
          </w:tcPr>
          <w:p>
            <w:pPr>
              <w:spacing w:after="0"/>
              <w:rPr>
                <w:sz w:val="15"/>
                <w:szCs w:val="15"/>
                <w:color w:val="auto"/>
              </w:rPr>
            </w:pPr>
          </w:p>
        </w:tc>
        <w:tc>
          <w:tcPr>
            <w:tcW w:w="600" w:type="dxa"/>
            <w:vAlign w:val="bottom"/>
            <w:gridSpan w:val="8"/>
          </w:tcPr>
          <w:p>
            <w:pPr>
              <w:spacing w:after="0"/>
              <w:rPr>
                <w:sz w:val="15"/>
                <w:szCs w:val="15"/>
                <w:color w:val="auto"/>
              </w:rPr>
            </w:pPr>
          </w:p>
        </w:tc>
        <w:tc>
          <w:tcPr>
            <w:tcW w:w="480" w:type="dxa"/>
            <w:vAlign w:val="bottom"/>
          </w:tcPr>
          <w:p>
            <w:pPr>
              <w:jc w:val="right"/>
              <w:ind w:right="9"/>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3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 Stock Ownership Guidelines</w:t>
              </w:r>
            </w:hyperlink>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1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Equity Award Policy</w:t>
              </w:r>
            </w:hyperlink>
          </w:p>
        </w:tc>
        <w:tc>
          <w:tcPr>
            <w:tcW w:w="1760" w:type="dxa"/>
            <w:vAlign w:val="bottom"/>
            <w:tcBorders>
              <w:top w:val="single" w:sz="8" w:color="0000EE"/>
            </w:tcBorders>
            <w:gridSpan w:val="14"/>
          </w:tcPr>
          <w:p>
            <w:pPr>
              <w:spacing w:after="0"/>
              <w:rPr>
                <w:sz w:val="18"/>
                <w:szCs w:val="18"/>
                <w:color w:val="auto"/>
              </w:rPr>
            </w:pPr>
          </w:p>
        </w:tc>
        <w:tc>
          <w:tcPr>
            <w:tcW w:w="1000" w:type="dxa"/>
            <w:vAlign w:val="bottom"/>
            <w:gridSpan w:val="13"/>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Employment Agreements/Termination/Change in</w:t>
              </w:r>
            </w:hyperlink>
          </w:p>
        </w:tc>
        <w:tc>
          <w:tcPr>
            <w:tcW w:w="48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gridSpan w:val="3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Control Benefits</w:t>
              </w:r>
            </w:hyperlink>
          </w:p>
        </w:tc>
        <w:tc>
          <w:tcPr>
            <w:tcW w:w="500" w:type="dxa"/>
            <w:vAlign w:val="bottom"/>
          </w:tcPr>
          <w:p>
            <w:pPr>
              <w:jc w:val="right"/>
              <w:ind w:right="9"/>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Health, Welfare and Certain Other Benefits</w:t>
              </w:r>
            </w:hyperlink>
          </w:p>
        </w:tc>
        <w:tc>
          <w:tcPr>
            <w:tcW w:w="920" w:type="dxa"/>
            <w:vAlign w:val="bottom"/>
            <w:gridSpan w:val="10"/>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13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Clawback Policy</w:t>
              </w:r>
            </w:hyperlink>
          </w:p>
        </w:tc>
        <w:tc>
          <w:tcPr>
            <w:tcW w:w="3040" w:type="dxa"/>
            <w:vAlign w:val="bottom"/>
            <w:gridSpan w:val="29"/>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17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Hedging and Pledging</w:t>
              </w:r>
            </w:hyperlink>
          </w:p>
        </w:tc>
        <w:tc>
          <w:tcPr>
            <w:tcW w:w="2580" w:type="dxa"/>
            <w:vAlign w:val="bottom"/>
            <w:gridSpan w:val="25"/>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Tax Treatment of Executive Compensation</w:t>
              </w:r>
            </w:hyperlink>
          </w:p>
        </w:tc>
        <w:tc>
          <w:tcPr>
            <w:tcW w:w="960" w:type="dxa"/>
            <w:vAlign w:val="bottom"/>
            <w:gridSpan w:val="12"/>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Impact of Accounting Treatment</w:t>
              </w:r>
            </w:hyperlink>
          </w:p>
        </w:tc>
        <w:tc>
          <w:tcPr>
            <w:tcW w:w="1800" w:type="dxa"/>
            <w:vAlign w:val="bottom"/>
            <w:gridSpan w:val="21"/>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72"/>
        </w:trPr>
        <w:tc>
          <w:tcPr>
            <w:tcW w:w="4360" w:type="dxa"/>
            <w:vAlign w:val="bottom"/>
            <w:gridSpan w:val="34"/>
          </w:tcPr>
          <w:p>
            <w:pPr>
              <w:spacing w:after="0"/>
              <w:rPr>
                <w:rFonts w:ascii="Arial" w:cs="Arial" w:eastAsia="Arial" w:hAnsi="Arial"/>
                <w:sz w:val="19"/>
                <w:szCs w:val="19"/>
                <w:b w:val="1"/>
                <w:bCs w:val="1"/>
                <w:color w:val="0000EE"/>
              </w:rPr>
            </w:pPr>
            <w:hyperlink w:anchor="page54">
              <w:r>
                <w:rPr>
                  <w:rFonts w:ascii="Arial" w:cs="Arial" w:eastAsia="Arial" w:hAnsi="Arial"/>
                  <w:sz w:val="19"/>
                  <w:szCs w:val="19"/>
                  <w:b w:val="1"/>
                  <w:bCs w:val="1"/>
                  <w:color w:val="0000EE"/>
                </w:rPr>
                <w:t>EXECUTIVE COMPENSATION</w:t>
              </w:r>
            </w:hyperlink>
          </w:p>
        </w:tc>
        <w:tc>
          <w:tcPr>
            <w:tcW w:w="500" w:type="dxa"/>
            <w:vAlign w:val="bottom"/>
          </w:tcPr>
          <w:p>
            <w:pPr>
              <w:jc w:val="right"/>
              <w:ind w:right="9"/>
              <w:spacing w:after="0"/>
              <w:rPr>
                <w:sz w:val="20"/>
                <w:szCs w:val="20"/>
                <w:color w:val="auto"/>
              </w:rPr>
            </w:pPr>
            <w:r>
              <w:rPr>
                <w:rFonts w:ascii="Arial" w:cs="Arial" w:eastAsia="Arial" w:hAnsi="Arial"/>
                <w:sz w:val="19"/>
                <w:szCs w:val="19"/>
                <w:b w:val="1"/>
                <w:bCs w:val="1"/>
                <w:color w:val="auto"/>
              </w:rPr>
              <w:t>48</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2020 Summary Compensation Table</w:t>
              </w:r>
            </w:hyperlink>
          </w:p>
        </w:tc>
        <w:tc>
          <w:tcPr>
            <w:tcW w:w="1440" w:type="dxa"/>
            <w:vAlign w:val="bottom"/>
            <w:gridSpan w:val="16"/>
          </w:tcPr>
          <w:p>
            <w:pPr>
              <w:spacing w:after="0"/>
              <w:rPr>
                <w:sz w:val="15"/>
                <w:szCs w:val="15"/>
                <w:color w:val="auto"/>
              </w:rPr>
            </w:pPr>
          </w:p>
        </w:tc>
        <w:tc>
          <w:tcPr>
            <w:tcW w:w="500" w:type="dxa"/>
            <w:vAlign w:val="bottom"/>
          </w:tcPr>
          <w:p>
            <w:pPr>
              <w:jc w:val="right"/>
              <w:ind w:right="9"/>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4360" w:type="dxa"/>
            <w:vAlign w:val="bottom"/>
            <w:gridSpan w:val="3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2020 Grants of Plan-Based Awards</w:t>
              </w:r>
            </w:hyperlink>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2020 Outstanding Equity Awards At Fiscal Year-End</w:t>
              </w:r>
            </w:hyperlink>
          </w:p>
        </w:tc>
        <w:tc>
          <w:tcPr>
            <w:tcW w:w="20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4360" w:type="dxa"/>
            <w:vAlign w:val="bottom"/>
            <w:gridSpan w:val="3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2020 Option Exercises and Stock Vested</w:t>
              </w:r>
            </w:hyperlink>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3260" w:type="dxa"/>
            <w:vAlign w:val="bottom"/>
            <w:tcBorders>
              <w:top w:val="single" w:sz="8" w:color="0000EE"/>
            </w:tcBorders>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2020 Pension Benefits</w:t>
              </w:r>
            </w:hyperlink>
          </w:p>
        </w:tc>
        <w:tc>
          <w:tcPr>
            <w:tcW w:w="1100" w:type="dxa"/>
            <w:vAlign w:val="bottom"/>
            <w:gridSpan w:val="14"/>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2020 Nonqualified Deferred Compensation</w:t>
              </w:r>
            </w:hyperlink>
          </w:p>
        </w:tc>
        <w:tc>
          <w:tcPr>
            <w:tcW w:w="940" w:type="dxa"/>
            <w:vAlign w:val="bottom"/>
            <w:gridSpan w:val="11"/>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0000EE"/>
            </w:tcBorders>
            <w:gridSpan w:val="32"/>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Potential Payments Upon Termination or Change in</w:t>
              </w:r>
            </w:hyperlink>
          </w:p>
        </w:tc>
        <w:tc>
          <w:tcPr>
            <w:tcW w:w="2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gridSpan w:val="3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Control</w:t>
              </w:r>
            </w:hyperlink>
          </w:p>
        </w:tc>
        <w:tc>
          <w:tcPr>
            <w:tcW w:w="500" w:type="dxa"/>
            <w:vAlign w:val="bottom"/>
          </w:tcPr>
          <w:p>
            <w:pPr>
              <w:jc w:val="right"/>
              <w:ind w:right="9"/>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Compensation and Risk</w:t>
              </w:r>
            </w:hyperlink>
          </w:p>
        </w:tc>
        <w:tc>
          <w:tcPr>
            <w:tcW w:w="2440" w:type="dxa"/>
            <w:vAlign w:val="bottom"/>
            <w:gridSpan w:val="23"/>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4360" w:type="dxa"/>
            <w:vAlign w:val="bottom"/>
            <w:gridSpan w:val="3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CEO Pay Ratio</w:t>
              </w:r>
            </w:hyperlink>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3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Executive Officer and Director Hedging Policy</w:t>
              </w:r>
            </w:hyperlink>
          </w:p>
        </w:tc>
        <w:tc>
          <w:tcPr>
            <w:tcW w:w="500" w:type="dxa"/>
            <w:vAlign w:val="bottom"/>
          </w:tcPr>
          <w:p>
            <w:pPr>
              <w:jc w:val="right"/>
              <w:ind w:right="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360" w:type="dxa"/>
            <w:vAlign w:val="bottom"/>
            <w:gridSpan w:val="34"/>
          </w:tcPr>
          <w:p>
            <w:pPr>
              <w:spacing w:after="0"/>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COMPENSATION COMMITTEE INTERLOCKS</w:t>
              </w:r>
            </w:hyperlink>
          </w:p>
        </w:tc>
        <w:tc>
          <w:tcPr>
            <w:tcW w:w="50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66</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0" w:type="dxa"/>
            <w:vAlign w:val="bottom"/>
            <w:tcBorders>
              <w:top w:val="single" w:sz="8" w:color="0000EE"/>
            </w:tcBorders>
            <w:gridSpan w:val="29"/>
          </w:tcPr>
          <w:p>
            <w:pPr>
              <w:spacing w:after="0" w:line="196" w:lineRule="exact"/>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AND INSIDER PARTICIPATION</w:t>
              </w:r>
            </w:hyperlink>
          </w:p>
        </w:tc>
        <w:tc>
          <w:tcPr>
            <w:tcW w:w="360" w:type="dxa"/>
            <w:vAlign w:val="bottom"/>
            <w:gridSpan w:val="3"/>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360" w:type="dxa"/>
            <w:vAlign w:val="bottom"/>
            <w:gridSpan w:val="34"/>
          </w:tcPr>
          <w:p>
            <w:pPr>
              <w:spacing w:after="0"/>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COMPENSATION COMMITTEE REPORT</w:t>
              </w:r>
            </w:hyperlink>
          </w:p>
        </w:tc>
        <w:tc>
          <w:tcPr>
            <w:tcW w:w="500" w:type="dxa"/>
            <w:vAlign w:val="bottom"/>
          </w:tcPr>
          <w:p>
            <w:pPr>
              <w:jc w:val="right"/>
              <w:ind w:right="9"/>
              <w:spacing w:after="0"/>
              <w:rPr>
                <w:sz w:val="20"/>
                <w:szCs w:val="20"/>
                <w:color w:val="auto"/>
              </w:rPr>
            </w:pPr>
            <w:r>
              <w:rPr>
                <w:rFonts w:ascii="Arial" w:cs="Arial" w:eastAsia="Arial" w:hAnsi="Arial"/>
                <w:sz w:val="19"/>
                <w:szCs w:val="19"/>
                <w:b w:val="1"/>
                <w:bCs w:val="1"/>
                <w:color w:val="auto"/>
              </w:rPr>
              <w:t>67</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60" w:type="dxa"/>
            <w:vAlign w:val="bottom"/>
            <w:gridSpan w:val="34"/>
          </w:tcPr>
          <w:p>
            <w:pPr>
              <w:spacing w:after="0"/>
              <w:rPr>
                <w:rFonts w:ascii="Arial" w:cs="Arial" w:eastAsia="Arial" w:hAnsi="Arial"/>
                <w:sz w:val="19"/>
                <w:szCs w:val="19"/>
                <w:b w:val="1"/>
                <w:bCs w:val="1"/>
                <w:color w:val="0000EE"/>
              </w:rPr>
            </w:pPr>
            <w:hyperlink w:anchor="page74">
              <w:r>
                <w:rPr>
                  <w:rFonts w:ascii="Arial" w:cs="Arial" w:eastAsia="Arial" w:hAnsi="Arial"/>
                  <w:sz w:val="19"/>
                  <w:szCs w:val="19"/>
                  <w:b w:val="1"/>
                  <w:bCs w:val="1"/>
                  <w:color w:val="0000EE"/>
                </w:rPr>
                <w:t>AUDIT COMMITTEE REPORT</w:t>
              </w:r>
            </w:hyperlink>
          </w:p>
        </w:tc>
        <w:tc>
          <w:tcPr>
            <w:tcW w:w="500" w:type="dxa"/>
            <w:vAlign w:val="bottom"/>
          </w:tcPr>
          <w:p>
            <w:pPr>
              <w:jc w:val="right"/>
              <w:ind w:right="9"/>
              <w:spacing w:after="0"/>
              <w:rPr>
                <w:sz w:val="20"/>
                <w:szCs w:val="20"/>
                <w:color w:val="auto"/>
              </w:rPr>
            </w:pPr>
            <w:r>
              <w:rPr>
                <w:rFonts w:ascii="Arial" w:cs="Arial" w:eastAsia="Arial" w:hAnsi="Arial"/>
                <w:sz w:val="19"/>
                <w:szCs w:val="19"/>
                <w:b w:val="1"/>
                <w:bCs w:val="1"/>
                <w:color w:val="auto"/>
              </w:rPr>
              <w:t>68</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360" w:type="dxa"/>
            <w:vAlign w:val="bottom"/>
            <w:gridSpan w:val="34"/>
          </w:tcPr>
          <w:p>
            <w:pPr>
              <w:spacing w:after="0"/>
              <w:rPr>
                <w:rFonts w:ascii="Arial" w:cs="Arial" w:eastAsia="Arial" w:hAnsi="Arial"/>
                <w:sz w:val="19"/>
                <w:szCs w:val="19"/>
                <w:b w:val="1"/>
                <w:bCs w:val="1"/>
                <w:color w:val="0000EE"/>
              </w:rPr>
            </w:pPr>
            <w:hyperlink w:anchor="page76">
              <w:r>
                <w:rPr>
                  <w:rFonts w:ascii="Arial" w:cs="Arial" w:eastAsia="Arial" w:hAnsi="Arial"/>
                  <w:sz w:val="19"/>
                  <w:szCs w:val="19"/>
                  <w:b w:val="1"/>
                  <w:bCs w:val="1"/>
                  <w:color w:val="0000EE"/>
                </w:rPr>
                <w:t>FEES OF INDEPENDENT ACCOUNTANTS</w:t>
              </w:r>
            </w:hyperlink>
          </w:p>
        </w:tc>
        <w:tc>
          <w:tcPr>
            <w:tcW w:w="500" w:type="dxa"/>
            <w:vAlign w:val="bottom"/>
          </w:tcPr>
          <w:p>
            <w:pPr>
              <w:jc w:val="right"/>
              <w:ind w:right="9"/>
              <w:spacing w:after="0"/>
              <w:rPr>
                <w:sz w:val="20"/>
                <w:szCs w:val="20"/>
                <w:color w:val="auto"/>
              </w:rPr>
            </w:pPr>
            <w:r>
              <w:rPr>
                <w:rFonts w:ascii="Arial" w:cs="Arial" w:eastAsia="Arial" w:hAnsi="Arial"/>
                <w:sz w:val="19"/>
                <w:szCs w:val="19"/>
                <w:b w:val="1"/>
                <w:bCs w:val="1"/>
                <w:color w:val="auto"/>
              </w:rPr>
              <w:t>70</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60" w:type="dxa"/>
            <w:vAlign w:val="bottom"/>
            <w:gridSpan w:val="34"/>
          </w:tcPr>
          <w:p>
            <w:pPr>
              <w:spacing w:after="0"/>
              <w:rPr>
                <w:rFonts w:ascii="Arial" w:cs="Arial" w:eastAsia="Arial" w:hAnsi="Arial"/>
                <w:sz w:val="19"/>
                <w:szCs w:val="19"/>
                <w:b w:val="1"/>
                <w:bCs w:val="1"/>
                <w:color w:val="0000EE"/>
              </w:rPr>
            </w:pPr>
            <w:hyperlink w:anchor="page77">
              <w:r>
                <w:rPr>
                  <w:rFonts w:ascii="Arial" w:cs="Arial" w:eastAsia="Arial" w:hAnsi="Arial"/>
                  <w:sz w:val="19"/>
                  <w:szCs w:val="19"/>
                  <w:b w:val="1"/>
                  <w:bCs w:val="1"/>
                  <w:color w:val="0000EE"/>
                </w:rPr>
                <w:t>CERTAIN RELATIONSHIPS AND RELATED</w:t>
              </w:r>
            </w:hyperlink>
          </w:p>
        </w:tc>
        <w:tc>
          <w:tcPr>
            <w:tcW w:w="50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71</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gridSpan w:val="27"/>
          </w:tcPr>
          <w:p>
            <w:pPr>
              <w:spacing w:after="0" w:line="196" w:lineRule="exact"/>
              <w:rPr>
                <w:rFonts w:ascii="Arial" w:cs="Arial" w:eastAsia="Arial" w:hAnsi="Arial"/>
                <w:sz w:val="19"/>
                <w:szCs w:val="19"/>
                <w:b w:val="1"/>
                <w:bCs w:val="1"/>
                <w:color w:val="0000EE"/>
              </w:rPr>
            </w:pPr>
            <w:hyperlink w:anchor="page77">
              <w:r>
                <w:rPr>
                  <w:rFonts w:ascii="Arial" w:cs="Arial" w:eastAsia="Arial" w:hAnsi="Arial"/>
                  <w:sz w:val="19"/>
                  <w:szCs w:val="19"/>
                  <w:b w:val="1"/>
                  <w:bCs w:val="1"/>
                  <w:color w:val="0000EE"/>
                </w:rPr>
                <w:t>PARTY TRANSACTIONS</w:t>
              </w:r>
            </w:hyperlink>
          </w:p>
        </w:tc>
        <w:tc>
          <w:tcPr>
            <w:tcW w:w="560" w:type="dxa"/>
            <w:vAlign w:val="bottom"/>
            <w:gridSpan w:val="5"/>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360" w:type="dxa"/>
            <w:vAlign w:val="bottom"/>
            <w:gridSpan w:val="3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Certain Transactions</w:t>
              </w:r>
            </w:hyperlink>
          </w:p>
        </w:tc>
        <w:tc>
          <w:tcPr>
            <w:tcW w:w="500" w:type="dxa"/>
            <w:vAlign w:val="bottom"/>
          </w:tcPr>
          <w:p>
            <w:pPr>
              <w:jc w:val="right"/>
              <w:ind w:right="9"/>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360" w:type="dxa"/>
            <w:vAlign w:val="bottom"/>
            <w:gridSpan w:val="34"/>
          </w:tcPr>
          <w:p>
            <w:pPr>
              <w:spacing w:after="0"/>
              <w:rPr>
                <w:rFonts w:ascii="Arial" w:cs="Arial" w:eastAsia="Arial" w:hAnsi="Arial"/>
                <w:sz w:val="19"/>
                <w:szCs w:val="19"/>
                <w:b w:val="1"/>
                <w:bCs w:val="1"/>
                <w:color w:val="0000EE"/>
              </w:rPr>
            </w:pPr>
            <w:hyperlink w:anchor="page79">
              <w:r>
                <w:rPr>
                  <w:rFonts w:ascii="Arial" w:cs="Arial" w:eastAsia="Arial" w:hAnsi="Arial"/>
                  <w:sz w:val="19"/>
                  <w:szCs w:val="19"/>
                  <w:b w:val="1"/>
                  <w:bCs w:val="1"/>
                  <w:color w:val="0000EE"/>
                </w:rPr>
                <w:t>RATIFICATION OF RETENTION OF</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80" w:type="dxa"/>
            <w:vAlign w:val="bottom"/>
            <w:gridSpan w:val="1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32"/>
          </w:tcPr>
          <w:p>
            <w:pPr>
              <w:spacing w:after="0" w:line="196" w:lineRule="exact"/>
              <w:rPr>
                <w:rFonts w:ascii="Arial" w:cs="Arial" w:eastAsia="Arial" w:hAnsi="Arial"/>
                <w:sz w:val="19"/>
                <w:szCs w:val="19"/>
                <w:b w:val="1"/>
                <w:bCs w:val="1"/>
                <w:color w:val="0000EE"/>
              </w:rPr>
            </w:pPr>
            <w:hyperlink w:anchor="page79">
              <w:r>
                <w:rPr>
                  <w:rFonts w:ascii="Arial" w:cs="Arial" w:eastAsia="Arial" w:hAnsi="Arial"/>
                  <w:sz w:val="19"/>
                  <w:szCs w:val="19"/>
                  <w:b w:val="1"/>
                  <w:bCs w:val="1"/>
                  <w:color w:val="0000EE"/>
                </w:rPr>
                <w:t>INDEPENDENT REGISTERED PUBLIC</w:t>
              </w:r>
            </w:hyperlink>
          </w:p>
        </w:tc>
        <w:tc>
          <w:tcPr>
            <w:tcW w:w="500" w:type="dxa"/>
            <w:vAlign w:val="bottom"/>
            <w:vMerge w:val="restart"/>
          </w:tcPr>
          <w:p>
            <w:pPr>
              <w:jc w:val="right"/>
              <w:ind w:right="9"/>
              <w:spacing w:after="0"/>
              <w:rPr>
                <w:sz w:val="20"/>
                <w:szCs w:val="20"/>
                <w:color w:val="auto"/>
              </w:rPr>
            </w:pPr>
            <w:r>
              <w:rPr>
                <w:rFonts w:ascii="Arial" w:cs="Arial" w:eastAsia="Arial" w:hAnsi="Arial"/>
                <w:sz w:val="19"/>
                <w:szCs w:val="19"/>
                <w:b w:val="1"/>
                <w:bCs w:val="1"/>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top w:val="single" w:sz="8" w:color="0000EE"/>
            </w:tcBorders>
            <w:gridSpan w:val="24"/>
          </w:tcPr>
          <w:p>
            <w:pPr>
              <w:spacing w:after="0" w:line="196" w:lineRule="exact"/>
              <w:rPr>
                <w:rFonts w:ascii="Arial" w:cs="Arial" w:eastAsia="Arial" w:hAnsi="Arial"/>
                <w:sz w:val="19"/>
                <w:szCs w:val="19"/>
                <w:b w:val="1"/>
                <w:bCs w:val="1"/>
                <w:color w:val="0000EE"/>
              </w:rPr>
            </w:pPr>
            <w:hyperlink w:anchor="page79">
              <w:r>
                <w:rPr>
                  <w:rFonts w:ascii="Arial" w:cs="Arial" w:eastAsia="Arial" w:hAnsi="Arial"/>
                  <w:sz w:val="19"/>
                  <w:szCs w:val="19"/>
                  <w:b w:val="1"/>
                  <w:bCs w:val="1"/>
                  <w:color w:val="0000EE"/>
                </w:rPr>
                <w:t>ACCOUNTING FIRM (PROPOSAL NO.</w:t>
              </w:r>
            </w:hyperlink>
          </w:p>
        </w:tc>
        <w:tc>
          <w:tcPr>
            <w:tcW w:w="720" w:type="dxa"/>
            <w:vAlign w:val="bottom"/>
            <w:gridSpan w:val="8"/>
          </w:tcPr>
          <w:p>
            <w:pPr>
              <w:jc w:val="right"/>
              <w:ind w:right="580"/>
              <w:spacing w:after="0" w:line="196" w:lineRule="exact"/>
              <w:rPr>
                <w:rFonts w:ascii="Arial" w:cs="Arial" w:eastAsia="Arial" w:hAnsi="Arial"/>
                <w:sz w:val="19"/>
                <w:szCs w:val="19"/>
                <w:b w:val="1"/>
                <w:bCs w:val="1"/>
                <w:color w:val="0000EE"/>
                <w:w w:val="70"/>
              </w:rPr>
            </w:pPr>
            <w:hyperlink w:anchor="page79">
              <w:r>
                <w:rPr>
                  <w:rFonts w:ascii="Arial" w:cs="Arial" w:eastAsia="Arial" w:hAnsi="Arial"/>
                  <w:sz w:val="19"/>
                  <w:szCs w:val="19"/>
                  <w:b w:val="1"/>
                  <w:bCs w:val="1"/>
                  <w:color w:val="0000EE"/>
                  <w:w w:val="70"/>
                </w:rPr>
                <w:t>2)</w:t>
              </w:r>
            </w:hyperlink>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371" w:lineRule="exact"/>
        <w:rPr>
          <w:sz w:val="20"/>
          <w:szCs w:val="20"/>
          <w:color w:val="auto"/>
        </w:rPr>
      </w:pPr>
    </w:p>
    <w:p>
      <w:pPr>
        <w:ind w:left="888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8"/>
          <w:szCs w:val="18"/>
          <w:color w:val="auto"/>
        </w:rPr>
        <w:t>i</w:t>
      </w:r>
    </w:p>
    <w:p>
      <w:pPr>
        <w:sectPr>
          <w:pgSz w:w="11900" w:h="16838" w:orient="portrait"/>
          <w:cols w:equalWidth="0" w:num="1">
            <w:col w:w="10860"/>
          </w:cols>
          <w:pgMar w:left="320" w:top="459" w:right="7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985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20" w:type="dxa"/>
        <w:tblCellMar>
          <w:top w:w="0" w:type="dxa"/>
          <w:left w:w="0" w:type="dxa"/>
          <w:bottom w:w="0" w:type="dxa"/>
          <w:right w:w="0" w:type="dxa"/>
        </w:tblCellMar>
      </w:tblPr>
      <w:tr>
        <w:trPr>
          <w:trHeight w:val="218"/>
        </w:trPr>
        <w:tc>
          <w:tcPr>
            <w:tcW w:w="4180" w:type="dxa"/>
            <w:vAlign w:val="bottom"/>
            <w:gridSpan w:val="18"/>
          </w:tcPr>
          <w:p>
            <w:pPr>
              <w:spacing w:after="0"/>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ADVISORY VOTE TO APPROVE EXECUTIVE</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gridSpan w:val="14"/>
          </w:tcPr>
          <w:p>
            <w:pPr>
              <w:spacing w:after="0" w:line="196" w:lineRule="exact"/>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COMPENSATION SET FORTH IN THIS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60" w:type="dxa"/>
            <w:vAlign w:val="bottom"/>
            <w:tcBorders>
              <w:top w:val="single" w:sz="8" w:color="0000EE"/>
            </w:tcBorders>
            <w:gridSpan w:val="8"/>
          </w:tcPr>
          <w:p>
            <w:pPr>
              <w:spacing w:after="0" w:line="196" w:lineRule="exact"/>
              <w:rPr>
                <w:rFonts w:ascii="Arial" w:cs="Arial" w:eastAsia="Arial" w:hAnsi="Arial"/>
                <w:sz w:val="19"/>
                <w:szCs w:val="19"/>
                <w:b w:val="1"/>
                <w:bCs w:val="1"/>
                <w:color w:val="0000EE"/>
                <w:w w:val="96"/>
              </w:rPr>
            </w:pPr>
            <w:hyperlink w:anchor="page80">
              <w:r>
                <w:rPr>
                  <w:rFonts w:ascii="Arial" w:cs="Arial" w:eastAsia="Arial" w:hAnsi="Arial"/>
                  <w:sz w:val="19"/>
                  <w:szCs w:val="19"/>
                  <w:b w:val="1"/>
                  <w:bCs w:val="1"/>
                  <w:color w:val="0000EE"/>
                  <w:w w:val="96"/>
                </w:rPr>
                <w:t>PROXY STATEMENT (PROPOSAL NO.</w:t>
              </w:r>
            </w:hyperlink>
          </w:p>
        </w:tc>
        <w:tc>
          <w:tcPr>
            <w:tcW w:w="420" w:type="dxa"/>
            <w:vAlign w:val="bottom"/>
            <w:gridSpan w:val="7"/>
          </w:tcPr>
          <w:p>
            <w:pPr>
              <w:jc w:val="right"/>
              <w:ind w:right="160"/>
              <w:spacing w:after="0" w:line="196" w:lineRule="exact"/>
              <w:rPr>
                <w:rFonts w:ascii="Arial" w:cs="Arial" w:eastAsia="Arial" w:hAnsi="Arial"/>
                <w:sz w:val="19"/>
                <w:szCs w:val="19"/>
                <w:b w:val="1"/>
                <w:bCs w:val="1"/>
                <w:color w:val="0000EE"/>
              </w:rPr>
            </w:pPr>
            <w:hyperlink w:anchor="page80">
              <w:r>
                <w:rPr>
                  <w:rFonts w:ascii="Arial" w:cs="Arial" w:eastAsia="Arial" w:hAnsi="Arial"/>
                  <w:sz w:val="19"/>
                  <w:szCs w:val="19"/>
                  <w:b w:val="1"/>
                  <w:bCs w:val="1"/>
                  <w:color w:val="0000EE"/>
                </w:rPr>
                <w:t>3)</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100" w:type="dxa"/>
            <w:vAlign w:val="bottom"/>
            <w:tcBorders>
              <w:top w:val="single" w:sz="8" w:color="0000EE"/>
              <w:bottom w:val="single" w:sz="8" w:color="auto"/>
            </w:tcBorders>
          </w:tcPr>
          <w:p>
            <w:pPr>
              <w:spacing w:after="0"/>
              <w:rPr>
                <w:sz w:val="6"/>
                <w:szCs w:val="6"/>
                <w:color w:val="auto"/>
              </w:rPr>
            </w:pPr>
          </w:p>
        </w:tc>
        <w:tc>
          <w:tcPr>
            <w:tcW w:w="4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180" w:type="dxa"/>
            <w:vAlign w:val="bottom"/>
            <w:gridSpan w:val="18"/>
          </w:tcPr>
          <w:p>
            <w:pPr>
              <w:spacing w:after="0"/>
              <w:rPr>
                <w:rFonts w:ascii="Arial" w:cs="Arial" w:eastAsia="Arial" w:hAnsi="Arial"/>
                <w:sz w:val="19"/>
                <w:szCs w:val="19"/>
                <w:b w:val="1"/>
                <w:bCs w:val="1"/>
                <w:color w:val="0000EE"/>
              </w:rPr>
            </w:pPr>
            <w:hyperlink w:anchor="page81">
              <w:r>
                <w:rPr>
                  <w:rFonts w:ascii="Arial" w:cs="Arial" w:eastAsia="Arial" w:hAnsi="Arial"/>
                  <w:sz w:val="19"/>
                  <w:szCs w:val="19"/>
                  <w:b w:val="1"/>
                  <w:bCs w:val="1"/>
                  <w:color w:val="0000EE"/>
                </w:rPr>
                <w:t>QUESTIONS AND ANSWERS ABOUT THE</w:t>
              </w:r>
            </w:hyperlink>
          </w:p>
        </w:tc>
        <w:tc>
          <w:tcPr>
            <w:tcW w:w="4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75</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gridSpan w:val="12"/>
          </w:tcPr>
          <w:p>
            <w:pPr>
              <w:spacing w:after="0" w:line="196" w:lineRule="exact"/>
              <w:rPr>
                <w:rFonts w:ascii="Arial" w:cs="Arial" w:eastAsia="Arial" w:hAnsi="Arial"/>
                <w:sz w:val="19"/>
                <w:szCs w:val="19"/>
                <w:b w:val="1"/>
                <w:bCs w:val="1"/>
                <w:color w:val="0000EE"/>
              </w:rPr>
            </w:pPr>
            <w:hyperlink w:anchor="page81">
              <w:r>
                <w:rPr>
                  <w:rFonts w:ascii="Arial" w:cs="Arial" w:eastAsia="Arial" w:hAnsi="Arial"/>
                  <w:sz w:val="19"/>
                  <w:szCs w:val="19"/>
                  <w:b w:val="1"/>
                  <w:bCs w:val="1"/>
                  <w:color w:val="0000EE"/>
                </w:rPr>
                <w:t>ANNUAL MEETING</w:t>
              </w:r>
            </w:hyperlink>
          </w:p>
        </w:tc>
        <w:tc>
          <w:tcPr>
            <w:tcW w:w="2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0" w:type="dxa"/>
            <w:vAlign w:val="bottom"/>
            <w:tcBorders>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Why did you send me this proxy statement?</w:t>
              </w:r>
            </w:hyperlink>
          </w:p>
        </w:tc>
        <w:tc>
          <w:tcPr>
            <w:tcW w:w="680" w:type="dxa"/>
            <w:vAlign w:val="bottom"/>
            <w:gridSpan w:val="10"/>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418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Who can vote at the Annual Meeting?</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How many shares must be present to conduct the</w:t>
              </w:r>
            </w:hyperlink>
          </w:p>
        </w:tc>
        <w:tc>
          <w:tcPr>
            <w:tcW w:w="2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36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Annual Meeting?</w:t>
              </w:r>
            </w:hyperlink>
          </w:p>
        </w:tc>
        <w:tc>
          <w:tcPr>
            <w:tcW w:w="2620" w:type="dxa"/>
            <w:vAlign w:val="bottom"/>
            <w:gridSpan w:val="15"/>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418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What matters are to be voted on at the Annual</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34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Meeting?</w:t>
              </w:r>
            </w:hyperlink>
          </w:p>
        </w:tc>
        <w:tc>
          <w:tcPr>
            <w:tcW w:w="500" w:type="dxa"/>
            <w:vAlign w:val="bottom"/>
            <w:gridSpan w:val="6"/>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How does the Board recommend that I vote?</w:t>
              </w:r>
            </w:hyperlink>
          </w:p>
        </w:tc>
        <w:tc>
          <w:tcPr>
            <w:tcW w:w="60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4180" w:type="dxa"/>
            <w:vAlign w:val="bottom"/>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How do I vote at the Annual Meeting?</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5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What does it mean if I receive more than one</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840" w:type="dxa"/>
            <w:vAlign w:val="bottom"/>
            <w:tcBorders>
              <w:bottom w:val="single" w:sz="8" w:color="0000EE"/>
            </w:tcBorders>
            <w:gridSpan w:val="16"/>
          </w:tcPr>
          <w:p>
            <w:pPr>
              <w:spacing w:after="0" w:line="182" w:lineRule="exact"/>
              <w:rPr>
                <w:rFonts w:ascii="Arial" w:cs="Arial" w:eastAsia="Arial" w:hAnsi="Arial"/>
                <w:sz w:val="18"/>
                <w:szCs w:val="18"/>
                <w:color w:val="0000EE"/>
                <w:w w:val="98"/>
              </w:rPr>
            </w:pPr>
            <w:hyperlink w:anchor="page82">
              <w:r>
                <w:rPr>
                  <w:rFonts w:ascii="Arial" w:cs="Arial" w:eastAsia="Arial" w:hAnsi="Arial"/>
                  <w:sz w:val="18"/>
                  <w:szCs w:val="18"/>
                  <w:color w:val="0000EE"/>
                  <w:w w:val="98"/>
                </w:rPr>
                <w:t>Notice of Internet Availability of Proxy Materials?</w:t>
              </w:r>
            </w:hyperlink>
          </w:p>
        </w:tc>
        <w:tc>
          <w:tcPr>
            <w:tcW w:w="14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41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May I change my vote?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5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What vote is required to elect directors and</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34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approve the other matters described in this</w:t>
              </w:r>
            </w:hyperlink>
          </w:p>
        </w:tc>
        <w:tc>
          <w:tcPr>
            <w:tcW w:w="580" w:type="dxa"/>
            <w:vAlign w:val="bottom"/>
            <w:gridSpan w:val="7"/>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80" w:type="dxa"/>
            <w:vAlign w:val="bottom"/>
            <w:gridSpan w:val="17"/>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proxy statement?</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27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What is the difference between holding shares as</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7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a stockholder of record and as a beneficial</w:t>
              </w:r>
            </w:hyperlink>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3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owner?</w:t>
              </w:r>
            </w:hyperlink>
          </w:p>
        </w:tc>
        <w:tc>
          <w:tcPr>
            <w:tcW w:w="540" w:type="dxa"/>
            <w:vAlign w:val="bottom"/>
            <w:gridSpan w:val="5"/>
          </w:tcPr>
          <w:p>
            <w:pPr>
              <w:spacing w:after="0"/>
              <w:rPr>
                <w:sz w:val="15"/>
                <w:szCs w:val="15"/>
                <w:color w:val="auto"/>
              </w:rPr>
            </w:pPr>
          </w:p>
        </w:tc>
        <w:tc>
          <w:tcPr>
            <w:tcW w:w="600" w:type="dxa"/>
            <w:vAlign w:val="bottom"/>
          </w:tcPr>
          <w:p>
            <w:pPr>
              <w:jc w:val="right"/>
              <w:ind w:right="2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How do I vote if my bank or broker holds my</w:t>
              </w:r>
            </w:hyperlink>
          </w:p>
        </w:tc>
        <w:tc>
          <w:tcPr>
            <w:tcW w:w="580" w:type="dxa"/>
            <w:vAlign w:val="bottom"/>
            <w:gridSpan w:val="6"/>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920" w:type="dxa"/>
            <w:vAlign w:val="bottom"/>
            <w:gridSpan w:val="20"/>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shares in “street name”?</w:t>
              </w:r>
            </w:hyperlink>
          </w:p>
        </w:tc>
        <w:tc>
          <w:tcPr>
            <w:tcW w:w="600" w:type="dxa"/>
            <w:vAlign w:val="bottom"/>
          </w:tcPr>
          <w:p>
            <w:pPr>
              <w:jc w:val="right"/>
              <w:ind w:right="2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How many votes do I have?</w:t>
              </w:r>
            </w:hyperlink>
          </w:p>
        </w:tc>
        <w:tc>
          <w:tcPr>
            <w:tcW w:w="1880" w:type="dxa"/>
            <w:vAlign w:val="bottom"/>
            <w:gridSpan w:val="13"/>
          </w:tcPr>
          <w:p>
            <w:pPr>
              <w:spacing w:after="0"/>
              <w:rPr>
                <w:sz w:val="18"/>
                <w:szCs w:val="18"/>
                <w:color w:val="auto"/>
              </w:rPr>
            </w:pPr>
          </w:p>
        </w:tc>
        <w:tc>
          <w:tcPr>
            <w:tcW w:w="600" w:type="dxa"/>
            <w:vAlign w:val="bottom"/>
          </w:tcPr>
          <w:p>
            <w:pPr>
              <w:jc w:val="right"/>
              <w:ind w:right="29"/>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How will the votes be counted at the Annual</w:t>
              </w:r>
            </w:hyperlink>
          </w:p>
        </w:tc>
        <w:tc>
          <w:tcPr>
            <w:tcW w:w="600" w:type="dxa"/>
            <w:vAlign w:val="bottom"/>
            <w:gridSpan w:val="7"/>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74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Meeting?</w:t>
              </w:r>
            </w:hyperlink>
          </w:p>
        </w:tc>
        <w:tc>
          <w:tcPr>
            <w:tcW w:w="3180" w:type="dxa"/>
            <w:vAlign w:val="bottom"/>
            <w:gridSpan w:val="16"/>
          </w:tcPr>
          <w:p>
            <w:pPr>
              <w:spacing w:after="0"/>
              <w:rPr>
                <w:sz w:val="15"/>
                <w:szCs w:val="15"/>
                <w:color w:val="auto"/>
              </w:rPr>
            </w:pPr>
          </w:p>
        </w:tc>
        <w:tc>
          <w:tcPr>
            <w:tcW w:w="600" w:type="dxa"/>
            <w:vAlign w:val="bottom"/>
          </w:tcPr>
          <w:p>
            <w:pPr>
              <w:jc w:val="right"/>
              <w:ind w:right="2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83">
              <w:r>
                <w:rPr>
                  <w:rFonts w:ascii="Arial" w:cs="Arial" w:eastAsia="Arial" w:hAnsi="Arial"/>
                  <w:sz w:val="18"/>
                  <w:szCs w:val="18"/>
                  <w:color w:val="0000EE"/>
                  <w:w w:val="99"/>
                </w:rPr>
                <w:t>How will the Company announce the voting</w:t>
              </w:r>
            </w:hyperlink>
          </w:p>
        </w:tc>
        <w:tc>
          <w:tcPr>
            <w:tcW w:w="640" w:type="dxa"/>
            <w:vAlign w:val="bottom"/>
            <w:gridSpan w:val="9"/>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920" w:type="dxa"/>
            <w:vAlign w:val="bottom"/>
            <w:gridSpan w:val="20"/>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results?</w:t>
              </w:r>
            </w:hyperlink>
          </w:p>
        </w:tc>
        <w:tc>
          <w:tcPr>
            <w:tcW w:w="600" w:type="dxa"/>
            <w:vAlign w:val="bottom"/>
          </w:tcPr>
          <w:p>
            <w:pPr>
              <w:jc w:val="right"/>
              <w:ind w:right="29"/>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Who pays for the Company’s solicitation of</w:t>
              </w:r>
            </w:hyperlink>
          </w:p>
        </w:tc>
        <w:tc>
          <w:tcPr>
            <w:tcW w:w="700" w:type="dxa"/>
            <w:vAlign w:val="bottom"/>
            <w:gridSpan w:val="11"/>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68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proxies?</w:t>
              </w:r>
            </w:hyperlink>
          </w:p>
        </w:tc>
        <w:tc>
          <w:tcPr>
            <w:tcW w:w="3240" w:type="dxa"/>
            <w:vAlign w:val="bottom"/>
            <w:gridSpan w:val="17"/>
          </w:tcPr>
          <w:p>
            <w:pPr>
              <w:spacing w:after="0"/>
              <w:rPr>
                <w:sz w:val="15"/>
                <w:szCs w:val="15"/>
                <w:color w:val="auto"/>
              </w:rPr>
            </w:pPr>
          </w:p>
        </w:tc>
        <w:tc>
          <w:tcPr>
            <w:tcW w:w="600" w:type="dxa"/>
            <w:vAlign w:val="bottom"/>
          </w:tcPr>
          <w:p>
            <w:pPr>
              <w:jc w:val="right"/>
              <w:ind w:right="29"/>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410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What is “householding” and how does it work?</w:t>
              </w:r>
            </w:hyperlink>
          </w:p>
        </w:tc>
        <w:tc>
          <w:tcPr>
            <w:tcW w:w="600" w:type="dxa"/>
            <w:vAlign w:val="bottom"/>
          </w:tcPr>
          <w:p>
            <w:pPr>
              <w:jc w:val="right"/>
              <w:ind w:right="2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3680" w:type="dxa"/>
            <w:vAlign w:val="bottom"/>
            <w:tcBorders>
              <w:top w:val="single" w:sz="8" w:color="0000EE"/>
            </w:tcBorders>
            <w:gridSpan w:val="1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How do I participate in the Annual Meeting?</w:t>
              </w:r>
            </w:hyperlink>
          </w:p>
        </w:tc>
        <w:tc>
          <w:tcPr>
            <w:tcW w:w="420" w:type="dxa"/>
            <w:vAlign w:val="bottom"/>
            <w:gridSpan w:val="3"/>
          </w:tcPr>
          <w:p>
            <w:pPr>
              <w:spacing w:after="0"/>
              <w:rPr>
                <w:sz w:val="18"/>
                <w:szCs w:val="18"/>
                <w:color w:val="auto"/>
              </w:rPr>
            </w:pPr>
          </w:p>
        </w:tc>
        <w:tc>
          <w:tcPr>
            <w:tcW w:w="600" w:type="dxa"/>
            <w:vAlign w:val="bottom"/>
          </w:tcPr>
          <w:p>
            <w:pPr>
              <w:jc w:val="right"/>
              <w:ind w:right="29"/>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100" w:type="dxa"/>
            <w:vAlign w:val="bottom"/>
            <w:gridSpan w:val="21"/>
          </w:tcPr>
          <w:p>
            <w:pPr>
              <w:spacing w:after="0"/>
              <w:rPr>
                <w:rFonts w:ascii="Arial" w:cs="Arial" w:eastAsia="Arial" w:hAnsi="Arial"/>
                <w:sz w:val="19"/>
                <w:szCs w:val="19"/>
                <w:b w:val="1"/>
                <w:bCs w:val="1"/>
                <w:color w:val="0000EE"/>
              </w:rPr>
            </w:pPr>
            <w:hyperlink w:anchor="page85">
              <w:r>
                <w:rPr>
                  <w:rFonts w:ascii="Arial" w:cs="Arial" w:eastAsia="Arial" w:hAnsi="Arial"/>
                  <w:sz w:val="19"/>
                  <w:szCs w:val="19"/>
                  <w:b w:val="1"/>
                  <w:bCs w:val="1"/>
                  <w:color w:val="0000EE"/>
                </w:rPr>
                <w:t>STOCKHOLDER PROPOSALS FOR 2022</w:t>
              </w:r>
            </w:hyperlink>
          </w:p>
        </w:tc>
        <w:tc>
          <w:tcPr>
            <w:tcW w:w="600" w:type="dxa"/>
            <w:vAlign w:val="bottom"/>
            <w:vMerge w:val="restart"/>
          </w:tcPr>
          <w:p>
            <w:pPr>
              <w:jc w:val="right"/>
              <w:ind w:right="29"/>
              <w:spacing w:after="0"/>
              <w:rPr>
                <w:sz w:val="20"/>
                <w:szCs w:val="20"/>
                <w:color w:val="auto"/>
              </w:rPr>
            </w:pPr>
            <w:r>
              <w:rPr>
                <w:rFonts w:ascii="Arial" w:cs="Arial" w:eastAsia="Arial" w:hAnsi="Arial"/>
                <w:sz w:val="19"/>
                <w:szCs w:val="19"/>
                <w:b w:val="1"/>
                <w:bCs w:val="1"/>
                <w:color w:val="auto"/>
              </w:rPr>
              <w:t>79</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40" w:type="dxa"/>
            <w:vAlign w:val="bottom"/>
            <w:tcBorders>
              <w:top w:val="single" w:sz="8" w:color="0000EE"/>
              <w:bottom w:val="single" w:sz="8" w:color="0000EE"/>
            </w:tcBorders>
            <w:gridSpan w:val="16"/>
          </w:tcPr>
          <w:p>
            <w:pPr>
              <w:spacing w:after="0" w:line="196" w:lineRule="exact"/>
              <w:rPr>
                <w:rFonts w:ascii="Arial" w:cs="Arial" w:eastAsia="Arial" w:hAnsi="Arial"/>
                <w:sz w:val="19"/>
                <w:szCs w:val="19"/>
                <w:b w:val="1"/>
                <w:bCs w:val="1"/>
                <w:color w:val="0000EE"/>
                <w:w w:val="92"/>
              </w:rPr>
            </w:pPr>
            <w:hyperlink w:anchor="page85">
              <w:r>
                <w:rPr>
                  <w:rFonts w:ascii="Arial" w:cs="Arial" w:eastAsia="Arial" w:hAnsi="Arial"/>
                  <w:sz w:val="19"/>
                  <w:szCs w:val="19"/>
                  <w:b w:val="1"/>
                  <w:bCs w:val="1"/>
                  <w:color w:val="0000EE"/>
                  <w:w w:val="92"/>
                </w:rPr>
                <w:t>ANNUAL MEETING OF STOCKHOLDERS</w:t>
              </w:r>
            </w:hyperlink>
          </w:p>
        </w:tc>
        <w:tc>
          <w:tcPr>
            <w:tcW w:w="220" w:type="dxa"/>
            <w:vAlign w:val="bottom"/>
            <w:tcBorders>
              <w:bottom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100" w:type="dxa"/>
            <w:vAlign w:val="bottom"/>
            <w:gridSpan w:val="21"/>
          </w:tcPr>
          <w:p>
            <w:pPr>
              <w:spacing w:after="0"/>
              <w:rPr>
                <w:rFonts w:ascii="Arial" w:cs="Arial" w:eastAsia="Arial" w:hAnsi="Arial"/>
                <w:sz w:val="19"/>
                <w:szCs w:val="19"/>
                <w:b w:val="1"/>
                <w:bCs w:val="1"/>
                <w:color w:val="0000EE"/>
              </w:rPr>
            </w:pPr>
            <w:hyperlink w:anchor="page86">
              <w:r>
                <w:rPr>
                  <w:rFonts w:ascii="Arial" w:cs="Arial" w:eastAsia="Arial" w:hAnsi="Arial"/>
                  <w:sz w:val="19"/>
                  <w:szCs w:val="19"/>
                  <w:b w:val="1"/>
                  <w:bCs w:val="1"/>
                  <w:color w:val="0000EE"/>
                </w:rPr>
                <w:t>OTHER MATTERS</w:t>
              </w:r>
            </w:hyperlink>
          </w:p>
        </w:tc>
        <w:tc>
          <w:tcPr>
            <w:tcW w:w="600" w:type="dxa"/>
            <w:vAlign w:val="bottom"/>
          </w:tcPr>
          <w:p>
            <w:pPr>
              <w:jc w:val="right"/>
              <w:ind w:right="29"/>
              <w:spacing w:after="0"/>
              <w:rPr>
                <w:sz w:val="20"/>
                <w:szCs w:val="20"/>
                <w:color w:val="auto"/>
              </w:rPr>
            </w:pPr>
            <w:r>
              <w:rPr>
                <w:rFonts w:ascii="Arial" w:cs="Arial" w:eastAsia="Arial" w:hAnsi="Arial"/>
                <w:sz w:val="19"/>
                <w:szCs w:val="19"/>
                <w:b w:val="1"/>
                <w:bCs w:val="1"/>
                <w:color w:val="auto"/>
              </w:rPr>
              <w:t>80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140" w:type="dxa"/>
            <w:vAlign w:val="bottom"/>
            <w:tcBorders>
              <w:bottom w:val="single" w:sz="8" w:color="0000EE"/>
            </w:tcBorders>
            <w:gridSpan w:val="9"/>
          </w:tcPr>
          <w:p>
            <w:pPr>
              <w:spacing w:after="0"/>
              <w:rPr>
                <w:rFonts w:ascii="Arial" w:cs="Arial" w:eastAsia="Arial" w:hAnsi="Arial"/>
                <w:sz w:val="19"/>
                <w:szCs w:val="19"/>
                <w:b w:val="1"/>
                <w:bCs w:val="1"/>
                <w:color w:val="0000EE"/>
                <w:w w:val="98"/>
              </w:rPr>
            </w:pPr>
            <w:hyperlink w:anchor="page87">
              <w:r>
                <w:rPr>
                  <w:rFonts w:ascii="Arial" w:cs="Arial" w:eastAsia="Arial" w:hAnsi="Arial"/>
                  <w:sz w:val="19"/>
                  <w:szCs w:val="19"/>
                  <w:b w:val="1"/>
                  <w:bCs w:val="1"/>
                  <w:color w:val="0000EE"/>
                  <w:w w:val="98"/>
                </w:rPr>
                <w:t>APPENDIX A RECONCILIATION OF</w:t>
              </w:r>
            </w:hyperlink>
          </w:p>
        </w:tc>
        <w:tc>
          <w:tcPr>
            <w:tcW w:w="960" w:type="dxa"/>
            <w:vAlign w:val="bottom"/>
            <w:gridSpan w:val="12"/>
          </w:tcPr>
          <w:p>
            <w:pPr>
              <w:spacing w:after="0"/>
              <w:rPr>
                <w:sz w:val="24"/>
                <w:szCs w:val="24"/>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9"/>
                <w:szCs w:val="19"/>
                <w:b w:val="1"/>
                <w:bCs w:val="1"/>
                <w:color w:val="auto"/>
              </w:rPr>
              <w:t>A-1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920" w:type="dxa"/>
            <w:vAlign w:val="bottom"/>
            <w:gridSpan w:val="20"/>
          </w:tcPr>
          <w:p>
            <w:pPr>
              <w:spacing w:after="0" w:line="196" w:lineRule="exact"/>
              <w:rPr>
                <w:rFonts w:ascii="Arial" w:cs="Arial" w:eastAsia="Arial" w:hAnsi="Arial"/>
                <w:sz w:val="19"/>
                <w:szCs w:val="19"/>
                <w:b w:val="1"/>
                <w:bCs w:val="1"/>
                <w:color w:val="0000EE"/>
              </w:rPr>
            </w:pPr>
            <w:hyperlink w:anchor="page87">
              <w:r>
                <w:rPr>
                  <w:rFonts w:ascii="Arial" w:cs="Arial" w:eastAsia="Arial" w:hAnsi="Arial"/>
                  <w:sz w:val="19"/>
                  <w:szCs w:val="19"/>
                  <w:b w:val="1"/>
                  <w:bCs w:val="1"/>
                  <w:color w:val="0000EE"/>
                </w:rPr>
                <w:t>NON-GAAP FINANCIAL MEASURES</w:t>
              </w:r>
            </w:hyperlink>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-4328795</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5420" w:space="300"/>
            <w:col w:w="4700"/>
          </w:cols>
          <w:pgMar w:left="320" w:top="459" w:right="11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LEAR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2021 PROXY STATEMENT SUMMARY</w:t>
      </w:r>
    </w:p>
    <w:p>
      <w:pPr>
        <w:spacing w:after="0" w:line="153" w:lineRule="exact"/>
        <w:rPr>
          <w:sz w:val="20"/>
          <w:szCs w:val="20"/>
          <w:color w:val="auto"/>
        </w:rPr>
      </w:pPr>
    </w:p>
    <w:p>
      <w:pPr>
        <w:ind w:left="660" w:right="320"/>
        <w:spacing w:after="0" w:line="253" w:lineRule="auto"/>
        <w:rPr>
          <w:sz w:val="20"/>
          <w:szCs w:val="20"/>
          <w:color w:val="auto"/>
        </w:rPr>
      </w:pPr>
      <w:r>
        <w:rPr>
          <w:rFonts w:ascii="Arial" w:cs="Arial" w:eastAsia="Arial" w:hAnsi="Arial"/>
          <w:sz w:val="16"/>
          <w:szCs w:val="16"/>
          <w:color w:val="auto"/>
        </w:rPr>
        <w:t>This summary highlights information contained elsewhere in the proxy statement. This summary does not contain all of the information that you should consider, and you should read the entire proxy statement carefully before voting. For more complete information regarding the Company’s 2020 performance, please review our 2020 Annual Report on Form 10-K.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wp:posOffset>
            </wp:positionV>
            <wp:extent cx="6292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1200" w:right="620" w:hanging="209"/>
        <w:spacing w:after="0" w:line="259"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Date and Time: </w:t>
      </w:r>
      <w:r>
        <w:rPr>
          <w:rFonts w:ascii="Arial" w:cs="Arial" w:eastAsia="Arial" w:hAnsi="Arial"/>
          <w:sz w:val="16"/>
          <w:szCs w:val="16"/>
          <w:color w:val="auto"/>
        </w:rPr>
        <w:t>May 20, 2021, 9:00 a.m. (Eastern Time). Online check-in will be available at 8:30 a.m. (Eastern Time). Please</w:t>
      </w:r>
      <w:r>
        <w:rPr>
          <w:rFonts w:ascii="Arial" w:cs="Arial" w:eastAsia="Arial" w:hAnsi="Arial"/>
          <w:sz w:val="16"/>
          <w:szCs w:val="16"/>
          <w:b w:val="1"/>
          <w:bCs w:val="1"/>
          <w:color w:val="auto"/>
        </w:rPr>
        <w:t xml:space="preserve"> </w:t>
      </w:r>
      <w:r>
        <w:rPr>
          <w:rFonts w:ascii="Arial" w:cs="Arial" w:eastAsia="Arial" w:hAnsi="Arial"/>
          <w:sz w:val="16"/>
          <w:szCs w:val="16"/>
          <w:color w:val="auto"/>
        </w:rPr>
        <w:t>allow ample time for the online check-in process.</w:t>
      </w:r>
    </w:p>
    <w:p>
      <w:pPr>
        <w:ind w:left="1200" w:right="600" w:hanging="209"/>
        <w:spacing w:after="0" w:line="24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In light of COVID-19, this year’s Annual Meeting will be held through a virtual web conference at</w:t>
      </w:r>
      <w:r>
        <w:rPr>
          <w:rFonts w:ascii="Arial" w:cs="Arial" w:eastAsia="Arial" w:hAnsi="Arial"/>
          <w:sz w:val="16"/>
          <w:szCs w:val="16"/>
          <w:b w:val="1"/>
          <w:bCs w:val="1"/>
          <w:color w:val="auto"/>
        </w:rPr>
        <w:t xml:space="preserve"> </w:t>
      </w:r>
      <w:r>
        <w:rPr>
          <w:rFonts w:ascii="Arial" w:cs="Arial" w:eastAsia="Arial" w:hAnsi="Arial"/>
          <w:sz w:val="16"/>
          <w:szCs w:val="16"/>
          <w:color w:val="auto"/>
        </w:rPr>
        <w:t>www.virtualshareholdermeeting.com/LEA2021. To participate in the Annual Meeting, you will need your 16-digit control number included in your Notice of Internet Availability of the Proxy Materials, on your proxy card, or any additional voting instructions accompanying these proxy materials.</w:t>
      </w:r>
    </w:p>
    <w:p>
      <w:pPr>
        <w:spacing w:after="0" w:line="1"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26, 2021</w:t>
      </w:r>
    </w:p>
    <w:p>
      <w:pPr>
        <w:spacing w:after="0" w:line="5" w:lineRule="exact"/>
        <w:rPr>
          <w:rFonts w:ascii="Arial" w:cs="Arial" w:eastAsia="Arial" w:hAnsi="Arial"/>
          <w:sz w:val="16"/>
          <w:szCs w:val="16"/>
          <w:color w:val="auto"/>
        </w:rPr>
      </w:pPr>
    </w:p>
    <w:p>
      <w:pPr>
        <w:ind w:left="1200" w:right="360" w:hanging="209"/>
        <w:spacing w:after="0" w:line="246"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Voting: </w:t>
      </w:r>
      <w:r>
        <w:rPr>
          <w:rFonts w:ascii="Arial" w:cs="Arial" w:eastAsia="Arial" w:hAnsi="Arial"/>
          <w:sz w:val="16"/>
          <w:szCs w:val="16"/>
          <w:color w:val="auto"/>
        </w:rPr>
        <w:t>Stockholders as of the close of business on the record date are entitled to vote. Each share of common stock is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one vote for each director nominee and one vote for the other proposals to be voted on.</w:t>
      </w: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Shares of Common Stock Outstanding (as of the record date): </w:t>
      </w:r>
      <w:r>
        <w:rPr>
          <w:rFonts w:ascii="Arial" w:cs="Arial" w:eastAsia="Arial" w:hAnsi="Arial"/>
          <w:sz w:val="16"/>
          <w:szCs w:val="16"/>
          <w:color w:val="auto"/>
        </w:rPr>
        <w:t>60,129,685</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Stock Symbol: </w:t>
      </w:r>
      <w:r>
        <w:rPr>
          <w:rFonts w:ascii="Arial" w:cs="Arial" w:eastAsia="Arial" w:hAnsi="Arial"/>
          <w:sz w:val="16"/>
          <w:szCs w:val="16"/>
          <w:color w:val="auto"/>
        </w:rPr>
        <w:t>LEA</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Exchange: </w:t>
      </w:r>
      <w:r>
        <w:rPr>
          <w:rFonts w:ascii="Arial" w:cs="Arial" w:eastAsia="Arial" w:hAnsi="Arial"/>
          <w:sz w:val="16"/>
          <w:szCs w:val="16"/>
          <w:color w:val="auto"/>
        </w:rPr>
        <w:t>NYSE</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Registrar &amp; Transfer Agent: </w:t>
      </w:r>
      <w:r>
        <w:rPr>
          <w:rFonts w:ascii="Arial" w:cs="Arial" w:eastAsia="Arial" w:hAnsi="Arial"/>
          <w:sz w:val="16"/>
          <w:szCs w:val="16"/>
          <w:color w:val="auto"/>
        </w:rPr>
        <w:t>Computershare Trust Company, N.A.</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Principal Executive Office: </w:t>
      </w:r>
      <w:r>
        <w:rPr>
          <w:rFonts w:ascii="Arial" w:cs="Arial" w:eastAsia="Arial" w:hAnsi="Arial"/>
          <w:sz w:val="16"/>
          <w:szCs w:val="16"/>
          <w:color w:val="auto"/>
        </w:rPr>
        <w:t>21557 Telegraph Road, Southfield, Michigan 48033</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Corporate Website: </w:t>
      </w:r>
      <w:r>
        <w:rPr>
          <w:rFonts w:ascii="Arial" w:cs="Arial" w:eastAsia="Arial" w:hAnsi="Arial"/>
          <w:sz w:val="16"/>
          <w:szCs w:val="16"/>
          <w:color w:val="auto"/>
        </w:rPr>
        <w:t>lear.com</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Investor Relations Website: </w:t>
      </w:r>
      <w:r>
        <w:rPr>
          <w:rFonts w:ascii="Arial" w:cs="Arial" w:eastAsia="Arial" w:hAnsi="Arial"/>
          <w:sz w:val="16"/>
          <w:szCs w:val="16"/>
          <w:color w:val="auto"/>
        </w:rPr>
        <w:t>ir.lear.com</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wp:posOffset>
            </wp:positionV>
            <wp:extent cx="62922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Proposal</w:t>
            </w:r>
          </w:p>
        </w:tc>
        <w:tc>
          <w:tcPr>
            <w:tcW w:w="3680" w:type="dxa"/>
            <w:vAlign w:val="bottom"/>
            <w:tcBorders>
              <w:bottom w:val="single" w:sz="8" w:color="auto"/>
            </w:tcBorders>
          </w:tcPr>
          <w:p>
            <w:pPr>
              <w:jc w:val="center"/>
              <w:ind w:left="1521"/>
              <w:spacing w:after="0"/>
              <w:rPr>
                <w:sz w:val="20"/>
                <w:szCs w:val="20"/>
                <w:color w:val="auto"/>
              </w:rPr>
            </w:pPr>
            <w:r>
              <w:rPr>
                <w:rFonts w:ascii="Arial" w:cs="Arial" w:eastAsia="Arial" w:hAnsi="Arial"/>
                <w:sz w:val="14"/>
                <w:szCs w:val="14"/>
                <w:b w:val="1"/>
                <w:bCs w:val="1"/>
                <w:color w:val="E2231A"/>
              </w:rPr>
              <w:t>Our Board’s Recommendation</w:t>
            </w:r>
          </w:p>
        </w:tc>
      </w:tr>
      <w:tr>
        <w:trPr>
          <w:trHeight w:val="269"/>
        </w:trPr>
        <w:tc>
          <w:tcPr>
            <w:tcW w:w="62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Election of Directors (page 5)</w:t>
            </w:r>
          </w:p>
        </w:tc>
        <w:tc>
          <w:tcPr>
            <w:tcW w:w="3680" w:type="dxa"/>
            <w:vAlign w:val="bottom"/>
            <w:shd w:val="clear" w:color="auto" w:fill="FCE9E8"/>
          </w:tcPr>
          <w:p>
            <w:pPr>
              <w:jc w:val="center"/>
              <w:ind w:left="1501"/>
              <w:spacing w:after="0"/>
              <w:rPr>
                <w:sz w:val="20"/>
                <w:szCs w:val="20"/>
                <w:color w:val="auto"/>
              </w:rPr>
            </w:pPr>
            <w:r>
              <w:rPr>
                <w:rFonts w:ascii="Arial" w:cs="Arial" w:eastAsia="Arial" w:hAnsi="Arial"/>
                <w:sz w:val="16"/>
                <w:szCs w:val="16"/>
                <w:color w:val="auto"/>
              </w:rPr>
              <w:t>FOR</w:t>
            </w:r>
          </w:p>
        </w:tc>
      </w:tr>
      <w:tr>
        <w:trPr>
          <w:trHeight w:val="274"/>
        </w:trPr>
        <w:tc>
          <w:tcPr>
            <w:tcW w:w="6240" w:type="dxa"/>
            <w:vAlign w:val="bottom"/>
          </w:tcPr>
          <w:p>
            <w:pPr>
              <w:ind w:left="100"/>
              <w:spacing w:after="0"/>
              <w:rPr>
                <w:sz w:val="20"/>
                <w:szCs w:val="20"/>
                <w:color w:val="auto"/>
              </w:rPr>
            </w:pPr>
            <w:r>
              <w:rPr>
                <w:rFonts w:ascii="Arial" w:cs="Arial" w:eastAsia="Arial" w:hAnsi="Arial"/>
                <w:sz w:val="16"/>
                <w:szCs w:val="16"/>
                <w:color w:val="auto"/>
              </w:rPr>
              <w:t>Ratification of Retention of Independent Registered Public Accounting Firm (page 73)</w:t>
            </w:r>
          </w:p>
        </w:tc>
        <w:tc>
          <w:tcPr>
            <w:tcW w:w="3680" w:type="dxa"/>
            <w:vAlign w:val="bottom"/>
          </w:tcPr>
          <w:p>
            <w:pPr>
              <w:jc w:val="center"/>
              <w:ind w:left="1501"/>
              <w:spacing w:after="0"/>
              <w:rPr>
                <w:sz w:val="20"/>
                <w:szCs w:val="20"/>
                <w:color w:val="auto"/>
              </w:rPr>
            </w:pPr>
            <w:r>
              <w:rPr>
                <w:rFonts w:ascii="Arial" w:cs="Arial" w:eastAsia="Arial" w:hAnsi="Arial"/>
                <w:sz w:val="16"/>
                <w:szCs w:val="16"/>
                <w:color w:val="auto"/>
              </w:rPr>
              <w:t>FOR</w:t>
            </w:r>
          </w:p>
        </w:tc>
      </w:tr>
      <w:tr>
        <w:trPr>
          <w:trHeight w:val="293"/>
        </w:trPr>
        <w:tc>
          <w:tcPr>
            <w:tcW w:w="62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Advisory Vote to Approve Executive Compensation (page 74)</w:t>
            </w:r>
          </w:p>
        </w:tc>
        <w:tc>
          <w:tcPr>
            <w:tcW w:w="3680" w:type="dxa"/>
            <w:vAlign w:val="bottom"/>
            <w:shd w:val="clear" w:color="auto" w:fill="FCE9E8"/>
          </w:tcPr>
          <w:p>
            <w:pPr>
              <w:jc w:val="center"/>
              <w:ind w:left="1501"/>
              <w:spacing w:after="0"/>
              <w:rPr>
                <w:sz w:val="20"/>
                <w:szCs w:val="20"/>
                <w:color w:val="auto"/>
              </w:rPr>
            </w:pPr>
            <w:r>
              <w:rPr>
                <w:rFonts w:ascii="Arial" w:cs="Arial" w:eastAsia="Arial" w:hAnsi="Arial"/>
                <w:sz w:val="16"/>
                <w:szCs w:val="16"/>
                <w:color w:val="auto"/>
              </w:rPr>
              <w:t>FOR</w:t>
            </w:r>
          </w:p>
        </w:tc>
      </w:tr>
    </w:tbl>
    <w:p>
      <w:pPr>
        <w:spacing w:after="0" w:line="4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 PLEASE</w:t>
      </w:r>
    </w:p>
    <w:p>
      <w:pPr>
        <w:spacing w:after="0" w:line="25" w:lineRule="exact"/>
        <w:rPr>
          <w:sz w:val="20"/>
          <w:szCs w:val="20"/>
          <w:color w:val="auto"/>
        </w:rPr>
      </w:pPr>
    </w:p>
    <w:p>
      <w:pPr>
        <w:ind w:left="760" w:right="380"/>
        <w:spacing w:after="0" w:line="257" w:lineRule="auto"/>
        <w:rPr>
          <w:sz w:val="20"/>
          <w:szCs w:val="20"/>
          <w:color w:val="auto"/>
        </w:rPr>
      </w:pPr>
      <w:r>
        <w:rPr>
          <w:rFonts w:ascii="Arial" w:cs="Arial" w:eastAsia="Arial" w:hAnsi="Arial"/>
          <w:sz w:val="16"/>
          <w:szCs w:val="16"/>
          <w:b w:val="1"/>
          <w:bCs w:val="1"/>
          <w:color w:val="auto"/>
        </w:rPr>
        <w:t>VOTE YOUR SHARES OVER THE TELEPHONE, VIA THE INTERNET OR BY COMPLETING, DATING, SIGNING AND RETURNING A PROXY CARD, AS DESCRIBED IN THE PROXY STATEMENT. YOUR PROMPT COOPERATION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125730</wp:posOffset>
            </wp:positionV>
            <wp:extent cx="62922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w:t>
      </w:r>
    </w:p>
    <w:p>
      <w:pPr>
        <w:sectPr>
          <w:pgSz w:w="11900" w:h="16838" w:orient="portrait"/>
          <w:cols w:equalWidth="0" w:num="1">
            <w:col w:w="10860"/>
          </w:cols>
          <w:pgMar w:left="320" w:top="459" w:right="7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814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35560</wp:posOffset>
            </wp:positionV>
            <wp:extent cx="62922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88"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E2231A"/>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26035</wp:posOffset>
            </wp:positionV>
            <wp:extent cx="6292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276"/>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1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E2231A"/>
              </w:rPr>
              <w:t>Director Since</w:t>
            </w: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E2231A"/>
              </w:rPr>
              <w:t>Independent</w:t>
            </w: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E2231A"/>
              </w:rPr>
              <w:t>Audit</w:t>
            </w: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Comp</w:t>
            </w:r>
            <w:r>
              <w:rPr>
                <w:rFonts w:ascii="Arial" w:cs="Arial" w:eastAsia="Arial" w:hAnsi="Arial"/>
                <w:sz w:val="24"/>
                <w:szCs w:val="24"/>
                <w:b w:val="1"/>
                <w:bCs w:val="1"/>
                <w:color w:val="E2231A"/>
                <w:vertAlign w:val="superscript"/>
              </w:rPr>
              <w:t>(1)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Nominating</w:t>
            </w:r>
          </w:p>
        </w:tc>
      </w:tr>
      <w:tr>
        <w:trPr>
          <w:trHeight w:val="263"/>
        </w:trPr>
        <w:tc>
          <w:tcPr>
            <w:tcW w:w="2800" w:type="dxa"/>
            <w:vAlign w:val="bottom"/>
            <w:shd w:val="clear" w:color="auto" w:fill="FCE9E8"/>
          </w:tcPr>
          <w:p>
            <w:pPr>
              <w:ind w:left="80"/>
              <w:spacing w:after="0"/>
              <w:rPr>
                <w:sz w:val="20"/>
                <w:szCs w:val="20"/>
                <w:color w:val="auto"/>
              </w:rPr>
            </w:pPr>
            <w:r>
              <w:rPr>
                <w:rFonts w:ascii="Arial" w:cs="Arial" w:eastAsia="Arial" w:hAnsi="Arial"/>
                <w:sz w:val="17"/>
                <w:szCs w:val="17"/>
                <w:b w:val="1"/>
                <w:bCs w:val="1"/>
                <w:color w:val="auto"/>
              </w:rPr>
              <w:t>Mei-Wei Cheng</w:t>
            </w:r>
          </w:p>
        </w:tc>
        <w:tc>
          <w:tcPr>
            <w:tcW w:w="1980" w:type="dxa"/>
            <w:vAlign w:val="bottom"/>
            <w:shd w:val="clear" w:color="auto" w:fill="FCE9E8"/>
          </w:tcPr>
          <w:p>
            <w:pPr>
              <w:jc w:val="right"/>
              <w:ind w:right="600"/>
              <w:spacing w:after="0"/>
              <w:rPr>
                <w:sz w:val="20"/>
                <w:szCs w:val="20"/>
                <w:color w:val="auto"/>
              </w:rPr>
            </w:pPr>
            <w:r>
              <w:rPr>
                <w:rFonts w:ascii="Arial" w:cs="Arial" w:eastAsia="Arial" w:hAnsi="Arial"/>
                <w:sz w:val="16"/>
                <w:szCs w:val="16"/>
                <w:color w:val="auto"/>
              </w:rPr>
              <w:t>2019</w:t>
            </w:r>
          </w:p>
        </w:tc>
        <w:tc>
          <w:tcPr>
            <w:tcW w:w="1600" w:type="dxa"/>
            <w:vAlign w:val="bottom"/>
            <w:shd w:val="clear" w:color="auto" w:fill="FCE9E8"/>
          </w:tcPr>
          <w:p>
            <w:pPr>
              <w:ind w:left="840"/>
              <w:spacing w:after="0"/>
              <w:rPr>
                <w:sz w:val="20"/>
                <w:szCs w:val="20"/>
                <w:color w:val="auto"/>
              </w:rPr>
            </w:pPr>
            <w:r>
              <w:rPr>
                <w:rFonts w:ascii="Arial" w:cs="Arial" w:eastAsia="Arial" w:hAnsi="Arial"/>
                <w:sz w:val="16"/>
                <w:szCs w:val="16"/>
                <w:color w:val="auto"/>
              </w:rPr>
              <w:t>X</w:t>
            </w:r>
          </w:p>
        </w:tc>
        <w:tc>
          <w:tcPr>
            <w:tcW w:w="1320" w:type="dxa"/>
            <w:vAlign w:val="bottom"/>
            <w:shd w:val="clear" w:color="auto" w:fill="FCE9E8"/>
          </w:tcPr>
          <w:p>
            <w:pPr>
              <w:jc w:val="right"/>
              <w:ind w:right="641"/>
              <w:spacing w:after="0"/>
              <w:rPr>
                <w:sz w:val="20"/>
                <w:szCs w:val="20"/>
                <w:color w:val="auto"/>
              </w:rPr>
            </w:pPr>
            <w:r>
              <w:rPr>
                <w:rFonts w:ascii="Arial" w:cs="Arial" w:eastAsia="Arial" w:hAnsi="Arial"/>
                <w:sz w:val="16"/>
                <w:szCs w:val="16"/>
                <w:b w:val="1"/>
                <w:bCs w:val="1"/>
                <w:color w:val="auto"/>
              </w:rPr>
              <w:t>X</w:t>
            </w:r>
          </w:p>
        </w:tc>
        <w:tc>
          <w:tcPr>
            <w:tcW w:w="1000" w:type="dxa"/>
            <w:vAlign w:val="bottom"/>
            <w:shd w:val="clear" w:color="auto" w:fill="FCE9E8"/>
          </w:tcPr>
          <w:p>
            <w:pPr>
              <w:ind w:left="340"/>
              <w:spacing w:after="0"/>
              <w:rPr>
                <w:sz w:val="20"/>
                <w:szCs w:val="20"/>
                <w:color w:val="auto"/>
              </w:rPr>
            </w:pPr>
            <w:r>
              <w:rPr>
                <w:rFonts w:ascii="Arial" w:cs="Arial" w:eastAsia="Arial" w:hAnsi="Arial"/>
                <w:sz w:val="16"/>
                <w:szCs w:val="16"/>
                <w:b w:val="1"/>
                <w:bCs w:val="1"/>
                <w:color w:val="auto"/>
              </w:rPr>
              <w:t>X</w:t>
            </w:r>
          </w:p>
        </w:tc>
        <w:tc>
          <w:tcPr>
            <w:tcW w:w="1220" w:type="dxa"/>
            <w:vAlign w:val="bottom"/>
            <w:shd w:val="clear" w:color="auto" w:fill="FCE9E8"/>
          </w:tcPr>
          <w:p>
            <w:pPr>
              <w:spacing w:after="0"/>
              <w:rPr>
                <w:sz w:val="22"/>
                <w:szCs w:val="22"/>
                <w:color w:val="auto"/>
              </w:rPr>
            </w:pPr>
          </w:p>
        </w:tc>
      </w:tr>
      <w:tr>
        <w:trPr>
          <w:trHeight w:val="275"/>
        </w:trPr>
        <w:tc>
          <w:tcPr>
            <w:tcW w:w="2800" w:type="dxa"/>
            <w:vAlign w:val="bottom"/>
          </w:tcPr>
          <w:p>
            <w:pPr>
              <w:ind w:left="80"/>
              <w:spacing w:after="0"/>
              <w:rPr>
                <w:sz w:val="20"/>
                <w:szCs w:val="20"/>
                <w:color w:val="auto"/>
              </w:rPr>
            </w:pPr>
            <w:r>
              <w:rPr>
                <w:rFonts w:ascii="Arial" w:cs="Arial" w:eastAsia="Arial" w:hAnsi="Arial"/>
                <w:sz w:val="17"/>
                <w:szCs w:val="17"/>
                <w:b w:val="1"/>
                <w:bCs w:val="1"/>
                <w:color w:val="auto"/>
              </w:rPr>
              <w:t>Jonathan F. Foster</w:t>
            </w:r>
          </w:p>
        </w:tc>
        <w:tc>
          <w:tcPr>
            <w:tcW w:w="1980" w:type="dxa"/>
            <w:vAlign w:val="bottom"/>
          </w:tcPr>
          <w:p>
            <w:pPr>
              <w:jc w:val="right"/>
              <w:ind w:right="600"/>
              <w:spacing w:after="0"/>
              <w:rPr>
                <w:sz w:val="20"/>
                <w:szCs w:val="20"/>
                <w:color w:val="auto"/>
              </w:rPr>
            </w:pPr>
            <w:r>
              <w:rPr>
                <w:rFonts w:ascii="Arial" w:cs="Arial" w:eastAsia="Arial" w:hAnsi="Arial"/>
                <w:sz w:val="16"/>
                <w:szCs w:val="16"/>
                <w:color w:val="auto"/>
              </w:rPr>
              <w:t>2009</w:t>
            </w:r>
          </w:p>
        </w:tc>
        <w:tc>
          <w:tcPr>
            <w:tcW w:w="1600" w:type="dxa"/>
            <w:vAlign w:val="bottom"/>
          </w:tcPr>
          <w:p>
            <w:pPr>
              <w:ind w:left="840"/>
              <w:spacing w:after="0"/>
              <w:rPr>
                <w:sz w:val="20"/>
                <w:szCs w:val="20"/>
                <w:color w:val="auto"/>
              </w:rPr>
            </w:pPr>
            <w:r>
              <w:rPr>
                <w:rFonts w:ascii="Arial" w:cs="Arial" w:eastAsia="Arial" w:hAnsi="Arial"/>
                <w:sz w:val="16"/>
                <w:szCs w:val="16"/>
                <w:color w:val="auto"/>
              </w:rPr>
              <w:t>X</w:t>
            </w:r>
          </w:p>
        </w:tc>
        <w:tc>
          <w:tcPr>
            <w:tcW w:w="1320" w:type="dxa"/>
            <w:vAlign w:val="bottom"/>
          </w:tcPr>
          <w:p>
            <w:pPr>
              <w:jc w:val="right"/>
              <w:ind w:right="641"/>
              <w:spacing w:after="0"/>
              <w:rPr>
                <w:sz w:val="20"/>
                <w:szCs w:val="20"/>
                <w:color w:val="auto"/>
              </w:rPr>
            </w:pPr>
            <w:r>
              <w:rPr>
                <w:rFonts w:ascii="Arial" w:cs="Arial" w:eastAsia="Arial" w:hAnsi="Arial"/>
                <w:sz w:val="16"/>
                <w:szCs w:val="16"/>
                <w:b w:val="1"/>
                <w:bCs w:val="1"/>
                <w:color w:val="auto"/>
              </w:rPr>
              <w:t>C</w:t>
            </w:r>
          </w:p>
        </w:tc>
        <w:tc>
          <w:tcPr>
            <w:tcW w:w="1000" w:type="dxa"/>
            <w:vAlign w:val="bottom"/>
          </w:tcPr>
          <w:p>
            <w:pPr>
              <w:spacing w:after="0"/>
              <w:rPr>
                <w:sz w:val="23"/>
                <w:szCs w:val="23"/>
                <w:color w:val="auto"/>
              </w:rPr>
            </w:pPr>
          </w:p>
        </w:tc>
        <w:tc>
          <w:tcPr>
            <w:tcW w:w="1220" w:type="dxa"/>
            <w:vAlign w:val="bottom"/>
          </w:tcPr>
          <w:p>
            <w:pPr>
              <w:jc w:val="right"/>
              <w:ind w:right="320"/>
              <w:spacing w:after="0"/>
              <w:rPr>
                <w:sz w:val="20"/>
                <w:szCs w:val="20"/>
                <w:color w:val="auto"/>
              </w:rPr>
            </w:pPr>
            <w:r>
              <w:rPr>
                <w:rFonts w:ascii="Arial" w:cs="Arial" w:eastAsia="Arial" w:hAnsi="Arial"/>
                <w:sz w:val="16"/>
                <w:szCs w:val="16"/>
                <w:b w:val="1"/>
                <w:bCs w:val="1"/>
                <w:color w:val="auto"/>
              </w:rPr>
              <w:t>X</w:t>
            </w:r>
          </w:p>
        </w:tc>
      </w:tr>
      <w:tr>
        <w:trPr>
          <w:trHeight w:val="292"/>
        </w:trPr>
        <w:tc>
          <w:tcPr>
            <w:tcW w:w="2800" w:type="dxa"/>
            <w:vAlign w:val="bottom"/>
            <w:shd w:val="clear" w:color="auto" w:fill="FCE9E8"/>
          </w:tcPr>
          <w:p>
            <w:pPr>
              <w:ind w:left="80"/>
              <w:spacing w:after="0"/>
              <w:rPr>
                <w:sz w:val="20"/>
                <w:szCs w:val="20"/>
                <w:color w:val="auto"/>
              </w:rPr>
            </w:pPr>
            <w:r>
              <w:rPr>
                <w:rFonts w:ascii="Arial" w:cs="Arial" w:eastAsia="Arial" w:hAnsi="Arial"/>
                <w:sz w:val="17"/>
                <w:szCs w:val="17"/>
                <w:b w:val="1"/>
                <w:bCs w:val="1"/>
                <w:color w:val="auto"/>
              </w:rPr>
              <w:t>Bradley M. Halverson</w:t>
            </w:r>
          </w:p>
        </w:tc>
        <w:tc>
          <w:tcPr>
            <w:tcW w:w="1980" w:type="dxa"/>
            <w:vAlign w:val="bottom"/>
            <w:shd w:val="clear" w:color="auto" w:fill="FCE9E8"/>
          </w:tcPr>
          <w:p>
            <w:pPr>
              <w:jc w:val="right"/>
              <w:ind w:right="600"/>
              <w:spacing w:after="0"/>
              <w:rPr>
                <w:sz w:val="20"/>
                <w:szCs w:val="20"/>
                <w:color w:val="auto"/>
              </w:rPr>
            </w:pPr>
            <w:r>
              <w:rPr>
                <w:rFonts w:ascii="Arial" w:cs="Arial" w:eastAsia="Arial" w:hAnsi="Arial"/>
                <w:sz w:val="16"/>
                <w:szCs w:val="16"/>
                <w:color w:val="auto"/>
              </w:rPr>
              <w:t>2020</w:t>
            </w:r>
          </w:p>
        </w:tc>
        <w:tc>
          <w:tcPr>
            <w:tcW w:w="1600" w:type="dxa"/>
            <w:vAlign w:val="bottom"/>
            <w:shd w:val="clear" w:color="auto" w:fill="FCE9E8"/>
          </w:tcPr>
          <w:p>
            <w:pPr>
              <w:ind w:left="840"/>
              <w:spacing w:after="0"/>
              <w:rPr>
                <w:sz w:val="20"/>
                <w:szCs w:val="20"/>
                <w:color w:val="auto"/>
              </w:rPr>
            </w:pPr>
            <w:r>
              <w:rPr>
                <w:rFonts w:ascii="Arial" w:cs="Arial" w:eastAsia="Arial" w:hAnsi="Arial"/>
                <w:sz w:val="16"/>
                <w:szCs w:val="16"/>
                <w:color w:val="auto"/>
              </w:rPr>
              <w:t>X</w:t>
            </w:r>
          </w:p>
        </w:tc>
        <w:tc>
          <w:tcPr>
            <w:tcW w:w="1320" w:type="dxa"/>
            <w:vAlign w:val="bottom"/>
            <w:shd w:val="clear" w:color="auto" w:fill="FCE9E8"/>
          </w:tcPr>
          <w:p>
            <w:pPr>
              <w:jc w:val="right"/>
              <w:ind w:right="641"/>
              <w:spacing w:after="0"/>
              <w:rPr>
                <w:sz w:val="20"/>
                <w:szCs w:val="20"/>
                <w:color w:val="auto"/>
              </w:rPr>
            </w:pPr>
            <w:r>
              <w:rPr>
                <w:rFonts w:ascii="Arial" w:cs="Arial" w:eastAsia="Arial" w:hAnsi="Arial"/>
                <w:sz w:val="16"/>
                <w:szCs w:val="16"/>
                <w:b w:val="1"/>
                <w:bCs w:val="1"/>
                <w:color w:val="auto"/>
              </w:rPr>
              <w:t>X</w:t>
            </w:r>
          </w:p>
        </w:tc>
        <w:tc>
          <w:tcPr>
            <w:tcW w:w="1000" w:type="dxa"/>
            <w:vAlign w:val="bottom"/>
            <w:shd w:val="clear" w:color="auto" w:fill="FCE9E8"/>
          </w:tcPr>
          <w:p>
            <w:pPr>
              <w:spacing w:after="0"/>
              <w:rPr>
                <w:sz w:val="24"/>
                <w:szCs w:val="24"/>
                <w:color w:val="auto"/>
              </w:rPr>
            </w:pPr>
          </w:p>
        </w:tc>
        <w:tc>
          <w:tcPr>
            <w:tcW w:w="1220" w:type="dxa"/>
            <w:vAlign w:val="bottom"/>
            <w:shd w:val="clear" w:color="auto" w:fill="FCE9E8"/>
          </w:tcPr>
          <w:p>
            <w:pPr>
              <w:spacing w:after="0"/>
              <w:rPr>
                <w:sz w:val="24"/>
                <w:szCs w:val="24"/>
                <w:color w:val="auto"/>
              </w:rPr>
            </w:pPr>
          </w:p>
        </w:tc>
      </w:tr>
      <w:tr>
        <w:trPr>
          <w:trHeight w:val="275"/>
        </w:trPr>
        <w:tc>
          <w:tcPr>
            <w:tcW w:w="2800" w:type="dxa"/>
            <w:vAlign w:val="bottom"/>
          </w:tcPr>
          <w:p>
            <w:pPr>
              <w:ind w:left="80"/>
              <w:spacing w:after="0"/>
              <w:rPr>
                <w:sz w:val="20"/>
                <w:szCs w:val="20"/>
                <w:color w:val="auto"/>
              </w:rPr>
            </w:pPr>
            <w:r>
              <w:rPr>
                <w:rFonts w:ascii="Arial" w:cs="Arial" w:eastAsia="Arial" w:hAnsi="Arial"/>
                <w:sz w:val="17"/>
                <w:szCs w:val="17"/>
                <w:b w:val="1"/>
                <w:bCs w:val="1"/>
                <w:color w:val="auto"/>
              </w:rPr>
              <w:t>Mary Lou Jepsen</w:t>
            </w:r>
          </w:p>
        </w:tc>
        <w:tc>
          <w:tcPr>
            <w:tcW w:w="1980" w:type="dxa"/>
            <w:vAlign w:val="bottom"/>
          </w:tcPr>
          <w:p>
            <w:pPr>
              <w:jc w:val="right"/>
              <w:ind w:right="600"/>
              <w:spacing w:after="0"/>
              <w:rPr>
                <w:sz w:val="20"/>
                <w:szCs w:val="20"/>
                <w:color w:val="auto"/>
              </w:rPr>
            </w:pPr>
            <w:r>
              <w:rPr>
                <w:rFonts w:ascii="Arial" w:cs="Arial" w:eastAsia="Arial" w:hAnsi="Arial"/>
                <w:sz w:val="16"/>
                <w:szCs w:val="16"/>
                <w:color w:val="auto"/>
              </w:rPr>
              <w:t>2016</w:t>
            </w:r>
          </w:p>
        </w:tc>
        <w:tc>
          <w:tcPr>
            <w:tcW w:w="1600" w:type="dxa"/>
            <w:vAlign w:val="bottom"/>
          </w:tcPr>
          <w:p>
            <w:pPr>
              <w:ind w:left="840"/>
              <w:spacing w:after="0"/>
              <w:rPr>
                <w:sz w:val="20"/>
                <w:szCs w:val="20"/>
                <w:color w:val="auto"/>
              </w:rPr>
            </w:pPr>
            <w:r>
              <w:rPr>
                <w:rFonts w:ascii="Arial" w:cs="Arial" w:eastAsia="Arial" w:hAnsi="Arial"/>
                <w:sz w:val="16"/>
                <w:szCs w:val="16"/>
                <w:color w:val="auto"/>
              </w:rPr>
              <w:t>X</w:t>
            </w:r>
          </w:p>
        </w:tc>
        <w:tc>
          <w:tcPr>
            <w:tcW w:w="1320" w:type="dxa"/>
            <w:vAlign w:val="bottom"/>
          </w:tcPr>
          <w:p>
            <w:pPr>
              <w:spacing w:after="0"/>
              <w:rPr>
                <w:sz w:val="23"/>
                <w:szCs w:val="23"/>
                <w:color w:val="auto"/>
              </w:rPr>
            </w:pPr>
          </w:p>
        </w:tc>
        <w:tc>
          <w:tcPr>
            <w:tcW w:w="1000" w:type="dxa"/>
            <w:vAlign w:val="bottom"/>
          </w:tcPr>
          <w:p>
            <w:pPr>
              <w:ind w:left="340"/>
              <w:spacing w:after="0"/>
              <w:rPr>
                <w:sz w:val="20"/>
                <w:szCs w:val="20"/>
                <w:color w:val="auto"/>
              </w:rPr>
            </w:pPr>
            <w:r>
              <w:rPr>
                <w:rFonts w:ascii="Arial" w:cs="Arial" w:eastAsia="Arial" w:hAnsi="Arial"/>
                <w:sz w:val="16"/>
                <w:szCs w:val="16"/>
                <w:b w:val="1"/>
                <w:bCs w:val="1"/>
                <w:color w:val="auto"/>
              </w:rPr>
              <w:t>X</w:t>
            </w:r>
          </w:p>
        </w:tc>
        <w:tc>
          <w:tcPr>
            <w:tcW w:w="1220" w:type="dxa"/>
            <w:vAlign w:val="bottom"/>
          </w:tcPr>
          <w:p>
            <w:pPr>
              <w:jc w:val="right"/>
              <w:ind w:right="320"/>
              <w:spacing w:after="0"/>
              <w:rPr>
                <w:sz w:val="20"/>
                <w:szCs w:val="20"/>
                <w:color w:val="auto"/>
              </w:rPr>
            </w:pPr>
            <w:r>
              <w:rPr>
                <w:rFonts w:ascii="Arial" w:cs="Arial" w:eastAsia="Arial" w:hAnsi="Arial"/>
                <w:sz w:val="16"/>
                <w:szCs w:val="16"/>
                <w:b w:val="1"/>
                <w:bCs w:val="1"/>
                <w:color w:val="auto"/>
              </w:rPr>
              <w:t>X</w:t>
            </w:r>
          </w:p>
        </w:tc>
      </w:tr>
      <w:tr>
        <w:trPr>
          <w:trHeight w:val="292"/>
        </w:trPr>
        <w:tc>
          <w:tcPr>
            <w:tcW w:w="2800" w:type="dxa"/>
            <w:vAlign w:val="bottom"/>
            <w:shd w:val="clear" w:color="auto" w:fill="FCE9E8"/>
          </w:tcPr>
          <w:p>
            <w:pPr>
              <w:ind w:left="80"/>
              <w:spacing w:after="0"/>
              <w:rPr>
                <w:sz w:val="20"/>
                <w:szCs w:val="20"/>
                <w:color w:val="auto"/>
              </w:rPr>
            </w:pPr>
            <w:r>
              <w:rPr>
                <w:rFonts w:ascii="Arial" w:cs="Arial" w:eastAsia="Arial" w:hAnsi="Arial"/>
                <w:sz w:val="17"/>
                <w:szCs w:val="17"/>
                <w:b w:val="1"/>
                <w:bCs w:val="1"/>
                <w:color w:val="auto"/>
              </w:rPr>
              <w:t>Roger A. Krone</w:t>
            </w:r>
          </w:p>
        </w:tc>
        <w:tc>
          <w:tcPr>
            <w:tcW w:w="1980" w:type="dxa"/>
            <w:vAlign w:val="bottom"/>
            <w:shd w:val="clear" w:color="auto" w:fill="FCE9E8"/>
          </w:tcPr>
          <w:p>
            <w:pPr>
              <w:jc w:val="right"/>
              <w:ind w:right="600"/>
              <w:spacing w:after="0"/>
              <w:rPr>
                <w:sz w:val="20"/>
                <w:szCs w:val="20"/>
                <w:color w:val="auto"/>
              </w:rPr>
            </w:pPr>
            <w:r>
              <w:rPr>
                <w:rFonts w:ascii="Arial" w:cs="Arial" w:eastAsia="Arial" w:hAnsi="Arial"/>
                <w:sz w:val="16"/>
                <w:szCs w:val="16"/>
                <w:color w:val="auto"/>
              </w:rPr>
              <w:t>2020</w:t>
            </w:r>
          </w:p>
        </w:tc>
        <w:tc>
          <w:tcPr>
            <w:tcW w:w="1600" w:type="dxa"/>
            <w:vAlign w:val="bottom"/>
            <w:shd w:val="clear" w:color="auto" w:fill="FCE9E8"/>
          </w:tcPr>
          <w:p>
            <w:pPr>
              <w:ind w:left="840"/>
              <w:spacing w:after="0"/>
              <w:rPr>
                <w:sz w:val="20"/>
                <w:szCs w:val="20"/>
                <w:color w:val="auto"/>
              </w:rPr>
            </w:pPr>
            <w:r>
              <w:rPr>
                <w:rFonts w:ascii="Arial" w:cs="Arial" w:eastAsia="Arial" w:hAnsi="Arial"/>
                <w:sz w:val="16"/>
                <w:szCs w:val="16"/>
                <w:color w:val="auto"/>
              </w:rPr>
              <w:t>X</w:t>
            </w:r>
          </w:p>
        </w:tc>
        <w:tc>
          <w:tcPr>
            <w:tcW w:w="1320" w:type="dxa"/>
            <w:vAlign w:val="bottom"/>
            <w:shd w:val="clear" w:color="auto" w:fill="FCE9E8"/>
          </w:tcPr>
          <w:p>
            <w:pPr>
              <w:spacing w:after="0"/>
              <w:rPr>
                <w:sz w:val="24"/>
                <w:szCs w:val="24"/>
                <w:color w:val="auto"/>
              </w:rPr>
            </w:pPr>
          </w:p>
        </w:tc>
        <w:tc>
          <w:tcPr>
            <w:tcW w:w="1000" w:type="dxa"/>
            <w:vAlign w:val="bottom"/>
            <w:shd w:val="clear" w:color="auto" w:fill="FCE9E8"/>
          </w:tcPr>
          <w:p>
            <w:pPr>
              <w:spacing w:after="0"/>
              <w:rPr>
                <w:sz w:val="24"/>
                <w:szCs w:val="24"/>
                <w:color w:val="auto"/>
              </w:rPr>
            </w:pPr>
          </w:p>
        </w:tc>
        <w:tc>
          <w:tcPr>
            <w:tcW w:w="1220" w:type="dxa"/>
            <w:vAlign w:val="bottom"/>
            <w:shd w:val="clear" w:color="auto" w:fill="FCE9E8"/>
          </w:tcPr>
          <w:p>
            <w:pPr>
              <w:jc w:val="right"/>
              <w:ind w:right="320"/>
              <w:spacing w:after="0"/>
              <w:rPr>
                <w:sz w:val="20"/>
                <w:szCs w:val="20"/>
                <w:color w:val="auto"/>
              </w:rPr>
            </w:pPr>
            <w:r>
              <w:rPr>
                <w:rFonts w:ascii="Arial" w:cs="Arial" w:eastAsia="Arial" w:hAnsi="Arial"/>
                <w:sz w:val="16"/>
                <w:szCs w:val="16"/>
                <w:b w:val="1"/>
                <w:bCs w:val="1"/>
                <w:color w:val="auto"/>
              </w:rPr>
              <w:t>X</w:t>
            </w:r>
          </w:p>
        </w:tc>
      </w:tr>
      <w:tr>
        <w:trPr>
          <w:trHeight w:val="275"/>
        </w:trPr>
        <w:tc>
          <w:tcPr>
            <w:tcW w:w="2800" w:type="dxa"/>
            <w:vAlign w:val="bottom"/>
          </w:tcPr>
          <w:p>
            <w:pPr>
              <w:ind w:left="80"/>
              <w:spacing w:after="0"/>
              <w:rPr>
                <w:sz w:val="20"/>
                <w:szCs w:val="20"/>
                <w:color w:val="auto"/>
              </w:rPr>
            </w:pPr>
            <w:r>
              <w:rPr>
                <w:rFonts w:ascii="Arial" w:cs="Arial" w:eastAsia="Arial" w:hAnsi="Arial"/>
                <w:sz w:val="17"/>
                <w:szCs w:val="17"/>
                <w:b w:val="1"/>
                <w:bCs w:val="1"/>
                <w:color w:val="auto"/>
              </w:rPr>
              <w:t>Patricia L. Lewis</w:t>
            </w:r>
          </w:p>
        </w:tc>
        <w:tc>
          <w:tcPr>
            <w:tcW w:w="1980" w:type="dxa"/>
            <w:vAlign w:val="bottom"/>
          </w:tcPr>
          <w:p>
            <w:pPr>
              <w:jc w:val="right"/>
              <w:ind w:right="600"/>
              <w:spacing w:after="0"/>
              <w:rPr>
                <w:sz w:val="20"/>
                <w:szCs w:val="20"/>
                <w:color w:val="auto"/>
              </w:rPr>
            </w:pPr>
            <w:r>
              <w:rPr>
                <w:rFonts w:ascii="Arial" w:cs="Arial" w:eastAsia="Arial" w:hAnsi="Arial"/>
                <w:sz w:val="16"/>
                <w:szCs w:val="16"/>
                <w:color w:val="auto"/>
              </w:rPr>
              <w:t>2020</w:t>
            </w:r>
          </w:p>
        </w:tc>
        <w:tc>
          <w:tcPr>
            <w:tcW w:w="1600" w:type="dxa"/>
            <w:vAlign w:val="bottom"/>
          </w:tcPr>
          <w:p>
            <w:pPr>
              <w:ind w:left="840"/>
              <w:spacing w:after="0"/>
              <w:rPr>
                <w:sz w:val="20"/>
                <w:szCs w:val="20"/>
                <w:color w:val="auto"/>
              </w:rPr>
            </w:pPr>
            <w:r>
              <w:rPr>
                <w:rFonts w:ascii="Arial" w:cs="Arial" w:eastAsia="Arial" w:hAnsi="Arial"/>
                <w:sz w:val="16"/>
                <w:szCs w:val="16"/>
                <w:color w:val="auto"/>
              </w:rPr>
              <w:t>X</w:t>
            </w:r>
          </w:p>
        </w:tc>
        <w:tc>
          <w:tcPr>
            <w:tcW w:w="1320" w:type="dxa"/>
            <w:vAlign w:val="bottom"/>
          </w:tcPr>
          <w:p>
            <w:pPr>
              <w:spacing w:after="0"/>
              <w:rPr>
                <w:sz w:val="23"/>
                <w:szCs w:val="23"/>
                <w:color w:val="auto"/>
              </w:rPr>
            </w:pPr>
          </w:p>
        </w:tc>
        <w:tc>
          <w:tcPr>
            <w:tcW w:w="1000" w:type="dxa"/>
            <w:vAlign w:val="bottom"/>
          </w:tcPr>
          <w:p>
            <w:pPr>
              <w:ind w:left="340"/>
              <w:spacing w:after="0"/>
              <w:rPr>
                <w:sz w:val="20"/>
                <w:szCs w:val="20"/>
                <w:color w:val="auto"/>
              </w:rPr>
            </w:pPr>
            <w:r>
              <w:rPr>
                <w:rFonts w:ascii="Arial" w:cs="Arial" w:eastAsia="Arial" w:hAnsi="Arial"/>
                <w:sz w:val="16"/>
                <w:szCs w:val="16"/>
                <w:b w:val="1"/>
                <w:bCs w:val="1"/>
                <w:color w:val="auto"/>
              </w:rPr>
              <w:t>X</w:t>
            </w:r>
          </w:p>
        </w:tc>
        <w:tc>
          <w:tcPr>
            <w:tcW w:w="1220" w:type="dxa"/>
            <w:vAlign w:val="bottom"/>
          </w:tcPr>
          <w:p>
            <w:pPr>
              <w:spacing w:after="0"/>
              <w:rPr>
                <w:sz w:val="23"/>
                <w:szCs w:val="23"/>
                <w:color w:val="auto"/>
              </w:rPr>
            </w:pPr>
          </w:p>
        </w:tc>
      </w:tr>
      <w:tr>
        <w:trPr>
          <w:trHeight w:val="292"/>
        </w:trPr>
        <w:tc>
          <w:tcPr>
            <w:tcW w:w="2800" w:type="dxa"/>
            <w:vAlign w:val="bottom"/>
            <w:shd w:val="clear" w:color="auto" w:fill="FCE9E8"/>
          </w:tcPr>
          <w:p>
            <w:pPr>
              <w:ind w:left="80"/>
              <w:spacing w:after="0"/>
              <w:rPr>
                <w:sz w:val="20"/>
                <w:szCs w:val="20"/>
                <w:color w:val="auto"/>
              </w:rPr>
            </w:pPr>
            <w:r>
              <w:rPr>
                <w:rFonts w:ascii="Arial" w:cs="Arial" w:eastAsia="Arial" w:hAnsi="Arial"/>
                <w:sz w:val="17"/>
                <w:szCs w:val="17"/>
                <w:b w:val="1"/>
                <w:bCs w:val="1"/>
                <w:color w:val="auto"/>
              </w:rPr>
              <w:t>Kathleen A. Ligocki</w:t>
            </w:r>
          </w:p>
        </w:tc>
        <w:tc>
          <w:tcPr>
            <w:tcW w:w="1980" w:type="dxa"/>
            <w:vAlign w:val="bottom"/>
            <w:shd w:val="clear" w:color="auto" w:fill="FCE9E8"/>
          </w:tcPr>
          <w:p>
            <w:pPr>
              <w:jc w:val="right"/>
              <w:ind w:right="600"/>
              <w:spacing w:after="0"/>
              <w:rPr>
                <w:sz w:val="20"/>
                <w:szCs w:val="20"/>
                <w:color w:val="auto"/>
              </w:rPr>
            </w:pPr>
            <w:r>
              <w:rPr>
                <w:rFonts w:ascii="Arial" w:cs="Arial" w:eastAsia="Arial" w:hAnsi="Arial"/>
                <w:sz w:val="16"/>
                <w:szCs w:val="16"/>
                <w:color w:val="auto"/>
              </w:rPr>
              <w:t>2012</w:t>
            </w:r>
          </w:p>
        </w:tc>
        <w:tc>
          <w:tcPr>
            <w:tcW w:w="1600" w:type="dxa"/>
            <w:vAlign w:val="bottom"/>
            <w:shd w:val="clear" w:color="auto" w:fill="FCE9E8"/>
          </w:tcPr>
          <w:p>
            <w:pPr>
              <w:ind w:left="840"/>
              <w:spacing w:after="0"/>
              <w:rPr>
                <w:sz w:val="20"/>
                <w:szCs w:val="20"/>
                <w:color w:val="auto"/>
              </w:rPr>
            </w:pPr>
            <w:r>
              <w:rPr>
                <w:rFonts w:ascii="Arial" w:cs="Arial" w:eastAsia="Arial" w:hAnsi="Arial"/>
                <w:sz w:val="16"/>
                <w:szCs w:val="16"/>
                <w:color w:val="auto"/>
              </w:rPr>
              <w:t>X</w:t>
            </w:r>
          </w:p>
        </w:tc>
        <w:tc>
          <w:tcPr>
            <w:tcW w:w="1320" w:type="dxa"/>
            <w:vAlign w:val="bottom"/>
            <w:shd w:val="clear" w:color="auto" w:fill="FCE9E8"/>
          </w:tcPr>
          <w:p>
            <w:pPr>
              <w:spacing w:after="0"/>
              <w:rPr>
                <w:sz w:val="24"/>
                <w:szCs w:val="24"/>
                <w:color w:val="auto"/>
              </w:rPr>
            </w:pPr>
          </w:p>
        </w:tc>
        <w:tc>
          <w:tcPr>
            <w:tcW w:w="1000" w:type="dxa"/>
            <w:vAlign w:val="bottom"/>
            <w:shd w:val="clear" w:color="auto" w:fill="FCE9E8"/>
          </w:tcPr>
          <w:p>
            <w:pPr>
              <w:ind w:left="340"/>
              <w:spacing w:after="0"/>
              <w:rPr>
                <w:sz w:val="20"/>
                <w:szCs w:val="20"/>
                <w:color w:val="auto"/>
              </w:rPr>
            </w:pPr>
            <w:r>
              <w:rPr>
                <w:rFonts w:ascii="Arial" w:cs="Arial" w:eastAsia="Arial" w:hAnsi="Arial"/>
                <w:sz w:val="16"/>
                <w:szCs w:val="16"/>
                <w:b w:val="1"/>
                <w:bCs w:val="1"/>
                <w:color w:val="auto"/>
              </w:rPr>
              <w:t>X</w:t>
            </w:r>
          </w:p>
        </w:tc>
        <w:tc>
          <w:tcPr>
            <w:tcW w:w="1220" w:type="dxa"/>
            <w:vAlign w:val="bottom"/>
            <w:shd w:val="clear" w:color="auto" w:fill="FCE9E8"/>
          </w:tcPr>
          <w:p>
            <w:pPr>
              <w:jc w:val="right"/>
              <w:ind w:right="320"/>
              <w:spacing w:after="0"/>
              <w:rPr>
                <w:sz w:val="20"/>
                <w:szCs w:val="20"/>
                <w:color w:val="auto"/>
              </w:rPr>
            </w:pPr>
            <w:r>
              <w:rPr>
                <w:rFonts w:ascii="Arial" w:cs="Arial" w:eastAsia="Arial" w:hAnsi="Arial"/>
                <w:sz w:val="16"/>
                <w:szCs w:val="16"/>
                <w:b w:val="1"/>
                <w:bCs w:val="1"/>
                <w:color w:val="auto"/>
              </w:rPr>
              <w:t>C</w:t>
            </w:r>
          </w:p>
        </w:tc>
      </w:tr>
      <w:tr>
        <w:trPr>
          <w:trHeight w:val="275"/>
        </w:trPr>
        <w:tc>
          <w:tcPr>
            <w:tcW w:w="2800" w:type="dxa"/>
            <w:vAlign w:val="bottom"/>
          </w:tcPr>
          <w:p>
            <w:pPr>
              <w:ind w:left="80"/>
              <w:spacing w:after="0"/>
              <w:rPr>
                <w:sz w:val="20"/>
                <w:szCs w:val="20"/>
                <w:color w:val="auto"/>
              </w:rPr>
            </w:pPr>
            <w:r>
              <w:rPr>
                <w:rFonts w:ascii="Arial" w:cs="Arial" w:eastAsia="Arial" w:hAnsi="Arial"/>
                <w:sz w:val="17"/>
                <w:szCs w:val="17"/>
                <w:b w:val="1"/>
                <w:bCs w:val="1"/>
                <w:color w:val="auto"/>
              </w:rPr>
              <w:t>Conrad L. Mallett, Jr.</w:t>
            </w:r>
          </w:p>
        </w:tc>
        <w:tc>
          <w:tcPr>
            <w:tcW w:w="1980" w:type="dxa"/>
            <w:vAlign w:val="bottom"/>
          </w:tcPr>
          <w:p>
            <w:pPr>
              <w:jc w:val="right"/>
              <w:ind w:right="600"/>
              <w:spacing w:after="0"/>
              <w:rPr>
                <w:sz w:val="20"/>
                <w:szCs w:val="20"/>
                <w:color w:val="auto"/>
              </w:rPr>
            </w:pPr>
            <w:r>
              <w:rPr>
                <w:rFonts w:ascii="Arial" w:cs="Arial" w:eastAsia="Arial" w:hAnsi="Arial"/>
                <w:sz w:val="16"/>
                <w:szCs w:val="16"/>
                <w:color w:val="auto"/>
              </w:rPr>
              <w:t>2002</w:t>
            </w:r>
          </w:p>
        </w:tc>
        <w:tc>
          <w:tcPr>
            <w:tcW w:w="1600" w:type="dxa"/>
            <w:vAlign w:val="bottom"/>
          </w:tcPr>
          <w:p>
            <w:pPr>
              <w:ind w:left="840"/>
              <w:spacing w:after="0"/>
              <w:rPr>
                <w:sz w:val="20"/>
                <w:szCs w:val="20"/>
                <w:color w:val="auto"/>
              </w:rPr>
            </w:pPr>
            <w:r>
              <w:rPr>
                <w:rFonts w:ascii="Arial" w:cs="Arial" w:eastAsia="Arial" w:hAnsi="Arial"/>
                <w:sz w:val="16"/>
                <w:szCs w:val="16"/>
                <w:color w:val="auto"/>
              </w:rPr>
              <w:t>X</w:t>
            </w:r>
          </w:p>
        </w:tc>
        <w:tc>
          <w:tcPr>
            <w:tcW w:w="1320" w:type="dxa"/>
            <w:vAlign w:val="bottom"/>
          </w:tcPr>
          <w:p>
            <w:pPr>
              <w:jc w:val="right"/>
              <w:ind w:right="641"/>
              <w:spacing w:after="0"/>
              <w:rPr>
                <w:sz w:val="20"/>
                <w:szCs w:val="20"/>
                <w:color w:val="auto"/>
              </w:rPr>
            </w:pPr>
            <w:r>
              <w:rPr>
                <w:rFonts w:ascii="Arial" w:cs="Arial" w:eastAsia="Arial" w:hAnsi="Arial"/>
                <w:sz w:val="16"/>
                <w:szCs w:val="16"/>
                <w:b w:val="1"/>
                <w:bCs w:val="1"/>
                <w:color w:val="auto"/>
              </w:rPr>
              <w:t>X</w:t>
            </w:r>
          </w:p>
        </w:tc>
        <w:tc>
          <w:tcPr>
            <w:tcW w:w="1000" w:type="dxa"/>
            <w:vAlign w:val="bottom"/>
          </w:tcPr>
          <w:p>
            <w:pPr>
              <w:spacing w:after="0"/>
              <w:rPr>
                <w:sz w:val="23"/>
                <w:szCs w:val="23"/>
                <w:color w:val="auto"/>
              </w:rPr>
            </w:pPr>
          </w:p>
        </w:tc>
        <w:tc>
          <w:tcPr>
            <w:tcW w:w="1220" w:type="dxa"/>
            <w:vAlign w:val="bottom"/>
          </w:tcPr>
          <w:p>
            <w:pPr>
              <w:jc w:val="right"/>
              <w:ind w:right="320"/>
              <w:spacing w:after="0"/>
              <w:rPr>
                <w:sz w:val="20"/>
                <w:szCs w:val="20"/>
                <w:color w:val="auto"/>
              </w:rPr>
            </w:pPr>
            <w:r>
              <w:rPr>
                <w:rFonts w:ascii="Arial" w:cs="Arial" w:eastAsia="Arial" w:hAnsi="Arial"/>
                <w:sz w:val="16"/>
                <w:szCs w:val="16"/>
                <w:b w:val="1"/>
                <w:bCs w:val="1"/>
                <w:color w:val="auto"/>
              </w:rPr>
              <w:t>X</w:t>
            </w:r>
          </w:p>
        </w:tc>
      </w:tr>
      <w:tr>
        <w:trPr>
          <w:trHeight w:val="292"/>
        </w:trPr>
        <w:tc>
          <w:tcPr>
            <w:tcW w:w="2800" w:type="dxa"/>
            <w:vAlign w:val="bottom"/>
            <w:shd w:val="clear" w:color="auto" w:fill="FCE9E8"/>
          </w:tcPr>
          <w:p>
            <w:pPr>
              <w:ind w:left="80"/>
              <w:spacing w:after="0"/>
              <w:rPr>
                <w:sz w:val="20"/>
                <w:szCs w:val="20"/>
                <w:color w:val="auto"/>
              </w:rPr>
            </w:pPr>
            <w:r>
              <w:rPr>
                <w:rFonts w:ascii="Arial" w:cs="Arial" w:eastAsia="Arial" w:hAnsi="Arial"/>
                <w:sz w:val="17"/>
                <w:szCs w:val="17"/>
                <w:b w:val="1"/>
                <w:bCs w:val="1"/>
                <w:color w:val="auto"/>
              </w:rPr>
              <w:t>Raymond E. Scott</w:t>
            </w:r>
          </w:p>
        </w:tc>
        <w:tc>
          <w:tcPr>
            <w:tcW w:w="1980" w:type="dxa"/>
            <w:vAlign w:val="bottom"/>
            <w:shd w:val="clear" w:color="auto" w:fill="FCE9E8"/>
          </w:tcPr>
          <w:p>
            <w:pPr>
              <w:jc w:val="right"/>
              <w:ind w:right="600"/>
              <w:spacing w:after="0"/>
              <w:rPr>
                <w:sz w:val="20"/>
                <w:szCs w:val="20"/>
                <w:color w:val="auto"/>
              </w:rPr>
            </w:pPr>
            <w:r>
              <w:rPr>
                <w:rFonts w:ascii="Arial" w:cs="Arial" w:eastAsia="Arial" w:hAnsi="Arial"/>
                <w:sz w:val="16"/>
                <w:szCs w:val="16"/>
                <w:color w:val="auto"/>
              </w:rPr>
              <w:t>2018</w:t>
            </w:r>
          </w:p>
        </w:tc>
        <w:tc>
          <w:tcPr>
            <w:tcW w:w="1600" w:type="dxa"/>
            <w:vAlign w:val="bottom"/>
            <w:shd w:val="clear" w:color="auto" w:fill="FCE9E8"/>
          </w:tcPr>
          <w:p>
            <w:pPr>
              <w:spacing w:after="0"/>
              <w:rPr>
                <w:sz w:val="24"/>
                <w:szCs w:val="24"/>
                <w:color w:val="auto"/>
              </w:rPr>
            </w:pPr>
          </w:p>
        </w:tc>
        <w:tc>
          <w:tcPr>
            <w:tcW w:w="1320" w:type="dxa"/>
            <w:vAlign w:val="bottom"/>
            <w:shd w:val="clear" w:color="auto" w:fill="FCE9E8"/>
          </w:tcPr>
          <w:p>
            <w:pPr>
              <w:spacing w:after="0"/>
              <w:rPr>
                <w:sz w:val="24"/>
                <w:szCs w:val="24"/>
                <w:color w:val="auto"/>
              </w:rPr>
            </w:pPr>
          </w:p>
        </w:tc>
        <w:tc>
          <w:tcPr>
            <w:tcW w:w="1000" w:type="dxa"/>
            <w:vAlign w:val="bottom"/>
            <w:shd w:val="clear" w:color="auto" w:fill="FCE9E8"/>
          </w:tcPr>
          <w:p>
            <w:pPr>
              <w:spacing w:after="0"/>
              <w:rPr>
                <w:sz w:val="24"/>
                <w:szCs w:val="24"/>
                <w:color w:val="auto"/>
              </w:rPr>
            </w:pPr>
          </w:p>
        </w:tc>
        <w:tc>
          <w:tcPr>
            <w:tcW w:w="1220" w:type="dxa"/>
            <w:vAlign w:val="bottom"/>
            <w:shd w:val="clear" w:color="auto" w:fill="FCE9E8"/>
          </w:tcPr>
          <w:p>
            <w:pPr>
              <w:spacing w:after="0"/>
              <w:rPr>
                <w:sz w:val="24"/>
                <w:szCs w:val="24"/>
                <w:color w:val="auto"/>
              </w:rPr>
            </w:pPr>
          </w:p>
        </w:tc>
      </w:tr>
      <w:tr>
        <w:trPr>
          <w:trHeight w:val="277"/>
        </w:trPr>
        <w:tc>
          <w:tcPr>
            <w:tcW w:w="280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Gregory C. Smith</w:t>
            </w:r>
          </w:p>
        </w:tc>
        <w:tc>
          <w:tcPr>
            <w:tcW w:w="198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2009</w:t>
            </w: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X</w:t>
            </w: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E</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E</w:t>
            </w: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E</w:t>
            </w:r>
          </w:p>
        </w:tc>
      </w:tr>
      <w:tr>
        <w:trPr>
          <w:trHeight w:val="171"/>
        </w:trPr>
        <w:tc>
          <w:tcPr>
            <w:tcW w:w="2800" w:type="dxa"/>
            <w:vAlign w:val="bottom"/>
          </w:tcPr>
          <w:p>
            <w:pPr>
              <w:spacing w:after="0" w:line="171" w:lineRule="exact"/>
              <w:rPr>
                <w:sz w:val="20"/>
                <w:szCs w:val="20"/>
                <w:color w:val="auto"/>
              </w:rPr>
            </w:pPr>
            <w:r>
              <w:rPr>
                <w:rFonts w:ascii="Arial" w:cs="Arial" w:eastAsia="Arial" w:hAnsi="Arial"/>
                <w:sz w:val="16"/>
                <w:szCs w:val="16"/>
                <w:color w:val="auto"/>
              </w:rPr>
              <w:t>“C” = Chair of Committee</w:t>
            </w:r>
          </w:p>
        </w:tc>
        <w:tc>
          <w:tcPr>
            <w:tcW w:w="1980" w:type="dxa"/>
            <w:vAlign w:val="bottom"/>
          </w:tcPr>
          <w:p>
            <w:pPr>
              <w:spacing w:after="0"/>
              <w:rPr>
                <w:sz w:val="14"/>
                <w:szCs w:val="14"/>
                <w:color w:val="auto"/>
              </w:rPr>
            </w:pPr>
          </w:p>
        </w:tc>
        <w:tc>
          <w:tcPr>
            <w:tcW w:w="2920" w:type="dxa"/>
            <w:vAlign w:val="bottom"/>
            <w:gridSpan w:val="2"/>
          </w:tcPr>
          <w:p>
            <w:pPr>
              <w:ind w:left="380"/>
              <w:spacing w:after="0" w:line="171" w:lineRule="exact"/>
              <w:rPr>
                <w:sz w:val="20"/>
                <w:szCs w:val="20"/>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 Year</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2800" w:type="dxa"/>
            <w:vAlign w:val="bottom"/>
          </w:tcPr>
          <w:p>
            <w:pPr>
              <w:spacing w:after="0"/>
              <w:rPr>
                <w:sz w:val="20"/>
                <w:szCs w:val="20"/>
                <w:color w:val="auto"/>
              </w:rPr>
            </w:pPr>
            <w:r>
              <w:rPr>
                <w:rFonts w:ascii="Arial" w:cs="Arial" w:eastAsia="Arial" w:hAnsi="Arial"/>
                <w:sz w:val="16"/>
                <w:szCs w:val="16"/>
                <w:color w:val="auto"/>
              </w:rPr>
              <w:t>“X” = Member of Committee</w:t>
            </w:r>
          </w:p>
        </w:tc>
        <w:tc>
          <w:tcPr>
            <w:tcW w:w="1980" w:type="dxa"/>
            <w:vAlign w:val="bottom"/>
          </w:tcPr>
          <w:p>
            <w:pPr>
              <w:spacing w:after="0"/>
              <w:rPr>
                <w:sz w:val="16"/>
                <w:szCs w:val="16"/>
                <w:color w:val="auto"/>
              </w:rPr>
            </w:pPr>
          </w:p>
        </w:tc>
        <w:tc>
          <w:tcPr>
            <w:tcW w:w="2920" w:type="dxa"/>
            <w:vAlign w:val="bottom"/>
            <w:gridSpan w:val="2"/>
          </w:tcPr>
          <w:p>
            <w:pPr>
              <w:ind w:left="380"/>
              <w:spacing w:after="0"/>
              <w:rPr>
                <w:sz w:val="20"/>
                <w:szCs w:val="20"/>
                <w:color w:val="auto"/>
              </w:rPr>
            </w:pPr>
            <w:r>
              <w:rPr>
                <w:rFonts w:ascii="Arial" w:cs="Arial" w:eastAsia="Arial" w:hAnsi="Arial"/>
                <w:sz w:val="16"/>
                <w:szCs w:val="16"/>
                <w:b w:val="1"/>
                <w:bCs w:val="1"/>
                <w:color w:val="auto"/>
              </w:rPr>
              <w:t xml:space="preserve">Board Meetings in 2020: </w:t>
            </w:r>
            <w:r>
              <w:rPr>
                <w:rFonts w:ascii="Arial" w:cs="Arial" w:eastAsia="Arial" w:hAnsi="Arial"/>
                <w:sz w:val="16"/>
                <w:szCs w:val="16"/>
                <w:color w:val="auto"/>
              </w:rPr>
              <w:t>17</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6"/>
                <w:szCs w:val="16"/>
                <w:color w:val="auto"/>
              </w:rPr>
              <w:t>“E” = Ex Officio Member</w:t>
            </w:r>
          </w:p>
        </w:tc>
        <w:tc>
          <w:tcPr>
            <w:tcW w:w="1980" w:type="dxa"/>
            <w:vAlign w:val="bottom"/>
          </w:tcPr>
          <w:p>
            <w:pPr>
              <w:spacing w:after="0"/>
              <w:rPr>
                <w:sz w:val="18"/>
                <w:szCs w:val="18"/>
                <w:color w:val="auto"/>
              </w:rPr>
            </w:pPr>
          </w:p>
        </w:tc>
        <w:tc>
          <w:tcPr>
            <w:tcW w:w="5140" w:type="dxa"/>
            <w:vAlign w:val="bottom"/>
            <w:gridSpan w:val="4"/>
          </w:tcPr>
          <w:p>
            <w:pPr>
              <w:ind w:left="380"/>
              <w:spacing w:after="0"/>
              <w:rPr>
                <w:sz w:val="20"/>
                <w:szCs w:val="20"/>
                <w:color w:val="auto"/>
              </w:rPr>
            </w:pPr>
            <w:r>
              <w:rPr>
                <w:rFonts w:ascii="Arial" w:cs="Arial" w:eastAsia="Arial" w:hAnsi="Arial"/>
                <w:sz w:val="16"/>
                <w:szCs w:val="16"/>
                <w:b w:val="1"/>
                <w:bCs w:val="1"/>
                <w:color w:val="auto"/>
              </w:rPr>
              <w:t xml:space="preserve">Standard Board Committee Meetings in 2020: </w:t>
            </w:r>
            <w:r>
              <w:rPr>
                <w:rFonts w:ascii="Arial" w:cs="Arial" w:eastAsia="Arial" w:hAnsi="Arial"/>
                <w:sz w:val="16"/>
                <w:szCs w:val="16"/>
                <w:color w:val="auto"/>
              </w:rPr>
              <w:t>Audit (9),</w:t>
            </w:r>
          </w:p>
        </w:tc>
      </w:tr>
      <w:tr>
        <w:trPr>
          <w:trHeight w:val="195"/>
        </w:trPr>
        <w:tc>
          <w:tcPr>
            <w:tcW w:w="2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920" w:type="dxa"/>
            <w:vAlign w:val="bottom"/>
            <w:gridSpan w:val="2"/>
          </w:tcPr>
          <w:p>
            <w:pPr>
              <w:ind w:left="380"/>
              <w:spacing w:after="0"/>
              <w:rPr>
                <w:sz w:val="20"/>
                <w:szCs w:val="20"/>
                <w:color w:val="auto"/>
              </w:rPr>
            </w:pPr>
            <w:r>
              <w:rPr>
                <w:rFonts w:ascii="Arial" w:cs="Arial" w:eastAsia="Arial" w:hAnsi="Arial"/>
                <w:sz w:val="16"/>
                <w:szCs w:val="16"/>
                <w:color w:val="auto"/>
              </w:rPr>
              <w:t>Compensation (8), Nominating (8)</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92" w:lineRule="exact"/>
        <w:rPr>
          <w:sz w:val="20"/>
          <w:szCs w:val="20"/>
          <w:color w:val="auto"/>
        </w:rPr>
      </w:pPr>
    </w:p>
    <w:p>
      <w:pPr>
        <w:ind w:left="960" w:right="360" w:hanging="293"/>
        <w:spacing w:after="0" w:line="183" w:lineRule="auto"/>
        <w:tabs>
          <w:tab w:leader="none" w:pos="96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Thomas P. Capo, the current Chair of the Compensation Committee, is not standing for reelection to the Board. Following the Annual Meeting, the Board will appoint a new Chairperson from among the other Compensation Committee members, all of whom are independent.</w:t>
      </w:r>
    </w:p>
    <w:p>
      <w:pPr>
        <w:spacing w:after="0" w:line="200" w:lineRule="exact"/>
        <w:rPr>
          <w:sz w:val="20"/>
          <w:szCs w:val="20"/>
          <w:color w:val="auto"/>
        </w:rPr>
      </w:pPr>
    </w:p>
    <w:p>
      <w:pPr>
        <w:spacing w:after="0" w:line="209" w:lineRule="exact"/>
        <w:rPr>
          <w:sz w:val="20"/>
          <w:szCs w:val="20"/>
          <w:color w:val="auto"/>
        </w:rPr>
      </w:pPr>
    </w:p>
    <w:p>
      <w:pPr>
        <w:ind w:left="680" w:hanging="29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58420</wp:posOffset>
            </wp:positionV>
            <wp:extent cx="8997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wp:posOffset>
            </wp:positionV>
            <wp:extent cx="62922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168910</wp:posOffset>
            </wp:positionV>
            <wp:extent cx="6292215" cy="480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480060"/>
                    </a:xfrm>
                    <a:prstGeom prst="rect">
                      <a:avLst/>
                    </a:prstGeom>
                    <a:noFill/>
                  </pic:spPr>
                </pic:pic>
              </a:graphicData>
            </a:graphic>
          </wp:anchor>
        </w:drawing>
      </w:r>
    </w:p>
    <w:p>
      <w:pPr>
        <w:spacing w:after="0" w:line="281" w:lineRule="exact"/>
        <w:rPr>
          <w:sz w:val="20"/>
          <w:szCs w:val="20"/>
          <w:color w:val="auto"/>
        </w:r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Pay Program Aligned with Business Strategy</w:t>
      </w:r>
      <w:r>
        <w:rPr>
          <w:rFonts w:ascii="Arial" w:cs="Arial" w:eastAsia="Arial" w:hAnsi="Arial"/>
          <w:sz w:val="14"/>
          <w:szCs w:val="14"/>
          <w:color w:val="auto"/>
        </w:rPr>
        <w:t>: Our incentive plan</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Robust Stock Ownership Guidelines</w:t>
      </w:r>
      <w:r>
        <w:rPr>
          <w:rFonts w:ascii="Arial" w:cs="Arial" w:eastAsia="Arial" w:hAnsi="Arial"/>
          <w:sz w:val="14"/>
          <w:szCs w:val="14"/>
          <w:color w:val="auto"/>
        </w:rPr>
        <w:t>: We have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-80645</wp:posOffset>
            </wp:positionV>
            <wp:extent cx="3086100" cy="436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86100" cy="43688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52" w:lineRule="exact"/>
        <w:rPr>
          <w:sz w:val="20"/>
          <w:szCs w:val="20"/>
          <w:color w:val="auto"/>
        </w:rPr>
      </w:pPr>
    </w:p>
    <w:p>
      <w:pPr>
        <w:ind w:left="1020"/>
        <w:spacing w:after="0" w:line="249" w:lineRule="auto"/>
        <w:rPr>
          <w:sz w:val="20"/>
          <w:szCs w:val="20"/>
          <w:color w:val="auto"/>
        </w:rPr>
      </w:pPr>
      <w:r>
        <w:rPr>
          <w:rFonts w:ascii="Arial" w:cs="Arial" w:eastAsia="Arial" w:hAnsi="Arial"/>
          <w:sz w:val="14"/>
          <w:szCs w:val="14"/>
          <w:color w:val="auto"/>
        </w:rPr>
        <w:t>performance measures are well aligned with our business strategy, correlative to total stockholder return and generally consistent with those used by our peer companies.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00"/>
        <w:spacing w:after="0" w:line="249" w:lineRule="auto"/>
        <w:rPr>
          <w:sz w:val="20"/>
          <w:szCs w:val="20"/>
          <w:color w:val="auto"/>
        </w:rPr>
      </w:pPr>
      <w:r>
        <w:rPr>
          <w:rFonts w:ascii="Arial" w:cs="Arial" w:eastAsia="Arial" w:hAnsi="Arial"/>
          <w:sz w:val="14"/>
          <w:szCs w:val="14"/>
          <w:color w:val="auto"/>
        </w:rPr>
        <w:t>management stock ownership guidelines that are applicable to all executive officers, including our named executive officers. The stock ownership guideline for our CEO is six times his annual base salary.</w:t>
      </w:r>
    </w:p>
    <w:p>
      <w:pPr>
        <w:spacing w:after="0" w:line="42" w:lineRule="exact"/>
        <w:rPr>
          <w:sz w:val="20"/>
          <w:szCs w:val="20"/>
          <w:color w:val="auto"/>
        </w:rPr>
      </w:pPr>
    </w:p>
    <w:p>
      <w:pPr>
        <w:sectPr>
          <w:pgSz w:w="11900" w:h="16838" w:orient="portrait"/>
          <w:cols w:equalWidth="0" w:num="2">
            <w:col w:w="5620" w:space="500"/>
            <w:col w:w="4740"/>
          </w:cols>
          <w:pgMar w:left="320" w:top="459" w:right="719" w:bottom="1440" w:gutter="0" w:footer="0" w:header="0"/>
          <w:type w:val="continuous"/>
        </w:sectPr>
      </w:pPr>
    </w:p>
    <w:p>
      <w:pPr>
        <w:ind w:left="720"/>
        <w:spacing w:after="0" w:line="161" w:lineRule="exact"/>
        <w:tabs>
          <w:tab w:leader="none" w:pos="960" w:val="left"/>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ab/>
        <w:t>Balanced Mix of Performance Measures</w:t>
      </w:r>
      <w:r>
        <w:rPr>
          <w:rFonts w:ascii="Arial" w:cs="Arial" w:eastAsia="Arial" w:hAnsi="Arial"/>
          <w:sz w:val="14"/>
          <w:szCs w:val="14"/>
          <w:color w:val="auto"/>
        </w:rPr>
        <w:t>: We use multiple financial</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High Percentage of Performance-Based Pay</w:t>
      </w:r>
      <w:r>
        <w:rPr>
          <w:rFonts w:ascii="Arial" w:cs="Arial" w:eastAsia="Arial" w:hAnsi="Arial"/>
          <w:sz w:val="14"/>
          <w:szCs w:val="14"/>
          <w:color w:val="auto"/>
        </w:rPr>
        <w:t>: 100% of the annual</w:t>
      </w:r>
    </w:p>
    <w:p>
      <w:pPr>
        <w:sectPr>
          <w:pgSz w:w="11900" w:h="16838" w:orient="portrait"/>
          <w:cols w:equalWidth="0" w:num="1">
            <w:col w:w="10860"/>
          </w:cols>
          <w:pgMar w:left="320" w:top="459" w:right="719" w:bottom="1440" w:gutter="0" w:footer="0" w:header="0"/>
          <w:type w:val="continuous"/>
        </w:sectPr>
      </w:pPr>
    </w:p>
    <w:p>
      <w:pPr>
        <w:spacing w:after="0" w:line="52" w:lineRule="exact"/>
        <w:rPr>
          <w:sz w:val="20"/>
          <w:szCs w:val="20"/>
          <w:color w:val="auto"/>
        </w:rPr>
      </w:pPr>
    </w:p>
    <w:p>
      <w:pPr>
        <w:ind w:left="1020" w:right="40"/>
        <w:spacing w:after="0" w:line="258" w:lineRule="auto"/>
        <w:rPr>
          <w:sz w:val="20"/>
          <w:szCs w:val="20"/>
          <w:color w:val="auto"/>
        </w:rPr>
      </w:pPr>
      <w:r>
        <w:rPr>
          <w:rFonts w:ascii="Arial" w:cs="Arial" w:eastAsia="Arial" w:hAnsi="Arial"/>
          <w:sz w:val="14"/>
          <w:szCs w:val="14"/>
          <w:color w:val="auto"/>
        </w:rPr>
        <w:t>performance measures and stock price-based awards (stock options and TSR) assessed over one and three-year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308610</wp:posOffset>
            </wp:positionV>
            <wp:extent cx="3206115" cy="788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7886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1020" w:right="720" w:hanging="293"/>
        <w:spacing w:after="0" w:line="273" w:lineRule="auto"/>
        <w:tabs>
          <w:tab w:leader="none" w:pos="983" w:val="left"/>
        </w:tabs>
        <w:numPr>
          <w:ilvl w:val="0"/>
          <w:numId w:val="11"/>
        </w:numPr>
        <w:rPr>
          <w:rFonts w:ascii="MS PGothic" w:cs="MS PGothic" w:eastAsia="MS PGothic" w:hAnsi="MS PGothic"/>
          <w:sz w:val="14"/>
          <w:szCs w:val="14"/>
          <w:color w:val="auto"/>
        </w:rPr>
      </w:pPr>
      <w:r>
        <w:rPr>
          <w:rFonts w:ascii="Arial" w:cs="Arial" w:eastAsia="Arial" w:hAnsi="Arial"/>
          <w:sz w:val="14"/>
          <w:szCs w:val="14"/>
          <w:b w:val="1"/>
          <w:bCs w:val="1"/>
          <w:color w:val="auto"/>
        </w:rPr>
        <w:t>Independent Compensation Consultant for Compensation Committee</w:t>
      </w:r>
      <w:r>
        <w:rPr>
          <w:rFonts w:ascii="Arial" w:cs="Arial" w:eastAsia="Arial" w:hAnsi="Arial"/>
          <w:sz w:val="14"/>
          <w:szCs w:val="14"/>
          <w:color w:val="auto"/>
        </w:rPr>
        <w:t>: Our Compensation Committee has engaged Pay</w:t>
      </w:r>
      <w:r>
        <w:rPr>
          <w:rFonts w:ascii="Arial" w:cs="Arial" w:eastAsia="Arial" w:hAnsi="Arial"/>
          <w:sz w:val="14"/>
          <w:szCs w:val="14"/>
          <w:b w:val="1"/>
          <w:bCs w:val="1"/>
          <w:color w:val="auto"/>
        </w:rPr>
        <w:t xml:space="preserve"> </w:t>
      </w:r>
      <w:r>
        <w:rPr>
          <w:rFonts w:ascii="Arial" w:cs="Arial" w:eastAsia="Arial" w:hAnsi="Arial"/>
          <w:sz w:val="14"/>
          <w:szCs w:val="14"/>
          <w:color w:val="auto"/>
        </w:rPr>
        <w:t>Governance LLC as its independent compensation consultant.</w:t>
      </w:r>
    </w:p>
    <w:p>
      <w:pPr>
        <w:spacing w:after="0" w:line="200" w:lineRule="exact"/>
        <w:rPr>
          <w:rFonts w:ascii="MS PGothic" w:cs="MS PGothic" w:eastAsia="MS PGothic" w:hAnsi="MS PGothic"/>
          <w:sz w:val="14"/>
          <w:szCs w:val="14"/>
          <w:color w:val="auto"/>
        </w:rPr>
      </w:pPr>
    </w:p>
    <w:p>
      <w:pPr>
        <w:spacing w:after="0" w:line="200" w:lineRule="exact"/>
        <w:rPr>
          <w:rFonts w:ascii="MS PGothic" w:cs="MS PGothic" w:eastAsia="MS PGothic" w:hAnsi="MS PGothic"/>
          <w:sz w:val="14"/>
          <w:szCs w:val="14"/>
          <w:color w:val="auto"/>
        </w:rPr>
      </w:pPr>
    </w:p>
    <w:p>
      <w:pPr>
        <w:spacing w:after="0" w:line="292" w:lineRule="exact"/>
        <w:rPr>
          <w:rFonts w:ascii="MS PGothic" w:cs="MS PGothic" w:eastAsia="MS PGothic" w:hAnsi="MS PGothic"/>
          <w:sz w:val="14"/>
          <w:szCs w:val="14"/>
          <w:color w:val="auto"/>
        </w:rPr>
      </w:pPr>
    </w:p>
    <w:p>
      <w:pPr>
        <w:ind w:left="1020" w:hanging="293"/>
        <w:spacing w:after="0" w:line="254" w:lineRule="auto"/>
        <w:tabs>
          <w:tab w:leader="none" w:pos="978" w:val="left"/>
        </w:tabs>
        <w:numPr>
          <w:ilvl w:val="0"/>
          <w:numId w:val="11"/>
        </w:numPr>
        <w:rPr>
          <w:rFonts w:ascii="MS PGothic" w:cs="MS PGothic" w:eastAsia="MS PGothic" w:hAnsi="MS PGothic"/>
          <w:sz w:val="14"/>
          <w:szCs w:val="14"/>
          <w:color w:val="auto"/>
        </w:rPr>
      </w:pPr>
      <w:r>
        <w:rPr>
          <w:rFonts w:ascii="Arial" w:cs="Arial" w:eastAsia="Arial" w:hAnsi="Arial"/>
          <w:sz w:val="14"/>
          <w:szCs w:val="14"/>
          <w:b w:val="1"/>
          <w:bCs w:val="1"/>
          <w:color w:val="auto"/>
        </w:rPr>
        <w:t>Annual Market Practices and Compensation Risk Review</w:t>
      </w:r>
      <w:r>
        <w:rPr>
          <w:rFonts w:ascii="Arial" w:cs="Arial" w:eastAsia="Arial" w:hAnsi="Arial"/>
          <w:sz w:val="14"/>
          <w:szCs w:val="14"/>
          <w:color w:val="auto"/>
        </w:rPr>
        <w:t>: On an</w:t>
      </w:r>
      <w:r>
        <w:rPr>
          <w:rFonts w:ascii="Arial" w:cs="Arial" w:eastAsia="Arial" w:hAnsi="Arial"/>
          <w:sz w:val="14"/>
          <w:szCs w:val="14"/>
          <w:b w:val="1"/>
          <w:bCs w:val="1"/>
          <w:color w:val="auto"/>
        </w:rPr>
        <w:t xml:space="preserve"> </w:t>
      </w:r>
      <w:r>
        <w:rPr>
          <w:rFonts w:ascii="Arial" w:cs="Arial" w:eastAsia="Arial" w:hAnsi="Arial"/>
          <w:sz w:val="14"/>
          <w:szCs w:val="14"/>
          <w:color w:val="auto"/>
        </w:rPr>
        <w:t>annual basis, we assess the key elements of our executive compensation programs as compared to market practices and emerging trends, and consider our business strategy and talent needs. We also complete annually a comprehensive risk assessment of our employee compensation policies and practices.</w:t>
      </w:r>
    </w:p>
    <w:p>
      <w:pPr>
        <w:spacing w:after="0" w:line="57" w:lineRule="exact"/>
        <w:rPr>
          <w:rFonts w:ascii="MS PGothic" w:cs="MS PGothic" w:eastAsia="MS PGothic" w:hAnsi="MS PGothic"/>
          <w:sz w:val="14"/>
          <w:szCs w:val="14"/>
          <w:color w:val="auto"/>
        </w:rPr>
      </w:pPr>
    </w:p>
    <w:p>
      <w:pPr>
        <w:ind w:left="1020" w:hanging="293"/>
        <w:spacing w:after="0" w:line="247" w:lineRule="auto"/>
        <w:tabs>
          <w:tab w:leader="none" w:pos="983" w:val="left"/>
        </w:tabs>
        <w:numPr>
          <w:ilvl w:val="0"/>
          <w:numId w:val="11"/>
        </w:numPr>
        <w:rPr>
          <w:rFonts w:ascii="MS PGothic" w:cs="MS PGothic" w:eastAsia="MS PGothic" w:hAnsi="MS PGothic"/>
          <w:sz w:val="14"/>
          <w:szCs w:val="14"/>
          <w:color w:val="auto"/>
        </w:rPr>
      </w:pPr>
      <w:r>
        <w:rPr>
          <w:rFonts w:ascii="Arial" w:cs="Arial" w:eastAsia="Arial" w:hAnsi="Arial"/>
          <w:sz w:val="14"/>
          <w:szCs w:val="14"/>
          <w:b w:val="1"/>
          <w:bCs w:val="1"/>
          <w:color w:val="auto"/>
        </w:rPr>
        <w:t>Holding Period for Career Shares</w:t>
      </w:r>
      <w:r>
        <w:rPr>
          <w:rFonts w:ascii="Arial" w:cs="Arial" w:eastAsia="Arial" w:hAnsi="Arial"/>
          <w:sz w:val="14"/>
          <w:szCs w:val="14"/>
          <w:color w:val="auto"/>
        </w:rPr>
        <w:t>: As part of our long-term incentive</w:t>
      </w:r>
      <w:r>
        <w:rPr>
          <w:rFonts w:ascii="Arial" w:cs="Arial" w:eastAsia="Arial" w:hAnsi="Arial"/>
          <w:sz w:val="14"/>
          <w:szCs w:val="14"/>
          <w:b w:val="1"/>
          <w:bCs w:val="1"/>
          <w:color w:val="auto"/>
        </w:rPr>
        <w:t xml:space="preserve"> </w:t>
      </w:r>
      <w:r>
        <w:rPr>
          <w:rFonts w:ascii="Arial" w:cs="Arial" w:eastAsia="Arial" w:hAnsi="Arial"/>
          <w:sz w:val="14"/>
          <w:szCs w:val="14"/>
          <w:color w:val="auto"/>
        </w:rPr>
        <w:t>package, the CEO and certain executives traditionally receive awards of time-based Career Shares. The units underlying the Career Shares must be held until the earlier of age 62 or three years after retirement. In 2020, rather than receiving time-based Career Shares, the CEO and certain executives received Performance-Based Career Shares, which are 100% performance-based and consist of equally weighted performance goals of Total Liquidity, Backlog and Relative Total Shareholder Return (i.e., our TSR performance must be at the median or higher as compared to a group of auto suppliers and industrial companies over the performance period). The distribution terms are consistent with prior Career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-1191260</wp:posOffset>
            </wp:positionV>
            <wp:extent cx="3206115" cy="130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94" w:right="280"/>
        <w:spacing w:after="0" w:line="245" w:lineRule="auto"/>
        <w:rPr>
          <w:sz w:val="20"/>
          <w:szCs w:val="20"/>
          <w:color w:val="auto"/>
        </w:rPr>
      </w:pPr>
      <w:r>
        <w:rPr>
          <w:rFonts w:ascii="Arial" w:cs="Arial" w:eastAsia="Arial" w:hAnsi="Arial"/>
          <w:sz w:val="14"/>
          <w:szCs w:val="14"/>
          <w:color w:val="auto"/>
        </w:rPr>
        <w:t>incentive opportunity and the majority (60%) of the long-term incentive opportunity that we offered our named executive officers in 2020 are determined based on the achievement of specific performance measures. 90% of our CEO’s pay and on average 80% of our other NEOs’ 2020 target total direct compensation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6350</wp:posOffset>
            </wp:positionV>
            <wp:extent cx="308610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86100" cy="43180"/>
                    </a:xfrm>
                    <a:prstGeom prst="rect">
                      <a:avLst/>
                    </a:prstGeom>
                    <a:noFill/>
                  </pic:spPr>
                </pic:pic>
              </a:graphicData>
            </a:graphic>
          </wp:anchor>
        </w:drawing>
      </w:r>
    </w:p>
    <w:p>
      <w:pPr>
        <w:spacing w:after="0" w:line="45" w:lineRule="exact"/>
        <w:rPr>
          <w:sz w:val="20"/>
          <w:szCs w:val="20"/>
          <w:color w:val="auto"/>
        </w:rPr>
      </w:pPr>
    </w:p>
    <w:p>
      <w:pPr>
        <w:ind w:left="294" w:right="340" w:hanging="294"/>
        <w:spacing w:after="0" w:line="252" w:lineRule="auto"/>
        <w:tabs>
          <w:tab w:leader="none" w:pos="257" w:val="left"/>
        </w:tabs>
        <w:numPr>
          <w:ilvl w:val="0"/>
          <w:numId w:val="12"/>
        </w:numPr>
        <w:rPr>
          <w:rFonts w:ascii="MS PGothic" w:cs="MS PGothic" w:eastAsia="MS PGothic" w:hAnsi="MS PGothic"/>
          <w:sz w:val="14"/>
          <w:szCs w:val="14"/>
          <w:color w:val="auto"/>
        </w:rPr>
      </w:pPr>
      <w:r>
        <w:rPr>
          <w:rFonts w:ascii="Arial" w:cs="Arial" w:eastAsia="Arial" w:hAnsi="Arial"/>
          <w:sz w:val="14"/>
          <w:szCs w:val="14"/>
          <w:b w:val="1"/>
          <w:bCs w:val="1"/>
          <w:color w:val="auto"/>
        </w:rPr>
        <w:t>Clawback of Incentive Compensation</w:t>
      </w:r>
      <w:r>
        <w:rPr>
          <w:rFonts w:ascii="Arial" w:cs="Arial" w:eastAsia="Arial" w:hAnsi="Arial"/>
          <w:sz w:val="14"/>
          <w:szCs w:val="14"/>
          <w:color w:val="auto"/>
        </w:rPr>
        <w:t>: Our clawback policy applies</w:t>
      </w:r>
      <w:r>
        <w:rPr>
          <w:rFonts w:ascii="Arial" w:cs="Arial" w:eastAsia="Arial" w:hAnsi="Arial"/>
          <w:sz w:val="14"/>
          <w:szCs w:val="14"/>
          <w:b w:val="1"/>
          <w:bCs w:val="1"/>
          <w:color w:val="auto"/>
        </w:rPr>
        <w:t xml:space="preserve"> </w:t>
      </w:r>
      <w:r>
        <w:rPr>
          <w:rFonts w:ascii="Arial" w:cs="Arial" w:eastAsia="Arial" w:hAnsi="Arial"/>
          <w:sz w:val="14"/>
          <w:szCs w:val="14"/>
          <w:color w:val="auto"/>
        </w:rPr>
        <w:t>to all incentive-based cash and equity compensation granted to current and former executive officers. In the event that we are required to prepare an accounting restatement due to any such executive officer’s intentional misconduct, we will recover from him or her the amount, if any, of incentive compensation in excess of what would have been paid under the accounting restatement.</w:t>
      </w:r>
    </w:p>
    <w:p>
      <w:pPr>
        <w:spacing w:after="0" w:line="58" w:lineRule="exact"/>
        <w:rPr>
          <w:rFonts w:ascii="MS PGothic" w:cs="MS PGothic" w:eastAsia="MS PGothic" w:hAnsi="MS PGothic"/>
          <w:sz w:val="14"/>
          <w:szCs w:val="14"/>
          <w:color w:val="auto"/>
        </w:rPr>
      </w:pPr>
    </w:p>
    <w:p>
      <w:pPr>
        <w:ind w:left="294" w:right="500" w:hanging="294"/>
        <w:spacing w:after="0" w:line="273" w:lineRule="auto"/>
        <w:tabs>
          <w:tab w:leader="none" w:pos="257" w:val="left"/>
        </w:tabs>
        <w:numPr>
          <w:ilvl w:val="0"/>
          <w:numId w:val="12"/>
        </w:numPr>
        <w:rPr>
          <w:rFonts w:ascii="MS PGothic" w:cs="MS PGothic" w:eastAsia="MS PGothic" w:hAnsi="MS PGothic"/>
          <w:sz w:val="14"/>
          <w:szCs w:val="14"/>
          <w:color w:val="auto"/>
        </w:rPr>
      </w:pPr>
      <w:r>
        <w:rPr>
          <w:rFonts w:ascii="Arial" w:cs="Arial" w:eastAsia="Arial" w:hAnsi="Arial"/>
          <w:sz w:val="14"/>
          <w:szCs w:val="14"/>
          <w:b w:val="1"/>
          <w:bCs w:val="1"/>
          <w:color w:val="auto"/>
        </w:rPr>
        <w:t>Equity Retention Requirement</w:t>
      </w:r>
      <w:r>
        <w:rPr>
          <w:rFonts w:ascii="Arial" w:cs="Arial" w:eastAsia="Arial" w:hAnsi="Arial"/>
          <w:sz w:val="14"/>
          <w:szCs w:val="14"/>
          <w:color w:val="auto"/>
        </w:rPr>
        <w:t>: Until an executive satisfies the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applicable stock ownership guidelines, he or she must hold 50% of the net shares acquired upon the vesting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-1128395</wp:posOffset>
            </wp:positionV>
            <wp:extent cx="3086100" cy="746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6100" cy="74612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302260</wp:posOffset>
            </wp:positionV>
            <wp:extent cx="3086100" cy="130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6100" cy="1303020"/>
                    </a:xfrm>
                    <a:prstGeom prst="rect">
                      <a:avLst/>
                    </a:prstGeom>
                    <a:noFill/>
                  </pic:spPr>
                </pic:pic>
              </a:graphicData>
            </a:graphic>
          </wp:anchor>
        </w:drawing>
      </w:r>
    </w:p>
    <w:p>
      <w:pPr>
        <w:spacing w:after="0" w:line="2553" w:lineRule="exact"/>
        <w:rPr>
          <w:sz w:val="20"/>
          <w:szCs w:val="20"/>
          <w:color w:val="auto"/>
        </w:rPr>
      </w:pPr>
    </w:p>
    <w:p>
      <w:pPr>
        <w:sectPr>
          <w:pgSz w:w="11900" w:h="16838" w:orient="portrait"/>
          <w:cols w:equalWidth="0" w:num="2">
            <w:col w:w="5700" w:space="126"/>
            <w:col w:w="5034"/>
          </w:cols>
          <w:pgMar w:left="320" w:top="459" w:right="719" w:bottom="1440" w:gutter="0" w:footer="0" w:header="0"/>
          <w:type w:val="continuous"/>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WHAT WE DON’T DO:</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5020" w:type="dxa"/>
            <w:vAlign w:val="bottom"/>
            <w:shd w:val="clear" w:color="auto" w:fill="FCE9E8"/>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Single-Trigger Change in Control Vesting of Equity Awards</w:t>
            </w:r>
            <w:r>
              <w:rPr>
                <w:rFonts w:ascii="Arial" w:cs="Arial" w:eastAsia="Arial" w:hAnsi="Arial"/>
                <w:sz w:val="14"/>
                <w:szCs w:val="14"/>
                <w:color w:val="auto"/>
              </w:rPr>
              <w:t>: All</w:t>
            </w:r>
          </w:p>
        </w:tc>
        <w:tc>
          <w:tcPr>
            <w:tcW w:w="4900" w:type="dxa"/>
            <w:vAlign w:val="bottom"/>
            <w:shd w:val="clear" w:color="auto" w:fill="FCE9E8"/>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Hedging or Pledging of Company Stock</w:t>
            </w:r>
            <w:r>
              <w:rPr>
                <w:rFonts w:ascii="Arial" w:cs="Arial" w:eastAsia="Arial" w:hAnsi="Arial"/>
                <w:sz w:val="14"/>
                <w:szCs w:val="14"/>
                <w:color w:val="auto"/>
              </w:rPr>
              <w:t>: We maintain a formal</w:t>
            </w:r>
          </w:p>
        </w:tc>
      </w:tr>
      <w:tr>
        <w:trPr>
          <w:trHeight w:val="162"/>
        </w:trPr>
        <w:tc>
          <w:tcPr>
            <w:tcW w:w="5020" w:type="dxa"/>
            <w:vAlign w:val="bottom"/>
            <w:shd w:val="clear" w:color="auto" w:fill="FCE9E8"/>
          </w:tcPr>
          <w:p>
            <w:pPr>
              <w:ind w:left="300"/>
              <w:spacing w:after="0"/>
              <w:rPr>
                <w:sz w:val="20"/>
                <w:szCs w:val="20"/>
                <w:color w:val="auto"/>
              </w:rPr>
            </w:pPr>
            <w:r>
              <w:rPr>
                <w:rFonts w:ascii="Arial" w:cs="Arial" w:eastAsia="Arial" w:hAnsi="Arial"/>
                <w:sz w:val="14"/>
                <w:szCs w:val="14"/>
                <w:color w:val="auto"/>
              </w:rPr>
              <w:t>equity awards are subject to “double-trigger” vesting upon a change in</w:t>
            </w:r>
          </w:p>
        </w:tc>
        <w:tc>
          <w:tcPr>
            <w:tcW w:w="4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policy prohibiting our officers and directors from entering into hedging</w:t>
            </w:r>
          </w:p>
        </w:tc>
      </w:tr>
      <w:tr>
        <w:trPr>
          <w:trHeight w:val="162"/>
        </w:trPr>
        <w:tc>
          <w:tcPr>
            <w:tcW w:w="5020" w:type="dxa"/>
            <w:vAlign w:val="bottom"/>
            <w:shd w:val="clear" w:color="auto" w:fill="FCE9E8"/>
          </w:tcPr>
          <w:p>
            <w:pPr>
              <w:ind w:left="300"/>
              <w:spacing w:after="0"/>
              <w:rPr>
                <w:sz w:val="20"/>
                <w:szCs w:val="20"/>
                <w:color w:val="auto"/>
              </w:rPr>
            </w:pPr>
            <w:r>
              <w:rPr>
                <w:rFonts w:ascii="Arial" w:cs="Arial" w:eastAsia="Arial" w:hAnsi="Arial"/>
                <w:sz w:val="14"/>
                <w:szCs w:val="14"/>
                <w:color w:val="auto"/>
              </w:rPr>
              <w:t>control, which protects our employees in the event of a change in control</w:t>
            </w:r>
          </w:p>
        </w:tc>
        <w:tc>
          <w:tcPr>
            <w:tcW w:w="4900" w:type="dxa"/>
            <w:vAlign w:val="bottom"/>
            <w:shd w:val="clear" w:color="auto" w:fill="FCE9E8"/>
          </w:tcPr>
          <w:p>
            <w:pPr>
              <w:ind w:left="380"/>
              <w:spacing w:after="0"/>
              <w:rPr>
                <w:sz w:val="20"/>
                <w:szCs w:val="20"/>
                <w:color w:val="auto"/>
              </w:rPr>
            </w:pPr>
            <w:r>
              <w:rPr>
                <w:rFonts w:ascii="Arial" w:cs="Arial" w:eastAsia="Arial" w:hAnsi="Arial"/>
                <w:sz w:val="14"/>
                <w:szCs w:val="14"/>
                <w:color w:val="auto"/>
              </w:rPr>
              <w:t>transactions involving Company stock and pledging Company stock as</w:t>
            </w:r>
          </w:p>
        </w:tc>
      </w:tr>
      <w:tr>
        <w:trPr>
          <w:trHeight w:val="157"/>
        </w:trPr>
        <w:tc>
          <w:tcPr>
            <w:tcW w:w="5020" w:type="dxa"/>
            <w:vAlign w:val="bottom"/>
            <w:shd w:val="clear" w:color="auto" w:fill="FCE9E8"/>
          </w:tcPr>
          <w:p>
            <w:pPr>
              <w:ind w:left="300"/>
              <w:spacing w:after="0" w:line="157" w:lineRule="exact"/>
              <w:rPr>
                <w:sz w:val="20"/>
                <w:szCs w:val="20"/>
                <w:color w:val="auto"/>
              </w:rPr>
            </w:pPr>
            <w:r>
              <w:rPr>
                <w:rFonts w:ascii="Arial" w:cs="Arial" w:eastAsia="Arial" w:hAnsi="Arial"/>
                <w:sz w:val="14"/>
                <w:szCs w:val="14"/>
                <w:color w:val="auto"/>
              </w:rPr>
              <w:t>transaction and helps ensure an orderly transition of leadership.</w:t>
            </w:r>
          </w:p>
        </w:tc>
        <w:tc>
          <w:tcPr>
            <w:tcW w:w="4900" w:type="dxa"/>
            <w:vAlign w:val="bottom"/>
            <w:shd w:val="clear" w:color="auto" w:fill="FCE9E8"/>
          </w:tcPr>
          <w:p>
            <w:pPr>
              <w:ind w:left="380"/>
              <w:spacing w:after="0" w:line="157" w:lineRule="exact"/>
              <w:rPr>
                <w:sz w:val="20"/>
                <w:szCs w:val="20"/>
                <w:color w:val="auto"/>
              </w:rPr>
            </w:pPr>
            <w:r>
              <w:rPr>
                <w:rFonts w:ascii="Arial" w:cs="Arial" w:eastAsia="Arial" w:hAnsi="Arial"/>
                <w:sz w:val="14"/>
                <w:szCs w:val="14"/>
                <w:color w:val="auto"/>
              </w:rPr>
              <w:t>collateral for loans.</w:t>
            </w:r>
          </w:p>
        </w:tc>
      </w:tr>
      <w:tr>
        <w:trPr>
          <w:trHeight w:val="248"/>
        </w:trPr>
        <w:tc>
          <w:tcPr>
            <w:tcW w:w="502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Single-Trigger Change in Control Severance Benefits</w:t>
            </w:r>
            <w:r>
              <w:rPr>
                <w:rFonts w:ascii="Arial" w:cs="Arial" w:eastAsia="Arial" w:hAnsi="Arial"/>
                <w:sz w:val="14"/>
                <w:szCs w:val="14"/>
                <w:color w:val="auto"/>
              </w:rPr>
              <w:t>: Our</w:t>
            </w:r>
          </w:p>
        </w:tc>
        <w:tc>
          <w:tcPr>
            <w:tcW w:w="4900" w:type="dxa"/>
            <w:vAlign w:val="bottom"/>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Excise Tax Gross-Ups</w:t>
            </w:r>
            <w:r>
              <w:rPr>
                <w:rFonts w:ascii="Arial" w:cs="Arial" w:eastAsia="Arial" w:hAnsi="Arial"/>
                <w:sz w:val="14"/>
                <w:szCs w:val="14"/>
                <w:color w:val="auto"/>
              </w:rPr>
              <w:t>: None of the employment agreements with</w:t>
            </w:r>
          </w:p>
        </w:tc>
      </w:tr>
      <w:tr>
        <w:trPr>
          <w:trHeight w:val="162"/>
        </w:trPr>
        <w:tc>
          <w:tcPr>
            <w:tcW w:w="5020" w:type="dxa"/>
            <w:vAlign w:val="bottom"/>
          </w:tcPr>
          <w:p>
            <w:pPr>
              <w:ind w:left="300"/>
              <w:spacing w:after="0"/>
              <w:rPr>
                <w:sz w:val="20"/>
                <w:szCs w:val="20"/>
                <w:color w:val="auto"/>
              </w:rPr>
            </w:pPr>
            <w:r>
              <w:rPr>
                <w:rFonts w:ascii="Arial" w:cs="Arial" w:eastAsia="Arial" w:hAnsi="Arial"/>
                <w:sz w:val="14"/>
                <w:szCs w:val="14"/>
                <w:color w:val="auto"/>
              </w:rPr>
              <w:t>executives are not eligible to receive severance benefits solely upon the</w:t>
            </w:r>
          </w:p>
        </w:tc>
        <w:tc>
          <w:tcPr>
            <w:tcW w:w="4900" w:type="dxa"/>
            <w:vAlign w:val="bottom"/>
          </w:tcPr>
          <w:p>
            <w:pPr>
              <w:ind w:left="380"/>
              <w:spacing w:after="0"/>
              <w:rPr>
                <w:sz w:val="20"/>
                <w:szCs w:val="20"/>
                <w:color w:val="auto"/>
              </w:rPr>
            </w:pPr>
            <w:r>
              <w:rPr>
                <w:rFonts w:ascii="Arial" w:cs="Arial" w:eastAsia="Arial" w:hAnsi="Arial"/>
                <w:sz w:val="14"/>
                <w:szCs w:val="14"/>
                <w:color w:val="auto"/>
              </w:rPr>
              <w:t>our executive officers contains an excise tax gross-up provision.</w:t>
            </w:r>
          </w:p>
        </w:tc>
      </w:tr>
      <w:tr>
        <w:trPr>
          <w:trHeight w:val="162"/>
        </w:trPr>
        <w:tc>
          <w:tcPr>
            <w:tcW w:w="5020" w:type="dxa"/>
            <w:vAlign w:val="bottom"/>
          </w:tcPr>
          <w:p>
            <w:pPr>
              <w:ind w:left="300"/>
              <w:spacing w:after="0"/>
              <w:rPr>
                <w:sz w:val="20"/>
                <w:szCs w:val="20"/>
                <w:color w:val="auto"/>
              </w:rPr>
            </w:pPr>
            <w:r>
              <w:rPr>
                <w:rFonts w:ascii="Arial" w:cs="Arial" w:eastAsia="Arial" w:hAnsi="Arial"/>
                <w:sz w:val="14"/>
                <w:szCs w:val="14"/>
                <w:color w:val="auto"/>
              </w:rPr>
              <w:t>occurrence of a change in control. This is intended to ensure that</w:t>
            </w:r>
          </w:p>
        </w:tc>
        <w:tc>
          <w:tcPr>
            <w:tcW w:w="4900" w:type="dxa"/>
            <w:vAlign w:val="bottom"/>
          </w:tcPr>
          <w:p>
            <w:pPr>
              <w:spacing w:after="0"/>
              <w:rPr>
                <w:sz w:val="14"/>
                <w:szCs w:val="14"/>
                <w:color w:val="auto"/>
              </w:rPr>
            </w:pPr>
          </w:p>
        </w:tc>
      </w:tr>
      <w:tr>
        <w:trPr>
          <w:trHeight w:val="162"/>
        </w:trPr>
        <w:tc>
          <w:tcPr>
            <w:tcW w:w="5020" w:type="dxa"/>
            <w:vAlign w:val="bottom"/>
          </w:tcPr>
          <w:p>
            <w:pPr>
              <w:ind w:left="300"/>
              <w:spacing w:after="0"/>
              <w:rPr>
                <w:sz w:val="20"/>
                <w:szCs w:val="20"/>
                <w:color w:val="auto"/>
              </w:rPr>
            </w:pPr>
            <w:r>
              <w:rPr>
                <w:rFonts w:ascii="Arial" w:cs="Arial" w:eastAsia="Arial" w:hAnsi="Arial"/>
                <w:sz w:val="14"/>
                <w:szCs w:val="14"/>
                <w:color w:val="auto"/>
              </w:rPr>
              <w:t>members of senior management are not influenced by their personal</w:t>
            </w:r>
          </w:p>
        </w:tc>
        <w:tc>
          <w:tcPr>
            <w:tcW w:w="4900" w:type="dxa"/>
            <w:vAlign w:val="bottom"/>
          </w:tcPr>
          <w:p>
            <w:pPr>
              <w:spacing w:after="0"/>
              <w:rPr>
                <w:sz w:val="14"/>
                <w:szCs w:val="14"/>
                <w:color w:val="auto"/>
              </w:rPr>
            </w:pPr>
          </w:p>
        </w:tc>
      </w:tr>
      <w:tr>
        <w:trPr>
          <w:trHeight w:val="162"/>
        </w:trPr>
        <w:tc>
          <w:tcPr>
            <w:tcW w:w="5020" w:type="dxa"/>
            <w:vAlign w:val="bottom"/>
          </w:tcPr>
          <w:p>
            <w:pPr>
              <w:ind w:left="300"/>
              <w:spacing w:after="0"/>
              <w:rPr>
                <w:sz w:val="20"/>
                <w:szCs w:val="20"/>
                <w:color w:val="auto"/>
              </w:rPr>
            </w:pPr>
            <w:r>
              <w:rPr>
                <w:rFonts w:ascii="Arial" w:cs="Arial" w:eastAsia="Arial" w:hAnsi="Arial"/>
                <w:sz w:val="14"/>
                <w:szCs w:val="14"/>
                <w:color w:val="auto"/>
              </w:rPr>
              <w:t>situations and are able to be objective in evaluating a potential change in</w:t>
            </w:r>
          </w:p>
        </w:tc>
        <w:tc>
          <w:tcPr>
            <w:tcW w:w="4900" w:type="dxa"/>
            <w:vAlign w:val="bottom"/>
          </w:tcPr>
          <w:p>
            <w:pPr>
              <w:spacing w:after="0"/>
              <w:rPr>
                <w:sz w:val="14"/>
                <w:szCs w:val="14"/>
                <w:color w:val="auto"/>
              </w:rPr>
            </w:pPr>
          </w:p>
        </w:tc>
      </w:tr>
      <w:tr>
        <w:trPr>
          <w:trHeight w:val="157"/>
        </w:trPr>
        <w:tc>
          <w:tcPr>
            <w:tcW w:w="5020" w:type="dxa"/>
            <w:vAlign w:val="bottom"/>
          </w:tcPr>
          <w:p>
            <w:pPr>
              <w:ind w:left="300"/>
              <w:spacing w:after="0" w:line="157" w:lineRule="exact"/>
              <w:rPr>
                <w:sz w:val="20"/>
                <w:szCs w:val="20"/>
                <w:color w:val="auto"/>
              </w:rPr>
            </w:pPr>
            <w:r>
              <w:rPr>
                <w:rFonts w:ascii="Arial" w:cs="Arial" w:eastAsia="Arial" w:hAnsi="Arial"/>
                <w:sz w:val="14"/>
                <w:szCs w:val="14"/>
                <w:color w:val="auto"/>
              </w:rPr>
              <w:t>control transaction.</w:t>
            </w:r>
          </w:p>
        </w:tc>
        <w:tc>
          <w:tcPr>
            <w:tcW w:w="4900" w:type="dxa"/>
            <w:vAlign w:val="bottom"/>
          </w:tcPr>
          <w:p>
            <w:pPr>
              <w:spacing w:after="0"/>
              <w:rPr>
                <w:sz w:val="13"/>
                <w:szCs w:val="13"/>
                <w:color w:val="auto"/>
              </w:rPr>
            </w:pPr>
          </w:p>
        </w:tc>
      </w:tr>
      <w:tr>
        <w:trPr>
          <w:trHeight w:val="248"/>
        </w:trPr>
        <w:tc>
          <w:tcPr>
            <w:tcW w:w="5020" w:type="dxa"/>
            <w:vAlign w:val="bottom"/>
            <w:shd w:val="clear" w:color="auto" w:fill="FCE9E8"/>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Repricing of Stock Options</w:t>
            </w:r>
            <w:r>
              <w:rPr>
                <w:rFonts w:ascii="Arial" w:cs="Arial" w:eastAsia="Arial" w:hAnsi="Arial"/>
                <w:sz w:val="14"/>
                <w:szCs w:val="14"/>
                <w:color w:val="auto"/>
              </w:rPr>
              <w:t>: We do not reprice our stock options or</w:t>
            </w:r>
          </w:p>
        </w:tc>
        <w:tc>
          <w:tcPr>
            <w:tcW w:w="4900" w:type="dxa"/>
            <w:vAlign w:val="bottom"/>
            <w:shd w:val="clear" w:color="auto" w:fill="FCE9E8"/>
          </w:tcPr>
          <w:p>
            <w:pPr>
              <w:spacing w:after="0"/>
              <w:rPr>
                <w:sz w:val="21"/>
                <w:szCs w:val="21"/>
                <w:color w:val="auto"/>
              </w:rPr>
            </w:pPr>
          </w:p>
        </w:tc>
      </w:tr>
      <w:tr>
        <w:trPr>
          <w:trHeight w:val="157"/>
        </w:trPr>
        <w:tc>
          <w:tcPr>
            <w:tcW w:w="5020" w:type="dxa"/>
            <w:vAlign w:val="bottom"/>
            <w:shd w:val="clear" w:color="auto" w:fill="FCE9E8"/>
          </w:tcPr>
          <w:p>
            <w:pPr>
              <w:ind w:left="300"/>
              <w:spacing w:after="0" w:line="157" w:lineRule="exact"/>
              <w:rPr>
                <w:sz w:val="20"/>
                <w:szCs w:val="20"/>
                <w:color w:val="auto"/>
              </w:rPr>
            </w:pPr>
            <w:r>
              <w:rPr>
                <w:rFonts w:ascii="Arial" w:cs="Arial" w:eastAsia="Arial" w:hAnsi="Arial"/>
                <w:sz w:val="14"/>
                <w:szCs w:val="14"/>
                <w:color w:val="auto"/>
              </w:rPr>
              <w:t>provide for cash buyouts of underwater options.</w:t>
            </w:r>
          </w:p>
        </w:tc>
        <w:tc>
          <w:tcPr>
            <w:tcW w:w="4900" w:type="dxa"/>
            <w:vAlign w:val="bottom"/>
            <w:shd w:val="clear" w:color="auto" w:fill="FCE9E8"/>
          </w:tcPr>
          <w:p>
            <w:pPr>
              <w:spacing w:after="0"/>
              <w:rPr>
                <w:sz w:val="13"/>
                <w:szCs w:val="13"/>
                <w:color w:val="auto"/>
              </w:rPr>
            </w:pPr>
          </w:p>
        </w:tc>
      </w:tr>
    </w:tbl>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w:t>
      </w:r>
    </w:p>
    <w:p>
      <w:pPr>
        <w:sectPr>
          <w:pgSz w:w="11900" w:h="16838" w:orient="portrait"/>
          <w:cols w:equalWidth="0" w:num="1">
            <w:col w:w="10860"/>
          </w:cols>
          <w:pgMar w:left="320" w:top="459" w:right="7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8147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Environmental, Social and Governance Highlights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wp:posOffset>
            </wp:positionV>
            <wp:extent cx="6292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7" w:lineRule="exact"/>
        <w:rPr>
          <w:sz w:val="20"/>
          <w:szCs w:val="20"/>
          <w:color w:val="auto"/>
        </w:rPr>
      </w:pPr>
    </w:p>
    <w:p>
      <w:pPr>
        <w:ind w:left="660" w:right="180"/>
        <w:spacing w:after="0" w:line="251" w:lineRule="auto"/>
        <w:rPr>
          <w:sz w:val="20"/>
          <w:szCs w:val="20"/>
          <w:color w:val="auto"/>
        </w:rPr>
      </w:pPr>
      <w:r>
        <w:rPr>
          <w:rFonts w:ascii="Arial" w:cs="Arial" w:eastAsia="Arial" w:hAnsi="Arial"/>
          <w:sz w:val="16"/>
          <w:szCs w:val="16"/>
          <w:color w:val="auto"/>
        </w:rPr>
        <w:t>Responsible and sustainable environmental, social and governance (“ESG”) practices are integral to Lear’s strategy and operations. We are continuously working to embed ESG into our key processes such as enterprise risk management and product innovation. Our ESG efforts demonstrate how we live our core value of Getting Results the Right Way. Examples of key ESG-related actions during 2020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144145</wp:posOffset>
            </wp:positionV>
            <wp:extent cx="6292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E2231A"/>
              </w:rPr>
              <w:t>Environmental</w:t>
            </w:r>
          </w:p>
        </w:tc>
        <w:tc>
          <w:tcPr>
            <w:tcW w:w="2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E2231A"/>
              </w:rPr>
              <w:t>Social</w:t>
            </w:r>
          </w:p>
        </w:tc>
        <w:tc>
          <w:tcPr>
            <w:tcW w:w="1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E2231A"/>
              </w:rPr>
              <w:t>Governance</w:t>
            </w:r>
          </w:p>
        </w:tc>
        <w:tc>
          <w:tcPr>
            <w:tcW w:w="0" w:type="dxa"/>
            <w:vAlign w:val="bottom"/>
          </w:tcPr>
          <w:p>
            <w:pPr>
              <w:spacing w:after="0"/>
              <w:rPr>
                <w:sz w:val="1"/>
                <w:szCs w:val="1"/>
                <w:color w:val="auto"/>
              </w:rPr>
            </w:pPr>
          </w:p>
        </w:tc>
      </w:tr>
      <w:tr>
        <w:trPr>
          <w:trHeight w:val="194"/>
        </w:trPr>
        <w:tc>
          <w:tcPr>
            <w:tcW w:w="100" w:type="dxa"/>
            <w:vAlign w:val="bottom"/>
            <w:shd w:val="clear" w:color="auto" w:fill="FCE9E8"/>
          </w:tcPr>
          <w:p>
            <w:pPr>
              <w:spacing w:after="0"/>
              <w:rPr>
                <w:sz w:val="20"/>
                <w:szCs w:val="20"/>
                <w:color w:val="auto"/>
              </w:rPr>
            </w:pPr>
            <w:r>
              <w:rPr>
                <w:rFonts w:ascii="Arial" w:cs="Arial" w:eastAsia="Arial" w:hAnsi="Arial"/>
                <w:sz w:val="15"/>
                <w:szCs w:val="15"/>
                <w:color w:val="auto"/>
              </w:rPr>
              <w:t>•</w:t>
            </w:r>
          </w:p>
        </w:tc>
        <w:tc>
          <w:tcPr>
            <w:tcW w:w="3080" w:type="dxa"/>
            <w:vAlign w:val="bottom"/>
            <w:shd w:val="clear" w:color="auto" w:fill="FCE9E8"/>
          </w:tcPr>
          <w:p>
            <w:pPr>
              <w:ind w:left="40"/>
              <w:spacing w:after="0"/>
              <w:rPr>
                <w:sz w:val="20"/>
                <w:szCs w:val="20"/>
                <w:color w:val="auto"/>
              </w:rPr>
            </w:pPr>
            <w:r>
              <w:rPr>
                <w:rFonts w:ascii="Arial" w:cs="Arial" w:eastAsia="Arial" w:hAnsi="Arial"/>
                <w:sz w:val="15"/>
                <w:szCs w:val="15"/>
                <w:b w:val="1"/>
                <w:bCs w:val="1"/>
                <w:color w:val="auto"/>
              </w:rPr>
              <w:t xml:space="preserve">Set carbon reduction goals </w:t>
            </w:r>
            <w:r>
              <w:rPr>
                <w:rFonts w:ascii="Arial" w:cs="Arial" w:eastAsia="Arial" w:hAnsi="Arial"/>
                <w:sz w:val="15"/>
                <w:szCs w:val="15"/>
                <w:color w:val="auto"/>
              </w:rPr>
              <w:t>to reduce</w:t>
            </w:r>
          </w:p>
        </w:tc>
        <w:tc>
          <w:tcPr>
            <w:tcW w:w="200" w:type="dxa"/>
            <w:vAlign w:val="bottom"/>
          </w:tcPr>
          <w:p>
            <w:pPr>
              <w:ind w:left="100"/>
              <w:spacing w:after="0"/>
              <w:rPr>
                <w:sz w:val="20"/>
                <w:szCs w:val="20"/>
                <w:color w:val="auto"/>
              </w:rPr>
            </w:pPr>
            <w:r>
              <w:rPr>
                <w:rFonts w:ascii="Arial" w:cs="Arial" w:eastAsia="Arial" w:hAnsi="Arial"/>
                <w:sz w:val="15"/>
                <w:szCs w:val="15"/>
                <w:color w:val="auto"/>
              </w:rPr>
              <w:t>•</w:t>
            </w:r>
          </w:p>
        </w:tc>
        <w:tc>
          <w:tcPr>
            <w:tcW w:w="3180" w:type="dxa"/>
            <w:vAlign w:val="bottom"/>
          </w:tcPr>
          <w:p>
            <w:pPr>
              <w:ind w:left="40"/>
              <w:spacing w:after="0"/>
              <w:rPr>
                <w:sz w:val="20"/>
                <w:szCs w:val="20"/>
                <w:color w:val="auto"/>
              </w:rPr>
            </w:pPr>
            <w:r>
              <w:rPr>
                <w:rFonts w:ascii="Arial" w:cs="Arial" w:eastAsia="Arial" w:hAnsi="Arial"/>
                <w:sz w:val="15"/>
                <w:szCs w:val="15"/>
                <w:b w:val="1"/>
                <w:bCs w:val="1"/>
                <w:color w:val="auto"/>
              </w:rPr>
              <w:t>Strengthened our efforts to drive</w:t>
            </w:r>
          </w:p>
        </w:tc>
        <w:tc>
          <w:tcPr>
            <w:tcW w:w="180" w:type="dxa"/>
            <w:vAlign w:val="bottom"/>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3180" w:type="dxa"/>
            <w:vAlign w:val="bottom"/>
            <w:shd w:val="clear" w:color="auto" w:fill="FCE9E8"/>
          </w:tcPr>
          <w:p>
            <w:pPr>
              <w:ind w:left="60"/>
              <w:spacing w:after="0"/>
              <w:rPr>
                <w:sz w:val="20"/>
                <w:szCs w:val="20"/>
                <w:color w:val="auto"/>
              </w:rPr>
            </w:pPr>
            <w:r>
              <w:rPr>
                <w:rFonts w:ascii="Arial" w:cs="Arial" w:eastAsia="Arial" w:hAnsi="Arial"/>
                <w:sz w:val="15"/>
                <w:szCs w:val="15"/>
                <w:b w:val="1"/>
                <w:bCs w:val="1"/>
                <w:color w:val="auto"/>
              </w:rPr>
              <w:t xml:space="preserve">Reorganized our ESG function </w:t>
            </w:r>
            <w:r>
              <w:rPr>
                <w:rFonts w:ascii="Arial" w:cs="Arial" w:eastAsia="Arial" w:hAnsi="Arial"/>
                <w:sz w:val="15"/>
                <w:szCs w:val="15"/>
                <w:color w:val="auto"/>
              </w:rPr>
              <w:t>to drive</w:t>
            </w: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carbon emissions by 50% and achieve</w:t>
            </w: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Diversity, Equity and Inclusion (“DEI”)</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integration of sustainability into all aspects of</w:t>
            </w:r>
          </w:p>
        </w:tc>
        <w:tc>
          <w:tcPr>
            <w:tcW w:w="0" w:type="dxa"/>
            <w:vAlign w:val="bottom"/>
          </w:tcPr>
          <w:p>
            <w:pPr>
              <w:spacing w:after="0"/>
              <w:rPr>
                <w:sz w:val="1"/>
                <w:szCs w:val="1"/>
                <w:color w:val="auto"/>
              </w:rPr>
            </w:pPr>
          </w:p>
        </w:tc>
      </w:tr>
      <w:tr>
        <w:trPr>
          <w:trHeight w:val="180"/>
        </w:trPr>
        <w:tc>
          <w:tcPr>
            <w:tcW w:w="100" w:type="dxa"/>
            <w:vAlign w:val="bottom"/>
            <w:shd w:val="clear" w:color="auto" w:fill="FCE9E8"/>
          </w:tcPr>
          <w:p>
            <w:pPr>
              <w:spacing w:after="0"/>
              <w:rPr>
                <w:sz w:val="15"/>
                <w:szCs w:val="15"/>
                <w:color w:val="auto"/>
              </w:rPr>
            </w:pPr>
          </w:p>
        </w:tc>
        <w:tc>
          <w:tcPr>
            <w:tcW w:w="3080" w:type="dxa"/>
            <w:vAlign w:val="bottom"/>
            <w:shd w:val="clear" w:color="auto" w:fill="FCE9E8"/>
          </w:tcPr>
          <w:p>
            <w:pPr>
              <w:ind w:left="60"/>
              <w:spacing w:after="0"/>
              <w:rPr>
                <w:sz w:val="20"/>
                <w:szCs w:val="20"/>
                <w:color w:val="auto"/>
              </w:rPr>
            </w:pPr>
            <w:r>
              <w:rPr>
                <w:rFonts w:ascii="Arial" w:cs="Arial" w:eastAsia="Arial" w:hAnsi="Arial"/>
                <w:sz w:val="15"/>
                <w:szCs w:val="15"/>
                <w:color w:val="auto"/>
              </w:rPr>
              <w:t>100% renewable energy for electricity use</w:t>
            </w:r>
          </w:p>
        </w:tc>
        <w:tc>
          <w:tcPr>
            <w:tcW w:w="200" w:type="dxa"/>
            <w:vAlign w:val="bottom"/>
          </w:tcPr>
          <w:p>
            <w:pPr>
              <w:spacing w:after="0"/>
              <w:rPr>
                <w:sz w:val="15"/>
                <w:szCs w:val="15"/>
                <w:color w:val="auto"/>
              </w:rPr>
            </w:pPr>
          </w:p>
        </w:tc>
        <w:tc>
          <w:tcPr>
            <w:tcW w:w="3180" w:type="dxa"/>
            <w:vAlign w:val="bottom"/>
          </w:tcPr>
          <w:p>
            <w:pPr>
              <w:ind w:left="60"/>
              <w:spacing w:after="0"/>
              <w:rPr>
                <w:sz w:val="20"/>
                <w:szCs w:val="20"/>
                <w:color w:val="auto"/>
              </w:rPr>
            </w:pPr>
            <w:r>
              <w:rPr>
                <w:rFonts w:ascii="Arial" w:cs="Arial" w:eastAsia="Arial" w:hAnsi="Arial"/>
                <w:sz w:val="15"/>
                <w:szCs w:val="15"/>
                <w:b w:val="1"/>
                <w:bCs w:val="1"/>
                <w:color w:val="auto"/>
              </w:rPr>
              <w:t xml:space="preserve">globally </w:t>
            </w:r>
            <w:r>
              <w:rPr>
                <w:rFonts w:ascii="Arial" w:cs="Arial" w:eastAsia="Arial" w:hAnsi="Arial"/>
                <w:sz w:val="15"/>
                <w:szCs w:val="15"/>
                <w:color w:val="auto"/>
              </w:rPr>
              <w:t>by expanding and enhancing our</w:t>
            </w:r>
          </w:p>
        </w:tc>
        <w:tc>
          <w:tcPr>
            <w:tcW w:w="180" w:type="dxa"/>
            <w:vAlign w:val="bottom"/>
            <w:shd w:val="clear" w:color="auto" w:fill="FCE9E8"/>
          </w:tcPr>
          <w:p>
            <w:pPr>
              <w:spacing w:after="0"/>
              <w:rPr>
                <w:sz w:val="15"/>
                <w:szCs w:val="15"/>
                <w:color w:val="auto"/>
              </w:rPr>
            </w:pPr>
          </w:p>
        </w:tc>
        <w:tc>
          <w:tcPr>
            <w:tcW w:w="3180" w:type="dxa"/>
            <w:vAlign w:val="bottom"/>
            <w:shd w:val="clear" w:color="auto" w:fill="FCE9E8"/>
          </w:tcPr>
          <w:p>
            <w:pPr>
              <w:ind w:left="60"/>
              <w:spacing w:after="0"/>
              <w:rPr>
                <w:sz w:val="20"/>
                <w:szCs w:val="20"/>
                <w:color w:val="auto"/>
              </w:rPr>
            </w:pPr>
            <w:r>
              <w:rPr>
                <w:rFonts w:ascii="Arial" w:cs="Arial" w:eastAsia="Arial" w:hAnsi="Arial"/>
                <w:sz w:val="15"/>
                <w:szCs w:val="15"/>
                <w:color w:val="auto"/>
              </w:rPr>
              <w:t>our business</w:t>
            </w: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at our plants by 2030, as well as to reach</w:t>
            </w: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color w:val="auto"/>
              </w:rPr>
              <w:t>DEI leadership structure, executing a</w:t>
            </w:r>
          </w:p>
        </w:tc>
        <w:tc>
          <w:tcPr>
            <w:tcW w:w="180" w:type="dxa"/>
            <w:vAlign w:val="bottom"/>
            <w:vMerge w:val="restart"/>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3180" w:type="dxa"/>
            <w:vAlign w:val="bottom"/>
            <w:vMerge w:val="restart"/>
            <w:shd w:val="clear" w:color="auto" w:fill="FCE9E8"/>
          </w:tcPr>
          <w:p>
            <w:pPr>
              <w:ind w:left="60"/>
              <w:spacing w:after="0"/>
              <w:rPr>
                <w:sz w:val="20"/>
                <w:szCs w:val="20"/>
                <w:color w:val="auto"/>
              </w:rPr>
            </w:pPr>
            <w:r>
              <w:rPr>
                <w:rFonts w:ascii="Arial" w:cs="Arial" w:eastAsia="Arial" w:hAnsi="Arial"/>
                <w:sz w:val="15"/>
                <w:szCs w:val="15"/>
                <w:b w:val="1"/>
                <w:bCs w:val="1"/>
                <w:color w:val="auto"/>
              </w:rPr>
              <w:t>Added three new directors</w:t>
            </w:r>
            <w:r>
              <w:rPr>
                <w:rFonts w:ascii="Arial" w:cs="Arial" w:eastAsia="Arial" w:hAnsi="Arial"/>
                <w:sz w:val="15"/>
                <w:szCs w:val="15"/>
                <w:color w:val="auto"/>
              </w:rPr>
              <w:t>, increasing the</w:t>
            </w:r>
          </w:p>
        </w:tc>
        <w:tc>
          <w:tcPr>
            <w:tcW w:w="0" w:type="dxa"/>
            <w:vAlign w:val="bottom"/>
          </w:tcPr>
          <w:p>
            <w:pPr>
              <w:spacing w:after="0"/>
              <w:rPr>
                <w:sz w:val="1"/>
                <w:szCs w:val="1"/>
                <w:color w:val="auto"/>
              </w:rPr>
            </w:pPr>
          </w:p>
        </w:tc>
      </w:tr>
      <w:tr>
        <w:trPr>
          <w:trHeight w:val="138"/>
        </w:trPr>
        <w:tc>
          <w:tcPr>
            <w:tcW w:w="100" w:type="dxa"/>
            <w:vAlign w:val="bottom"/>
            <w:shd w:val="clear" w:color="auto" w:fill="FCE9E8"/>
          </w:tcPr>
          <w:p>
            <w:pPr>
              <w:spacing w:after="0"/>
              <w:rPr>
                <w:sz w:val="12"/>
                <w:szCs w:val="12"/>
                <w:color w:val="auto"/>
              </w:rPr>
            </w:pPr>
          </w:p>
        </w:tc>
        <w:tc>
          <w:tcPr>
            <w:tcW w:w="3080" w:type="dxa"/>
            <w:vAlign w:val="bottom"/>
            <w:shd w:val="clear" w:color="auto" w:fill="FCE9E8"/>
          </w:tcPr>
          <w:p>
            <w:pPr>
              <w:ind w:left="60"/>
              <w:spacing w:after="0" w:line="138" w:lineRule="exact"/>
              <w:rPr>
                <w:sz w:val="20"/>
                <w:szCs w:val="20"/>
                <w:color w:val="auto"/>
              </w:rPr>
            </w:pPr>
            <w:r>
              <w:rPr>
                <w:rFonts w:ascii="Arial" w:cs="Arial" w:eastAsia="Arial" w:hAnsi="Arial"/>
                <w:sz w:val="15"/>
                <w:szCs w:val="15"/>
                <w:color w:val="auto"/>
              </w:rPr>
              <w:t>net zero carbon emissions by 2050</w:t>
            </w:r>
          </w:p>
        </w:tc>
        <w:tc>
          <w:tcPr>
            <w:tcW w:w="200" w:type="dxa"/>
            <w:vAlign w:val="bottom"/>
          </w:tcPr>
          <w:p>
            <w:pPr>
              <w:spacing w:after="0"/>
              <w:rPr>
                <w:sz w:val="12"/>
                <w:szCs w:val="12"/>
                <w:color w:val="auto"/>
              </w:rPr>
            </w:pPr>
          </w:p>
        </w:tc>
        <w:tc>
          <w:tcPr>
            <w:tcW w:w="3180" w:type="dxa"/>
            <w:vAlign w:val="bottom"/>
          </w:tcPr>
          <w:p>
            <w:pPr>
              <w:ind w:left="60"/>
              <w:spacing w:after="0" w:line="138" w:lineRule="exact"/>
              <w:rPr>
                <w:sz w:val="20"/>
                <w:szCs w:val="20"/>
                <w:color w:val="auto"/>
              </w:rPr>
            </w:pPr>
            <w:r>
              <w:rPr>
                <w:rFonts w:ascii="Arial" w:cs="Arial" w:eastAsia="Arial" w:hAnsi="Arial"/>
                <w:sz w:val="15"/>
                <w:szCs w:val="15"/>
                <w:color w:val="auto"/>
              </w:rPr>
              <w:t>company-wide DEI educational campaign</w:t>
            </w:r>
          </w:p>
        </w:tc>
        <w:tc>
          <w:tcPr>
            <w:tcW w:w="180" w:type="dxa"/>
            <w:vAlign w:val="bottom"/>
            <w:vMerge w:val="continue"/>
            <w:shd w:val="clear" w:color="auto" w:fill="FCE9E8"/>
          </w:tcPr>
          <w:p>
            <w:pPr>
              <w:spacing w:after="0"/>
              <w:rPr>
                <w:sz w:val="12"/>
                <w:szCs w:val="12"/>
                <w:color w:val="auto"/>
              </w:rPr>
            </w:pPr>
          </w:p>
        </w:tc>
        <w:tc>
          <w:tcPr>
            <w:tcW w:w="3180" w:type="dxa"/>
            <w:vAlign w:val="bottom"/>
            <w:vMerge w:val="continue"/>
            <w:shd w:val="clear" w:color="auto" w:fill="FCE9E8"/>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 w:type="dxa"/>
            <w:vAlign w:val="bottom"/>
            <w:vMerge w:val="restart"/>
            <w:shd w:val="clear" w:color="auto" w:fill="FCE9E8"/>
          </w:tcPr>
          <w:p>
            <w:pPr>
              <w:spacing w:after="0"/>
              <w:rPr>
                <w:sz w:val="20"/>
                <w:szCs w:val="20"/>
                <w:color w:val="auto"/>
              </w:rPr>
            </w:pPr>
            <w:r>
              <w:rPr>
                <w:rFonts w:ascii="Arial" w:cs="Arial" w:eastAsia="Arial" w:hAnsi="Arial"/>
                <w:sz w:val="15"/>
                <w:szCs w:val="15"/>
                <w:color w:val="auto"/>
              </w:rPr>
              <w:t>•</w:t>
            </w:r>
          </w:p>
        </w:tc>
        <w:tc>
          <w:tcPr>
            <w:tcW w:w="3080" w:type="dxa"/>
            <w:vAlign w:val="bottom"/>
            <w:vMerge w:val="restart"/>
            <w:shd w:val="clear" w:color="auto" w:fill="FCE9E8"/>
          </w:tcPr>
          <w:p>
            <w:pPr>
              <w:ind w:left="40"/>
              <w:spacing w:after="0"/>
              <w:rPr>
                <w:sz w:val="20"/>
                <w:szCs w:val="20"/>
                <w:color w:val="auto"/>
              </w:rPr>
            </w:pPr>
            <w:r>
              <w:rPr>
                <w:rFonts w:ascii="Arial" w:cs="Arial" w:eastAsia="Arial" w:hAnsi="Arial"/>
                <w:sz w:val="15"/>
                <w:szCs w:val="15"/>
                <w:color w:val="auto"/>
              </w:rPr>
              <w:t>Continued to develop and commercialize</w:t>
            </w:r>
          </w:p>
        </w:tc>
        <w:tc>
          <w:tcPr>
            <w:tcW w:w="20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Arial" w:cs="Arial" w:eastAsia="Arial" w:hAnsi="Arial"/>
                <w:sz w:val="15"/>
                <w:szCs w:val="15"/>
                <w:color w:val="auto"/>
              </w:rPr>
              <w:t>and investing in initiatives to support racial</w:t>
            </w:r>
          </w:p>
        </w:tc>
        <w:tc>
          <w:tcPr>
            <w:tcW w:w="180" w:type="dxa"/>
            <w:vAlign w:val="bottom"/>
            <w:shd w:val="clear" w:color="auto" w:fill="FCE9E8"/>
          </w:tcPr>
          <w:p>
            <w:pPr>
              <w:spacing w:after="0"/>
              <w:rPr>
                <w:sz w:val="16"/>
                <w:szCs w:val="16"/>
                <w:color w:val="auto"/>
              </w:rPr>
            </w:pPr>
          </w:p>
        </w:tc>
        <w:tc>
          <w:tcPr>
            <w:tcW w:w="3180" w:type="dxa"/>
            <w:vAlign w:val="bottom"/>
            <w:shd w:val="clear" w:color="auto" w:fill="FCE9E8"/>
          </w:tcPr>
          <w:p>
            <w:pPr>
              <w:ind w:left="60"/>
              <w:spacing w:after="0"/>
              <w:rPr>
                <w:sz w:val="20"/>
                <w:szCs w:val="20"/>
                <w:color w:val="auto"/>
              </w:rPr>
            </w:pPr>
            <w:r>
              <w:rPr>
                <w:rFonts w:ascii="Arial" w:cs="Arial" w:eastAsia="Arial" w:hAnsi="Arial"/>
                <w:sz w:val="15"/>
                <w:szCs w:val="15"/>
                <w:color w:val="auto"/>
              </w:rPr>
              <w:t>Board’s expertise and diversity</w:t>
            </w:r>
          </w:p>
        </w:tc>
        <w:tc>
          <w:tcPr>
            <w:tcW w:w="0" w:type="dxa"/>
            <w:vAlign w:val="bottom"/>
          </w:tcPr>
          <w:p>
            <w:pPr>
              <w:spacing w:after="0"/>
              <w:rPr>
                <w:sz w:val="1"/>
                <w:szCs w:val="1"/>
                <w:color w:val="auto"/>
              </w:rPr>
            </w:pPr>
          </w:p>
        </w:tc>
      </w:tr>
      <w:tr>
        <w:trPr>
          <w:trHeight w:val="138"/>
        </w:trPr>
        <w:tc>
          <w:tcPr>
            <w:tcW w:w="100" w:type="dxa"/>
            <w:vAlign w:val="bottom"/>
            <w:vMerge w:val="continue"/>
            <w:shd w:val="clear" w:color="auto" w:fill="FCE9E8"/>
          </w:tcPr>
          <w:p>
            <w:pPr>
              <w:spacing w:after="0"/>
              <w:rPr>
                <w:sz w:val="12"/>
                <w:szCs w:val="12"/>
                <w:color w:val="auto"/>
              </w:rPr>
            </w:pPr>
          </w:p>
        </w:tc>
        <w:tc>
          <w:tcPr>
            <w:tcW w:w="3080" w:type="dxa"/>
            <w:vAlign w:val="bottom"/>
            <w:vMerge w:val="continue"/>
            <w:shd w:val="clear" w:color="auto" w:fill="FCE9E8"/>
          </w:tcPr>
          <w:p>
            <w:pPr>
              <w:spacing w:after="0"/>
              <w:rPr>
                <w:sz w:val="12"/>
                <w:szCs w:val="12"/>
                <w:color w:val="auto"/>
              </w:rPr>
            </w:pPr>
          </w:p>
        </w:tc>
        <w:tc>
          <w:tcPr>
            <w:tcW w:w="200" w:type="dxa"/>
            <w:vAlign w:val="bottom"/>
          </w:tcPr>
          <w:p>
            <w:pPr>
              <w:spacing w:after="0"/>
              <w:rPr>
                <w:sz w:val="12"/>
                <w:szCs w:val="12"/>
                <w:color w:val="auto"/>
              </w:rPr>
            </w:pPr>
          </w:p>
        </w:tc>
        <w:tc>
          <w:tcPr>
            <w:tcW w:w="3180" w:type="dxa"/>
            <w:vAlign w:val="bottom"/>
          </w:tcPr>
          <w:p>
            <w:pPr>
              <w:ind w:left="60"/>
              <w:spacing w:after="0" w:line="138" w:lineRule="exact"/>
              <w:rPr>
                <w:sz w:val="20"/>
                <w:szCs w:val="20"/>
                <w:color w:val="auto"/>
              </w:rPr>
            </w:pPr>
            <w:r>
              <w:rPr>
                <w:rFonts w:ascii="Arial" w:cs="Arial" w:eastAsia="Arial" w:hAnsi="Arial"/>
                <w:sz w:val="15"/>
                <w:szCs w:val="15"/>
                <w:color w:val="auto"/>
              </w:rPr>
              <w:t>equality</w:t>
            </w:r>
          </w:p>
        </w:tc>
        <w:tc>
          <w:tcPr>
            <w:tcW w:w="180" w:type="dxa"/>
            <w:vAlign w:val="bottom"/>
            <w:vMerge w:val="restart"/>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3180" w:type="dxa"/>
            <w:vAlign w:val="bottom"/>
            <w:vMerge w:val="restart"/>
            <w:shd w:val="clear" w:color="auto" w:fill="FCE9E8"/>
          </w:tcPr>
          <w:p>
            <w:pPr>
              <w:ind w:left="60"/>
              <w:spacing w:after="0"/>
              <w:rPr>
                <w:sz w:val="20"/>
                <w:szCs w:val="20"/>
                <w:color w:val="auto"/>
              </w:rPr>
            </w:pPr>
            <w:r>
              <w:rPr>
                <w:rFonts w:ascii="Arial" w:cs="Arial" w:eastAsia="Arial" w:hAnsi="Arial"/>
                <w:sz w:val="15"/>
                <w:szCs w:val="15"/>
                <w:b w:val="1"/>
                <w:bCs w:val="1"/>
                <w:color w:val="auto"/>
              </w:rPr>
              <w:t>Conducted a corporate governance</w:t>
            </w:r>
          </w:p>
        </w:tc>
        <w:tc>
          <w:tcPr>
            <w:tcW w:w="0" w:type="dxa"/>
            <w:vAlign w:val="bottom"/>
          </w:tcPr>
          <w:p>
            <w:pPr>
              <w:spacing w:after="0"/>
              <w:rPr>
                <w:sz w:val="1"/>
                <w:szCs w:val="1"/>
                <w:color w:val="auto"/>
              </w:rPr>
            </w:pPr>
          </w:p>
        </w:tc>
      </w:tr>
      <w:tr>
        <w:trPr>
          <w:trHeight w:val="122"/>
        </w:trPr>
        <w:tc>
          <w:tcPr>
            <w:tcW w:w="100" w:type="dxa"/>
            <w:vAlign w:val="bottom"/>
            <w:shd w:val="clear" w:color="auto" w:fill="FCE9E8"/>
          </w:tcPr>
          <w:p>
            <w:pPr>
              <w:spacing w:after="0"/>
              <w:rPr>
                <w:sz w:val="10"/>
                <w:szCs w:val="10"/>
                <w:color w:val="auto"/>
              </w:rPr>
            </w:pPr>
          </w:p>
        </w:tc>
        <w:tc>
          <w:tcPr>
            <w:tcW w:w="3080" w:type="dxa"/>
            <w:vAlign w:val="bottom"/>
            <w:shd w:val="clear" w:color="auto" w:fill="FCE9E8"/>
          </w:tcPr>
          <w:p>
            <w:pPr>
              <w:ind w:left="60"/>
              <w:spacing w:after="0" w:line="122" w:lineRule="exact"/>
              <w:rPr>
                <w:sz w:val="20"/>
                <w:szCs w:val="20"/>
                <w:color w:val="auto"/>
              </w:rPr>
            </w:pPr>
            <w:r>
              <w:rPr>
                <w:rFonts w:ascii="Arial" w:cs="Arial" w:eastAsia="Arial" w:hAnsi="Arial"/>
                <w:sz w:val="14"/>
                <w:szCs w:val="14"/>
                <w:color w:val="auto"/>
              </w:rPr>
              <w:t>innovative products that support key</w:t>
            </w:r>
          </w:p>
        </w:tc>
        <w:tc>
          <w:tcPr>
            <w:tcW w:w="2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0" w:type="dxa"/>
            <w:vAlign w:val="bottom"/>
            <w:vMerge w:val="continue"/>
            <w:shd w:val="clear" w:color="auto" w:fill="FCE9E8"/>
          </w:tcPr>
          <w:p>
            <w:pPr>
              <w:spacing w:after="0"/>
              <w:rPr>
                <w:sz w:val="10"/>
                <w:szCs w:val="10"/>
                <w:color w:val="auto"/>
              </w:rPr>
            </w:pPr>
          </w:p>
        </w:tc>
        <w:tc>
          <w:tcPr>
            <w:tcW w:w="3180" w:type="dxa"/>
            <w:vAlign w:val="bottom"/>
            <w:vMerge w:val="continue"/>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sustainable and emerging industry trends,</w:t>
            </w:r>
          </w:p>
        </w:tc>
        <w:tc>
          <w:tcPr>
            <w:tcW w:w="200" w:type="dxa"/>
            <w:vAlign w:val="bottom"/>
          </w:tcPr>
          <w:p>
            <w:pPr>
              <w:ind w:left="100"/>
              <w:spacing w:after="0" w:line="162" w:lineRule="exact"/>
              <w:rPr>
                <w:sz w:val="20"/>
                <w:szCs w:val="20"/>
                <w:color w:val="auto"/>
              </w:rPr>
            </w:pPr>
            <w:r>
              <w:rPr>
                <w:rFonts w:ascii="Arial" w:cs="Arial" w:eastAsia="Arial" w:hAnsi="Arial"/>
                <w:sz w:val="15"/>
                <w:szCs w:val="15"/>
                <w:color w:val="auto"/>
              </w:rPr>
              <w:t>•</w:t>
            </w:r>
          </w:p>
        </w:tc>
        <w:tc>
          <w:tcPr>
            <w:tcW w:w="3180" w:type="dxa"/>
            <w:vAlign w:val="bottom"/>
          </w:tcPr>
          <w:p>
            <w:pPr>
              <w:ind w:left="40"/>
              <w:spacing w:after="0" w:line="162" w:lineRule="exact"/>
              <w:rPr>
                <w:sz w:val="20"/>
                <w:szCs w:val="20"/>
                <w:color w:val="auto"/>
              </w:rPr>
            </w:pPr>
            <w:r>
              <w:rPr>
                <w:rFonts w:ascii="Arial" w:cs="Arial" w:eastAsia="Arial" w:hAnsi="Arial"/>
                <w:sz w:val="15"/>
                <w:szCs w:val="15"/>
                <w:b w:val="1"/>
                <w:bCs w:val="1"/>
                <w:color w:val="auto"/>
              </w:rPr>
              <w:t>Conducted more than 125,000 hours of</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b w:val="1"/>
                <w:bCs w:val="1"/>
                <w:color w:val="auto"/>
              </w:rPr>
              <w:t xml:space="preserve">roadshow </w:t>
            </w:r>
            <w:r>
              <w:rPr>
                <w:rFonts w:ascii="Arial" w:cs="Arial" w:eastAsia="Arial" w:hAnsi="Arial"/>
                <w:sz w:val="15"/>
                <w:szCs w:val="15"/>
                <w:color w:val="auto"/>
              </w:rPr>
              <w:t>to highlight Lear’s enhanced</w:t>
            </w: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 xml:space="preserve">such as </w:t>
            </w:r>
            <w:r>
              <w:rPr>
                <w:rFonts w:ascii="Arial" w:cs="Arial" w:eastAsia="Arial" w:hAnsi="Arial"/>
                <w:sz w:val="15"/>
                <w:szCs w:val="15"/>
                <w:b w:val="1"/>
                <w:bCs w:val="1"/>
                <w:color w:val="auto"/>
              </w:rPr>
              <w:t>connectivity, electrification</w:t>
            </w:r>
            <w:r>
              <w:rPr>
                <w:rFonts w:ascii="Arial" w:cs="Arial" w:eastAsia="Arial" w:hAnsi="Arial"/>
                <w:sz w:val="15"/>
                <w:szCs w:val="15"/>
                <w:color w:val="auto"/>
              </w:rPr>
              <w:t xml:space="preserve"> and</w:t>
            </w: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DEI and Expect Respect anti-harassment</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ESG efforts to current and potential</w:t>
            </w:r>
          </w:p>
        </w:tc>
        <w:tc>
          <w:tcPr>
            <w:tcW w:w="0" w:type="dxa"/>
            <w:vAlign w:val="bottom"/>
          </w:tcPr>
          <w:p>
            <w:pPr>
              <w:spacing w:after="0"/>
              <w:rPr>
                <w:sz w:val="1"/>
                <w:szCs w:val="1"/>
                <w:color w:val="auto"/>
              </w:rPr>
            </w:pPr>
          </w:p>
        </w:tc>
      </w:tr>
      <w:tr>
        <w:trPr>
          <w:trHeight w:val="208"/>
        </w:trPr>
        <w:tc>
          <w:tcPr>
            <w:tcW w:w="100" w:type="dxa"/>
            <w:vAlign w:val="bottom"/>
            <w:shd w:val="clear" w:color="auto" w:fill="FCE9E8"/>
          </w:tcPr>
          <w:p>
            <w:pPr>
              <w:spacing w:after="0"/>
              <w:rPr>
                <w:sz w:val="18"/>
                <w:szCs w:val="18"/>
                <w:color w:val="auto"/>
              </w:rPr>
            </w:pPr>
          </w:p>
        </w:tc>
        <w:tc>
          <w:tcPr>
            <w:tcW w:w="3080" w:type="dxa"/>
            <w:vAlign w:val="bottom"/>
            <w:shd w:val="clear" w:color="auto" w:fill="FCE9E8"/>
          </w:tcPr>
          <w:p>
            <w:pPr>
              <w:ind w:left="60"/>
              <w:spacing w:after="0"/>
              <w:rPr>
                <w:sz w:val="20"/>
                <w:szCs w:val="20"/>
                <w:color w:val="auto"/>
              </w:rPr>
            </w:pPr>
            <w:r>
              <w:rPr>
                <w:rFonts w:ascii="Arial" w:cs="Arial" w:eastAsia="Arial" w:hAnsi="Arial"/>
                <w:sz w:val="15"/>
                <w:szCs w:val="15"/>
                <w:b w:val="1"/>
                <w:bCs w:val="1"/>
                <w:color w:val="auto"/>
              </w:rPr>
              <w:t>shared mobility</w:t>
            </w:r>
          </w:p>
        </w:tc>
        <w:tc>
          <w:tcPr>
            <w:tcW w:w="200" w:type="dxa"/>
            <w:vAlign w:val="bottom"/>
          </w:tcPr>
          <w:p>
            <w:pPr>
              <w:spacing w:after="0"/>
              <w:rPr>
                <w:sz w:val="18"/>
                <w:szCs w:val="18"/>
                <w:color w:val="auto"/>
              </w:rPr>
            </w:pPr>
          </w:p>
        </w:tc>
        <w:tc>
          <w:tcPr>
            <w:tcW w:w="3180" w:type="dxa"/>
            <w:vAlign w:val="bottom"/>
          </w:tcPr>
          <w:p>
            <w:pPr>
              <w:ind w:left="60"/>
              <w:spacing w:after="0"/>
              <w:rPr>
                <w:sz w:val="20"/>
                <w:szCs w:val="20"/>
                <w:color w:val="auto"/>
              </w:rPr>
            </w:pPr>
            <w:r>
              <w:rPr>
                <w:rFonts w:ascii="Arial" w:cs="Arial" w:eastAsia="Arial" w:hAnsi="Arial"/>
                <w:sz w:val="15"/>
                <w:szCs w:val="15"/>
                <w:b w:val="1"/>
                <w:bCs w:val="1"/>
                <w:color w:val="auto"/>
              </w:rPr>
              <w:t>training in 2019-2020</w:t>
            </w:r>
          </w:p>
        </w:tc>
        <w:tc>
          <w:tcPr>
            <w:tcW w:w="180" w:type="dxa"/>
            <w:vAlign w:val="bottom"/>
            <w:shd w:val="clear" w:color="auto" w:fill="FCE9E8"/>
          </w:tcPr>
          <w:p>
            <w:pPr>
              <w:spacing w:after="0"/>
              <w:rPr>
                <w:sz w:val="18"/>
                <w:szCs w:val="18"/>
                <w:color w:val="auto"/>
              </w:rPr>
            </w:pPr>
          </w:p>
        </w:tc>
        <w:tc>
          <w:tcPr>
            <w:tcW w:w="3180" w:type="dxa"/>
            <w:vAlign w:val="bottom"/>
            <w:shd w:val="clear" w:color="auto" w:fill="FCE9E8"/>
          </w:tcPr>
          <w:p>
            <w:pPr>
              <w:ind w:left="60"/>
              <w:spacing w:after="0"/>
              <w:rPr>
                <w:sz w:val="20"/>
                <w:szCs w:val="20"/>
                <w:color w:val="auto"/>
              </w:rPr>
            </w:pPr>
            <w:r>
              <w:rPr>
                <w:rFonts w:ascii="Arial" w:cs="Arial" w:eastAsia="Arial" w:hAnsi="Arial"/>
                <w:sz w:val="15"/>
                <w:szCs w:val="15"/>
                <w:color w:val="auto"/>
              </w:rPr>
              <w:t>investors</w:t>
            </w:r>
          </w:p>
        </w:tc>
        <w:tc>
          <w:tcPr>
            <w:tcW w:w="0" w:type="dxa"/>
            <w:vAlign w:val="bottom"/>
          </w:tcPr>
          <w:p>
            <w:pPr>
              <w:spacing w:after="0"/>
              <w:rPr>
                <w:sz w:val="1"/>
                <w:szCs w:val="1"/>
                <w:color w:val="auto"/>
              </w:rPr>
            </w:pPr>
          </w:p>
        </w:tc>
      </w:tr>
      <w:tr>
        <w:trPr>
          <w:trHeight w:val="238"/>
        </w:trPr>
        <w:tc>
          <w:tcPr>
            <w:tcW w:w="100" w:type="dxa"/>
            <w:vAlign w:val="bottom"/>
            <w:shd w:val="clear" w:color="auto" w:fill="FCE9E8"/>
          </w:tcPr>
          <w:p>
            <w:pPr>
              <w:spacing w:after="0"/>
              <w:rPr>
                <w:sz w:val="20"/>
                <w:szCs w:val="20"/>
                <w:color w:val="auto"/>
              </w:rPr>
            </w:pPr>
          </w:p>
        </w:tc>
        <w:tc>
          <w:tcPr>
            <w:tcW w:w="3080" w:type="dxa"/>
            <w:vAlign w:val="bottom"/>
            <w:shd w:val="clear" w:color="auto" w:fill="FCE9E8"/>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5"/>
                <w:szCs w:val="15"/>
                <w:color w:val="auto"/>
              </w:rPr>
              <w:t>•</w:t>
            </w:r>
          </w:p>
        </w:tc>
        <w:tc>
          <w:tcPr>
            <w:tcW w:w="3180" w:type="dxa"/>
            <w:vAlign w:val="bottom"/>
          </w:tcPr>
          <w:p>
            <w:pPr>
              <w:ind w:left="40"/>
              <w:spacing w:after="0"/>
              <w:rPr>
                <w:sz w:val="20"/>
                <w:szCs w:val="20"/>
                <w:color w:val="auto"/>
              </w:rPr>
            </w:pPr>
            <w:r>
              <w:rPr>
                <w:rFonts w:ascii="Arial" w:cs="Arial" w:eastAsia="Arial" w:hAnsi="Arial"/>
                <w:sz w:val="15"/>
                <w:szCs w:val="15"/>
                <w:b w:val="1"/>
                <w:bCs w:val="1"/>
                <w:color w:val="auto"/>
              </w:rPr>
              <w:t>Authored and publicly shared a Safe</w:t>
            </w:r>
          </w:p>
        </w:tc>
        <w:tc>
          <w:tcPr>
            <w:tcW w:w="180" w:type="dxa"/>
            <w:vAlign w:val="bottom"/>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3180" w:type="dxa"/>
            <w:vAlign w:val="bottom"/>
            <w:shd w:val="clear" w:color="auto" w:fill="FCE9E8"/>
          </w:tcPr>
          <w:p>
            <w:pPr>
              <w:ind w:left="60"/>
              <w:spacing w:after="0"/>
              <w:rPr>
                <w:sz w:val="20"/>
                <w:szCs w:val="20"/>
                <w:color w:val="auto"/>
              </w:rPr>
            </w:pPr>
            <w:r>
              <w:rPr>
                <w:rFonts w:ascii="Arial" w:cs="Arial" w:eastAsia="Arial" w:hAnsi="Arial"/>
                <w:sz w:val="15"/>
                <w:szCs w:val="15"/>
                <w:color w:val="auto"/>
              </w:rPr>
              <w:t>Engaged a third party to assist in our efforts</w:t>
            </w: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 xml:space="preserve">Work Playbook </w:t>
            </w:r>
            <w:r>
              <w:rPr>
                <w:rFonts w:ascii="Arial" w:cs="Arial" w:eastAsia="Arial" w:hAnsi="Arial"/>
                <w:sz w:val="15"/>
                <w:szCs w:val="15"/>
                <w:color w:val="auto"/>
              </w:rPr>
              <w:t>to assist our global sites</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ind w:left="60"/>
              <w:spacing w:after="0" w:line="162" w:lineRule="exact"/>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b w:val="1"/>
                <w:bCs w:val="1"/>
                <w:color w:val="auto"/>
              </w:rPr>
              <w:t>map, assess and monitor ESG risks in</w:t>
            </w:r>
          </w:p>
        </w:tc>
        <w:tc>
          <w:tcPr>
            <w:tcW w:w="0" w:type="dxa"/>
            <w:vAlign w:val="bottom"/>
          </w:tcPr>
          <w:p>
            <w:pPr>
              <w:spacing w:after="0"/>
              <w:rPr>
                <w:sz w:val="1"/>
                <w:szCs w:val="1"/>
                <w:color w:val="auto"/>
              </w:rPr>
            </w:pPr>
          </w:p>
        </w:tc>
      </w:tr>
      <w:tr>
        <w:trPr>
          <w:trHeight w:val="186"/>
        </w:trPr>
        <w:tc>
          <w:tcPr>
            <w:tcW w:w="100" w:type="dxa"/>
            <w:vAlign w:val="bottom"/>
            <w:shd w:val="clear" w:color="auto" w:fill="FCE9E8"/>
          </w:tcPr>
          <w:p>
            <w:pPr>
              <w:spacing w:after="0"/>
              <w:rPr>
                <w:sz w:val="16"/>
                <w:szCs w:val="16"/>
                <w:color w:val="auto"/>
              </w:rPr>
            </w:pPr>
          </w:p>
        </w:tc>
        <w:tc>
          <w:tcPr>
            <w:tcW w:w="3080" w:type="dxa"/>
            <w:vAlign w:val="bottom"/>
            <w:shd w:val="clear" w:color="auto" w:fill="FCE9E8"/>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Arial" w:cs="Arial" w:eastAsia="Arial" w:hAnsi="Arial"/>
                <w:sz w:val="15"/>
                <w:szCs w:val="15"/>
                <w:color w:val="auto"/>
              </w:rPr>
              <w:t>and other organizations to resume</w:t>
            </w:r>
          </w:p>
        </w:tc>
        <w:tc>
          <w:tcPr>
            <w:tcW w:w="180" w:type="dxa"/>
            <w:vAlign w:val="bottom"/>
            <w:shd w:val="clear" w:color="auto" w:fill="FCE9E8"/>
          </w:tcPr>
          <w:p>
            <w:pPr>
              <w:spacing w:after="0"/>
              <w:rPr>
                <w:sz w:val="16"/>
                <w:szCs w:val="16"/>
                <w:color w:val="auto"/>
              </w:rPr>
            </w:pPr>
          </w:p>
        </w:tc>
        <w:tc>
          <w:tcPr>
            <w:tcW w:w="3180" w:type="dxa"/>
            <w:vAlign w:val="bottom"/>
            <w:shd w:val="clear" w:color="auto" w:fill="FCE9E8"/>
          </w:tcPr>
          <w:p>
            <w:pPr>
              <w:ind w:left="60"/>
              <w:spacing w:after="0"/>
              <w:rPr>
                <w:sz w:val="20"/>
                <w:szCs w:val="20"/>
                <w:color w:val="auto"/>
              </w:rPr>
            </w:pPr>
            <w:r>
              <w:rPr>
                <w:rFonts w:ascii="Arial" w:cs="Arial" w:eastAsia="Arial" w:hAnsi="Arial"/>
                <w:sz w:val="15"/>
                <w:szCs w:val="15"/>
                <w:b w:val="1"/>
                <w:bCs w:val="1"/>
                <w:color w:val="auto"/>
              </w:rPr>
              <w:t>our global supply chain</w:t>
            </w: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color w:val="auto"/>
              </w:rPr>
              <w:t>operations safely during the COVID-19</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FCE9E8"/>
          </w:tcPr>
          <w:p>
            <w:pPr>
              <w:spacing w:after="0"/>
              <w:rPr>
                <w:sz w:val="16"/>
                <w:szCs w:val="16"/>
                <w:color w:val="auto"/>
              </w:rPr>
            </w:pPr>
          </w:p>
        </w:tc>
        <w:tc>
          <w:tcPr>
            <w:tcW w:w="3080" w:type="dxa"/>
            <w:vAlign w:val="bottom"/>
            <w:shd w:val="clear" w:color="auto" w:fill="FCE9E8"/>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tcPr>
          <w:p>
            <w:pPr>
              <w:ind w:left="60"/>
              <w:spacing w:after="0"/>
              <w:rPr>
                <w:sz w:val="20"/>
                <w:szCs w:val="20"/>
                <w:color w:val="auto"/>
              </w:rPr>
            </w:pPr>
            <w:r>
              <w:rPr>
                <w:rFonts w:ascii="Arial" w:cs="Arial" w:eastAsia="Arial" w:hAnsi="Arial"/>
                <w:sz w:val="15"/>
                <w:szCs w:val="15"/>
                <w:color w:val="auto"/>
              </w:rPr>
              <w:t>pandemic</w:t>
            </w:r>
          </w:p>
        </w:tc>
        <w:tc>
          <w:tcPr>
            <w:tcW w:w="180" w:type="dxa"/>
            <w:vAlign w:val="bottom"/>
            <w:shd w:val="clear" w:color="auto" w:fill="FCE9E8"/>
          </w:tcPr>
          <w:p>
            <w:pPr>
              <w:spacing w:after="0"/>
              <w:rPr>
                <w:sz w:val="16"/>
                <w:szCs w:val="16"/>
                <w:color w:val="auto"/>
              </w:rPr>
            </w:pPr>
          </w:p>
        </w:tc>
        <w:tc>
          <w:tcPr>
            <w:tcW w:w="31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FCE9E8"/>
          </w:tcPr>
          <w:p>
            <w:pPr>
              <w:spacing w:after="0"/>
              <w:rPr>
                <w:sz w:val="21"/>
                <w:szCs w:val="21"/>
                <w:color w:val="auto"/>
              </w:rPr>
            </w:pPr>
          </w:p>
        </w:tc>
        <w:tc>
          <w:tcPr>
            <w:tcW w:w="3080" w:type="dxa"/>
            <w:vAlign w:val="bottom"/>
            <w:shd w:val="clear" w:color="auto" w:fill="FCE9E8"/>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5"/>
                <w:szCs w:val="15"/>
                <w:color w:val="auto"/>
              </w:rPr>
              <w:t>•</w:t>
            </w:r>
          </w:p>
        </w:tc>
        <w:tc>
          <w:tcPr>
            <w:tcW w:w="3180" w:type="dxa"/>
            <w:vAlign w:val="bottom"/>
          </w:tcPr>
          <w:p>
            <w:pPr>
              <w:ind w:left="40"/>
              <w:spacing w:after="0"/>
              <w:rPr>
                <w:sz w:val="20"/>
                <w:szCs w:val="20"/>
                <w:color w:val="auto"/>
              </w:rPr>
            </w:pPr>
            <w:r>
              <w:rPr>
                <w:rFonts w:ascii="Arial" w:cs="Arial" w:eastAsia="Arial" w:hAnsi="Arial"/>
                <w:sz w:val="15"/>
                <w:szCs w:val="15"/>
                <w:b w:val="1"/>
                <w:bCs w:val="1"/>
                <w:color w:val="auto"/>
              </w:rPr>
              <w:t>Produced more 10 million protective</w:t>
            </w:r>
          </w:p>
        </w:tc>
        <w:tc>
          <w:tcPr>
            <w:tcW w:w="180" w:type="dxa"/>
            <w:vAlign w:val="bottom"/>
            <w:shd w:val="clear" w:color="auto" w:fill="FCE9E8"/>
          </w:tcPr>
          <w:p>
            <w:pPr>
              <w:spacing w:after="0"/>
              <w:rPr>
                <w:sz w:val="21"/>
                <w:szCs w:val="21"/>
                <w:color w:val="auto"/>
              </w:rPr>
            </w:pPr>
          </w:p>
        </w:tc>
        <w:tc>
          <w:tcPr>
            <w:tcW w:w="318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masks for use by our employees and</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FCE9E8"/>
          </w:tcPr>
          <w:p>
            <w:pPr>
              <w:spacing w:after="0"/>
              <w:rPr>
                <w:sz w:val="17"/>
                <w:szCs w:val="17"/>
                <w:color w:val="auto"/>
              </w:rPr>
            </w:pPr>
          </w:p>
        </w:tc>
        <w:tc>
          <w:tcPr>
            <w:tcW w:w="3080" w:type="dxa"/>
            <w:vAlign w:val="bottom"/>
            <w:shd w:val="clear" w:color="auto" w:fill="FCE9E8"/>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5"/>
                <w:szCs w:val="15"/>
                <w:b w:val="1"/>
                <w:bCs w:val="1"/>
                <w:color w:val="auto"/>
              </w:rPr>
              <w:t>frontline health workers</w:t>
            </w:r>
          </w:p>
        </w:tc>
        <w:tc>
          <w:tcPr>
            <w:tcW w:w="180" w:type="dxa"/>
            <w:vAlign w:val="bottom"/>
            <w:shd w:val="clear" w:color="auto" w:fill="FCE9E8"/>
          </w:tcPr>
          <w:p>
            <w:pPr>
              <w:spacing w:after="0"/>
              <w:rPr>
                <w:sz w:val="17"/>
                <w:szCs w:val="17"/>
                <w:color w:val="auto"/>
              </w:rPr>
            </w:pPr>
          </w:p>
        </w:tc>
        <w:tc>
          <w:tcPr>
            <w:tcW w:w="318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FCE9E8"/>
          </w:tcPr>
          <w:p>
            <w:pPr>
              <w:spacing w:after="0"/>
              <w:rPr>
                <w:sz w:val="21"/>
                <w:szCs w:val="21"/>
                <w:color w:val="auto"/>
              </w:rPr>
            </w:pPr>
          </w:p>
        </w:tc>
        <w:tc>
          <w:tcPr>
            <w:tcW w:w="3080" w:type="dxa"/>
            <w:vAlign w:val="bottom"/>
            <w:shd w:val="clear" w:color="auto" w:fill="FCE9E8"/>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5"/>
                <w:szCs w:val="15"/>
                <w:color w:val="auto"/>
              </w:rPr>
              <w:t>•</w:t>
            </w:r>
          </w:p>
        </w:tc>
        <w:tc>
          <w:tcPr>
            <w:tcW w:w="3180" w:type="dxa"/>
            <w:vAlign w:val="bottom"/>
          </w:tcPr>
          <w:p>
            <w:pPr>
              <w:ind w:left="40"/>
              <w:spacing w:after="0"/>
              <w:rPr>
                <w:sz w:val="20"/>
                <w:szCs w:val="20"/>
                <w:color w:val="auto"/>
              </w:rPr>
            </w:pPr>
            <w:r>
              <w:rPr>
                <w:rFonts w:ascii="Arial" w:cs="Arial" w:eastAsia="Arial" w:hAnsi="Arial"/>
                <w:sz w:val="15"/>
                <w:szCs w:val="15"/>
                <w:color w:val="auto"/>
              </w:rPr>
              <w:t xml:space="preserve">Became a signatory of the </w:t>
            </w:r>
            <w:r>
              <w:rPr>
                <w:rFonts w:ascii="Arial" w:cs="Arial" w:eastAsia="Arial" w:hAnsi="Arial"/>
                <w:sz w:val="15"/>
                <w:szCs w:val="15"/>
                <w:b w:val="1"/>
                <w:bCs w:val="1"/>
                <w:color w:val="auto"/>
              </w:rPr>
              <w:t>United Nations</w:t>
            </w:r>
          </w:p>
        </w:tc>
        <w:tc>
          <w:tcPr>
            <w:tcW w:w="180" w:type="dxa"/>
            <w:vAlign w:val="bottom"/>
            <w:shd w:val="clear" w:color="auto" w:fill="FCE9E8"/>
          </w:tcPr>
          <w:p>
            <w:pPr>
              <w:spacing w:after="0"/>
              <w:rPr>
                <w:sz w:val="21"/>
                <w:szCs w:val="21"/>
                <w:color w:val="auto"/>
              </w:rPr>
            </w:pPr>
          </w:p>
        </w:tc>
        <w:tc>
          <w:tcPr>
            <w:tcW w:w="3180" w:type="dxa"/>
            <w:vAlign w:val="bottom"/>
            <w:shd w:val="clear" w:color="auto" w:fill="FCE9E8"/>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CE9E8"/>
          </w:tcPr>
          <w:p>
            <w:pPr>
              <w:spacing w:after="0"/>
              <w:rPr>
                <w:sz w:val="14"/>
                <w:szCs w:val="14"/>
                <w:color w:val="auto"/>
              </w:rPr>
            </w:pPr>
          </w:p>
        </w:tc>
        <w:tc>
          <w:tcPr>
            <w:tcW w:w="3080" w:type="dxa"/>
            <w:vAlign w:val="bottom"/>
            <w:shd w:val="clear" w:color="auto" w:fill="FCE9E8"/>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Global Compact and formalized our</w:t>
            </w:r>
          </w:p>
        </w:tc>
        <w:tc>
          <w:tcPr>
            <w:tcW w:w="180" w:type="dxa"/>
            <w:vAlign w:val="bottom"/>
            <w:shd w:val="clear" w:color="auto" w:fill="FCE9E8"/>
          </w:tcPr>
          <w:p>
            <w:pPr>
              <w:spacing w:after="0"/>
              <w:rPr>
                <w:sz w:val="14"/>
                <w:szCs w:val="14"/>
                <w:color w:val="auto"/>
              </w:rPr>
            </w:pPr>
          </w:p>
        </w:tc>
        <w:tc>
          <w:tcPr>
            <w:tcW w:w="318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FCE9E8"/>
          </w:tcPr>
          <w:p>
            <w:pPr>
              <w:spacing w:after="0"/>
              <w:rPr>
                <w:sz w:val="17"/>
                <w:szCs w:val="17"/>
                <w:color w:val="auto"/>
              </w:rPr>
            </w:pPr>
          </w:p>
        </w:tc>
        <w:tc>
          <w:tcPr>
            <w:tcW w:w="3080" w:type="dxa"/>
            <w:vAlign w:val="bottom"/>
            <w:shd w:val="clear" w:color="auto" w:fill="FCE9E8"/>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ind w:left="60"/>
              <w:spacing w:after="0"/>
              <w:rPr>
                <w:sz w:val="20"/>
                <w:szCs w:val="20"/>
                <w:color w:val="auto"/>
              </w:rPr>
            </w:pPr>
            <w:r>
              <w:rPr>
                <w:rFonts w:ascii="Arial" w:cs="Arial" w:eastAsia="Arial" w:hAnsi="Arial"/>
                <w:sz w:val="15"/>
                <w:szCs w:val="15"/>
                <w:b w:val="1"/>
                <w:bCs w:val="1"/>
                <w:color w:val="auto"/>
              </w:rPr>
              <w:t>Human Rights Policy</w:t>
            </w:r>
          </w:p>
        </w:tc>
        <w:tc>
          <w:tcPr>
            <w:tcW w:w="180" w:type="dxa"/>
            <w:vAlign w:val="bottom"/>
            <w:shd w:val="clear" w:color="auto" w:fill="FCE9E8"/>
          </w:tcPr>
          <w:p>
            <w:pPr>
              <w:spacing w:after="0"/>
              <w:rPr>
                <w:sz w:val="17"/>
                <w:szCs w:val="17"/>
                <w:color w:val="auto"/>
              </w:rPr>
            </w:pPr>
          </w:p>
        </w:tc>
        <w:tc>
          <w:tcPr>
            <w:tcW w:w="318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 w:type="dxa"/>
            <w:vAlign w:val="bottom"/>
            <w:shd w:val="clear" w:color="auto" w:fill="FCE9E8"/>
          </w:tcPr>
          <w:p>
            <w:pPr>
              <w:spacing w:after="0" w:line="20" w:lineRule="exact"/>
              <w:rPr>
                <w:sz w:val="1"/>
                <w:szCs w:val="1"/>
                <w:color w:val="auto"/>
              </w:rPr>
            </w:pPr>
          </w:p>
        </w:tc>
        <w:tc>
          <w:tcPr>
            <w:tcW w:w="3080" w:type="dxa"/>
            <w:vAlign w:val="bottom"/>
            <w:shd w:val="clear" w:color="auto" w:fill="FCE9E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shd w:val="clear" w:color="auto" w:fill="FCE9E8"/>
          </w:tcPr>
          <w:p>
            <w:pPr>
              <w:spacing w:after="0" w:line="20" w:lineRule="exact"/>
              <w:rPr>
                <w:sz w:val="1"/>
                <w:szCs w:val="1"/>
                <w:color w:val="auto"/>
              </w:rPr>
            </w:pPr>
          </w:p>
        </w:tc>
        <w:tc>
          <w:tcPr>
            <w:tcW w:w="3180" w:type="dxa"/>
            <w:vAlign w:val="bottom"/>
            <w:shd w:val="clear" w:color="auto" w:fill="FCE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80" w:hanging="29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5100"/>
        <w:spacing w:after="0"/>
        <w:rPr>
          <w:sz w:val="20"/>
          <w:szCs w:val="20"/>
          <w:color w:val="auto"/>
        </w:rPr>
      </w:pPr>
      <w:r>
        <w:rPr>
          <w:rFonts w:ascii="Arial" w:cs="Arial" w:eastAsia="Arial" w:hAnsi="Arial"/>
          <w:sz w:val="40"/>
          <w:szCs w:val="40"/>
          <w:b w:val="1"/>
          <w:bCs w:val="1"/>
          <w:color w:val="E2231A"/>
        </w:rPr>
        <w:t>ELECTION OF DIRECTORS</w:t>
      </w:r>
    </w:p>
    <w:p>
      <w:pPr>
        <w:sectPr>
          <w:pgSz w:w="11900" w:h="16838" w:orient="portrait"/>
          <w:cols w:equalWidth="0" w:num="1">
            <w:col w:w="10860"/>
          </w:cols>
          <w:pgMar w:left="320" w:top="459" w:right="719" w:bottom="1440" w:gutter="0" w:footer="0" w:header="0"/>
        </w:sectPr>
      </w:pPr>
    </w:p>
    <w:p>
      <w:pPr>
        <w:spacing w:after="0" w:line="107"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1)</w:t>
      </w:r>
    </w:p>
    <w:p>
      <w:pPr>
        <w:spacing w:after="0" w:line="342" w:lineRule="exact"/>
        <w:rPr>
          <w:sz w:val="20"/>
          <w:szCs w:val="20"/>
          <w:color w:val="auto"/>
        </w:rPr>
      </w:pPr>
    </w:p>
    <w:p>
      <w:pPr>
        <w:ind w:left="660"/>
        <w:spacing w:after="0" w:line="246" w:lineRule="auto"/>
        <w:rPr>
          <w:sz w:val="20"/>
          <w:szCs w:val="20"/>
          <w:color w:val="auto"/>
        </w:rPr>
      </w:pPr>
      <w:r>
        <w:rPr>
          <w:rFonts w:ascii="Arial" w:cs="Arial" w:eastAsia="Arial" w:hAnsi="Arial"/>
          <w:sz w:val="16"/>
          <w:szCs w:val="16"/>
          <w:color w:val="auto"/>
        </w:rPr>
        <w:t>Thomas P. Capo, who has served as a member of our Board since 2009, will not be standing for re-election when his current term expires. The Board would like to thank Mr. Capo for his years of dedicated service to the Company. In connection with</w:t>
      </w:r>
    </w:p>
    <w:p>
      <w:pPr>
        <w:spacing w:after="0" w:line="2"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6"/>
          <w:szCs w:val="16"/>
          <w:color w:val="auto"/>
        </w:rPr>
        <w:t>Mr. Capo’s retirement, the Board has resolved to decrease its size to ten members effective upon the expiration of the current term of the members of the Board.</w:t>
      </w:r>
    </w:p>
    <w:p>
      <w:pPr>
        <w:spacing w:after="0" w:line="93" w:lineRule="exact"/>
        <w:rPr>
          <w:sz w:val="20"/>
          <w:szCs w:val="20"/>
          <w:color w:val="auto"/>
        </w:rPr>
      </w:pPr>
    </w:p>
    <w:p>
      <w:pPr>
        <w:ind w:left="660" w:right="120"/>
        <w:spacing w:after="0" w:line="248" w:lineRule="auto"/>
        <w:rPr>
          <w:sz w:val="20"/>
          <w:szCs w:val="20"/>
          <w:color w:val="auto"/>
        </w:rPr>
      </w:pPr>
      <w:r>
        <w:rPr>
          <w:rFonts w:ascii="Arial" w:cs="Arial" w:eastAsia="Arial" w:hAnsi="Arial"/>
          <w:sz w:val="16"/>
          <w:szCs w:val="16"/>
          <w:color w:val="auto"/>
        </w:rPr>
        <w:t>Upon the recommendation of our Nominating Committee, the Board has nominated the ten individuals listed below to stand for election to the Board for a one-year term ending at the annual meeting of stockholders in 2022 or until their successors, if any, are elected or appointed. Our Amended and Restated Certificate of Incorporation and Bylaws provide for the annual election of directors. Each director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auto"/>
        </w:rPr>
        <w:t>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Scott, if elected, would be an independent director, as further described below in “Directors and Corporate Governance — Independence of Directors.”</w:t>
      </w:r>
    </w:p>
    <w:p>
      <w:pPr>
        <w:spacing w:after="0" w:line="5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62" w:lineRule="exact"/>
        <w:rPr>
          <w:sz w:val="20"/>
          <w:szCs w:val="20"/>
          <w:color w:val="auto"/>
        </w:rPr>
      </w:pPr>
    </w:p>
    <w:p>
      <w:pPr>
        <w:jc w:val="both"/>
        <w:ind w:left="660" w:right="500"/>
        <w:spacing w:after="0" w:line="253"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652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E2231A"/>
              </w:rPr>
              <w:t>Position</w:t>
            </w:r>
          </w:p>
        </w:tc>
      </w:tr>
      <w:tr>
        <w:trPr>
          <w:trHeight w:val="244"/>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Mei-Wei Cheng</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Jonathan F. Foster</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Bradley M. Halverson</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Roger A. Krone</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Patricia L. Lewis</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33"/>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 President and Chief Executive Officer</w:t>
            </w:r>
          </w:p>
        </w:tc>
      </w:tr>
      <w:tr>
        <w:trPr>
          <w:trHeight w:val="237"/>
        </w:trPr>
        <w:tc>
          <w:tcPr>
            <w:tcW w:w="3400" w:type="dxa"/>
            <w:vAlign w:val="bottom"/>
          </w:tcPr>
          <w:p>
            <w:pPr>
              <w:ind w:left="80"/>
              <w:spacing w:after="0"/>
              <w:rPr>
                <w:sz w:val="20"/>
                <w:szCs w:val="20"/>
                <w:color w:val="auto"/>
              </w:rPr>
            </w:pPr>
            <w:r>
              <w:rPr>
                <w:rFonts w:ascii="Arial" w:cs="Arial" w:eastAsia="Arial" w:hAnsi="Arial"/>
                <w:sz w:val="16"/>
                <w:szCs w:val="16"/>
                <w:color w:val="auto"/>
              </w:rPr>
              <w:t>Gregory C. Smith</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47"/>
        </w:trPr>
        <w:tc>
          <w:tcPr>
            <w:tcW w:w="340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sectPr>
          <w:pgSz w:w="11900" w:h="16838" w:orient="portrait"/>
          <w:cols w:equalWidth="0" w:num="1">
            <w:col w:w="10860"/>
          </w:cols>
          <w:pgMar w:left="320" w:top="459" w:right="719" w:bottom="1440" w:gutter="0" w:footer="0" w:header="0"/>
          <w:type w:val="continuous"/>
        </w:sectPr>
      </w:pPr>
    </w:p>
    <w:p>
      <w:pPr>
        <w:spacing w:after="0" w:line="20"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73"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0" w:lineRule="exact"/>
        <w:rPr>
          <w:sz w:val="20"/>
          <w:szCs w:val="20"/>
          <w:color w:val="auto"/>
        </w:rPr>
      </w:pPr>
      <w:r>
        <w:rPr>
          <w:sz w:val="20"/>
          <w:szCs w:val="20"/>
          <w:color w:val="auto"/>
        </w:rPr>
        <w:br w:type="column"/>
      </w:r>
    </w:p>
    <w:p>
      <w:pPr>
        <w:ind w:right="36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pacing w:after="0" w:line="692" w:lineRule="exact"/>
        <w:rPr>
          <w:sz w:val="20"/>
          <w:szCs w:val="20"/>
          <w:color w:val="auto"/>
        </w:rPr>
      </w:pPr>
    </w:p>
    <w:p>
      <w:pPr>
        <w:sectPr>
          <w:pgSz w:w="11900" w:h="16838" w:orient="portrait"/>
          <w:cols w:equalWidth="0" w:num="2">
            <w:col w:w="5340" w:space="380"/>
            <w:col w:w="5140"/>
          </w:cols>
          <w:pgMar w:left="320" w:top="459" w:right="719" w:bottom="1440" w:gutter="0" w:footer="0" w:header="0"/>
          <w:type w:val="continuous"/>
        </w:sectPr>
      </w:pPr>
    </w:p>
    <w:p>
      <w:pPr>
        <w:spacing w:after="0" w:line="331" w:lineRule="exact"/>
        <w:rPr>
          <w:sz w:val="20"/>
          <w:szCs w:val="20"/>
          <w:color w:val="auto"/>
        </w:rPr>
      </w:pPr>
    </w:p>
    <w:p>
      <w:pPr>
        <w:ind w:left="8820"/>
        <w:spacing w:after="0"/>
        <w:tabs>
          <w:tab w:leader="none" w:pos="10520" w:val="left"/>
          <w:tab w:leader="none" w:pos="107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w:t>
      </w:r>
    </w:p>
    <w:p>
      <w:pPr>
        <w:sectPr>
          <w:pgSz w:w="11900" w:h="16838" w:orient="portrait"/>
          <w:cols w:equalWidth="0" w:num="1">
            <w:col w:w="10860"/>
          </w:cols>
          <w:pgMar w:left="320" w:top="459" w:right="7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DIRECTORS AND CORPORATE GOVERNANCE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440"/>
        <w:spacing w:after="0" w:line="251" w:lineRule="auto"/>
        <w:rPr>
          <w:sz w:val="20"/>
          <w:szCs w:val="20"/>
          <w:color w:val="auto"/>
        </w:rPr>
      </w:pPr>
      <w:r>
        <w:rPr>
          <w:rFonts w:ascii="Arial" w:cs="Arial" w:eastAsia="Arial" w:hAnsi="Arial"/>
          <w:sz w:val="16"/>
          <w:szCs w:val="16"/>
          <w:color w:val="auto"/>
        </w:rPr>
        <w:t>Set forth below is a description of the business experience of each director nominee, as well as the specific qualifications, skills and experiences considered by the Nominating Committee and the Board in recommending our slate of director nominees. Each director nominee listed below is nominated for election to the Board for a term expiring at the annual meeting of stockholders in 2022. See “Election of Directors (Proposal No. 1).”</w:t>
      </w:r>
    </w:p>
    <w:p>
      <w:pPr>
        <w:spacing w:after="0" w:line="213"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Mei-Wei Cheng</w:t>
      </w:r>
      <w:r>
        <w:rPr>
          <w:sz w:val="20"/>
          <w:szCs w:val="20"/>
          <w:color w:val="auto"/>
        </w:rPr>
        <w:tab/>
      </w:r>
      <w:r>
        <w:rPr>
          <w:rFonts w:ascii="Arial" w:cs="Arial" w:eastAsia="Arial" w:hAnsi="Arial"/>
          <w:sz w:val="16"/>
          <w:szCs w:val="16"/>
          <w:color w:val="auto"/>
        </w:rPr>
        <w:t>Age: 71</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20" w:hanging="130"/>
        <w:spacing w:after="0"/>
        <w:tabs>
          <w:tab w:leader="none" w:pos="3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6" w:lineRule="auto"/>
        <w:rPr>
          <w:sz w:val="20"/>
          <w:szCs w:val="20"/>
          <w:color w:val="auto"/>
        </w:rPr>
      </w:pPr>
      <w:r>
        <w:rPr>
          <w:rFonts w:ascii="Arial" w:cs="Arial" w:eastAsia="Arial" w:hAnsi="Arial"/>
          <w:sz w:val="16"/>
          <w:szCs w:val="16"/>
          <w:color w:val="auto"/>
        </w:rPr>
        <w:t>Mr. Cheng has been a director of the Company since January 2019. Additionally, Mr. Cheng is a member of the Board of Directors of NIU Technologies. Mr. Cheng also serves as the Non-Executive Chairman of both HCP Packaging and Interplex Holdings Pte. Ltd., both Baring Private Equity Asia portfolio companies, roles he has held since August 2018 and September 2019, respectively. Mr. Cheng has served as an Advisory Board member of (i) CareSyntax, a technology and services platform for hospitals, since May 2018 and (ii) Lumileds, a lighting company, since April 2018. Additionally, Mr. Cheng currently serves as a Senior Venture Partner of Fontinalis Capital Partners II, a position he has held since December 2014. He is also a member of the Cornell Engineering College Advisory Council, the Cornell China Advisory Board and the Dartmouth Tuck Asia Advisory Board. From July 2012 to October 2018, Mr. Cheng served as a member of the Audit and Finance Committee of the Board of Directors for Seagate Technology (Nasdaq: STX), a data storage company. From February 2015 to January 2017, Mr. Cheng served as the Chairman of the Board of Directors of Pactera Technology International Ltd., a portfolio company of Blackstone Group. Mr. Cheng also served as a member of the Audit Committee of the Board of Directors of Diebold Nixdorf, Inc. (NYSE: DBD) from 2009 to 2013.</w:t>
      </w:r>
    </w:p>
    <w:p>
      <w:pPr>
        <w:spacing w:after="0" w:line="5" w:lineRule="exact"/>
        <w:rPr>
          <w:sz w:val="20"/>
          <w:szCs w:val="20"/>
          <w:color w:val="auto"/>
        </w:rPr>
      </w:pPr>
    </w:p>
    <w:p>
      <w:pPr>
        <w:ind w:left="2660"/>
        <w:spacing w:after="0" w:line="248" w:lineRule="auto"/>
        <w:rPr>
          <w:sz w:val="20"/>
          <w:szCs w:val="20"/>
          <w:color w:val="auto"/>
        </w:rPr>
      </w:pPr>
      <w:r>
        <w:rPr>
          <w:rFonts w:ascii="Arial" w:cs="Arial" w:eastAsia="Arial" w:hAnsi="Arial"/>
          <w:sz w:val="16"/>
          <w:szCs w:val="16"/>
          <w:color w:val="auto"/>
        </w:rPr>
        <w:t>Mr. Cheng served as a Senior Advisor of Iconiq Motors, a new energy vehicle company, from September 2017 to September 2019. From July 2010 to April 2014, Mr. Cheng served as the Chief Executive Officer of Siemens Northeast Asia and as President and Chief Executive Officer of Siemens China. Prior to joining Siemens, Mr. Cheng served as the Chairman and Chief Executive Officer of Ford Motor (China) Ltd. and as Group Vice President of Ford Motor Company from 2009 to 2010. Before joining Ford, Mr. Cheng held various senior executive positions at General Electric Corporation and AT&amp;T. Mr. Cheng earned a bachelor’s degree in industrial engineering and operations research from Cornell University, a master’s degree in business administration from Rutgers University and is a graduate of both Dartmouth’s Tuck Executive Program and Massachusetts Institute of Technology’s Program for Senior Executives.</w:t>
      </w:r>
    </w:p>
    <w:p>
      <w:pPr>
        <w:spacing w:after="0" w:line="213"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300" w:hanging="166"/>
        <w:spacing w:after="0" w:line="260" w:lineRule="auto"/>
        <w:tabs>
          <w:tab w:leader="none" w:pos="28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international senior management and leadership experience, with a particular focus on Asian markets, including at board chairman level</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international, business development, technological and sales and marketing expertise</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knowledge of the automotive industry</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26" w:lineRule="exact"/>
        <w:rPr>
          <w:sz w:val="20"/>
          <w:szCs w:val="20"/>
          <w:color w:val="auto"/>
        </w:rPr>
      </w:pPr>
    </w:p>
    <w:p>
      <w:pPr>
        <w:ind w:left="680" w:hanging="29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60</w:t>
      </w:r>
      <w:r>
        <w:rPr>
          <w:sz w:val="20"/>
          <w:szCs w:val="20"/>
          <w:color w:val="auto"/>
        </w:rPr>
        <w:tab/>
      </w:r>
      <w:r>
        <w:rPr>
          <w:rFonts w:ascii="Arial" w:cs="Arial" w:eastAsia="Arial" w:hAnsi="Arial"/>
          <w:sz w:val="16"/>
          <w:szCs w:val="16"/>
          <w:color w:val="auto"/>
        </w:rPr>
        <w:t>Lear Committees:</w:t>
      </w:r>
    </w:p>
    <w:p>
      <w:pPr>
        <w:spacing w:after="0" w:line="170" w:lineRule="exact"/>
        <w:rPr>
          <w:sz w:val="20"/>
          <w:szCs w:val="20"/>
          <w:color w:val="auto"/>
        </w:rPr>
      </w:pPr>
    </w:p>
    <w:p>
      <w:pPr>
        <w:ind w:left="3720" w:hanging="130"/>
        <w:spacing w:after="0"/>
        <w:tabs>
          <w:tab w:leader="none" w:pos="3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340"/>
        <w:spacing w:after="0" w:line="247"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mergers and acquisitions advisory, corporate management services and private equity investing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 director of publicly traded Masonite International Corporation, Berry Global and Five Point Holdings. He was previously a director of publicly traded Chemtura Corp., Sabine Oil &amp; Gas and Smurfit-Stone Container Corporation. Mr. Foster is also a director of privately held automotive supplier Aludyne (f/k/a Chassix). He was previously a director of privately held automotive suppliers TI Automotive, Stackpole, Rimstock Holdings plc and Dayco Products. Mr. Foster has a bachelor’s degree in Accounting from Emory University, a master’s degree in Accounting &amp; Finance from the London School of Economics and has attended the Executive Education Program at Harvard Business School.</w:t>
      </w:r>
    </w:p>
    <w:p>
      <w:pPr>
        <w:spacing w:after="0" w:line="217"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Senior management and leadership experience</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26" w:lineRule="exact"/>
        <w:rPr>
          <w:rFonts w:ascii="Arial" w:cs="Arial" w:eastAsia="Arial" w:hAnsi="Arial"/>
          <w:sz w:val="16"/>
          <w:szCs w:val="16"/>
          <w:color w:val="auto"/>
        </w:rPr>
      </w:pPr>
    </w:p>
    <w:p>
      <w:pPr>
        <w:ind w:left="2820" w:right="500" w:hanging="166"/>
        <w:spacing w:after="0" w:line="260" w:lineRule="auto"/>
        <w:tabs>
          <w:tab w:leader="none" w:pos="28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Experience in financial statement preparation and accounting, financial reporting, compliance and internal controls</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Previous experience as a chief financial officer</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26" w:lineRule="exact"/>
        <w:rPr>
          <w:rFonts w:ascii="Arial" w:cs="Arial" w:eastAsia="Arial" w:hAnsi="Arial"/>
          <w:sz w:val="16"/>
          <w:szCs w:val="16"/>
          <w:color w:val="auto"/>
        </w:rPr>
      </w:pPr>
    </w:p>
    <w:p>
      <w:pPr>
        <w:ind w:left="2820" w:right="1120" w:hanging="166"/>
        <w:spacing w:after="0" w:line="260" w:lineRule="auto"/>
        <w:tabs>
          <w:tab w:leader="none" w:pos="28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Extensive experience as an investment banker, private equity investor and director with industrial companies, including those in the automotive sector</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w:t>
      </w:r>
    </w:p>
    <w:p>
      <w:pPr>
        <w:sectPr>
          <w:pgSz w:w="11900" w:h="16838" w:orient="portrait"/>
          <w:cols w:equalWidth="0" w:num="1">
            <w:col w:w="10860"/>
          </w:cols>
          <w:pgMar w:left="320" w:top="459"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Bradley M. Halverson</w:t>
      </w:r>
      <w:r>
        <w:rPr>
          <w:sz w:val="20"/>
          <w:szCs w:val="20"/>
          <w:color w:val="auto"/>
        </w:rPr>
        <w:tab/>
      </w:r>
      <w:r>
        <w:rPr>
          <w:rFonts w:ascii="Arial" w:cs="Arial" w:eastAsia="Arial" w:hAnsi="Arial"/>
          <w:sz w:val="16"/>
          <w:szCs w:val="16"/>
          <w:color w:val="auto"/>
        </w:rPr>
        <w:t>Age: 60</w:t>
      </w:r>
      <w:r>
        <w:rPr>
          <w:sz w:val="20"/>
          <w:szCs w:val="20"/>
          <w:color w:val="auto"/>
        </w:rPr>
        <w:tab/>
      </w:r>
      <w:r>
        <w:rPr>
          <w:rFonts w:ascii="Arial" w:cs="Arial" w:eastAsia="Arial" w:hAnsi="Arial"/>
          <w:sz w:val="16"/>
          <w:szCs w:val="16"/>
          <w:color w:val="auto"/>
        </w:rPr>
        <w:t>Lear Committee:</w:t>
      </w:r>
    </w:p>
    <w:p>
      <w:pPr>
        <w:spacing w:after="0" w:line="170"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Audit</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6" w:lineRule="auto"/>
        <w:rPr>
          <w:sz w:val="20"/>
          <w:szCs w:val="20"/>
          <w:color w:val="auto"/>
        </w:rPr>
      </w:pPr>
      <w:r>
        <w:rPr>
          <w:rFonts w:ascii="Arial" w:cs="Arial" w:eastAsia="Arial" w:hAnsi="Arial"/>
          <w:sz w:val="16"/>
          <w:szCs w:val="16"/>
          <w:color w:val="auto"/>
        </w:rPr>
        <w:t>Mr. Halverson has been a director of the Company since June 2020. Mr. Halverson served as the Group President and Chief Financial Officer of Caterpillar Inc. (NYSE: CAT), the world’s leading manufacturer of construction and mining equipment, diesel and gas engines, turbines, and locomotives, from 2013 to 2018. He joined Caterpillar in 1988, serving in various roles of increasing responsibility including leading the Caterpillar Financial business unit as well as the human resources, global supply chain and information services functions. Mr. Halverson currently serves on the board of Sysco Corporation (NYSE: SYY), where he is the Audit Committee Chairman. He also previously served as a director for the U.S. Chamber of Commerce.</w:t>
      </w:r>
    </w:p>
    <w:p>
      <w:pPr>
        <w:spacing w:after="0" w:line="3" w:lineRule="exact"/>
        <w:rPr>
          <w:sz w:val="20"/>
          <w:szCs w:val="20"/>
          <w:color w:val="auto"/>
        </w:rPr>
      </w:pPr>
    </w:p>
    <w:p>
      <w:pPr>
        <w:ind w:left="2660" w:right="180"/>
        <w:spacing w:after="0" w:line="253" w:lineRule="auto"/>
        <w:rPr>
          <w:sz w:val="20"/>
          <w:szCs w:val="20"/>
          <w:color w:val="auto"/>
        </w:rPr>
      </w:pPr>
      <w:r>
        <w:rPr>
          <w:rFonts w:ascii="Arial" w:cs="Arial" w:eastAsia="Arial" w:hAnsi="Arial"/>
          <w:sz w:val="16"/>
          <w:szCs w:val="16"/>
          <w:color w:val="auto"/>
        </w:rPr>
        <w:t>Mr. Halverson attended the University of Illinois, where he received a Bachelor of Science degree in Accounting and an Executive Masters of Business Administration. He is a Certified Public Accountant and a member of the American Institute of Certified Public Accountants.</w:t>
      </w:r>
    </w:p>
    <w:p>
      <w:pPr>
        <w:spacing w:after="0" w:line="20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Senior management and leadership experience, including in international operations</w:t>
      </w:r>
    </w:p>
    <w:p>
      <w:pPr>
        <w:spacing w:after="0" w:line="126" w:lineRule="exact"/>
        <w:rPr>
          <w:rFonts w:ascii="Arial" w:cs="Arial" w:eastAsia="Arial" w:hAnsi="Arial"/>
          <w:sz w:val="16"/>
          <w:szCs w:val="16"/>
          <w:color w:val="auto"/>
        </w:rPr>
      </w:pPr>
    </w:p>
    <w:p>
      <w:pPr>
        <w:ind w:left="2800" w:hanging="146"/>
        <w:spacing w:after="0"/>
        <w:tabs>
          <w:tab w:leader="none" w:pos="2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 experience as a chief financial officer of a large, publicly-traded global manufacturing company</w:t>
      </w:r>
    </w:p>
    <w:p>
      <w:pPr>
        <w:spacing w:after="0" w:line="126" w:lineRule="exact"/>
        <w:rPr>
          <w:rFonts w:ascii="Arial" w:cs="Arial" w:eastAsia="Arial" w:hAnsi="Arial"/>
          <w:sz w:val="16"/>
          <w:szCs w:val="16"/>
          <w:color w:val="auto"/>
        </w:rPr>
      </w:pPr>
    </w:p>
    <w:p>
      <w:pPr>
        <w:ind w:left="2820" w:right="180" w:hanging="166"/>
        <w:spacing w:after="0" w:line="260" w:lineRule="auto"/>
        <w:tabs>
          <w:tab w:leader="none" w:pos="2806"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0" w:lineRule="exact"/>
        <w:rPr>
          <w:rFonts w:ascii="Arial" w:cs="Arial" w:eastAsia="Arial" w:hAnsi="Arial"/>
          <w:sz w:val="16"/>
          <w:szCs w:val="16"/>
          <w:color w:val="auto"/>
        </w:rPr>
      </w:pPr>
    </w:p>
    <w:p>
      <w:pPr>
        <w:ind w:left="2820" w:right="680" w:hanging="166"/>
        <w:spacing w:after="0" w:line="260" w:lineRule="auto"/>
        <w:tabs>
          <w:tab w:leader="none" w:pos="280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committee chairman and lead independent director levels</w:t>
      </w:r>
    </w:p>
    <w:p>
      <w:pPr>
        <w:spacing w:after="0" w:line="200" w:lineRule="exact"/>
        <w:rPr>
          <w:sz w:val="20"/>
          <w:szCs w:val="20"/>
          <w:color w:val="auto"/>
        </w:rPr>
      </w:pPr>
    </w:p>
    <w:p>
      <w:pPr>
        <w:spacing w:after="0" w:line="335" w:lineRule="exact"/>
        <w:rPr>
          <w:sz w:val="20"/>
          <w:szCs w:val="20"/>
          <w:color w:val="auto"/>
        </w:rPr>
      </w:pPr>
    </w:p>
    <w:p>
      <w:pPr>
        <w:ind w:left="680" w:hanging="29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Mary Lou Jepsen</w:t>
      </w:r>
      <w:r>
        <w:rPr>
          <w:sz w:val="20"/>
          <w:szCs w:val="20"/>
          <w:color w:val="auto"/>
        </w:rPr>
        <w:tab/>
      </w:r>
      <w:r>
        <w:rPr>
          <w:rFonts w:ascii="Arial" w:cs="Arial" w:eastAsia="Arial" w:hAnsi="Arial"/>
          <w:sz w:val="16"/>
          <w:szCs w:val="16"/>
          <w:color w:val="auto"/>
        </w:rPr>
        <w:t>Age: 56</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40" w:hanging="150"/>
        <w:spacing w:after="0"/>
        <w:tabs>
          <w:tab w:leader="none" w:pos="3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1" w:lineRule="exact"/>
        <w:rPr>
          <w:sz w:val="20"/>
          <w:szCs w:val="20"/>
          <w:color w:val="auto"/>
        </w:rPr>
      </w:pPr>
    </w:p>
    <w:p>
      <w:pPr>
        <w:ind w:left="2660" w:right="320"/>
        <w:spacing w:after="0"/>
        <w:rPr>
          <w:sz w:val="20"/>
          <w:szCs w:val="20"/>
          <w:color w:val="auto"/>
        </w:rPr>
      </w:pPr>
      <w:r>
        <w:rPr>
          <w:rFonts w:ascii="Arial" w:cs="Arial" w:eastAsia="Arial" w:hAnsi="Arial"/>
          <w:sz w:val="15"/>
          <w:szCs w:val="15"/>
          <w:color w:val="auto"/>
        </w:rPr>
        <w:t>Dr. Jepsen was appointed a director of the Company in March 2016. Dr. Jepsen is the CEO, Founder and Chairman of the Board of Openwater, a start-up company focused on replacing the functionality of Magnetic Resonance Imaging (MRI) with a consumer electronic wearable using novel opto-electronics to achieve comparable resolution to a MRI. Previously, Dr. Jepsen was the Executive Director of Engineering at Facebook, Inc. and Head of Display Technologies at Oculus where she led advanced consumer electronics, opto-electronic and display design and manufacturing efforts. From 2012 to 2015, Dr. Jepsen had a similar role at Google, Inc. and Google X. She also co-founded One Laptop per Child and was the lead architect of the $100 laptop, millions of which were shipped to children in the developing world. Since February, 2021, Dr. Jepsen has served on the board of directors of Luminar Technologies, Inc. (NASDAQ: LAZR). She is the principal inventor on approximately 250 patents. She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265"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One of the world’s foremost display innovators</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Exceptional track record of leadership and innovation</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 experience in working with Asia’s largest computer manufacturers</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and leadership in engineering with global technology companies</w:t>
      </w:r>
    </w:p>
    <w:p>
      <w:pPr>
        <w:spacing w:after="0" w:line="126" w:lineRule="exact"/>
        <w:rPr>
          <w:rFonts w:ascii="Arial" w:cs="Arial" w:eastAsia="Arial" w:hAnsi="Arial"/>
          <w:sz w:val="16"/>
          <w:szCs w:val="16"/>
          <w:color w:val="auto"/>
        </w:rPr>
      </w:pPr>
    </w:p>
    <w:p>
      <w:pPr>
        <w:ind w:left="2820" w:right="320" w:hanging="166"/>
        <w:spacing w:after="0" w:line="253" w:lineRule="auto"/>
        <w:tabs>
          <w:tab w:leader="none" w:pos="28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106" w:lineRule="exact"/>
        <w:rPr>
          <w:rFonts w:ascii="Arial" w:cs="Arial" w:eastAsia="Arial" w:hAnsi="Arial"/>
          <w:sz w:val="16"/>
          <w:szCs w:val="16"/>
          <w:color w:val="auto"/>
        </w:rPr>
      </w:pPr>
    </w:p>
    <w:p>
      <w:pPr>
        <w:ind w:left="2820" w:hanging="166"/>
        <w:spacing w:after="0"/>
        <w:tabs>
          <w:tab w:leader="none" w:pos="2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Senior management experience</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w:t>
      </w:r>
    </w:p>
    <w:p>
      <w:pPr>
        <w:sectPr>
          <w:pgSz w:w="11900" w:h="16838" w:orient="portrait"/>
          <w:cols w:equalWidth="0" w:num="1">
            <w:col w:w="10860"/>
          </w:cols>
          <w:pgMar w:left="32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Roger A. Krone</w:t>
      </w:r>
      <w:r>
        <w:rPr>
          <w:sz w:val="20"/>
          <w:szCs w:val="20"/>
          <w:color w:val="auto"/>
        </w:rPr>
        <w:tab/>
      </w:r>
      <w:r>
        <w:rPr>
          <w:rFonts w:ascii="Arial" w:cs="Arial" w:eastAsia="Arial" w:hAnsi="Arial"/>
          <w:sz w:val="16"/>
          <w:szCs w:val="16"/>
          <w:color w:val="auto"/>
        </w:rPr>
        <w:t>Age: 64</w:t>
      </w:r>
      <w:r>
        <w:rPr>
          <w:sz w:val="20"/>
          <w:szCs w:val="20"/>
          <w:color w:val="auto"/>
        </w:rPr>
        <w:tab/>
      </w:r>
      <w:r>
        <w:rPr>
          <w:rFonts w:ascii="Arial" w:cs="Arial" w:eastAsia="Arial" w:hAnsi="Arial"/>
          <w:sz w:val="16"/>
          <w:szCs w:val="16"/>
          <w:color w:val="auto"/>
        </w:rPr>
        <w:t>Lear Committee:</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6" w:lineRule="auto"/>
        <w:rPr>
          <w:sz w:val="20"/>
          <w:szCs w:val="20"/>
          <w:color w:val="auto"/>
        </w:rPr>
      </w:pPr>
      <w:r>
        <w:rPr>
          <w:rFonts w:ascii="Arial" w:cs="Arial" w:eastAsia="Arial" w:hAnsi="Arial"/>
          <w:sz w:val="16"/>
          <w:szCs w:val="16"/>
          <w:color w:val="auto"/>
        </w:rPr>
        <w:t>Mr. Krone has been a director of the Company since November 2020. Mr. Krone has served as the Chief Executive Officer of Leidos Holdings, Inc. (NYSE: LDOS) since July 2014 and as the Chair of its Board since March 2015. Prior to that, Mr. Krone served as President of Network and Space Systems for The Boeing Company (NYSE: BA) from 2006 to 2014. Mr. Krone previously held various senior program management and finance positions at Boeing, McDonnell Douglas Corp. and General Dynamics Corporation (NYSE: GD). From February 2017 to April 2019, Mr. Krone served as a director of BorgWarner Incorporated (NYSE: BWA).</w:t>
      </w:r>
    </w:p>
    <w:p>
      <w:pPr>
        <w:spacing w:after="0" w:line="2" w:lineRule="exact"/>
        <w:rPr>
          <w:sz w:val="20"/>
          <w:szCs w:val="20"/>
          <w:color w:val="auto"/>
        </w:rPr>
      </w:pPr>
    </w:p>
    <w:p>
      <w:pPr>
        <w:ind w:left="2660" w:right="300"/>
        <w:spacing w:after="0" w:line="253" w:lineRule="auto"/>
        <w:rPr>
          <w:sz w:val="20"/>
          <w:szCs w:val="20"/>
          <w:color w:val="auto"/>
        </w:rPr>
      </w:pPr>
      <w:r>
        <w:rPr>
          <w:rFonts w:ascii="Arial" w:cs="Arial" w:eastAsia="Arial" w:hAnsi="Arial"/>
          <w:sz w:val="16"/>
          <w:szCs w:val="16"/>
          <w:color w:val="auto"/>
        </w:rPr>
        <w:t>Mr. Krone has a bachelor’s degree in Aerospace Engineering from the Georgia Institute of Technology, a master’s degree in Aerospace Engineering from the University of Texas at Arlington, and an MBA from the Harvard Graduate School of Business.</w:t>
      </w:r>
    </w:p>
    <w:p>
      <w:pPr>
        <w:spacing w:after="0" w:line="20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Senior management experience, including serving as a chief executive officer, at publicly-traded companies</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the board chairman level</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Valuable experience in global operational excellence within the engineering and aviation sectors</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leadership, business and corporate governance experience</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39" w:lineRule="exact"/>
        <w:rPr>
          <w:sz w:val="20"/>
          <w:szCs w:val="20"/>
          <w:color w:val="auto"/>
        </w:rPr>
      </w:pPr>
    </w:p>
    <w:p>
      <w:pPr>
        <w:ind w:left="780" w:hanging="393"/>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Patricia L. Lewis</w:t>
      </w:r>
      <w:r>
        <w:rPr>
          <w:sz w:val="20"/>
          <w:szCs w:val="20"/>
          <w:color w:val="auto"/>
        </w:rPr>
        <w:tab/>
      </w:r>
      <w:r>
        <w:rPr>
          <w:rFonts w:ascii="Arial" w:cs="Arial" w:eastAsia="Arial" w:hAnsi="Arial"/>
          <w:sz w:val="16"/>
          <w:szCs w:val="16"/>
          <w:color w:val="auto"/>
        </w:rPr>
        <w:t>Age: 59</w:t>
      </w:r>
      <w:r>
        <w:rPr>
          <w:sz w:val="20"/>
          <w:szCs w:val="20"/>
          <w:color w:val="auto"/>
        </w:rPr>
        <w:tab/>
      </w:r>
      <w:r>
        <w:rPr>
          <w:rFonts w:ascii="Arial" w:cs="Arial" w:eastAsia="Arial" w:hAnsi="Arial"/>
          <w:sz w:val="16"/>
          <w:szCs w:val="16"/>
          <w:color w:val="auto"/>
        </w:rPr>
        <w:t>Lear Committee:</w:t>
      </w:r>
    </w:p>
    <w:p>
      <w:pPr>
        <w:spacing w:after="0" w:line="14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Compensation</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400"/>
        <w:spacing w:after="0" w:line="248" w:lineRule="auto"/>
        <w:rPr>
          <w:sz w:val="20"/>
          <w:szCs w:val="20"/>
          <w:color w:val="auto"/>
        </w:rPr>
      </w:pPr>
      <w:r>
        <w:rPr>
          <w:rFonts w:ascii="Arial" w:cs="Arial" w:eastAsia="Arial" w:hAnsi="Arial"/>
          <w:sz w:val="16"/>
          <w:szCs w:val="16"/>
          <w:color w:val="auto"/>
        </w:rPr>
        <w:t>Ms. Lewis has been a director of the Company since November 2020. Ms. Lewis has served as Executive Vice President and Chief Human Resources Officer at UnitedHealth Group Incorporated (NYSE: UNH) since October 2019. Prior to that, Ms. Lewis served in various roles at Lockheed Martin Corporation (NYSE: LMT), including Senior Vice President and Chief Human Resources Officer from 2014 to October 2019; Vice President, Human Resources, Information Systems and Global Solutions from 2012 to 2014; and Vice President, Human Resources, Electronic Systems from 2011 to 2012. Ms. Lewis previously held various human resources positions at International Business Machines Corporation (NYSE: IBM) and E.I. du Pont de Nemours and Company (NYSE: DD). Ms. Lewis has a bachelor’s degree in Industrial Relations Management from the University of Bridgeport.</w:t>
      </w:r>
    </w:p>
    <w:p>
      <w:pPr>
        <w:spacing w:after="0" w:line="213"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Senior management and leadership experience with multiple global companies</w:t>
      </w:r>
    </w:p>
    <w:p>
      <w:pPr>
        <w:spacing w:after="0" w:line="126" w:lineRule="exact"/>
        <w:rPr>
          <w:rFonts w:ascii="Arial" w:cs="Arial" w:eastAsia="Arial" w:hAnsi="Arial"/>
          <w:sz w:val="16"/>
          <w:szCs w:val="16"/>
          <w:color w:val="auto"/>
        </w:rPr>
      </w:pPr>
    </w:p>
    <w:p>
      <w:pPr>
        <w:ind w:left="2820" w:right="340" w:hanging="166"/>
        <w:spacing w:after="0" w:line="260" w:lineRule="auto"/>
        <w:tabs>
          <w:tab w:leader="none" w:pos="28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 two decades experience in human capital management spanning multiple industries, including serving as a Chief Human Resources Officer</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11</w:t>
      </w:r>
    </w:p>
    <w:p>
      <w:pPr>
        <w:sectPr>
          <w:pgSz w:w="11900" w:h="16838" w:orient="portrait"/>
          <w:cols w:equalWidth="0" w:num="1">
            <w:col w:w="10860"/>
          </w:cols>
          <w:pgMar w:left="320" w:top="459"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64</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40" w:hanging="150"/>
        <w:spacing w:after="0"/>
        <w:tabs>
          <w:tab w:leader="none" w:pos="3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Nominating (Chair)</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7" w:lineRule="auto"/>
        <w:rPr>
          <w:sz w:val="20"/>
          <w:szCs w:val="20"/>
          <w:color w:val="auto"/>
        </w:rPr>
      </w:pPr>
      <w:r>
        <w:rPr>
          <w:rFonts w:ascii="Arial" w:cs="Arial" w:eastAsia="Arial" w:hAnsi="Arial"/>
          <w:sz w:val="16"/>
          <w:szCs w:val="16"/>
          <w:color w:val="auto"/>
        </w:rPr>
        <w:t>Ms. Ligocki has been a director of the Company since September 2012. She currently serves on the boards of Carpenter Technology where she sits on the Compensation, Nominating/Governance, and Strategy Committees; PPG Industries Inc. (NYSE: PPG) where she sits on the Audit and Technology/Environment Committees, Qell Acquisition Corp. (NASDAQ: QELL) where she sits on the Audit Committee; Farmers Business Network where she serves on the Audit and Compensation Committees, and the Indiana University Foundation where she sits on the Legal/Governance and Audit Committees. From December 2015 to February 2019, Ms. Ligocki served as the Chief Executive Officer of Agility Fuel Solutions, based in Costa Mesa, California. Ms. Ligocki served as the Chief Executive Officer of Harvest Power, Inc., one of the leading organics management companies in North America from 2014 to 2015.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early-stage companies: Next Autoworks, an auto company with a unique low-cost business model, from 2010 to 2012, and GS Motors, a Mexico City-based auto retailer owned by Grupo Salinas, a large Mexican conglomerate, from 2008 to 2009. From 2008 to 2010, Ms. Ligocki was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Agility Fuel Solutions, Harvest Power,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215"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480" w:hanging="166"/>
        <w:spacing w:after="0" w:line="260" w:lineRule="auto"/>
        <w:tabs>
          <w:tab w:leader="none" w:pos="28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Senior management and leadership experience, including as chief executive officer, in the automotive industry</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w:t>
      </w:r>
    </w:p>
    <w:p>
      <w:pPr>
        <w:spacing w:after="0" w:line="126" w:lineRule="exact"/>
        <w:rPr>
          <w:rFonts w:ascii="Arial" w:cs="Arial" w:eastAsia="Arial" w:hAnsi="Arial"/>
          <w:sz w:val="16"/>
          <w:szCs w:val="16"/>
          <w:color w:val="auto"/>
        </w:rPr>
      </w:pPr>
    </w:p>
    <w:p>
      <w:pPr>
        <w:ind w:left="2820" w:right="180" w:hanging="166"/>
        <w:spacing w:after="0" w:line="260" w:lineRule="auto"/>
        <w:tabs>
          <w:tab w:leader="none" w:pos="28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820" w:right="420" w:hanging="166"/>
        <w:spacing w:after="0" w:line="260" w:lineRule="auto"/>
        <w:tabs>
          <w:tab w:leader="none" w:pos="28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Understanding of a wide range of issues through experience with businesses ranging from start-ups to large, global manufacturing operations</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39" w:lineRule="exact"/>
        <w:rPr>
          <w:sz w:val="20"/>
          <w:szCs w:val="20"/>
          <w:color w:val="auto"/>
        </w:rPr>
      </w:pPr>
    </w:p>
    <w:p>
      <w:pPr>
        <w:ind w:left="780" w:hanging="393"/>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67</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720" w:hanging="130"/>
        <w:spacing w:after="0"/>
        <w:tabs>
          <w:tab w:leader="none" w:pos="3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740" w:hanging="150"/>
        <w:spacing w:after="0"/>
        <w:tabs>
          <w:tab w:leader="none" w:pos="3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Nominating</w:t>
      </w:r>
    </w:p>
    <w:p>
      <w:pPr>
        <w:spacing w:after="0" w:line="22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right="280"/>
        <w:spacing w:after="0" w:line="247" w:lineRule="auto"/>
        <w:rPr>
          <w:sz w:val="20"/>
          <w:szCs w:val="20"/>
          <w:color w:val="auto"/>
        </w:rPr>
      </w:pPr>
      <w:r>
        <w:rPr>
          <w:rFonts w:ascii="Arial" w:cs="Arial" w:eastAsia="Arial" w:hAnsi="Arial"/>
          <w:sz w:val="16"/>
          <w:szCs w:val="16"/>
          <w:color w:val="auto"/>
        </w:rPr>
        <w:t>Justice Mallett has been a director of the Company since August 2002. In June 2020, Justice Mallett was named Deputy Mayor of the City of Detroit. Justice Mallett was previously the Chief Administrative Officer of Detroit Medical Center from September 2019 to December 2020. Prior to that, he served as Chief Executive Officer of Detroit Medical Center’s Sinai-Grace Hospital from August 2017 to September 2019. Prior to that, he was Interim Chief Executive Officer of Detroit Medical Center’s Huron Valley Sinai Hospital from March 2017 to August 2017 and also Executive Vice President and Chief Administrative Officer of Detroit Medical Center from January 2012 to August 2017. Previously, he served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He was recognized by Savoy Magazine as one of 2016 Most Influential Black Corporate Directors. Justice Mallett has a bachelor’s degree from the University of California, Los Angeles, a JD and a master of public administration degree from the University of Southern California and an MBA from Oakland University.</w:t>
      </w:r>
    </w:p>
    <w:p>
      <w:pPr>
        <w:spacing w:after="0" w:line="216"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Senior management and leadership experience</w:t>
      </w:r>
    </w:p>
    <w:p>
      <w:pPr>
        <w:spacing w:after="0" w:line="126" w:lineRule="exact"/>
        <w:rPr>
          <w:rFonts w:ascii="Arial" w:cs="Arial" w:eastAsia="Arial" w:hAnsi="Arial"/>
          <w:sz w:val="16"/>
          <w:szCs w:val="16"/>
          <w:color w:val="auto"/>
        </w:rPr>
      </w:pPr>
    </w:p>
    <w:p>
      <w:pPr>
        <w:ind w:left="2820" w:right="880" w:hanging="166"/>
        <w:spacing w:after="0" w:line="260" w:lineRule="auto"/>
        <w:tabs>
          <w:tab w:leader="none" w:pos="28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Leadership experience gained as Chief Justice of the Michigan Supreme Court and through multiple executive-level roles with Detroit Medical Center</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820" w:right="700" w:hanging="166"/>
        <w:spacing w:after="0" w:line="260" w:lineRule="auto"/>
        <w:tabs>
          <w:tab w:leader="none" w:pos="28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Extensive legal and governmental experience, including significant involvement in state, municipal and community governmental activities</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13</w:t>
      </w:r>
    </w:p>
    <w:p>
      <w:pPr>
        <w:sectPr>
          <w:pgSz w:w="11900" w:h="16838" w:orient="portrait"/>
          <w:cols w:equalWidth="0" w:num="1">
            <w:col w:w="10860"/>
          </w:cols>
          <w:pgMar w:left="320" w:top="459"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7"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Raymond E. Scott</w:t>
      </w:r>
      <w:r>
        <w:rPr>
          <w:sz w:val="20"/>
          <w:szCs w:val="20"/>
          <w:color w:val="auto"/>
        </w:rPr>
        <w:tab/>
      </w:r>
      <w:r>
        <w:rPr>
          <w:rFonts w:ascii="Arial" w:cs="Arial" w:eastAsia="Arial" w:hAnsi="Arial"/>
          <w:sz w:val="16"/>
          <w:szCs w:val="16"/>
          <w:color w:val="auto"/>
        </w:rPr>
        <w:t>Age: 55</w:t>
      </w:r>
      <w:r>
        <w:rPr>
          <w:sz w:val="20"/>
          <w:szCs w:val="20"/>
          <w:color w:val="auto"/>
        </w:rPr>
        <w:tab/>
      </w:r>
      <w:r>
        <w:rPr>
          <w:rFonts w:ascii="Arial" w:cs="Arial" w:eastAsia="Arial" w:hAnsi="Arial"/>
          <w:sz w:val="16"/>
          <w:szCs w:val="16"/>
          <w:color w:val="auto"/>
        </w:rPr>
        <w:t>President and Chief Executive Officer</w:t>
      </w:r>
    </w:p>
    <w:p>
      <w:pPr>
        <w:spacing w:after="0" w:line="24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660"/>
        <w:spacing w:after="0" w:line="247" w:lineRule="auto"/>
        <w:rPr>
          <w:sz w:val="20"/>
          <w:szCs w:val="20"/>
          <w:color w:val="auto"/>
        </w:rPr>
      </w:pPr>
      <w:r>
        <w:rPr>
          <w:rFonts w:ascii="Arial" w:cs="Arial" w:eastAsia="Arial" w:hAnsi="Arial"/>
          <w:sz w:val="16"/>
          <w:szCs w:val="16"/>
          <w:color w:val="auto"/>
        </w:rPr>
        <w:t>Mr. Scott was appointed as President and Chief Executive Officer of the Company on March 1, 2018. Previously, Mr. Scott also served as the Company’s Interim President, E-Systems from January 28, 2019 to September 3, 2019. Prior to that, he served as the Company’s Executive Vice President and President, Seating, a position he had held since November 2011, and prior to that, as the Company’s Senior Vice President and President, E-Systems, a position he had held since February 2008. Previously, he served in other positions at the Company, including Senior Vice President and President, North American Seat Systems Group since August 2006, Senior Vice President and President, North American Customer Group since June 2005, President, European Customer Focused Division since June 2004 and President, General Motors Division since November 2000. Mr. Scott earned a Bachelor of Science degree in economics from the University of Michigan. He also earned a master of business administration degree from Michigan State University’s Advanced Management Program.</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right="580" w:hanging="166"/>
        <w:spacing w:after="0" w:line="260" w:lineRule="auto"/>
        <w:tabs>
          <w:tab w:leader="none" w:pos="28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Senior management and leadership experience with the Company, with extensive knowledge of the Company’s business, operations and global strategy</w:t>
      </w:r>
    </w:p>
    <w:p>
      <w:pPr>
        <w:spacing w:after="0" w:line="100" w:lineRule="exact"/>
        <w:rPr>
          <w:rFonts w:ascii="Arial" w:cs="Arial" w:eastAsia="Arial" w:hAnsi="Arial"/>
          <w:sz w:val="16"/>
          <w:szCs w:val="16"/>
          <w:color w:val="auto"/>
        </w:rPr>
      </w:pPr>
    </w:p>
    <w:p>
      <w:pPr>
        <w:ind w:left="2820" w:right="720" w:hanging="166"/>
        <w:spacing w:after="0" w:line="260" w:lineRule="auto"/>
        <w:tabs>
          <w:tab w:leader="none" w:pos="282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Track record of leadership, achievement, innovation and execution in the Company’s Seating and E-Systems businesses</w:t>
      </w:r>
    </w:p>
    <w:p>
      <w:pPr>
        <w:spacing w:after="0" w:line="100" w:lineRule="exact"/>
        <w:rPr>
          <w:rFonts w:ascii="Arial" w:cs="Arial" w:eastAsia="Arial" w:hAnsi="Arial"/>
          <w:sz w:val="16"/>
          <w:szCs w:val="16"/>
          <w:color w:val="auto"/>
        </w:rPr>
      </w:pPr>
    </w:p>
    <w:p>
      <w:pPr>
        <w:ind w:left="2820" w:hanging="166"/>
        <w:spacing w:after="0"/>
        <w:tabs>
          <w:tab w:leader="none" w:pos="2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More than 30 years of experience in the automotive industry</w:t>
      </w:r>
    </w:p>
    <w:p>
      <w:pPr>
        <w:spacing w:after="0" w:line="200" w:lineRule="exact"/>
        <w:rPr>
          <w:sz w:val="20"/>
          <w:szCs w:val="20"/>
          <w:color w:val="auto"/>
        </w:rPr>
      </w:pPr>
    </w:p>
    <w:p>
      <w:pPr>
        <w:spacing w:after="0" w:line="239" w:lineRule="exact"/>
        <w:rPr>
          <w:sz w:val="20"/>
          <w:szCs w:val="20"/>
          <w:color w:val="auto"/>
        </w:rPr>
      </w:pPr>
    </w:p>
    <w:p>
      <w:pPr>
        <w:ind w:left="780" w:hanging="393"/>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20"/>
          </w:cols>
          <w:pgMar w:left="320" w:top="45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4"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69</w:t>
      </w:r>
    </w:p>
    <w:p>
      <w:pPr>
        <w:spacing w:after="0" w:line="24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jc w:val="both"/>
        <w:ind w:left="2660" w:right="360"/>
        <w:spacing w:after="0" w:line="246" w:lineRule="auto"/>
        <w:rPr>
          <w:sz w:val="20"/>
          <w:szCs w:val="20"/>
          <w:color w:val="auto"/>
        </w:rPr>
      </w:pPr>
      <w:r>
        <w:rPr>
          <w:rFonts w:ascii="Arial" w:cs="Arial" w:eastAsia="Arial" w:hAnsi="Arial"/>
          <w:sz w:val="16"/>
          <w:szCs w:val="16"/>
          <w:color w:val="auto"/>
        </w:rPr>
        <w:t>Mr. Smith has served as the Company’s Non-Executive Chairman since May 2020 and been a director of the Company since November 2009. Mr. Smith, a retired Vice Chairman of Ford Motor Company, currently serves as Principal of Greg C. Smith LLC, a private management consulting firm, a position he has held since 2007.</w:t>
      </w:r>
    </w:p>
    <w:p>
      <w:pPr>
        <w:spacing w:after="0" w:line="1" w:lineRule="exact"/>
        <w:rPr>
          <w:sz w:val="20"/>
          <w:szCs w:val="20"/>
          <w:color w:val="auto"/>
        </w:rPr>
      </w:pPr>
    </w:p>
    <w:p>
      <w:pPr>
        <w:ind w:left="2660" w:right="300"/>
        <w:spacing w:after="0" w:line="247" w:lineRule="auto"/>
        <w:rPr>
          <w:sz w:val="20"/>
          <w:szCs w:val="20"/>
          <w:color w:val="auto"/>
        </w:rPr>
      </w:pPr>
      <w:r>
        <w:rPr>
          <w:rFonts w:ascii="Arial" w:cs="Arial" w:eastAsia="Arial" w:hAnsi="Arial"/>
          <w:sz w:val="16"/>
          <w:szCs w:val="16"/>
          <w:color w:val="auto"/>
        </w:rPr>
        <w:t>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publicly traded Penske Automotive Group (NYSE: PAG), where he serves as the chair of the Audit Committee and formerly served as a director of the Federal National Mortgage Association (Fannie Mae), Penske Corporation and Solutia Inc. Mr. Smith serves on the Risk Oversight Advisory Council of the National Association of Corporate Directors (NACD). Mr. Smith is an NACD Board Leadership Fellow, NACD’s highest level of accreditation. Mr. Smith has a bachelor’s degree in Mechanical Engineering from Rose-Hulman Institute of Technology and an MBA from Eastern Michigan University.</w:t>
      </w:r>
    </w:p>
    <w:p>
      <w:pPr>
        <w:spacing w:after="0" w:line="217"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820" w:hanging="166"/>
        <w:spacing w:after="0"/>
        <w:tabs>
          <w:tab w:leader="none" w:pos="2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Senior management and leadership experience, including in the automotive industry</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Served on audit committees of public and private companies</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Experience actively overseeing finance departments and personnel</w:t>
      </w:r>
    </w:p>
    <w:p>
      <w:pPr>
        <w:spacing w:after="0" w:line="126" w:lineRule="exact"/>
        <w:rPr>
          <w:rFonts w:ascii="Arial" w:cs="Arial" w:eastAsia="Arial" w:hAnsi="Arial"/>
          <w:sz w:val="16"/>
          <w:szCs w:val="16"/>
          <w:color w:val="auto"/>
        </w:rPr>
      </w:pPr>
    </w:p>
    <w:p>
      <w:pPr>
        <w:ind w:left="2820" w:hanging="166"/>
        <w:spacing w:after="0"/>
        <w:tabs>
          <w:tab w:leader="none" w:pos="2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Extensive experience and knowledge of automotive industry</w:t>
      </w:r>
    </w:p>
    <w:p>
      <w:pPr>
        <w:spacing w:after="0" w:line="126" w:lineRule="exact"/>
        <w:rPr>
          <w:rFonts w:ascii="Arial" w:cs="Arial" w:eastAsia="Arial" w:hAnsi="Arial"/>
          <w:sz w:val="16"/>
          <w:szCs w:val="16"/>
          <w:color w:val="auto"/>
        </w:rPr>
      </w:pPr>
    </w:p>
    <w:p>
      <w:pPr>
        <w:ind w:left="2820" w:right="440" w:hanging="166"/>
        <w:spacing w:after="0" w:line="260" w:lineRule="auto"/>
        <w:tabs>
          <w:tab w:leader="none" w:pos="2806"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Experience and knowledge of automotive company operations and strategic issues, including engineering, manufacturing, marketing, human resources and finance</w:t>
      </w:r>
    </w:p>
    <w:p>
      <w:pPr>
        <w:spacing w:after="0" w:line="100" w:lineRule="exact"/>
        <w:rPr>
          <w:rFonts w:ascii="Arial" w:cs="Arial" w:eastAsia="Arial" w:hAnsi="Arial"/>
          <w:sz w:val="16"/>
          <w:szCs w:val="16"/>
          <w:color w:val="auto"/>
        </w:rPr>
      </w:pPr>
    </w:p>
    <w:p>
      <w:pPr>
        <w:ind w:left="2800" w:hanging="146"/>
        <w:spacing w:after="0"/>
        <w:tabs>
          <w:tab w:leader="none" w:pos="2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15</w:t>
      </w:r>
    </w:p>
    <w:p>
      <w:pPr>
        <w:sectPr>
          <w:pgSz w:w="11900" w:h="16838" w:orient="portrait"/>
          <w:cols w:equalWidth="0" w:num="1">
            <w:col w:w="10860"/>
          </w:cols>
          <w:pgMar w:left="32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6200"/>
        <w:spacing w:after="0"/>
        <w:rPr>
          <w:sz w:val="20"/>
          <w:szCs w:val="20"/>
          <w:color w:val="auto"/>
        </w:rPr>
      </w:pPr>
      <w:r>
        <w:rPr>
          <w:rFonts w:ascii="Arial" w:cs="Arial" w:eastAsia="Arial" w:hAnsi="Arial"/>
          <w:sz w:val="23"/>
          <w:szCs w:val="23"/>
          <w:b w:val="1"/>
          <w:bCs w:val="1"/>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40"/>
          </w:cols>
          <w:pgMar w:left="320" w:top="459" w:right="1039" w:bottom="1440" w:gutter="0" w:footer="0" w:header="0"/>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 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believes that board diversity is important to serving the long-term interests of Lear and its stockholders. In the event the Nominating Committee determines to recruit candidates as potential nominees to join the Board, the candidate pool will include qualified female and racially and/or ethnically diverse candidates and any third-party recruitment utilized in connection with such search will be instructed to include such individuals in the list of candidates they provide the Nominating Committee.</w:t>
      </w:r>
    </w:p>
    <w:p>
      <w:pPr>
        <w:spacing w:after="0" w:line="9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405765</wp:posOffset>
            </wp:positionV>
            <wp:extent cx="5700395" cy="3531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353187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5400" w:space="320"/>
            <w:col w:w="4820"/>
          </w:cols>
          <w:pgMar w:left="320" w:top="459"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80" w:hanging="393"/>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w:t>
      </w:r>
    </w:p>
    <w:p>
      <w:pPr>
        <w:sectPr>
          <w:pgSz w:w="11900" w:h="16838" w:orient="portrait"/>
          <w:cols w:equalWidth="0" w:num="2">
            <w:col w:w="5280" w:space="440"/>
            <w:col w:w="4820"/>
          </w:cols>
          <w:pgMar w:left="320" w:top="459" w:right="10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right="60"/>
        <w:spacing w:after="0" w:line="251" w:lineRule="auto"/>
        <w:rPr>
          <w:sz w:val="20"/>
          <w:szCs w:val="20"/>
          <w:color w:val="auto"/>
        </w:rPr>
      </w:pPr>
      <w:r>
        <w:rPr>
          <w:rFonts w:ascii="Arial" w:cs="Arial" w:eastAsia="Arial" w:hAnsi="Arial"/>
          <w:sz w:val="16"/>
          <w:szCs w:val="16"/>
          <w:color w:val="auto"/>
        </w:rPr>
        <w:t>background required for the effective functioning of the Board, considering our strategy and the regulatory, geographic and market environments. Any such changes to the director selection criteria must be approved by the Board.</w:t>
      </w:r>
    </w:p>
    <w:p>
      <w:pPr>
        <w:spacing w:after="0" w:line="13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Nominating Committee screens candidates and recommends director nominees who are approved by the Board. The Nominating Committee considers candidates for Board membership suggested by its members and other Board members, as well as management and stockholders. Additionally, the Board annually conducts an in-depth talent review to discuss leadership depth and succession. The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Candidates also are evaluated in light of Board policies, such as those relating to director independence and service on other boards, as well as considerations relating to the size and structure of the Board.</w:t>
      </w:r>
    </w:p>
    <w:p>
      <w:pPr>
        <w:spacing w:after="0" w:line="534"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35560</wp:posOffset>
            </wp:positionV>
            <wp:extent cx="62922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60" w:lineRule="exact"/>
        <w:rPr>
          <w:sz w:val="20"/>
          <w:szCs w:val="20"/>
          <w:color w:val="auto"/>
        </w:rPr>
      </w:pPr>
    </w:p>
    <w:p>
      <w:pPr>
        <w:ind w:left="660" w:right="300"/>
        <w:spacing w:after="0" w:line="248" w:lineRule="auto"/>
        <w:rPr>
          <w:sz w:val="20"/>
          <w:szCs w:val="20"/>
          <w:color w:val="auto"/>
        </w:rPr>
      </w:pPr>
      <w:r>
        <w:rPr>
          <w:rFonts w:ascii="Arial" w:cs="Arial" w:eastAsia="Arial" w:hAnsi="Arial"/>
          <w:sz w:val="16"/>
          <w:szCs w:val="16"/>
          <w:color w:val="auto"/>
        </w:rPr>
        <w:t>The following matrix provides certain information regarding the members of our Board, including certain types of knowledge, skills experiences and attributes possessed by one or more of our directors which our Board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 may vary among members of the Board.</w:t>
      </w:r>
    </w:p>
    <w:p>
      <w:pPr>
        <w:spacing w:after="0" w:line="20" w:lineRule="exact"/>
        <w:rPr>
          <w:sz w:val="20"/>
          <w:szCs w:val="20"/>
          <w:color w:val="auto"/>
        </w:rPr>
      </w:pPr>
    </w:p>
    <w:p>
      <w:pPr>
        <w:spacing w:after="0" w:line="193" w:lineRule="exact"/>
        <w:rPr>
          <w:sz w:val="20"/>
          <w:szCs w:val="20"/>
          <w:color w:val="auto"/>
        </w:rPr>
      </w:pPr>
    </w:p>
    <w:tbl>
      <w:tblPr>
        <w:tblLayout w:type="fixed"/>
        <w:tblInd w:w="670" w:type="dxa"/>
        <w:tblCellMar>
          <w:top w:w="0" w:type="dxa"/>
          <w:left w:w="0" w:type="dxa"/>
          <w:bottom w:w="0" w:type="dxa"/>
          <w:right w:w="0" w:type="dxa"/>
        </w:tblCellMar>
      </w:tblPr>
      <w:tr>
        <w:trPr>
          <w:trHeight w:val="176"/>
        </w:trPr>
        <w:tc>
          <w:tcPr>
            <w:tcW w:w="1040" w:type="dxa"/>
            <w:vAlign w:val="bottom"/>
            <w:tcBorders>
              <w:top w:val="single" w:sz="8" w:color="auto"/>
              <w:left w:val="single" w:sz="8" w:color="auto"/>
              <w:right w:val="single" w:sz="8" w:color="auto"/>
            </w:tcBorders>
            <w:shd w:val="clear" w:color="auto" w:fill="E2231A"/>
          </w:tcPr>
          <w:p>
            <w:pPr>
              <w:spacing w:after="0"/>
              <w:rPr>
                <w:sz w:val="15"/>
                <w:szCs w:val="15"/>
                <w:color w:val="auto"/>
              </w:rPr>
            </w:pPr>
          </w:p>
        </w:tc>
        <w:tc>
          <w:tcPr>
            <w:tcW w:w="1740" w:type="dxa"/>
            <w:vAlign w:val="bottom"/>
            <w:tcBorders>
              <w:top w:val="single" w:sz="8" w:color="auto"/>
              <w:right w:val="single" w:sz="8" w:color="auto"/>
            </w:tcBorders>
            <w:shd w:val="clear" w:color="auto" w:fill="E2231A"/>
          </w:tcPr>
          <w:p>
            <w:pPr>
              <w:spacing w:after="0"/>
              <w:rPr>
                <w:sz w:val="15"/>
                <w:szCs w:val="15"/>
                <w:color w:val="auto"/>
              </w:rPr>
            </w:pP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Mei-Wei</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Jon</w:t>
            </w:r>
          </w:p>
        </w:tc>
        <w:tc>
          <w:tcPr>
            <w:tcW w:w="70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Brad</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Mary Lou</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Roger</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Patricia</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Kathleen</w:t>
            </w:r>
          </w:p>
        </w:tc>
        <w:tc>
          <w:tcPr>
            <w:tcW w:w="70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Conrad</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Ray</w:t>
            </w:r>
          </w:p>
        </w:tc>
        <w:tc>
          <w:tcPr>
            <w:tcW w:w="700" w:type="dxa"/>
            <w:vAlign w:val="bottom"/>
            <w:tcBorders>
              <w:top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Greg</w:t>
            </w:r>
          </w:p>
        </w:tc>
        <w:tc>
          <w:tcPr>
            <w:tcW w:w="0" w:type="dxa"/>
            <w:vAlign w:val="bottom"/>
          </w:tcPr>
          <w:p>
            <w:pPr>
              <w:spacing w:after="0"/>
              <w:rPr>
                <w:sz w:val="1"/>
                <w:szCs w:val="1"/>
                <w:color w:val="auto"/>
              </w:rPr>
            </w:pPr>
          </w:p>
        </w:tc>
      </w:tr>
      <w:tr>
        <w:trPr>
          <w:trHeight w:val="261"/>
        </w:trPr>
        <w:tc>
          <w:tcPr>
            <w:tcW w:w="1040" w:type="dxa"/>
            <w:vAlign w:val="bottom"/>
            <w:tcBorders>
              <w:left w:val="single" w:sz="8" w:color="auto"/>
              <w:bottom w:val="single" w:sz="8" w:color="E2231A"/>
              <w:right w:val="single" w:sz="8" w:color="auto"/>
            </w:tcBorders>
            <w:shd w:val="clear" w:color="auto" w:fill="E2231A"/>
          </w:tcPr>
          <w:p>
            <w:pPr>
              <w:ind w:left="240"/>
              <w:spacing w:after="0"/>
              <w:rPr>
                <w:sz w:val="20"/>
                <w:szCs w:val="20"/>
                <w:color w:val="auto"/>
              </w:rPr>
            </w:pPr>
            <w:r>
              <w:rPr>
                <w:rFonts w:ascii="Arial" w:cs="Arial" w:eastAsia="Arial" w:hAnsi="Arial"/>
                <w:sz w:val="14"/>
                <w:szCs w:val="14"/>
                <w:b w:val="1"/>
                <w:bCs w:val="1"/>
                <w:color w:val="FFFFFF"/>
              </w:rPr>
              <w:t>Category</w:t>
            </w:r>
          </w:p>
        </w:tc>
        <w:tc>
          <w:tcPr>
            <w:tcW w:w="1740" w:type="dxa"/>
            <w:vAlign w:val="bottom"/>
            <w:tcBorders>
              <w:bottom w:val="single" w:sz="8" w:color="E2231A"/>
              <w:right w:val="single" w:sz="8" w:color="auto"/>
            </w:tcBorders>
            <w:shd w:val="clear" w:color="auto" w:fill="E2231A"/>
          </w:tcPr>
          <w:p>
            <w:pPr>
              <w:ind w:left="380"/>
              <w:spacing w:after="0"/>
              <w:rPr>
                <w:sz w:val="20"/>
                <w:szCs w:val="20"/>
                <w:color w:val="auto"/>
              </w:rPr>
            </w:pPr>
            <w:r>
              <w:rPr>
                <w:rFonts w:ascii="Arial" w:cs="Arial" w:eastAsia="Arial" w:hAnsi="Arial"/>
                <w:sz w:val="14"/>
                <w:szCs w:val="14"/>
                <w:b w:val="1"/>
                <w:bCs w:val="1"/>
                <w:color w:val="FFFFFF"/>
              </w:rPr>
              <w:t>Profile / Skills</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Cheng</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Foster</w:t>
            </w:r>
          </w:p>
        </w:tc>
        <w:tc>
          <w:tcPr>
            <w:tcW w:w="70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Halverson</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Jepsen</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Krone</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Lewis</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Ligocki</w:t>
            </w:r>
          </w:p>
        </w:tc>
        <w:tc>
          <w:tcPr>
            <w:tcW w:w="70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Mallett</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Scott</w:t>
            </w:r>
          </w:p>
        </w:tc>
        <w:tc>
          <w:tcPr>
            <w:tcW w:w="700" w:type="dxa"/>
            <w:vAlign w:val="bottom"/>
            <w:tcBorders>
              <w:bottom w:val="single" w:sz="8" w:color="E2231A"/>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Smith</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left w:val="single" w:sz="8" w:color="auto"/>
              <w:right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Woman</w:t>
            </w:r>
          </w:p>
        </w:tc>
        <w:tc>
          <w:tcPr>
            <w:tcW w:w="7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African-American / Black</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Pan-Asian</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Non-U.S. Resident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LGBTQ</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top w:val="single" w:sz="8" w:color="auto"/>
              <w:left w:val="single" w:sz="8" w:color="auto"/>
              <w:bottom w:val="single" w:sz="8" w:color="auto"/>
              <w:right w:val="single" w:sz="8" w:color="auto"/>
            </w:tcBorders>
            <w:shd w:val="clear" w:color="auto" w:fill="999999"/>
          </w:tcPr>
          <w:p>
            <w:pPr>
              <w:spacing w:after="0"/>
              <w:rPr>
                <w:sz w:val="20"/>
                <w:szCs w:val="20"/>
                <w:color w:val="auto"/>
              </w:rPr>
            </w:pPr>
          </w:p>
        </w:tc>
        <w:tc>
          <w:tcPr>
            <w:tcW w:w="174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0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0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0"/>
                <w:szCs w:val="20"/>
                <w:color w:val="auto"/>
              </w:rPr>
            </w:pPr>
          </w:p>
        </w:tc>
        <w:tc>
          <w:tcPr>
            <w:tcW w:w="700" w:type="dxa"/>
            <w:vAlign w:val="bottom"/>
            <w:tcBorders>
              <w:top w:val="single" w:sz="8" w:color="auto"/>
              <w:bottom w:val="single" w:sz="8" w:color="auto"/>
            </w:tcBorders>
            <w:shd w:val="clear" w:color="auto" w:fill="999999"/>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CEO / Large Business</w:t>
            </w:r>
          </w:p>
        </w:tc>
        <w:tc>
          <w:tcPr>
            <w:tcW w:w="7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spacing w:after="0"/>
              <w:rPr>
                <w:sz w:val="20"/>
                <w:szCs w:val="20"/>
                <w:color w:val="auto"/>
              </w:rPr>
            </w:pPr>
          </w:p>
        </w:tc>
        <w:tc>
          <w:tcPr>
            <w:tcW w:w="7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Head</w:t>
            </w: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CFO / Treasurer / Fin.</w:t>
            </w: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Serv. Exec.</w:t>
            </w: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Auto Industry</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Technology</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Strategy</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Finance</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Commercial / Marketing</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Human Capital</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Management</w:t>
            </w: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right w:val="single" w:sz="8" w:color="auto"/>
            </w:tcBorders>
          </w:tcPr>
          <w:p>
            <w:pPr>
              <w:spacing w:after="0"/>
              <w:rPr>
                <w:sz w:val="20"/>
                <w:szCs w:val="20"/>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Legal / Governmental</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Environmental, Social,</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tcBorders>
            <w:vMerge w:val="restart"/>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Governance</w:t>
            </w: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tcBorders>
              <w:right w:val="single" w:sz="8" w:color="auto"/>
            </w:tcBorders>
            <w:vMerge w:val="continue"/>
            <w:shd w:val="clear" w:color="auto" w:fill="D8D8D8"/>
          </w:tcPr>
          <w:p>
            <w:pPr>
              <w:spacing w:after="0"/>
              <w:rPr>
                <w:sz w:val="9"/>
                <w:szCs w:val="9"/>
                <w:color w:val="auto"/>
              </w:rPr>
            </w:pPr>
          </w:p>
        </w:tc>
        <w:tc>
          <w:tcPr>
            <w:tcW w:w="720" w:type="dxa"/>
            <w:vAlign w:val="bottom"/>
            <w:tcBorders>
              <w:right w:val="single" w:sz="8" w:color="auto"/>
            </w:tcBorders>
            <w:vMerge w:val="continue"/>
            <w:shd w:val="clear" w:color="auto" w:fill="D8D8D8"/>
          </w:tcPr>
          <w:p>
            <w:pPr>
              <w:spacing w:after="0"/>
              <w:rPr>
                <w:sz w:val="9"/>
                <w:szCs w:val="9"/>
                <w:color w:val="auto"/>
              </w:rPr>
            </w:pPr>
          </w:p>
        </w:tc>
        <w:tc>
          <w:tcPr>
            <w:tcW w:w="7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40" w:type="dxa"/>
            <w:vAlign w:val="bottom"/>
            <w:tcBorders>
              <w:left w:val="single" w:sz="8" w:color="auto"/>
              <w:right w:val="single" w:sz="8" w:color="auto"/>
            </w:tcBorders>
          </w:tcPr>
          <w:p>
            <w:pPr>
              <w:spacing w:after="0"/>
              <w:rPr>
                <w:sz w:val="13"/>
                <w:szCs w:val="13"/>
                <w:color w:val="auto"/>
              </w:rPr>
            </w:pPr>
          </w:p>
        </w:tc>
        <w:tc>
          <w:tcPr>
            <w:tcW w:w="1740" w:type="dxa"/>
            <w:vAlign w:val="bottom"/>
            <w:tcBorders>
              <w:right w:val="single" w:sz="8" w:color="auto"/>
            </w:tcBorders>
            <w:vMerge w:val="continue"/>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700" w:type="dxa"/>
            <w:vAlign w:val="bottom"/>
            <w:tcBorders>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International</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70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-3462655</wp:posOffset>
            </wp:positionV>
            <wp:extent cx="93980" cy="531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53149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-1671320</wp:posOffset>
            </wp:positionV>
            <wp:extent cx="93980" cy="694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694055"/>
                    </a:xfrm>
                    <a:prstGeom prst="rect">
                      <a:avLst/>
                    </a:prstGeom>
                    <a:noFill/>
                  </pic:spPr>
                </pic:pic>
              </a:graphicData>
            </a:graphic>
          </wp:anchor>
        </w:drawing>
      </w:r>
    </w:p>
    <w:p>
      <w:pPr>
        <w:spacing w:after="0" w:line="198" w:lineRule="exact"/>
        <w:rPr>
          <w:sz w:val="20"/>
          <w:szCs w:val="20"/>
          <w:color w:val="auto"/>
        </w:rPr>
      </w:pPr>
    </w:p>
    <w:p>
      <w:pPr>
        <w:ind w:left="660" w:right="380"/>
        <w:spacing w:after="0" w:line="260" w:lineRule="auto"/>
        <w:rPr>
          <w:sz w:val="20"/>
          <w:szCs w:val="20"/>
          <w:color w:val="auto"/>
        </w:rPr>
      </w:pPr>
      <w:r>
        <w:rPr>
          <w:rFonts w:ascii="Arial" w:cs="Arial" w:eastAsia="Arial" w:hAnsi="Arial"/>
          <w:sz w:val="16"/>
          <w:szCs w:val="16"/>
          <w:color w:val="auto"/>
        </w:rPr>
        <w:t>In the table above, an “X” represents deep subject matter expertise or significant experience gained directly or through active oversight of one responsible for the category.</w:t>
      </w:r>
    </w:p>
    <w:p>
      <w:pPr>
        <w:spacing w:after="0" w:line="400"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17</w:t>
      </w:r>
    </w:p>
    <w:p>
      <w:pPr>
        <w:sectPr>
          <w:pgSz w:w="11900" w:h="16838" w:orient="portrait"/>
          <w:cols w:equalWidth="0" w:num="1">
            <w:col w:w="10860"/>
          </w:cols>
          <w:pgMar w:left="320" w:top="459" w:right="7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4660"/>
        <w:spacing w:after="0"/>
        <w:rPr>
          <w:sz w:val="20"/>
          <w:szCs w:val="20"/>
          <w:color w:val="auto"/>
        </w:rPr>
      </w:pPr>
      <w:r>
        <w:rPr>
          <w:rFonts w:ascii="Arial" w:cs="Arial" w:eastAsia="Arial" w:hAnsi="Arial"/>
          <w:sz w:val="23"/>
          <w:szCs w:val="23"/>
          <w:b w:val="1"/>
          <w:bCs w:val="1"/>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60"/>
          </w:cols>
          <w:pgMar w:left="320" w:top="459" w:right="1019" w:bottom="1440" w:gutter="0" w:footer="0" w:header="0"/>
        </w:sectPr>
      </w:pPr>
    </w:p>
    <w:p>
      <w:pPr>
        <w:spacing w:after="0" w:line="342" w:lineRule="exact"/>
        <w:rPr>
          <w:sz w:val="20"/>
          <w:szCs w:val="20"/>
          <w:color w:val="auto"/>
        </w:rPr>
      </w:pPr>
    </w:p>
    <w:p>
      <w:pPr>
        <w:ind w:left="660" w:right="200"/>
        <w:spacing w:after="0" w:line="248" w:lineRule="auto"/>
        <w:rPr>
          <w:sz w:val="20"/>
          <w:szCs w:val="20"/>
          <w:color w:val="auto"/>
        </w:rPr>
      </w:pPr>
      <w:r>
        <w:rPr>
          <w:rFonts w:ascii="Arial" w:cs="Arial" w:eastAsia="Arial" w:hAnsi="Arial"/>
          <w:sz w:val="16"/>
          <w:szCs w:val="16"/>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98"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10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Harry A. Kemp, Senior Vice President, General Counsel and Corporate Secretary. See “Stockholder Proposals for 2022 Annual Meeting of Stockholders.”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460" w:lineRule="exact"/>
        <w:rPr>
          <w:sz w:val="20"/>
          <w:szCs w:val="20"/>
          <w:color w:val="auto"/>
        </w:rPr>
      </w:pPr>
    </w:p>
    <w:p>
      <w:pPr>
        <w:sectPr>
          <w:pgSz w:w="11900" w:h="16838" w:orient="portrait"/>
          <w:cols w:equalWidth="0" w:num="2">
            <w:col w:w="5320" w:space="400"/>
            <w:col w:w="4840"/>
          </w:cols>
          <w:pgMar w:left="320" w:top="459" w:right="1019" w:bottom="1440" w:gutter="0" w:footer="0" w:header="0"/>
          <w:type w:val="continuous"/>
        </w:sectPr>
      </w:pPr>
    </w:p>
    <w:p>
      <w:pPr>
        <w:spacing w:after="0" w:line="16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59" w:right="10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In addition to considering the NYSE independence criteria,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Board has made director independence determinations with respect to each of our current directors. Based on the NYSE independence guidelines, the Board has affirmatively determined that (i) Messrs. Capo, Cheng, Foster, Halverson, Dr. Jepsen, Mr. Krone, Ms. Lewis, Ms. Ligocki and Messrs. Mallett and Smith</w:t>
      </w:r>
    </w:p>
    <w:p>
      <w:pPr>
        <w:spacing w:after="0" w:line="2" w:lineRule="exact"/>
        <w:rPr>
          <w:sz w:val="20"/>
          <w:szCs w:val="20"/>
          <w:color w:val="auto"/>
        </w:rPr>
      </w:pPr>
    </w:p>
    <w:p>
      <w:pPr>
        <w:ind w:left="260" w:hanging="257"/>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have no relationships or only immaterial relationships with us,</w:t>
      </w:r>
    </w:p>
    <w:p>
      <w:pPr>
        <w:spacing w:after="0" w:line="5" w:lineRule="exact"/>
        <w:rPr>
          <w:rFonts w:ascii="Arial" w:cs="Arial" w:eastAsia="Arial" w:hAnsi="Arial"/>
          <w:sz w:val="16"/>
          <w:szCs w:val="16"/>
          <w:color w:val="auto"/>
        </w:rPr>
      </w:pPr>
    </w:p>
    <w:p>
      <w:pPr>
        <w:ind w:right="40" w:firstLine="3"/>
        <w:spacing w:after="0" w:line="251" w:lineRule="auto"/>
        <w:tabs>
          <w:tab w:leader="none" w:pos="2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meet the NYSE independence guidelines with respect to any such relationships and (C) are independent; and (ii) Mr. Scott is not independent. Mr. Scott is our President and Chief Executive Officer (the “CEO”).</w:t>
      </w:r>
    </w:p>
    <w:p>
      <w:pPr>
        <w:spacing w:after="0" w:line="200" w:lineRule="exact"/>
        <w:rPr>
          <w:sz w:val="20"/>
          <w:szCs w:val="20"/>
          <w:color w:val="auto"/>
        </w:rPr>
      </w:pPr>
    </w:p>
    <w:p>
      <w:pPr>
        <w:sectPr>
          <w:pgSz w:w="11900" w:h="16838" w:orient="portrait"/>
          <w:cols w:equalWidth="0" w:num="2">
            <w:col w:w="5400" w:space="320"/>
            <w:col w:w="4840"/>
          </w:cols>
          <w:pgMar w:left="320" w:top="459" w:right="101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60"/>
          </w:cols>
          <w:pgMar w:left="320" w:top="459" w:right="1019" w:bottom="1440" w:gutter="0" w:footer="0" w:header="0"/>
          <w:type w:val="continuous"/>
        </w:sectPr>
      </w:pPr>
    </w:p>
    <w:p>
      <w:pPr>
        <w:spacing w:after="0" w:line="34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ability to achieve our strategic objectives. The 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200" w:lineRule="exact"/>
        <w:rPr>
          <w:sz w:val="20"/>
          <w:szCs w:val="20"/>
          <w:color w:val="auto"/>
        </w:rPr>
      </w:pPr>
    </w:p>
    <w:p>
      <w:pPr>
        <w:sectPr>
          <w:pgSz w:w="11900" w:h="16838" w:orient="portrait"/>
          <w:cols w:equalWidth="0" w:num="2">
            <w:col w:w="5400" w:space="320"/>
            <w:col w:w="4840"/>
          </w:cols>
          <w:pgMar w:left="320" w:top="459" w:right="1019" w:bottom="1440" w:gutter="0" w:footer="0" w:header="0"/>
          <w:type w:val="continuous"/>
        </w:sectPr>
      </w:pPr>
    </w:p>
    <w:p>
      <w:pPr>
        <w:spacing w:after="0" w:line="342" w:lineRule="exact"/>
        <w:rPr>
          <w:sz w:val="20"/>
          <w:szCs w:val="20"/>
          <w:color w:val="auto"/>
        </w:rPr>
      </w:pPr>
    </w:p>
    <w:p>
      <w:pPr>
        <w:ind w:left="780" w:hanging="393"/>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90" w:lineRule="exact"/>
        <w:rPr>
          <w:sz w:val="20"/>
          <w:szCs w:val="20"/>
          <w:color w:val="auto"/>
        </w:rPr>
      </w:pPr>
    </w:p>
    <w:p>
      <w:pPr>
        <w:ind w:left="660" w:right="280"/>
        <w:spacing w:after="0" w:line="253"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560" w:type="dxa"/>
            <w:vAlign w:val="bottom"/>
            <w:shd w:val="clear" w:color="auto" w:fill="FCE9E8"/>
          </w:tcPr>
          <w:p>
            <w:pPr>
              <w:ind w:left="100"/>
              <w:spacing w:after="0"/>
              <w:rPr>
                <w:sz w:val="20"/>
                <w:szCs w:val="20"/>
                <w:color w:val="auto"/>
              </w:rPr>
            </w:pPr>
            <w:r>
              <w:rPr>
                <w:rFonts w:ascii="Arial" w:cs="Arial" w:eastAsia="Arial" w:hAnsi="Arial"/>
                <w:sz w:val="16"/>
                <w:szCs w:val="16"/>
                <w:b w:val="1"/>
                <w:bCs w:val="1"/>
                <w:color w:val="auto"/>
              </w:rPr>
              <w:t>Full Board</w:t>
            </w: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160" w:type="dxa"/>
            <w:vAlign w:val="bottom"/>
            <w:shd w:val="clear" w:color="auto" w:fill="FCE9E8"/>
          </w:tcPr>
          <w:p>
            <w:pPr>
              <w:ind w:left="40"/>
              <w:spacing w:after="0"/>
              <w:rPr>
                <w:sz w:val="20"/>
                <w:szCs w:val="20"/>
                <w:color w:val="auto"/>
              </w:rPr>
            </w:pPr>
            <w:r>
              <w:rPr>
                <w:rFonts w:ascii="Arial" w:cs="Arial" w:eastAsia="Arial" w:hAnsi="Arial"/>
                <w:sz w:val="16"/>
                <w:szCs w:val="16"/>
                <w:color w:val="auto"/>
              </w:rPr>
              <w:t>Carefully evaluates the reports received from management and makes inquiries of management</w:t>
            </w:r>
          </w:p>
        </w:tc>
      </w:tr>
      <w:tr>
        <w:trPr>
          <w:trHeight w:val="195"/>
        </w:trPr>
        <w:tc>
          <w:tcPr>
            <w:tcW w:w="25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on areas of particular interest to the Board</w:t>
            </w:r>
          </w:p>
        </w:tc>
      </w:tr>
      <w:tr>
        <w:trPr>
          <w:trHeight w:val="305"/>
        </w:trPr>
        <w:tc>
          <w:tcPr>
            <w:tcW w:w="256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16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Reviews with management material strategic, operational, financial, compensation and</w:t>
            </w:r>
          </w:p>
        </w:tc>
      </w:tr>
      <w:tr>
        <w:trPr>
          <w:trHeight w:val="195"/>
        </w:trPr>
        <w:tc>
          <w:tcPr>
            <w:tcW w:w="25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compliance risks, including risks related to environmental, social and governance issues</w:t>
            </w:r>
          </w:p>
        </w:tc>
      </w:tr>
      <w:tr>
        <w:trPr>
          <w:trHeight w:val="310"/>
        </w:trPr>
        <w:tc>
          <w:tcPr>
            <w:tcW w:w="256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160" w:type="dxa"/>
            <w:vAlign w:val="bottom"/>
            <w:shd w:val="clear" w:color="auto" w:fill="FCE9E8"/>
          </w:tcPr>
          <w:p>
            <w:pPr>
              <w:ind w:left="40"/>
              <w:spacing w:after="0"/>
              <w:rPr>
                <w:sz w:val="20"/>
                <w:szCs w:val="20"/>
                <w:color w:val="auto"/>
              </w:rPr>
            </w:pPr>
            <w:r>
              <w:rPr>
                <w:rFonts w:ascii="Arial" w:cs="Arial" w:eastAsia="Arial" w:hAnsi="Arial"/>
                <w:sz w:val="16"/>
                <w:szCs w:val="16"/>
                <w:color w:val="auto"/>
              </w:rPr>
              <w:t>Considers specific risk topics in connection with strategic planning and other matters</w:t>
            </w:r>
          </w:p>
        </w:tc>
      </w:tr>
      <w:tr>
        <w:trPr>
          <w:trHeight w:val="305"/>
        </w:trPr>
        <w:tc>
          <w:tcPr>
            <w:tcW w:w="2560" w:type="dxa"/>
            <w:vAlign w:val="bottom"/>
            <w:shd w:val="clear" w:color="auto" w:fill="FCE9E8"/>
          </w:tcPr>
          <w:p>
            <w:pPr>
              <w:spacing w:after="0"/>
              <w:rPr>
                <w:sz w:val="24"/>
                <w:szCs w:val="24"/>
                <w:color w:val="auto"/>
              </w:rPr>
            </w:pP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16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risk oversight and related activities conducted by the Board committees through</w:t>
            </w:r>
          </w:p>
        </w:tc>
      </w:tr>
      <w:tr>
        <w:trPr>
          <w:trHeight w:val="195"/>
        </w:trPr>
        <w:tc>
          <w:tcPr>
            <w:tcW w:w="25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reports of the committee chairmen to the Board</w:t>
            </w:r>
          </w:p>
        </w:tc>
      </w:tr>
      <w:tr>
        <w:trPr>
          <w:trHeight w:val="127"/>
        </w:trPr>
        <w:tc>
          <w:tcPr>
            <w:tcW w:w="2560" w:type="dxa"/>
            <w:vAlign w:val="bottom"/>
            <w:tcBorders>
              <w:bottom w:val="single" w:sz="8" w:color="auto"/>
            </w:tcBorders>
            <w:shd w:val="clear" w:color="auto" w:fill="FCE9E8"/>
          </w:tcPr>
          <w:p>
            <w:pPr>
              <w:spacing w:after="0"/>
              <w:rPr>
                <w:sz w:val="11"/>
                <w:szCs w:val="11"/>
                <w:color w:val="auto"/>
              </w:rPr>
            </w:pPr>
          </w:p>
        </w:tc>
        <w:tc>
          <w:tcPr>
            <w:tcW w:w="200" w:type="dxa"/>
            <w:vAlign w:val="bottom"/>
            <w:tcBorders>
              <w:bottom w:val="single" w:sz="8" w:color="auto"/>
            </w:tcBorders>
            <w:shd w:val="clear" w:color="auto" w:fill="FCE9E8"/>
          </w:tcPr>
          <w:p>
            <w:pPr>
              <w:spacing w:after="0"/>
              <w:rPr>
                <w:sz w:val="11"/>
                <w:szCs w:val="11"/>
                <w:color w:val="auto"/>
              </w:rPr>
            </w:pPr>
          </w:p>
        </w:tc>
        <w:tc>
          <w:tcPr>
            <w:tcW w:w="7160" w:type="dxa"/>
            <w:vAlign w:val="bottom"/>
            <w:tcBorders>
              <w:bottom w:val="single" w:sz="8" w:color="auto"/>
            </w:tcBorders>
            <w:shd w:val="clear" w:color="auto" w:fill="FCE9E8"/>
          </w:tcPr>
          <w:p>
            <w:pPr>
              <w:spacing w:after="0"/>
              <w:rPr>
                <w:sz w:val="11"/>
                <w:szCs w:val="11"/>
                <w:color w:val="auto"/>
              </w:rPr>
            </w:pPr>
          </w:p>
        </w:tc>
      </w:tr>
      <w:tr>
        <w:trPr>
          <w:trHeight w:val="225"/>
        </w:trPr>
        <w:tc>
          <w:tcPr>
            <w:tcW w:w="2560" w:type="dxa"/>
            <w:vAlign w:val="bottom"/>
          </w:tcPr>
          <w:p>
            <w:pPr>
              <w:ind w:left="100"/>
              <w:spacing w:after="0"/>
              <w:rPr>
                <w:sz w:val="20"/>
                <w:szCs w:val="20"/>
                <w:color w:val="auto"/>
              </w:rPr>
            </w:pPr>
            <w:r>
              <w:rPr>
                <w:rFonts w:ascii="Arial" w:cs="Arial" w:eastAsia="Arial" w:hAnsi="Arial"/>
                <w:sz w:val="16"/>
                <w:szCs w:val="16"/>
                <w:b w:val="1"/>
                <w:bCs w:val="1"/>
                <w:color w:val="auto"/>
              </w:rPr>
              <w:t>Audit Committee</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160" w:type="dxa"/>
            <w:vAlign w:val="bottom"/>
          </w:tcPr>
          <w:p>
            <w:pPr>
              <w:ind w:left="40"/>
              <w:spacing w:after="0"/>
              <w:rPr>
                <w:sz w:val="20"/>
                <w:szCs w:val="20"/>
                <w:color w:val="auto"/>
              </w:rPr>
            </w:pPr>
            <w:r>
              <w:rPr>
                <w:rFonts w:ascii="Arial" w:cs="Arial" w:eastAsia="Arial" w:hAnsi="Arial"/>
                <w:sz w:val="16"/>
                <w:szCs w:val="16"/>
                <w:color w:val="auto"/>
              </w:rPr>
              <w:t>Responsible for ensuring that the Company has an internal audit function to provide</w:t>
            </w:r>
          </w:p>
        </w:tc>
      </w:tr>
      <w:tr>
        <w:trPr>
          <w:trHeight w:val="189"/>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management and the Audit Committee with ongoing assessments of the Company’s risk</w:t>
            </w:r>
          </w:p>
        </w:tc>
      </w:tr>
      <w:tr>
        <w:trPr>
          <w:trHeight w:val="195"/>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management process and system of internal controls</w:t>
            </w:r>
          </w:p>
        </w:tc>
      </w:tr>
      <w:tr>
        <w:trPr>
          <w:trHeight w:val="305"/>
        </w:trPr>
        <w:tc>
          <w:tcPr>
            <w:tcW w:w="25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160" w:type="dxa"/>
            <w:vAlign w:val="bottom"/>
          </w:tcPr>
          <w:p>
            <w:pPr>
              <w:ind w:left="40"/>
              <w:spacing w:after="0"/>
              <w:rPr>
                <w:sz w:val="20"/>
                <w:szCs w:val="20"/>
                <w:color w:val="auto"/>
              </w:rPr>
            </w:pPr>
            <w:r>
              <w:rPr>
                <w:rFonts w:ascii="Arial" w:cs="Arial" w:eastAsia="Arial" w:hAnsi="Arial"/>
                <w:sz w:val="16"/>
                <w:szCs w:val="16"/>
                <w:color w:val="auto"/>
              </w:rPr>
              <w:t>Discusses with management the Company’s process for assessing and managing risks,</w:t>
            </w:r>
          </w:p>
        </w:tc>
      </w:tr>
      <w:tr>
        <w:trPr>
          <w:trHeight w:val="189"/>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including the Company’s major risk exposures related to tax matters, financial instruments,</w:t>
            </w:r>
          </w:p>
        </w:tc>
      </w:tr>
      <w:tr>
        <w:trPr>
          <w:trHeight w:val="189"/>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litigation and information security (including cybersecurity) and the steps necessary to monitor</w:t>
            </w:r>
          </w:p>
        </w:tc>
      </w:tr>
      <w:tr>
        <w:trPr>
          <w:trHeight w:val="195"/>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and control such exposures</w:t>
            </w:r>
          </w:p>
        </w:tc>
      </w:tr>
      <w:tr>
        <w:trPr>
          <w:trHeight w:val="310"/>
        </w:trPr>
        <w:tc>
          <w:tcPr>
            <w:tcW w:w="25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160" w:type="dxa"/>
            <w:vAlign w:val="bottom"/>
          </w:tcPr>
          <w:p>
            <w:pPr>
              <w:ind w:left="40"/>
              <w:spacing w:after="0"/>
              <w:rPr>
                <w:sz w:val="20"/>
                <w:szCs w:val="20"/>
                <w:color w:val="auto"/>
              </w:rPr>
            </w:pPr>
            <w:r>
              <w:rPr>
                <w:rFonts w:ascii="Arial" w:cs="Arial" w:eastAsia="Arial" w:hAnsi="Arial"/>
                <w:sz w:val="16"/>
                <w:szCs w:val="16"/>
                <w:color w:val="auto"/>
              </w:rPr>
              <w:t>Central oversight of financial and compliance risks</w:t>
            </w:r>
          </w:p>
        </w:tc>
      </w:tr>
      <w:tr>
        <w:trPr>
          <w:trHeight w:val="305"/>
        </w:trPr>
        <w:tc>
          <w:tcPr>
            <w:tcW w:w="25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160" w:type="dxa"/>
            <w:vAlign w:val="bottom"/>
          </w:tcPr>
          <w:p>
            <w:pPr>
              <w:ind w:left="40"/>
              <w:spacing w:after="0"/>
              <w:rPr>
                <w:sz w:val="20"/>
                <w:szCs w:val="20"/>
                <w:color w:val="auto"/>
              </w:rPr>
            </w:pPr>
            <w:r>
              <w:rPr>
                <w:rFonts w:ascii="Arial" w:cs="Arial" w:eastAsia="Arial" w:hAnsi="Arial"/>
                <w:sz w:val="16"/>
                <w:szCs w:val="16"/>
                <w:color w:val="auto"/>
              </w:rPr>
              <w:t>Meets periodically with senior management, our vice president of internal audit, our chief</w:t>
            </w:r>
          </w:p>
        </w:tc>
      </w:tr>
      <w:tr>
        <w:trPr>
          <w:trHeight w:val="189"/>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compliance officer and our independent auditor, Ernst &amp; Young LLP, and reports on its findings at</w:t>
            </w:r>
          </w:p>
        </w:tc>
      </w:tr>
      <w:tr>
        <w:trPr>
          <w:trHeight w:val="195"/>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each regularly scheduled meeting of the Board</w:t>
            </w:r>
          </w:p>
        </w:tc>
      </w:tr>
      <w:tr>
        <w:trPr>
          <w:trHeight w:val="305"/>
        </w:trPr>
        <w:tc>
          <w:tcPr>
            <w:tcW w:w="256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160" w:type="dxa"/>
            <w:vAlign w:val="bottom"/>
          </w:tcPr>
          <w:p>
            <w:pPr>
              <w:ind w:left="40"/>
              <w:spacing w:after="0"/>
              <w:rPr>
                <w:sz w:val="20"/>
                <w:szCs w:val="20"/>
                <w:color w:val="auto"/>
              </w:rPr>
            </w:pPr>
            <w:r>
              <w:rPr>
                <w:rFonts w:ascii="Arial" w:cs="Arial" w:eastAsia="Arial" w:hAnsi="Arial"/>
                <w:sz w:val="16"/>
                <w:szCs w:val="16"/>
                <w:color w:val="auto"/>
              </w:rPr>
              <w:t>Periodically assesses reports provided by management on risks addressed in the enterprise risk</w:t>
            </w:r>
          </w:p>
        </w:tc>
      </w:tr>
      <w:tr>
        <w:trPr>
          <w:trHeight w:val="195"/>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60" w:type="dxa"/>
            <w:vAlign w:val="bottom"/>
          </w:tcPr>
          <w:p>
            <w:pPr>
              <w:ind w:left="60"/>
              <w:spacing w:after="0"/>
              <w:rPr>
                <w:sz w:val="20"/>
                <w:szCs w:val="20"/>
                <w:color w:val="auto"/>
              </w:rPr>
            </w:pPr>
            <w:r>
              <w:rPr>
                <w:rFonts w:ascii="Arial" w:cs="Arial" w:eastAsia="Arial" w:hAnsi="Arial"/>
                <w:sz w:val="16"/>
                <w:szCs w:val="16"/>
                <w:color w:val="auto"/>
              </w:rPr>
              <w:t>management process and other risks, and reports to the Board, as appropriate</w:t>
            </w:r>
          </w:p>
        </w:tc>
      </w:tr>
      <w:tr>
        <w:trPr>
          <w:trHeight w:val="128"/>
        </w:trPr>
        <w:tc>
          <w:tcPr>
            <w:tcW w:w="2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160" w:type="dxa"/>
            <w:vAlign w:val="bottom"/>
            <w:tcBorders>
              <w:bottom w:val="single" w:sz="8" w:color="auto"/>
            </w:tcBorders>
          </w:tcPr>
          <w:p>
            <w:pPr>
              <w:spacing w:after="0"/>
              <w:rPr>
                <w:sz w:val="11"/>
                <w:szCs w:val="11"/>
                <w:color w:val="auto"/>
              </w:rPr>
            </w:pPr>
          </w:p>
        </w:tc>
      </w:tr>
      <w:tr>
        <w:trPr>
          <w:trHeight w:val="225"/>
        </w:trPr>
        <w:tc>
          <w:tcPr>
            <w:tcW w:w="2560" w:type="dxa"/>
            <w:vAlign w:val="bottom"/>
            <w:shd w:val="clear" w:color="auto" w:fill="FCE9E8"/>
          </w:tcPr>
          <w:p>
            <w:pPr>
              <w:ind w:left="100"/>
              <w:spacing w:after="0"/>
              <w:rPr>
                <w:sz w:val="20"/>
                <w:szCs w:val="20"/>
                <w:color w:val="auto"/>
              </w:rPr>
            </w:pPr>
            <w:r>
              <w:rPr>
                <w:rFonts w:ascii="Arial" w:cs="Arial" w:eastAsia="Arial" w:hAnsi="Arial"/>
                <w:sz w:val="16"/>
                <w:szCs w:val="16"/>
                <w:b w:val="1"/>
                <w:bCs w:val="1"/>
                <w:color w:val="auto"/>
              </w:rPr>
              <w:t>Compensation Committee</w:t>
            </w:r>
          </w:p>
        </w:tc>
        <w:tc>
          <w:tcPr>
            <w:tcW w:w="2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716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Oversees the review and evaluation of the risks associated with our compensation policies and</w:t>
            </w:r>
          </w:p>
        </w:tc>
      </w:tr>
      <w:tr>
        <w:trPr>
          <w:trHeight w:val="195"/>
        </w:trPr>
        <w:tc>
          <w:tcPr>
            <w:tcW w:w="2560" w:type="dxa"/>
            <w:vAlign w:val="bottom"/>
            <w:shd w:val="clear" w:color="auto" w:fill="FCE9E8"/>
          </w:tcPr>
          <w:p>
            <w:pPr>
              <w:spacing w:after="0"/>
              <w:rPr>
                <w:sz w:val="16"/>
                <w:szCs w:val="16"/>
                <w:color w:val="auto"/>
              </w:rPr>
            </w:pPr>
          </w:p>
        </w:tc>
        <w:tc>
          <w:tcPr>
            <w:tcW w:w="200" w:type="dxa"/>
            <w:vAlign w:val="bottom"/>
            <w:shd w:val="clear" w:color="auto" w:fill="FCE9E8"/>
          </w:tcPr>
          <w:p>
            <w:pPr>
              <w:spacing w:after="0"/>
              <w:rPr>
                <w:sz w:val="16"/>
                <w:szCs w:val="16"/>
                <w:color w:val="auto"/>
              </w:rPr>
            </w:pPr>
          </w:p>
        </w:tc>
        <w:tc>
          <w:tcPr>
            <w:tcW w:w="7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practices (see also “Compensation and Risk”)</w:t>
            </w:r>
          </w:p>
        </w:tc>
      </w:tr>
      <w:tr>
        <w:trPr>
          <w:trHeight w:val="128"/>
        </w:trPr>
        <w:tc>
          <w:tcPr>
            <w:tcW w:w="2560" w:type="dxa"/>
            <w:vAlign w:val="bottom"/>
            <w:tcBorders>
              <w:bottom w:val="single" w:sz="8" w:color="auto"/>
            </w:tcBorders>
            <w:shd w:val="clear" w:color="auto" w:fill="FCE9E8"/>
          </w:tcPr>
          <w:p>
            <w:pPr>
              <w:spacing w:after="0"/>
              <w:rPr>
                <w:sz w:val="11"/>
                <w:szCs w:val="11"/>
                <w:color w:val="auto"/>
              </w:rPr>
            </w:pPr>
          </w:p>
        </w:tc>
        <w:tc>
          <w:tcPr>
            <w:tcW w:w="200" w:type="dxa"/>
            <w:vAlign w:val="bottom"/>
            <w:tcBorders>
              <w:bottom w:val="single" w:sz="8" w:color="auto"/>
            </w:tcBorders>
            <w:shd w:val="clear" w:color="auto" w:fill="FCE9E8"/>
          </w:tcPr>
          <w:p>
            <w:pPr>
              <w:spacing w:after="0"/>
              <w:rPr>
                <w:sz w:val="11"/>
                <w:szCs w:val="11"/>
                <w:color w:val="auto"/>
              </w:rPr>
            </w:pPr>
          </w:p>
        </w:tc>
        <w:tc>
          <w:tcPr>
            <w:tcW w:w="7160" w:type="dxa"/>
            <w:vAlign w:val="bottom"/>
            <w:tcBorders>
              <w:bottom w:val="single" w:sz="8" w:color="auto"/>
            </w:tcBorders>
            <w:shd w:val="clear" w:color="auto" w:fill="FCE9E8"/>
          </w:tcPr>
          <w:p>
            <w:pPr>
              <w:spacing w:after="0"/>
              <w:rPr>
                <w:sz w:val="11"/>
                <w:szCs w:val="11"/>
                <w:color w:val="auto"/>
              </w:rPr>
            </w:pPr>
          </w:p>
        </w:tc>
      </w:tr>
    </w:tbl>
    <w:p>
      <w:pPr>
        <w:spacing w:after="0" w:line="22" w:lineRule="exact"/>
        <w:rPr>
          <w:sz w:val="20"/>
          <w:szCs w:val="20"/>
          <w:color w:val="auto"/>
        </w:rPr>
      </w:pPr>
    </w:p>
    <w:p>
      <w:pPr>
        <w:ind w:left="760"/>
        <w:spacing w:after="0"/>
        <w:tabs>
          <w:tab w:leader="none" w:pos="3300" w:val="left"/>
        </w:tabs>
        <w:rPr>
          <w:sz w:val="20"/>
          <w:szCs w:val="20"/>
          <w:color w:val="auto"/>
        </w:rPr>
      </w:pPr>
      <w:r>
        <w:rPr>
          <w:rFonts w:ascii="Arial" w:cs="Arial" w:eastAsia="Arial" w:hAnsi="Arial"/>
          <w:sz w:val="16"/>
          <w:szCs w:val="16"/>
          <w:b w:val="1"/>
          <w:bCs w:val="1"/>
          <w:color w:val="auto"/>
        </w:rPr>
        <w:t>Nominating Committee</w:t>
      </w:r>
      <w:r>
        <w:rPr>
          <w:sz w:val="20"/>
          <w:szCs w:val="20"/>
          <w:color w:val="auto"/>
        </w:rPr>
        <w:tab/>
      </w:r>
      <w:r>
        <w:rPr>
          <w:rFonts w:ascii="Arial" w:cs="Arial" w:eastAsia="Arial" w:hAnsi="Arial"/>
          <w:sz w:val="16"/>
          <w:szCs w:val="16"/>
          <w:color w:val="auto"/>
        </w:rPr>
        <w:t>• Oversees risks associated with our governance structure and processes</w:t>
      </w:r>
    </w:p>
    <w:p>
      <w:pPr>
        <w:spacing w:after="0" w:line="147" w:lineRule="exact"/>
        <w:rPr>
          <w:sz w:val="20"/>
          <w:szCs w:val="20"/>
          <w:color w:val="auto"/>
        </w:rPr>
      </w:pPr>
    </w:p>
    <w:p>
      <w:pPr>
        <w:ind w:left="3480" w:right="1000" w:hanging="165"/>
        <w:spacing w:after="0" w:line="260" w:lineRule="auto"/>
        <w:tabs>
          <w:tab w:leader="none" w:pos="34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Reviews our organizational documents, Code of Business Conduct and Ethics, Corporate Governance Guidelines and other policies</w:t>
      </w:r>
    </w:p>
    <w:p>
      <w:pPr>
        <w:spacing w:after="0" w:line="100" w:lineRule="exact"/>
        <w:rPr>
          <w:rFonts w:ascii="Arial" w:cs="Arial" w:eastAsia="Arial" w:hAnsi="Arial"/>
          <w:sz w:val="16"/>
          <w:szCs w:val="16"/>
          <w:color w:val="auto"/>
        </w:rPr>
      </w:pPr>
    </w:p>
    <w:p>
      <w:pPr>
        <w:ind w:left="3480" w:right="640" w:hanging="165"/>
        <w:spacing w:after="0" w:line="260" w:lineRule="auto"/>
        <w:tabs>
          <w:tab w:leader="none" w:pos="34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Oversees sustainability issues, including as they pertain to environmental and corporate social responsibility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71120</wp:posOffset>
            </wp:positionV>
            <wp:extent cx="62922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Every Day, Striving for Better – Environmental, Social and Governance at Lear</w:t>
      </w:r>
    </w:p>
    <w:p>
      <w:pPr>
        <w:sectPr>
          <w:pgSz w:w="11900" w:h="16838" w:orient="portrait"/>
          <w:cols w:equalWidth="0" w:num="1">
            <w:col w:w="10860"/>
          </w:cols>
          <w:pgMar w:left="320" w:top="459" w:right="719" w:bottom="1440" w:gutter="0" w:footer="0" w:header="0"/>
        </w:sectPr>
      </w:pPr>
    </w:p>
    <w:p>
      <w:pPr>
        <w:spacing w:after="0" w:line="180"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 xml:space="preserve">Consistent with Lear’s vision, </w:t>
      </w:r>
      <w:r>
        <w:rPr>
          <w:rFonts w:ascii="Arial" w:cs="Arial" w:eastAsia="Arial" w:hAnsi="Arial"/>
          <w:sz w:val="16"/>
          <w:szCs w:val="16"/>
          <w:i w:val="1"/>
          <w:iCs w:val="1"/>
          <w:color w:val="auto"/>
        </w:rPr>
        <w:t>Making Every Drive Better</w:t>
      </w:r>
      <w:r>
        <w:rPr>
          <w:rFonts w:ascii="Arial" w:cs="Arial" w:eastAsia="Arial" w:hAnsi="Arial"/>
          <w:sz w:val="16"/>
          <w:szCs w:val="16"/>
          <w:color w:val="auto"/>
        </w:rPr>
        <w:t xml:space="preserve">, we work to ensure that our passion for our business is also channeled into creating possibilities for a better world. This means that as part of our environmental, social and governance (“ESG”) initiatives, which we execute under the mantra of </w:t>
      </w:r>
      <w:r>
        <w:rPr>
          <w:rFonts w:ascii="Arial" w:cs="Arial" w:eastAsia="Arial" w:hAnsi="Arial"/>
          <w:sz w:val="16"/>
          <w:szCs w:val="16"/>
          <w:i w:val="1"/>
          <w:iCs w:val="1"/>
          <w:color w:val="auto"/>
        </w:rPr>
        <w:t>Every Day, Striving for</w:t>
      </w:r>
      <w:r>
        <w:rPr>
          <w:rFonts w:ascii="Arial" w:cs="Arial" w:eastAsia="Arial" w:hAnsi="Arial"/>
          <w:sz w:val="16"/>
          <w:szCs w:val="16"/>
          <w:color w:val="auto"/>
        </w:rPr>
        <w:t xml:space="preserve"> </w:t>
      </w:r>
      <w:r>
        <w:rPr>
          <w:rFonts w:ascii="Arial" w:cs="Arial" w:eastAsia="Arial" w:hAnsi="Arial"/>
          <w:sz w:val="16"/>
          <w:szCs w:val="16"/>
          <w:i w:val="1"/>
          <w:iCs w:val="1"/>
          <w:color w:val="auto"/>
        </w:rPr>
        <w:t>Better</w:t>
      </w:r>
      <w:r>
        <w:rPr>
          <w:rFonts w:ascii="Arial" w:cs="Arial" w:eastAsia="Arial" w:hAnsi="Arial"/>
          <w:sz w:val="16"/>
          <w:szCs w:val="16"/>
          <w:color w:val="auto"/>
        </w:rPr>
        <w:t>, we are committed to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ind w:right="500"/>
        <w:spacing w:after="0" w:line="246" w:lineRule="auto"/>
        <w:rPr>
          <w:sz w:val="20"/>
          <w:szCs w:val="20"/>
          <w:color w:val="auto"/>
        </w:rPr>
      </w:pPr>
      <w:r>
        <w:rPr>
          <w:rFonts w:ascii="Arial" w:cs="Arial" w:eastAsia="Arial" w:hAnsi="Arial"/>
          <w:sz w:val="16"/>
          <w:szCs w:val="16"/>
          <w:color w:val="auto"/>
        </w:rPr>
        <w:t>safety in our workplaces, integrity in the conduct of our business, sustainability in our operations and products, and supporting our people in the global communities in which we live and work.</w:t>
      </w:r>
    </w:p>
    <w:p>
      <w:pPr>
        <w:spacing w:after="0" w:line="1"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Furthermore, we expect our more than 3,000 suppliers of goods and services to share our commitment to social responsibility and ethical conduct.</w:t>
      </w:r>
    </w:p>
    <w:p>
      <w:pPr>
        <w:spacing w:after="0" w:line="200" w:lineRule="exact"/>
        <w:rPr>
          <w:sz w:val="20"/>
          <w:szCs w:val="20"/>
          <w:color w:val="auto"/>
        </w:rPr>
      </w:pPr>
    </w:p>
    <w:p>
      <w:pPr>
        <w:sectPr>
          <w:pgSz w:w="11900" w:h="16838" w:orient="portrait"/>
          <w:cols w:equalWidth="0" w:num="2">
            <w:col w:w="5360" w:space="360"/>
            <w:col w:w="5140"/>
          </w:cols>
          <w:pgMar w:left="320" w:top="459" w:right="719" w:bottom="1440" w:gutter="0" w:footer="0" w:header="0"/>
          <w:type w:val="continuous"/>
        </w:sectPr>
      </w:pPr>
    </w:p>
    <w:p>
      <w:pPr>
        <w:spacing w:after="0" w:line="34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19</w:t>
      </w:r>
    </w:p>
    <w:p>
      <w:pPr>
        <w:sectPr>
          <w:pgSz w:w="11900" w:h="16838" w:orient="portrait"/>
          <w:cols w:equalWidth="0" w:num="1">
            <w:col w:w="10860"/>
          </w:cols>
          <w:pgMar w:left="320" w:top="459" w:right="7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4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 xml:space="preserve">Our ESG strategy is realized through robust human capital management emphasizing leadership development and employee engagement; innovative product development focused on key sustainability trends like electrification and connectivity; and policies, procedures and practices that ensure alignment with our core value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In addition, we value transparency of reporting and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working to align our sustainability disclosures to the standards of the Global Reporting Initiative (GRI), the Sustainability Accounting Standards Board (SASB) and the Task Force on Climate-Related Financial Disclosures (TCFD). We coordinate our sustainability efforts with the United Nations’ Sustainable Development Goals. To learn more, see Lear’s Sustainability Report: https://www.lear.com/sustainability.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-1711325</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20"/>
            <w:col w:w="4840"/>
          </w:cols>
          <w:pgMar w:left="320" w:top="459" w:right="1019" w:bottom="1440" w:gutter="0" w:footer="0" w:header="0"/>
        </w:sectPr>
      </w:pP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ESG Oversight</w:t>
      </w:r>
    </w:p>
    <w:p>
      <w:pPr>
        <w:spacing w:after="0" w:line="128"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Nominating and Corporate Governance Committee of our Board of Directors has responsibility for oversight of the Company’s ESG strategy, including as it pertains to environmental, human rights and other corporate social responsibility matters. To better integrate sustainability considerations throughout the enterprise, Lear also has added specific ESG responsibilities to senior management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144145</wp:posOffset>
            </wp:positionV>
            <wp:extent cx="2468880" cy="2966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6888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80" w:hanging="393"/>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Efforts</w:t>
      </w:r>
    </w:p>
    <w:p>
      <w:pPr>
        <w:spacing w:after="0" w:line="128" w:lineRule="exact"/>
        <w:rPr>
          <w:sz w:val="20"/>
          <w:szCs w:val="20"/>
          <w:color w:val="auto"/>
        </w:rPr>
      </w:pPr>
    </w:p>
    <w:p>
      <w:pPr>
        <w:ind w:left="660" w:right="440"/>
        <w:spacing w:after="0" w:line="251" w:lineRule="auto"/>
        <w:rPr>
          <w:sz w:val="20"/>
          <w:szCs w:val="20"/>
          <w:color w:val="auto"/>
        </w:rPr>
      </w:pPr>
      <w:r>
        <w:rPr>
          <w:rFonts w:ascii="Arial" w:cs="Arial" w:eastAsia="Arial" w:hAnsi="Arial"/>
          <w:sz w:val="16"/>
          <w:szCs w:val="16"/>
          <w:color w:val="auto"/>
        </w:rPr>
        <w:t>We are committed to sustainable products and operations. Our core value of innovation helps us not only to create and utilize environmentally friendly materials, but also to develop advanced technologies that facilitate sustainable, longer-term automotive industry megatrends like electrification and shared mobility. At the same time, our core capability of operational excellence drives us to focus continuously on improving energy efficiency and reducing our consumption of natural resources and creation of waste. More specifically:</w:t>
      </w:r>
    </w:p>
    <w:p>
      <w:pPr>
        <w:spacing w:after="0" w:line="263" w:lineRule="exact"/>
        <w:rPr>
          <w:sz w:val="20"/>
          <w:szCs w:val="20"/>
          <w:color w:val="auto"/>
        </w:rPr>
      </w:pPr>
    </w:p>
    <w:p>
      <w:pPr>
        <w:ind w:left="660"/>
        <w:spacing w:after="0"/>
        <w:tabs>
          <w:tab w:leader="none" w:pos="5900" w:val="left"/>
        </w:tabs>
        <w:rPr>
          <w:sz w:val="20"/>
          <w:szCs w:val="20"/>
          <w:color w:val="auto"/>
        </w:rPr>
      </w:pPr>
      <w:r>
        <w:rPr>
          <w:rFonts w:ascii="Arial" w:cs="Arial" w:eastAsia="Arial" w:hAnsi="Arial"/>
          <w:sz w:val="16"/>
          <w:szCs w:val="16"/>
          <w:b w:val="1"/>
          <w:bCs w:val="1"/>
          <w:i w:val="1"/>
          <w:iCs w:val="1"/>
          <w:color w:val="auto"/>
        </w:rPr>
        <w:t>We set aggressive climate change goals</w:t>
      </w:r>
      <w:r>
        <w:rPr>
          <w:sz w:val="20"/>
          <w:szCs w:val="20"/>
          <w:color w:val="auto"/>
        </w:rPr>
        <w:tab/>
      </w:r>
      <w:r>
        <w:rPr>
          <w:rFonts w:ascii="Arial" w:cs="Arial" w:eastAsia="Arial" w:hAnsi="Arial"/>
          <w:sz w:val="16"/>
          <w:szCs w:val="16"/>
          <w:color w:val="auto"/>
        </w:rPr>
        <w:t>capabilities while also proactively optimizing cabin comfort</w:t>
      </w:r>
    </w:p>
    <w:p>
      <w:pPr>
        <w:sectPr>
          <w:pgSz w:w="11900" w:h="16838" w:orient="portrait"/>
          <w:cols w:equalWidth="0" w:num="1">
            <w:col w:w="10860"/>
          </w:cols>
          <w:pgMar w:left="320" w:top="459" w:right="719" w:bottom="1440" w:gutter="0" w:footer="0" w:header="0"/>
        </w:sectPr>
      </w:pPr>
    </w:p>
    <w:p>
      <w:pPr>
        <w:spacing w:after="0" w:line="147" w:lineRule="exact"/>
        <w:rPr>
          <w:sz w:val="20"/>
          <w:szCs w:val="20"/>
          <w:color w:val="auto"/>
        </w:rPr>
      </w:pPr>
    </w:p>
    <w:p>
      <w:pPr>
        <w:ind w:left="860" w:hanging="191"/>
        <w:spacing w:after="0" w:line="260"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50% reduction in carbon emissions at our manufacturing plants by 2030</w:t>
      </w:r>
    </w:p>
    <w:p>
      <w:pPr>
        <w:spacing w:after="0" w:line="100" w:lineRule="exact"/>
        <w:rPr>
          <w:rFonts w:ascii="Arial" w:cs="Arial" w:eastAsia="Arial" w:hAnsi="Arial"/>
          <w:sz w:val="16"/>
          <w:szCs w:val="16"/>
          <w:color w:val="auto"/>
        </w:rPr>
      </w:pPr>
    </w:p>
    <w:p>
      <w:pPr>
        <w:ind w:left="860" w:right="240" w:hanging="191"/>
        <w:spacing w:after="0" w:line="260"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100% renewable energy for electric power consumed at our manufacturing plants by 2030</w:t>
      </w:r>
    </w:p>
    <w:p>
      <w:pPr>
        <w:spacing w:after="0" w:line="100" w:lineRule="exact"/>
        <w:rPr>
          <w:rFonts w:ascii="Arial" w:cs="Arial" w:eastAsia="Arial" w:hAnsi="Arial"/>
          <w:sz w:val="16"/>
          <w:szCs w:val="16"/>
          <w:color w:val="auto"/>
        </w:rPr>
      </w:pPr>
    </w:p>
    <w:p>
      <w:pPr>
        <w:ind w:left="860" w:hanging="191"/>
        <w:spacing w:after="0"/>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aspiration to be 100% carbon neutral by 2050</w:t>
      </w:r>
    </w:p>
    <w:p>
      <w:pPr>
        <w:spacing w:after="0" w:line="201" w:lineRule="exact"/>
        <w:rPr>
          <w:sz w:val="20"/>
          <w:szCs w:val="20"/>
          <w:color w:val="auto"/>
        </w:rPr>
      </w:pPr>
    </w:p>
    <w:p>
      <w:pPr>
        <w:ind w:left="660" w:right="500"/>
        <w:spacing w:after="0" w:line="286" w:lineRule="auto"/>
        <w:rPr>
          <w:sz w:val="20"/>
          <w:szCs w:val="20"/>
          <w:color w:val="auto"/>
        </w:rPr>
      </w:pPr>
      <w:r>
        <w:rPr>
          <w:rFonts w:ascii="Arial" w:cs="Arial" w:eastAsia="Arial" w:hAnsi="Arial"/>
          <w:sz w:val="16"/>
          <w:szCs w:val="16"/>
          <w:b w:val="1"/>
          <w:bCs w:val="1"/>
          <w:i w:val="1"/>
          <w:iCs w:val="1"/>
          <w:color w:val="auto"/>
        </w:rPr>
        <w:t>Our future-focused technologies enable electrification, enhance safety and use renewable materials</w:t>
      </w:r>
    </w:p>
    <w:p>
      <w:pPr>
        <w:spacing w:after="0" w:line="81" w:lineRule="exact"/>
        <w:rPr>
          <w:sz w:val="20"/>
          <w:szCs w:val="20"/>
          <w:color w:val="auto"/>
        </w:rPr>
      </w:pPr>
    </w:p>
    <w:p>
      <w:pPr>
        <w:ind w:left="860" w:right="80" w:hanging="191"/>
        <w:spacing w:after="0" w:line="253" w:lineRule="auto"/>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on-board battery chargers, battery management systems, high voltage wiring and connection systems are key components of hybrid and electric vehicles</w:t>
      </w:r>
    </w:p>
    <w:p>
      <w:pPr>
        <w:spacing w:after="0" w:line="106" w:lineRule="exact"/>
        <w:rPr>
          <w:rFonts w:ascii="Arial" w:cs="Arial" w:eastAsia="Arial" w:hAnsi="Arial"/>
          <w:sz w:val="16"/>
          <w:szCs w:val="16"/>
          <w:color w:val="auto"/>
        </w:rPr>
      </w:pPr>
    </w:p>
    <w:p>
      <w:pPr>
        <w:ind w:left="860" w:right="40" w:hanging="191"/>
        <w:spacing w:after="0" w:line="260" w:lineRule="auto"/>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Intelligent seating modules and proprietary technology monitor driver biometrics to facilitate enhanced safety</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Social Initiatives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00" w:right="420" w:hanging="197"/>
        <w:spacing w:after="0" w:line="204" w:lineRule="auto"/>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SoyFoam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is made from U.S.-sourced soybeans instead of petroleum, creates four times less emissions than conventional foam and requires 60% less conversion energy to produce</w:t>
      </w:r>
    </w:p>
    <w:p>
      <w:pPr>
        <w:spacing w:after="0" w:line="19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i w:val="1"/>
          <w:iCs w:val="1"/>
          <w:color w:val="auto"/>
        </w:rPr>
        <w:t>We are reducing emissions, saving energy, and conserving natural resources in our operations</w:t>
      </w:r>
    </w:p>
    <w:p>
      <w:pPr>
        <w:spacing w:after="0" w:line="81" w:lineRule="exact"/>
        <w:rPr>
          <w:sz w:val="20"/>
          <w:szCs w:val="20"/>
          <w:color w:val="auto"/>
        </w:rPr>
      </w:pPr>
    </w:p>
    <w:p>
      <w:pPr>
        <w:ind w:left="200" w:hanging="197"/>
        <w:spacing w:after="0"/>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100% of Lear’s eligible manufacturing facilities are currently ISO</w:t>
      </w:r>
    </w:p>
    <w:p>
      <w:pPr>
        <w:spacing w:after="0" w:line="5" w:lineRule="exact"/>
        <w:rPr>
          <w:rFonts w:ascii="Arial" w:cs="Arial" w:eastAsia="Arial" w:hAnsi="Arial"/>
          <w:sz w:val="16"/>
          <w:szCs w:val="16"/>
          <w:color w:val="auto"/>
        </w:rPr>
      </w:pPr>
    </w:p>
    <w:p>
      <w:pPr>
        <w:ind w:left="200" w:right="880"/>
        <w:spacing w:after="0" w:line="260" w:lineRule="auto"/>
        <w:rPr>
          <w:rFonts w:ascii="Arial" w:cs="Arial" w:eastAsia="Arial" w:hAnsi="Arial"/>
          <w:sz w:val="16"/>
          <w:szCs w:val="16"/>
          <w:color w:val="auto"/>
        </w:rPr>
      </w:pPr>
      <w:r>
        <w:rPr>
          <w:rFonts w:ascii="Arial" w:cs="Arial" w:eastAsia="Arial" w:hAnsi="Arial"/>
          <w:sz w:val="16"/>
          <w:szCs w:val="16"/>
          <w:color w:val="auto"/>
        </w:rPr>
        <w:t>14001 compliant and new facilities are required to obtain certification as soon as possible after opening</w:t>
      </w:r>
    </w:p>
    <w:p>
      <w:pPr>
        <w:spacing w:after="0" w:line="100" w:lineRule="exact"/>
        <w:rPr>
          <w:rFonts w:ascii="Arial" w:cs="Arial" w:eastAsia="Arial" w:hAnsi="Arial"/>
          <w:sz w:val="16"/>
          <w:szCs w:val="16"/>
          <w:color w:val="auto"/>
        </w:rPr>
      </w:pPr>
    </w:p>
    <w:p>
      <w:pPr>
        <w:jc w:val="both"/>
        <w:ind w:left="200" w:right="700" w:hanging="197"/>
        <w:spacing w:after="0" w:line="260" w:lineRule="auto"/>
        <w:tabs>
          <w:tab w:leader="none" w:pos="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2020 we published a No Deforestation Policy reinforcing responsible sourcing and conservation of natural resources</w:t>
      </w:r>
    </w:p>
    <w:p>
      <w:pPr>
        <w:spacing w:after="0" w:line="1302"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ind w:left="660" w:right="460"/>
        <w:spacing w:after="0" w:line="260" w:lineRule="auto"/>
        <w:rPr>
          <w:sz w:val="20"/>
          <w:szCs w:val="20"/>
          <w:color w:val="auto"/>
        </w:rPr>
      </w:pPr>
      <w:r>
        <w:rPr>
          <w:rFonts w:ascii="Arial" w:cs="Arial" w:eastAsia="Arial" w:hAnsi="Arial"/>
          <w:sz w:val="16"/>
          <w:szCs w:val="16"/>
          <w:color w:val="auto"/>
        </w:rPr>
        <w:t>We believe the best way to deliver the highest quality products and services is to maintain a work environment that prioritizes safety and fosters collaboration, inclusion, tolerance and respect. More specifically:</w:t>
      </w:r>
    </w:p>
    <w:p>
      <w:pPr>
        <w:sectPr>
          <w:pgSz w:w="11900" w:h="16838" w:orient="portrait"/>
          <w:cols w:equalWidth="0" w:num="1">
            <w:col w:w="10860"/>
          </w:cols>
          <w:pgMar w:left="320" w:top="459" w:right="719" w:bottom="1440" w:gutter="0" w:footer="0" w:header="0"/>
          <w:type w:val="continuous"/>
        </w:sectPr>
      </w:pPr>
    </w:p>
    <w:p>
      <w:pPr>
        <w:spacing w:after="0" w:line="256" w:lineRule="exact"/>
        <w:rPr>
          <w:sz w:val="20"/>
          <w:szCs w:val="20"/>
          <w:color w:val="auto"/>
        </w:rPr>
      </w:pPr>
    </w:p>
    <w:p>
      <w:pPr>
        <w:ind w:left="660" w:right="60"/>
        <w:spacing w:after="0" w:line="266" w:lineRule="auto"/>
        <w:rPr>
          <w:sz w:val="20"/>
          <w:szCs w:val="20"/>
          <w:color w:val="auto"/>
        </w:rPr>
      </w:pPr>
      <w:r>
        <w:rPr>
          <w:rFonts w:ascii="Arial" w:cs="Arial" w:eastAsia="Arial" w:hAnsi="Arial"/>
          <w:sz w:val="16"/>
          <w:szCs w:val="16"/>
          <w:b w:val="1"/>
          <w:bCs w:val="1"/>
          <w:i w:val="1"/>
          <w:iCs w:val="1"/>
          <w:color w:val="auto"/>
        </w:rPr>
        <w:t>We create meaningful employment and development opportunities for our approximately 175,000 team members around the world</w:t>
      </w:r>
    </w:p>
    <w:p>
      <w:pPr>
        <w:spacing w:after="0" w:line="97" w:lineRule="exact"/>
        <w:rPr>
          <w:sz w:val="20"/>
          <w:szCs w:val="20"/>
          <w:color w:val="auto"/>
        </w:rPr>
      </w:pPr>
    </w:p>
    <w:p>
      <w:pPr>
        <w:ind w:left="860" w:right="180" w:hanging="191"/>
        <w:spacing w:after="0" w:line="251"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approximately 150,000 hourly employees receive competitive pay and benefits such as transportation, meals, medical leave, paid holidays and health care as well as transportation and meals in some circumstances</w:t>
      </w:r>
    </w:p>
    <w:p>
      <w:pPr>
        <w:spacing w:after="0" w:line="107" w:lineRule="exact"/>
        <w:rPr>
          <w:rFonts w:ascii="Arial" w:cs="Arial" w:eastAsia="Arial" w:hAnsi="Arial"/>
          <w:sz w:val="16"/>
          <w:szCs w:val="16"/>
          <w:color w:val="auto"/>
        </w:rPr>
      </w:pPr>
    </w:p>
    <w:p>
      <w:pPr>
        <w:ind w:left="860" w:right="120" w:hanging="191"/>
        <w:spacing w:after="0" w:line="260"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provided over 3.7 million hours of employee training and development during the past two years</w:t>
      </w:r>
    </w:p>
    <w:p>
      <w:pPr>
        <w:spacing w:after="0" w:line="100" w:lineRule="exact"/>
        <w:rPr>
          <w:rFonts w:ascii="Arial" w:cs="Arial" w:eastAsia="Arial" w:hAnsi="Arial"/>
          <w:sz w:val="16"/>
          <w:szCs w:val="16"/>
          <w:color w:val="auto"/>
        </w:rPr>
      </w:pPr>
    </w:p>
    <w:p>
      <w:pPr>
        <w:ind w:left="860" w:hanging="191"/>
        <w:spacing w:after="0" w:line="260"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published an updated Human Rights Policy in 2020 that is applicable both to our operations and supply chain partners</w:t>
      </w:r>
    </w:p>
    <w:p>
      <w:pPr>
        <w:spacing w:after="0" w:line="175"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b w:val="1"/>
          <w:bCs w:val="1"/>
          <w:i w:val="1"/>
          <w:iCs w:val="1"/>
          <w:color w:val="auto"/>
        </w:rPr>
        <w:t>We are committed to an engaged workforce, through our Together We Win (TWW) initiative</w:t>
      </w:r>
    </w:p>
    <w:p>
      <w:pPr>
        <w:spacing w:after="0" w:line="81" w:lineRule="exact"/>
        <w:rPr>
          <w:sz w:val="20"/>
          <w:szCs w:val="20"/>
          <w:color w:val="auto"/>
        </w:rPr>
      </w:pPr>
    </w:p>
    <w:p>
      <w:pPr>
        <w:ind w:left="860" w:right="80" w:hanging="191"/>
        <w:spacing w:after="0" w:line="251" w:lineRule="auto"/>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Launched in 2017, TWW is a global employee engagement program focused on driving cultural change in our operations and built around Leadership, Work Environment, Employee Involvement and Team Empowerment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00" w:right="460" w:hanging="197"/>
        <w:spacing w:after="0" w:line="260"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TWW playbook provides best practices and a roadmap for our plants to improve in those four areas</w:t>
      </w:r>
    </w:p>
    <w:p>
      <w:pPr>
        <w:spacing w:after="0" w:line="100" w:lineRule="exact"/>
        <w:rPr>
          <w:rFonts w:ascii="Arial" w:cs="Arial" w:eastAsia="Arial" w:hAnsi="Arial"/>
          <w:sz w:val="16"/>
          <w:szCs w:val="16"/>
          <w:color w:val="auto"/>
        </w:rPr>
      </w:pPr>
    </w:p>
    <w:p>
      <w:pPr>
        <w:ind w:left="200" w:right="400" w:hanging="197"/>
        <w:spacing w:after="0" w:line="260" w:lineRule="auto"/>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Over 200,000 employee surveys to measure engagement have been administered worldwide from 2017 – 2020</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i w:val="1"/>
          <w:iCs w:val="1"/>
          <w:color w:val="auto"/>
        </w:rPr>
        <w:t>We strive for diversity, equity and inclusion (DEI) in all we do</w:t>
      </w:r>
    </w:p>
    <w:p>
      <w:pPr>
        <w:spacing w:after="0" w:line="147" w:lineRule="exact"/>
        <w:rPr>
          <w:sz w:val="20"/>
          <w:szCs w:val="20"/>
          <w:color w:val="auto"/>
        </w:rPr>
      </w:pPr>
    </w:p>
    <w:p>
      <w:pPr>
        <w:jc w:val="both"/>
        <w:ind w:left="200" w:right="620" w:hanging="197"/>
        <w:spacing w:after="0" w:line="251"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2020, we committed to investing in initiatives that address racial inequality and discrimination through a combination of grants to external organizations and internal investments to educate and engage our employees</w:t>
      </w:r>
    </w:p>
    <w:p>
      <w:pPr>
        <w:spacing w:after="0" w:line="91" w:lineRule="exact"/>
        <w:rPr>
          <w:rFonts w:ascii="Arial" w:cs="Arial" w:eastAsia="Arial" w:hAnsi="Arial"/>
          <w:sz w:val="16"/>
          <w:szCs w:val="16"/>
          <w:color w:val="auto"/>
        </w:rPr>
      </w:pPr>
    </w:p>
    <w:p>
      <w:pPr>
        <w:ind w:left="200" w:right="760" w:hanging="197"/>
        <w:spacing w:after="0" w:line="281"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We launched </w:t>
      </w:r>
      <w:r>
        <w:rPr>
          <w:rFonts w:ascii="Arial" w:cs="Arial" w:eastAsia="Arial" w:hAnsi="Arial"/>
          <w:sz w:val="16"/>
          <w:szCs w:val="16"/>
          <w:i w:val="1"/>
          <w:iCs w:val="1"/>
          <w:color w:val="auto"/>
        </w:rPr>
        <w:t>Together We Belong</w:t>
      </w:r>
      <w:r>
        <w:rPr>
          <w:rFonts w:ascii="Arial" w:cs="Arial" w:eastAsia="Arial" w:hAnsi="Arial"/>
          <w:sz w:val="16"/>
          <w:szCs w:val="16"/>
          <w:color w:val="auto"/>
        </w:rPr>
        <w:t>, a new DEI educational campaign</w:t>
      </w:r>
    </w:p>
    <w:p>
      <w:pPr>
        <w:spacing w:after="0" w:line="84" w:lineRule="exact"/>
        <w:rPr>
          <w:rFonts w:ascii="Arial" w:cs="Arial" w:eastAsia="Arial" w:hAnsi="Arial"/>
          <w:sz w:val="16"/>
          <w:szCs w:val="16"/>
          <w:color w:val="auto"/>
        </w:rPr>
      </w:pPr>
    </w:p>
    <w:p>
      <w:pPr>
        <w:ind w:left="200" w:right="380" w:hanging="197"/>
        <w:spacing w:after="0" w:line="253"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formed an Executive Diversity Counsel to develop a comprehensive diversity, equity and inclusion strategy, prioritize activities and drive accountability and results</w:t>
      </w:r>
    </w:p>
    <w:p>
      <w:pPr>
        <w:spacing w:after="0" w:line="106" w:lineRule="exact"/>
        <w:rPr>
          <w:rFonts w:ascii="Arial" w:cs="Arial" w:eastAsia="Arial" w:hAnsi="Arial"/>
          <w:sz w:val="16"/>
          <w:szCs w:val="16"/>
          <w:color w:val="auto"/>
        </w:rPr>
      </w:pPr>
    </w:p>
    <w:p>
      <w:pPr>
        <w:ind w:left="200" w:right="320" w:hanging="197"/>
        <w:spacing w:after="0" w:line="253"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support employee-led, volunteer resource groups open to all employees with the goal to improve attraction, retention, inclusion and engagement of a diverse and global workforce</w:t>
      </w:r>
    </w:p>
    <w:p>
      <w:pPr>
        <w:spacing w:after="0" w:line="200" w:lineRule="exact"/>
        <w:rPr>
          <w:sz w:val="20"/>
          <w:szCs w:val="20"/>
          <w:color w:val="auto"/>
        </w:rPr>
      </w:pPr>
    </w:p>
    <w:p>
      <w:pPr>
        <w:sectPr>
          <w:pgSz w:w="11900" w:h="16838" w:orient="portrait"/>
          <w:cols w:equalWidth="0" w:num="2">
            <w:col w:w="5300" w:space="420"/>
            <w:col w:w="5140"/>
          </w:cols>
          <w:pgMar w:left="320" w:top="459" w:right="719" w:bottom="1440" w:gutter="0" w:footer="0" w:header="0"/>
          <w:type w:val="continuous"/>
        </w:sectPr>
      </w:pPr>
    </w:p>
    <w:p>
      <w:pPr>
        <w:spacing w:after="0" w:line="34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21</w:t>
      </w:r>
    </w:p>
    <w:p>
      <w:pPr>
        <w:sectPr>
          <w:pgSz w:w="11900" w:h="16838" w:orient="portrait"/>
          <w:cols w:equalWidth="0" w:num="1">
            <w:col w:w="10860"/>
          </w:cols>
          <w:pgMar w:left="320" w:top="459" w:right="7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47" w:lineRule="exact"/>
        <w:rPr>
          <w:sz w:val="20"/>
          <w:szCs w:val="20"/>
          <w:color w:val="auto"/>
        </w:rPr>
      </w:pPr>
    </w:p>
    <w:p>
      <w:pPr>
        <w:ind w:left="860" w:hanging="191"/>
        <w:spacing w:after="0" w:line="260"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have spent approximately $4.6 billion with diverse suppliers in the past 10 years</w:t>
      </w:r>
    </w:p>
    <w:p>
      <w:pPr>
        <w:spacing w:after="0" w:line="100" w:lineRule="exact"/>
        <w:rPr>
          <w:rFonts w:ascii="Arial" w:cs="Arial" w:eastAsia="Arial" w:hAnsi="Arial"/>
          <w:sz w:val="16"/>
          <w:szCs w:val="16"/>
          <w:color w:val="auto"/>
        </w:rPr>
      </w:pPr>
    </w:p>
    <w:p>
      <w:pPr>
        <w:ind w:left="860" w:right="340" w:hanging="191"/>
        <w:spacing w:after="0" w:line="251"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teams completed more than 125,000 hours of DEI and Expect Respect training, which addresses harassment, nondiscrimination and zero-tolerance for retaliation, during 2019-2020</w:t>
      </w:r>
    </w:p>
    <w:p>
      <w:pPr>
        <w:spacing w:after="0" w:line="107" w:lineRule="exact"/>
        <w:rPr>
          <w:rFonts w:ascii="Arial" w:cs="Arial" w:eastAsia="Arial" w:hAnsi="Arial"/>
          <w:sz w:val="16"/>
          <w:szCs w:val="16"/>
          <w:color w:val="auto"/>
        </w:rPr>
      </w:pPr>
    </w:p>
    <w:p>
      <w:pPr>
        <w:ind w:left="860" w:right="320" w:hanging="191"/>
        <w:spacing w:after="0" w:line="251"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pay equity study of almost 20,000 salaried employees indicated that less than 1.5% of women required a pay adjustment to base pay and that Lear consistently provides equitable promotion opportunities to men and women.</w:t>
      </w:r>
    </w:p>
    <w:p>
      <w:pPr>
        <w:spacing w:after="0" w:line="182" w:lineRule="exact"/>
        <w:rPr>
          <w:sz w:val="20"/>
          <w:szCs w:val="20"/>
          <w:color w:val="auto"/>
        </w:rPr>
      </w:pPr>
    </w:p>
    <w:p>
      <w:pPr>
        <w:ind w:left="660" w:right="160"/>
        <w:spacing w:after="0" w:line="266" w:lineRule="auto"/>
        <w:rPr>
          <w:sz w:val="20"/>
          <w:szCs w:val="20"/>
          <w:color w:val="auto"/>
        </w:rPr>
      </w:pPr>
      <w:r>
        <w:rPr>
          <w:rFonts w:ascii="Arial" w:cs="Arial" w:eastAsia="Arial" w:hAnsi="Arial"/>
          <w:sz w:val="16"/>
          <w:szCs w:val="16"/>
          <w:b w:val="1"/>
          <w:bCs w:val="1"/>
          <w:i w:val="1"/>
          <w:iCs w:val="1"/>
          <w:color w:val="auto"/>
        </w:rPr>
        <w:t>We took significant steps to ensure the health and safety or our employees during the COVID-19 pandemic and shared those resources with the broader community</w:t>
      </w:r>
    </w:p>
    <w:p>
      <w:pPr>
        <w:spacing w:after="0" w:line="97" w:lineRule="exact"/>
        <w:rPr>
          <w:sz w:val="20"/>
          <w:szCs w:val="20"/>
          <w:color w:val="auto"/>
        </w:rPr>
      </w:pPr>
    </w:p>
    <w:p>
      <w:pPr>
        <w:ind w:left="860" w:right="40" w:hanging="191"/>
        <w:spacing w:after="0" w:line="260"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developed a Safe Work Playbook to standardize the way in which our plants would reopen and operate during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auto"/>
        </w:rPr>
        <w:t>the pandemic and made this resource publicly available at no cost. It has been downloaded more than 35,000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-1119505</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ind w:left="200" w:right="400" w:hanging="197"/>
        <w:spacing w:after="0" w:line="260" w:lineRule="auto"/>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produced more than 10 million protective masks for our employees and first responders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Lear employees dedicate themselves to supporting the global communities where they live and work</w:t>
      </w:r>
    </w:p>
    <w:p>
      <w:pPr>
        <w:spacing w:after="0" w:line="81" w:lineRule="exact"/>
        <w:rPr>
          <w:sz w:val="20"/>
          <w:szCs w:val="20"/>
          <w:color w:val="auto"/>
        </w:rPr>
      </w:pPr>
    </w:p>
    <w:p>
      <w:pPr>
        <w:ind w:left="200" w:right="40" w:hanging="197"/>
        <w:spacing w:after="0" w:line="253"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Michigan-based employees donated $1 million to local and global charities during 2020 through our annual Company giving initiative</w:t>
      </w:r>
    </w:p>
    <w:p>
      <w:pPr>
        <w:spacing w:after="0" w:line="106" w:lineRule="exact"/>
        <w:rPr>
          <w:rFonts w:ascii="Arial" w:cs="Arial" w:eastAsia="Arial" w:hAnsi="Arial"/>
          <w:sz w:val="16"/>
          <w:szCs w:val="16"/>
          <w:color w:val="auto"/>
        </w:rPr>
      </w:pPr>
    </w:p>
    <w:p>
      <w:pPr>
        <w:ind w:left="200" w:right="240" w:hanging="197"/>
        <w:spacing w:after="0" w:line="260"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Focus on the Drive distracted driving awareness initiative has gathered more than 39,000 pledge signatures globally</w:t>
      </w:r>
    </w:p>
    <w:p>
      <w:pPr>
        <w:spacing w:after="0" w:line="100" w:lineRule="exact"/>
        <w:rPr>
          <w:rFonts w:ascii="Arial" w:cs="Arial" w:eastAsia="Arial" w:hAnsi="Arial"/>
          <w:sz w:val="16"/>
          <w:szCs w:val="16"/>
          <w:color w:val="auto"/>
        </w:rPr>
      </w:pPr>
    </w:p>
    <w:p>
      <w:pPr>
        <w:ind w:left="200" w:right="360" w:hanging="197"/>
        <w:spacing w:after="0" w:line="260" w:lineRule="auto"/>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2020 Lear became a signatory of the United Nations Global Compact</w:t>
      </w:r>
    </w:p>
    <w:p>
      <w:pPr>
        <w:spacing w:after="0" w:line="456" w:lineRule="exact"/>
        <w:rPr>
          <w:sz w:val="20"/>
          <w:szCs w:val="20"/>
          <w:color w:val="auto"/>
        </w:rPr>
      </w:pPr>
    </w:p>
    <w:p>
      <w:pPr>
        <w:sectPr>
          <w:pgSz w:w="11900" w:h="16838" w:orient="portrait"/>
          <w:cols w:equalWidth="0" w:num="2">
            <w:col w:w="5420" w:space="300"/>
            <w:col w:w="4840"/>
          </w:cols>
          <w:pgMar w:left="320" w:top="459" w:right="101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Governance</w:t>
      </w:r>
    </w:p>
    <w:p>
      <w:pPr>
        <w:spacing w:after="0" w:line="112" w:lineRule="exact"/>
        <w:rPr>
          <w:sz w:val="20"/>
          <w:szCs w:val="20"/>
          <w:color w:val="auto"/>
        </w:rPr>
      </w:pPr>
    </w:p>
    <w:p>
      <w:pPr>
        <w:ind w:left="660" w:right="160"/>
        <w:spacing w:after="0" w:line="263" w:lineRule="auto"/>
        <w:rPr>
          <w:sz w:val="20"/>
          <w:szCs w:val="20"/>
          <w:color w:val="auto"/>
        </w:rPr>
      </w:pPr>
      <w:r>
        <w:rPr>
          <w:rFonts w:ascii="Arial" w:cs="Arial" w:eastAsia="Arial" w:hAnsi="Arial"/>
          <w:sz w:val="16"/>
          <w:szCs w:val="16"/>
          <w:color w:val="auto"/>
        </w:rPr>
        <w:t xml:space="preserve">Governance at Lear is driven by our commitment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This means not only developing systems and processes to ensure compliance with regulations and company policies, but also creating a culture of ethics and integrity in everything we do. We expect our supply chain partners to share and demonstrate the same commitment, and we work with them to reinforce this expectation.</w:t>
      </w:r>
    </w:p>
    <w:p>
      <w:pPr>
        <w:sectPr>
          <w:pgSz w:w="11900" w:h="16838" w:orient="portrait"/>
          <w:cols w:equalWidth="0" w:num="1">
            <w:col w:w="10560"/>
          </w:cols>
          <w:pgMar w:left="320" w:top="459" w:right="1019" w:bottom="1440" w:gutter="0" w:footer="0" w:header="0"/>
          <w:type w:val="continuous"/>
        </w:sect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an experienced and diverse Board of Directors</w:t>
      </w:r>
    </w:p>
    <w:p>
      <w:pPr>
        <w:spacing w:after="0" w:line="147" w:lineRule="exact"/>
        <w:rPr>
          <w:sz w:val="20"/>
          <w:szCs w:val="20"/>
          <w:color w:val="auto"/>
        </w:rPr>
      </w:pPr>
    </w:p>
    <w:p>
      <w:pPr>
        <w:ind w:left="860" w:hanging="191"/>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45% of our Directors are diverse by ethnicity and/or gender</w:t>
      </w:r>
    </w:p>
    <w:p>
      <w:pPr>
        <w:spacing w:after="0" w:line="126" w:lineRule="exact"/>
        <w:rPr>
          <w:rFonts w:ascii="Arial" w:cs="Arial" w:eastAsia="Arial" w:hAnsi="Arial"/>
          <w:sz w:val="16"/>
          <w:szCs w:val="16"/>
          <w:color w:val="auto"/>
        </w:rPr>
      </w:pPr>
    </w:p>
    <w:p>
      <w:pPr>
        <w:ind w:left="860" w:hanging="191"/>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page 17 for a description of Director skills and experiences</w:t>
      </w:r>
    </w:p>
    <w:p>
      <w:pPr>
        <w:spacing w:after="0" w:line="201" w:lineRule="exact"/>
        <w:rPr>
          <w:sz w:val="20"/>
          <w:szCs w:val="20"/>
          <w:color w:val="auto"/>
        </w:rPr>
      </w:pPr>
    </w:p>
    <w:p>
      <w:pPr>
        <w:ind w:left="660" w:right="820"/>
        <w:spacing w:after="0" w:line="286" w:lineRule="auto"/>
        <w:rPr>
          <w:sz w:val="20"/>
          <w:szCs w:val="20"/>
          <w:color w:val="auto"/>
        </w:rPr>
      </w:pPr>
      <w:r>
        <w:rPr>
          <w:rFonts w:ascii="Arial" w:cs="Arial" w:eastAsia="Arial" w:hAnsi="Arial"/>
          <w:sz w:val="16"/>
          <w:szCs w:val="16"/>
          <w:b w:val="1"/>
          <w:bCs w:val="1"/>
          <w:i w:val="1"/>
          <w:iCs w:val="1"/>
          <w:color w:val="auto"/>
        </w:rPr>
        <w:t>Our cybersecurity efforts protect our products, our customers and our enterprise</w:t>
      </w:r>
    </w:p>
    <w:p>
      <w:pPr>
        <w:spacing w:after="0" w:line="81" w:lineRule="exact"/>
        <w:rPr>
          <w:sz w:val="20"/>
          <w:szCs w:val="20"/>
          <w:color w:val="auto"/>
        </w:rPr>
      </w:pPr>
    </w:p>
    <w:p>
      <w:pPr>
        <w:jc w:val="both"/>
        <w:ind w:left="860" w:right="120" w:hanging="191"/>
        <w:spacing w:after="0" w:line="253" w:lineRule="auto"/>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Lear’s inhouse cybersecurity software experts design security into our components and offer security monitoring throughout the life cycle of the vehicle</w:t>
      </w:r>
    </w:p>
    <w:p>
      <w:pPr>
        <w:spacing w:after="0" w:line="106" w:lineRule="exact"/>
        <w:rPr>
          <w:rFonts w:ascii="Arial" w:cs="Arial" w:eastAsia="Arial" w:hAnsi="Arial"/>
          <w:sz w:val="16"/>
          <w:szCs w:val="16"/>
          <w:color w:val="auto"/>
        </w:rPr>
      </w:pPr>
    </w:p>
    <w:p>
      <w:pPr>
        <w:ind w:left="860" w:right="100" w:hanging="191"/>
        <w:spacing w:after="0" w:line="251" w:lineRule="auto"/>
        <w:tabs>
          <w:tab w:leader="none" w:pos="8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Lear has an experienced enterprise cybersecurity team, many of whom possess industry-leading certifications like those offered by the International Information System Security Consortium and Certified Ethical Hacker</w:t>
      </w:r>
    </w:p>
    <w:p>
      <w:pPr>
        <w:spacing w:after="0" w:line="182" w:lineRule="exact"/>
        <w:rPr>
          <w:sz w:val="20"/>
          <w:szCs w:val="20"/>
          <w:color w:val="auto"/>
        </w:rPr>
      </w:pPr>
    </w:p>
    <w:p>
      <w:pPr>
        <w:ind w:left="660" w:right="600"/>
        <w:spacing w:after="0" w:line="286" w:lineRule="auto"/>
        <w:rPr>
          <w:sz w:val="20"/>
          <w:szCs w:val="20"/>
          <w:color w:val="auto"/>
        </w:rPr>
      </w:pPr>
      <w:r>
        <w:rPr>
          <w:rFonts w:ascii="Arial" w:cs="Arial" w:eastAsia="Arial" w:hAnsi="Arial"/>
          <w:sz w:val="16"/>
          <w:szCs w:val="16"/>
          <w:b w:val="1"/>
          <w:bCs w:val="1"/>
          <w:i w:val="1"/>
          <w:iCs w:val="1"/>
          <w:color w:val="auto"/>
        </w:rPr>
        <w:t>We partner with our suppliers to ensure sustainability throughout the supply chain</w:t>
      </w:r>
    </w:p>
    <w:p>
      <w:pPr>
        <w:spacing w:after="0" w:line="81" w:lineRule="exact"/>
        <w:rPr>
          <w:sz w:val="20"/>
          <w:szCs w:val="20"/>
          <w:color w:val="auto"/>
        </w:rPr>
      </w:pPr>
    </w:p>
    <w:p>
      <w:pPr>
        <w:ind w:left="860" w:right="60" w:hanging="191"/>
        <w:spacing w:after="0" w:line="253"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require suppliers to comply with our Supplier Sustainability Policy, which includes commitments to human rights, environmental standards and safe working conditions</w:t>
      </w:r>
    </w:p>
    <w:p>
      <w:pPr>
        <w:spacing w:after="0" w:line="106" w:lineRule="exact"/>
        <w:rPr>
          <w:rFonts w:ascii="Arial" w:cs="Arial" w:eastAsia="Arial" w:hAnsi="Arial"/>
          <w:sz w:val="16"/>
          <w:szCs w:val="16"/>
          <w:color w:val="auto"/>
        </w:rPr>
      </w:pPr>
    </w:p>
    <w:p>
      <w:pPr>
        <w:ind w:left="860" w:right="540" w:hanging="191"/>
        <w:spacing w:after="0" w:line="260" w:lineRule="auto"/>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intend to assess systematically all global production suppliers against ESG criteria by the end of 2022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Other key aspects of our corporate governance efforts include:</w:t>
      </w:r>
    </w:p>
    <w:p>
      <w:pPr>
        <w:spacing w:after="0" w:line="127" w:lineRule="exact"/>
        <w:rPr>
          <w:sz w:val="20"/>
          <w:szCs w:val="20"/>
          <w:color w:val="auto"/>
        </w:rPr>
      </w:pPr>
    </w:p>
    <w:p>
      <w:pPr>
        <w:ind w:left="200" w:right="600" w:hanging="197"/>
        <w:spacing w:after="0" w:line="260" w:lineRule="auto"/>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of our director nominees are independent, except our President and Chief Executive Officer.</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have a non-executive Chairman of the Board.</w:t>
      </w:r>
    </w:p>
    <w:p>
      <w:pPr>
        <w:spacing w:after="0" w:line="126" w:lineRule="exact"/>
        <w:rPr>
          <w:rFonts w:ascii="Arial" w:cs="Arial" w:eastAsia="Arial" w:hAnsi="Arial"/>
          <w:sz w:val="16"/>
          <w:szCs w:val="16"/>
          <w:color w:val="auto"/>
        </w:rPr>
      </w:pPr>
    </w:p>
    <w:p>
      <w:pPr>
        <w:ind w:left="200" w:right="340" w:hanging="197"/>
        <w:spacing w:after="0" w:line="260" w:lineRule="auto"/>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have a majority voting standard with director resignation policy for uncontested director elections.</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have robust stock ownership guidelines.</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Risk oversight is conducted by the full Board and committees.</w:t>
      </w:r>
    </w:p>
    <w:p>
      <w:pPr>
        <w:spacing w:after="0" w:line="126" w:lineRule="exact"/>
        <w:rPr>
          <w:rFonts w:ascii="Arial" w:cs="Arial" w:eastAsia="Arial" w:hAnsi="Arial"/>
          <w:sz w:val="16"/>
          <w:szCs w:val="16"/>
          <w:color w:val="auto"/>
        </w:rPr>
      </w:pPr>
    </w:p>
    <w:p>
      <w:pPr>
        <w:ind w:left="200" w:right="440" w:hanging="197"/>
        <w:spacing w:after="0" w:line="260" w:lineRule="auto"/>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of our Audit, Compensation and Nominating Committee members are independent.</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directors are elected annually.</w:t>
      </w:r>
    </w:p>
    <w:p>
      <w:pPr>
        <w:spacing w:after="0" w:line="126" w:lineRule="exact"/>
        <w:rPr>
          <w:rFonts w:ascii="Arial" w:cs="Arial" w:eastAsia="Arial" w:hAnsi="Arial"/>
          <w:sz w:val="16"/>
          <w:szCs w:val="16"/>
          <w:color w:val="auto"/>
        </w:rPr>
      </w:pPr>
    </w:p>
    <w:p>
      <w:pPr>
        <w:ind w:left="200" w:hanging="197"/>
        <w:spacing w:after="0" w:line="260" w:lineRule="auto"/>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Executive sessions of independent directors are held at regularly scheduled Board meetings.</w:t>
      </w:r>
    </w:p>
    <w:p>
      <w:pPr>
        <w:spacing w:after="0" w:line="100" w:lineRule="exact"/>
        <w:rPr>
          <w:rFonts w:ascii="Arial" w:cs="Arial" w:eastAsia="Arial" w:hAnsi="Arial"/>
          <w:sz w:val="16"/>
          <w:szCs w:val="16"/>
          <w:color w:val="auto"/>
        </w:rPr>
      </w:pPr>
    </w:p>
    <w:p>
      <w:pPr>
        <w:ind w:left="200" w:right="80" w:hanging="197"/>
        <w:spacing w:after="0" w:line="260" w:lineRule="auto"/>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Excellent track record of attendance at all Board and committee meetings in 2020.</w:t>
      </w:r>
    </w:p>
    <w:p>
      <w:pPr>
        <w:spacing w:after="0" w:line="100" w:lineRule="exact"/>
        <w:rPr>
          <w:rFonts w:ascii="Arial" w:cs="Arial" w:eastAsia="Arial" w:hAnsi="Arial"/>
          <w:sz w:val="16"/>
          <w:szCs w:val="16"/>
          <w:color w:val="auto"/>
        </w:rPr>
      </w:pPr>
    </w:p>
    <w:p>
      <w:pPr>
        <w:ind w:left="200" w:hanging="197"/>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Board and committees complete self-evaluations.</w:t>
      </w:r>
    </w:p>
    <w:p>
      <w:pPr>
        <w:spacing w:after="0" w:line="221"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Board has approved Corporate Governance Guidelines and a Code of Business Conduct and Ethics. Our corporate governance documents, including the Corporate Governance</w:t>
      </w:r>
    </w:p>
    <w:p>
      <w:pPr>
        <w:spacing w:after="0" w:line="200" w:lineRule="exact"/>
        <w:rPr>
          <w:sz w:val="20"/>
          <w:szCs w:val="20"/>
          <w:color w:val="auto"/>
        </w:rPr>
      </w:pPr>
    </w:p>
    <w:p>
      <w:pPr>
        <w:sectPr>
          <w:pgSz w:w="11900" w:h="16838" w:orient="portrait"/>
          <w:cols w:equalWidth="0" w:num="2">
            <w:col w:w="5400" w:space="320"/>
            <w:col w:w="4840"/>
          </w:cols>
          <w:pgMar w:left="320" w:top="459" w:right="1019" w:bottom="1440" w:gutter="0" w:footer="0" w:header="0"/>
          <w:type w:val="continuous"/>
        </w:sectPr>
      </w:pPr>
    </w:p>
    <w:p>
      <w:pPr>
        <w:spacing w:after="0" w:line="341" w:lineRule="exact"/>
        <w:rPr>
          <w:sz w:val="20"/>
          <w:szCs w:val="20"/>
          <w:color w:val="auto"/>
        </w:rPr>
      </w:pPr>
    </w:p>
    <w:p>
      <w:pPr>
        <w:ind w:left="780" w:hanging="393"/>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46" w:lineRule="auto"/>
        <w:rPr>
          <w:sz w:val="20"/>
          <w:szCs w:val="20"/>
          <w:color w:val="auto"/>
        </w:rPr>
      </w:pPr>
      <w:r>
        <w:rPr>
          <w:rFonts w:ascii="Arial" w:cs="Arial" w:eastAsia="Arial" w:hAnsi="Arial"/>
          <w:sz w:val="16"/>
          <w:szCs w:val="16"/>
          <w:color w:val="auto"/>
        </w:rPr>
        <w:t>Guidelines, the Code of Business Conduct and Ethics and committee charters, are available on our website at www.lear.com or in printed form upon request by contacting Lear Corporation at 21557 Telegraph Road, Southfield, Michigan 48033, Attention: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Investor Relations. The Board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200"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15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Gregory C. Smith is our Non-Executive Chairman of the Board and has served in that role since May 2020. Our Board has decided to maintain separate non-executive chairperson and CEO roles to allow our CEO to focus on the execution of our business strategy, growth and development, while allowing the non-executive chairperson to lead the Board in its fundamental role of providing advice to, and independent oversight of, management. The Board recognizes the time, effort and energy that the CEO is required to devote to 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420"/>
        <w:spacing w:after="0" w:line="248" w:lineRule="auto"/>
        <w:rPr>
          <w:sz w:val="20"/>
          <w:szCs w:val="20"/>
          <w:color w:val="auto"/>
        </w:rPr>
      </w:pPr>
      <w:r>
        <w:rPr>
          <w:rFonts w:ascii="Arial" w:cs="Arial" w:eastAsia="Arial" w:hAnsi="Arial"/>
          <w:sz w:val="16"/>
          <w:szCs w:val="16"/>
          <w:color w:val="auto"/>
        </w:rPr>
        <w:t>position in the current business environment, as well as the commitment required to serve as our Chairman. While our Bylaws and Corporate Governance Guidelines do not require that our non-executive chairperson and CEO positions be separate, the Board believes that having separate positions and having an independent director serve as non-executive chairperson is the appropriate leadership structure for the Company at this time.</w:t>
      </w:r>
    </w:p>
    <w:p>
      <w:pPr>
        <w:spacing w:after="0" w:line="580"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Meetings</w:t>
      </w:r>
    </w:p>
    <w:p>
      <w:pPr>
        <w:spacing w:after="0" w:line="196" w:lineRule="exact"/>
        <w:rPr>
          <w:sz w:val="20"/>
          <w:szCs w:val="20"/>
          <w:color w:val="auto"/>
        </w:rPr>
      </w:pPr>
    </w:p>
    <w:p>
      <w:pPr>
        <w:ind w:left="660" w:right="320"/>
        <w:spacing w:after="0" w:line="250" w:lineRule="auto"/>
        <w:rPr>
          <w:sz w:val="20"/>
          <w:szCs w:val="20"/>
          <w:color w:val="auto"/>
        </w:rPr>
      </w:pPr>
      <w:r>
        <w:rPr>
          <w:rFonts w:ascii="Arial" w:cs="Arial" w:eastAsia="Arial" w:hAnsi="Arial"/>
          <w:sz w:val="16"/>
          <w:szCs w:val="16"/>
          <w:color w:val="auto"/>
        </w:rPr>
        <w:t>In 2020, our Board held 17 meetings. In addition to our Board meetings, our directors attend meetings of committees established by our Board. Each of Lear’s director nominees attended at least 75% of the meetings of our Board and the committees on which he or she served during 2020 that were</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96"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2020, our annual meeting of stockholders was held on May 21, 2020, in virtual format, and all directors attended.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management present. Mr. Smith, our Non-Executive Chairman, has presided over these executive sessions through the Annual Meeting.</w:t>
      </w:r>
    </w:p>
    <w:p>
      <w:pPr>
        <w:spacing w:after="0" w:line="200"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28" w:lineRule="exact"/>
        <w:rPr>
          <w:sz w:val="20"/>
          <w:szCs w:val="20"/>
          <w:color w:val="auto"/>
        </w:rPr>
      </w:pPr>
    </w:p>
    <w:p>
      <w:pPr>
        <w:ind w:left="660" w:right="740"/>
        <w:spacing w:after="0" w:line="260"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440" w:type="dxa"/>
            <w:vAlign w:val="bottom"/>
          </w:tcPr>
          <w:p>
            <w:pPr>
              <w:jc w:val="center"/>
              <w:ind w:left="2281"/>
              <w:spacing w:after="0"/>
              <w:rPr>
                <w:sz w:val="20"/>
                <w:szCs w:val="20"/>
                <w:color w:val="auto"/>
              </w:rPr>
            </w:pPr>
            <w:r>
              <w:rPr>
                <w:rFonts w:ascii="Arial" w:cs="Arial" w:eastAsia="Arial" w:hAnsi="Arial"/>
                <w:sz w:val="14"/>
                <w:szCs w:val="14"/>
                <w:b w:val="1"/>
                <w:bCs w:val="1"/>
                <w:color w:val="E2231A"/>
              </w:rPr>
              <w:t>Audit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E2231A"/>
              </w:rPr>
              <w:t>Compensation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Nominating</w:t>
            </w:r>
          </w:p>
        </w:tc>
      </w:tr>
      <w:tr>
        <w:trPr>
          <w:trHeight w:val="189"/>
        </w:trPr>
        <w:tc>
          <w:tcPr>
            <w:tcW w:w="4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Directors</w:t>
            </w:r>
          </w:p>
        </w:tc>
        <w:tc>
          <w:tcPr>
            <w:tcW w:w="3440" w:type="dxa"/>
            <w:vAlign w:val="bottom"/>
            <w:tcBorders>
              <w:bottom w:val="single" w:sz="8" w:color="auto"/>
            </w:tcBorders>
          </w:tcPr>
          <w:p>
            <w:pPr>
              <w:jc w:val="center"/>
              <w:ind w:left="2301"/>
              <w:spacing w:after="0"/>
              <w:rPr>
                <w:sz w:val="20"/>
                <w:szCs w:val="20"/>
                <w:color w:val="auto"/>
              </w:rPr>
            </w:pPr>
            <w:r>
              <w:rPr>
                <w:rFonts w:ascii="Arial" w:cs="Arial" w:eastAsia="Arial" w:hAnsi="Arial"/>
                <w:sz w:val="14"/>
                <w:szCs w:val="14"/>
                <w:b w:val="1"/>
                <w:bCs w:val="1"/>
                <w:color w:val="E2231A"/>
              </w:rPr>
              <w:t>Committee</w:t>
            </w:r>
          </w:p>
        </w:tc>
        <w:tc>
          <w:tcPr>
            <w:tcW w:w="13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E2231A"/>
              </w:rPr>
              <w:t>Committee</w:t>
            </w:r>
            <w:r>
              <w:rPr>
                <w:rFonts w:ascii="Arial" w:cs="Arial" w:eastAsia="Arial" w:hAnsi="Arial"/>
                <w:sz w:val="21"/>
                <w:szCs w:val="21"/>
                <w:b w:val="1"/>
                <w:bCs w:val="1"/>
                <w:color w:val="E2231A"/>
                <w:vertAlign w:val="superscript"/>
              </w:rPr>
              <w:t>(1)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Committee</w:t>
            </w:r>
          </w:p>
        </w:tc>
      </w:tr>
      <w:tr>
        <w:trPr>
          <w:trHeight w:val="236"/>
        </w:trPr>
        <w:tc>
          <w:tcPr>
            <w:tcW w:w="414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P. Capo</w:t>
            </w:r>
          </w:p>
        </w:tc>
        <w:tc>
          <w:tcPr>
            <w:tcW w:w="3440" w:type="dxa"/>
            <w:vAlign w:val="bottom"/>
            <w:shd w:val="clear" w:color="auto" w:fill="FCE9E8"/>
          </w:tcPr>
          <w:p>
            <w:pPr>
              <w:jc w:val="center"/>
              <w:ind w:left="2281"/>
              <w:spacing w:after="0"/>
              <w:rPr>
                <w:sz w:val="20"/>
                <w:szCs w:val="20"/>
                <w:color w:val="auto"/>
              </w:rPr>
            </w:pPr>
            <w:r>
              <w:rPr>
                <w:rFonts w:ascii="Arial" w:cs="Arial" w:eastAsia="Arial" w:hAnsi="Arial"/>
                <w:sz w:val="16"/>
                <w:szCs w:val="16"/>
                <w:color w:val="auto"/>
              </w:rPr>
              <w:t>X</w:t>
            </w:r>
          </w:p>
        </w:tc>
        <w:tc>
          <w:tcPr>
            <w:tcW w:w="13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86"/>
              </w:rPr>
              <w:t>C</w:t>
            </w:r>
          </w:p>
        </w:tc>
        <w:tc>
          <w:tcPr>
            <w:tcW w:w="1020" w:type="dxa"/>
            <w:vAlign w:val="bottom"/>
            <w:shd w:val="clear" w:color="auto" w:fill="FCE9E8"/>
          </w:tcPr>
          <w:p>
            <w:pPr>
              <w:spacing w:after="0"/>
              <w:rPr>
                <w:sz w:val="20"/>
                <w:szCs w:val="20"/>
                <w:color w:val="auto"/>
              </w:rPr>
            </w:pPr>
          </w:p>
        </w:tc>
      </w:tr>
      <w:tr>
        <w:trPr>
          <w:trHeight w:val="233"/>
        </w:trPr>
        <w:tc>
          <w:tcPr>
            <w:tcW w:w="4140" w:type="dxa"/>
            <w:vAlign w:val="bottom"/>
          </w:tcPr>
          <w:p>
            <w:pPr>
              <w:ind w:left="80"/>
              <w:spacing w:after="0"/>
              <w:rPr>
                <w:sz w:val="20"/>
                <w:szCs w:val="20"/>
                <w:color w:val="auto"/>
              </w:rPr>
            </w:pPr>
            <w:r>
              <w:rPr>
                <w:rFonts w:ascii="Arial" w:cs="Arial" w:eastAsia="Arial" w:hAnsi="Arial"/>
                <w:sz w:val="16"/>
                <w:szCs w:val="16"/>
                <w:color w:val="auto"/>
              </w:rPr>
              <w:t>Mei-Wei Cheng</w:t>
            </w:r>
          </w:p>
        </w:tc>
        <w:tc>
          <w:tcPr>
            <w:tcW w:w="3440" w:type="dxa"/>
            <w:vAlign w:val="bottom"/>
          </w:tcPr>
          <w:p>
            <w:pPr>
              <w:jc w:val="center"/>
              <w:ind w:left="2281"/>
              <w:spacing w:after="0"/>
              <w:rPr>
                <w:sz w:val="20"/>
                <w:szCs w:val="20"/>
                <w:color w:val="auto"/>
              </w:rPr>
            </w:pPr>
            <w:r>
              <w:rPr>
                <w:rFonts w:ascii="Arial" w:cs="Arial" w:eastAsia="Arial" w:hAnsi="Arial"/>
                <w:sz w:val="16"/>
                <w:szCs w:val="16"/>
                <w:color w:val="auto"/>
              </w:rPr>
              <w:t>X</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tcPr>
          <w:p>
            <w:pPr>
              <w:spacing w:after="0"/>
              <w:rPr>
                <w:sz w:val="20"/>
                <w:szCs w:val="20"/>
                <w:color w:val="auto"/>
              </w:rPr>
            </w:pPr>
          </w:p>
        </w:tc>
      </w:tr>
      <w:tr>
        <w:trPr>
          <w:trHeight w:val="253"/>
        </w:trPr>
        <w:tc>
          <w:tcPr>
            <w:tcW w:w="4140" w:type="dxa"/>
            <w:vAlign w:val="bottom"/>
            <w:shd w:val="clear" w:color="auto" w:fill="FCE9E8"/>
          </w:tcPr>
          <w:p>
            <w:pPr>
              <w:ind w:left="80"/>
              <w:spacing w:after="0"/>
              <w:rPr>
                <w:sz w:val="20"/>
                <w:szCs w:val="20"/>
                <w:color w:val="auto"/>
              </w:rPr>
            </w:pPr>
            <w:r>
              <w:rPr>
                <w:rFonts w:ascii="Arial" w:cs="Arial" w:eastAsia="Arial" w:hAnsi="Arial"/>
                <w:sz w:val="16"/>
                <w:szCs w:val="16"/>
                <w:color w:val="auto"/>
              </w:rPr>
              <w:t>Jonathan F. Foster</w:t>
            </w:r>
          </w:p>
        </w:tc>
        <w:tc>
          <w:tcPr>
            <w:tcW w:w="3440" w:type="dxa"/>
            <w:vAlign w:val="bottom"/>
            <w:shd w:val="clear" w:color="auto" w:fill="FCE9E8"/>
          </w:tcPr>
          <w:p>
            <w:pPr>
              <w:jc w:val="center"/>
              <w:ind w:left="2281"/>
              <w:spacing w:after="0"/>
              <w:rPr>
                <w:sz w:val="20"/>
                <w:szCs w:val="20"/>
                <w:color w:val="auto"/>
              </w:rPr>
            </w:pPr>
            <w:r>
              <w:rPr>
                <w:rFonts w:ascii="Arial" w:cs="Arial" w:eastAsia="Arial" w:hAnsi="Arial"/>
                <w:sz w:val="16"/>
                <w:szCs w:val="16"/>
                <w:color w:val="auto"/>
              </w:rPr>
              <w:t>C</w:t>
            </w:r>
          </w:p>
        </w:tc>
        <w:tc>
          <w:tcPr>
            <w:tcW w:w="1320" w:type="dxa"/>
            <w:vAlign w:val="bottom"/>
            <w:shd w:val="clear" w:color="auto" w:fill="FCE9E8"/>
          </w:tcPr>
          <w:p>
            <w:pPr>
              <w:spacing w:after="0"/>
              <w:rPr>
                <w:sz w:val="21"/>
                <w:szCs w:val="21"/>
                <w:color w:val="auto"/>
              </w:rPr>
            </w:pPr>
          </w:p>
        </w:tc>
        <w:tc>
          <w:tcPr>
            <w:tcW w:w="10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r>
      <w:tr>
        <w:trPr>
          <w:trHeight w:val="233"/>
        </w:trPr>
        <w:tc>
          <w:tcPr>
            <w:tcW w:w="4140" w:type="dxa"/>
            <w:vAlign w:val="bottom"/>
          </w:tcPr>
          <w:p>
            <w:pPr>
              <w:ind w:left="80"/>
              <w:spacing w:after="0"/>
              <w:rPr>
                <w:sz w:val="20"/>
                <w:szCs w:val="20"/>
                <w:color w:val="auto"/>
              </w:rPr>
            </w:pPr>
            <w:r>
              <w:rPr>
                <w:rFonts w:ascii="Arial" w:cs="Arial" w:eastAsia="Arial" w:hAnsi="Arial"/>
                <w:sz w:val="16"/>
                <w:szCs w:val="16"/>
                <w:color w:val="auto"/>
              </w:rPr>
              <w:t>Bradley M. Halverson</w:t>
            </w:r>
          </w:p>
        </w:tc>
        <w:tc>
          <w:tcPr>
            <w:tcW w:w="3440" w:type="dxa"/>
            <w:vAlign w:val="bottom"/>
          </w:tcPr>
          <w:p>
            <w:pPr>
              <w:jc w:val="center"/>
              <w:ind w:left="2281"/>
              <w:spacing w:after="0"/>
              <w:rPr>
                <w:sz w:val="20"/>
                <w:szCs w:val="20"/>
                <w:color w:val="auto"/>
              </w:rPr>
            </w:pPr>
            <w:r>
              <w:rPr>
                <w:rFonts w:ascii="Arial" w:cs="Arial" w:eastAsia="Arial" w:hAnsi="Arial"/>
                <w:sz w:val="16"/>
                <w:szCs w:val="16"/>
                <w:color w:val="auto"/>
              </w:rPr>
              <w:t>X</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3"/>
        </w:trPr>
        <w:tc>
          <w:tcPr>
            <w:tcW w:w="4140" w:type="dxa"/>
            <w:vAlign w:val="bottom"/>
            <w:shd w:val="clear" w:color="auto" w:fill="FCE9E8"/>
          </w:tcPr>
          <w:p>
            <w:pPr>
              <w:ind w:left="80"/>
              <w:spacing w:after="0"/>
              <w:rPr>
                <w:sz w:val="20"/>
                <w:szCs w:val="20"/>
                <w:color w:val="auto"/>
              </w:rPr>
            </w:pPr>
            <w:r>
              <w:rPr>
                <w:rFonts w:ascii="Arial" w:cs="Arial" w:eastAsia="Arial" w:hAnsi="Arial"/>
                <w:sz w:val="16"/>
                <w:szCs w:val="16"/>
                <w:color w:val="auto"/>
              </w:rPr>
              <w:t>Mary Lou Jepsen</w:t>
            </w:r>
          </w:p>
        </w:tc>
        <w:tc>
          <w:tcPr>
            <w:tcW w:w="3440" w:type="dxa"/>
            <w:vAlign w:val="bottom"/>
            <w:shd w:val="clear" w:color="auto" w:fill="FCE9E8"/>
          </w:tcPr>
          <w:p>
            <w:pPr>
              <w:spacing w:after="0"/>
              <w:rPr>
                <w:sz w:val="21"/>
                <w:szCs w:val="21"/>
                <w:color w:val="auto"/>
              </w:rPr>
            </w:pPr>
          </w:p>
        </w:tc>
        <w:tc>
          <w:tcPr>
            <w:tcW w:w="13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r>
      <w:tr>
        <w:trPr>
          <w:trHeight w:val="233"/>
        </w:trPr>
        <w:tc>
          <w:tcPr>
            <w:tcW w:w="4140" w:type="dxa"/>
            <w:vAlign w:val="bottom"/>
          </w:tcPr>
          <w:p>
            <w:pPr>
              <w:ind w:left="80"/>
              <w:spacing w:after="0"/>
              <w:rPr>
                <w:sz w:val="20"/>
                <w:szCs w:val="20"/>
                <w:color w:val="auto"/>
              </w:rPr>
            </w:pPr>
            <w:r>
              <w:rPr>
                <w:rFonts w:ascii="Arial" w:cs="Arial" w:eastAsia="Arial" w:hAnsi="Arial"/>
                <w:sz w:val="16"/>
                <w:szCs w:val="16"/>
                <w:color w:val="auto"/>
              </w:rPr>
              <w:t>Roger A. Krone</w:t>
            </w:r>
          </w:p>
        </w:tc>
        <w:tc>
          <w:tcPr>
            <w:tcW w:w="3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X</w:t>
            </w:r>
          </w:p>
        </w:tc>
      </w:tr>
      <w:tr>
        <w:trPr>
          <w:trHeight w:val="253"/>
        </w:trPr>
        <w:tc>
          <w:tcPr>
            <w:tcW w:w="4140" w:type="dxa"/>
            <w:vAlign w:val="bottom"/>
            <w:shd w:val="clear" w:color="auto" w:fill="FCE9E8"/>
          </w:tcPr>
          <w:p>
            <w:pPr>
              <w:ind w:left="80"/>
              <w:spacing w:after="0"/>
              <w:rPr>
                <w:sz w:val="20"/>
                <w:szCs w:val="20"/>
                <w:color w:val="auto"/>
              </w:rPr>
            </w:pPr>
            <w:r>
              <w:rPr>
                <w:rFonts w:ascii="Arial" w:cs="Arial" w:eastAsia="Arial" w:hAnsi="Arial"/>
                <w:sz w:val="16"/>
                <w:szCs w:val="16"/>
                <w:color w:val="auto"/>
              </w:rPr>
              <w:t>Patricia L. Lewis</w:t>
            </w:r>
          </w:p>
        </w:tc>
        <w:tc>
          <w:tcPr>
            <w:tcW w:w="3440" w:type="dxa"/>
            <w:vAlign w:val="bottom"/>
            <w:shd w:val="clear" w:color="auto" w:fill="FCE9E8"/>
          </w:tcPr>
          <w:p>
            <w:pPr>
              <w:spacing w:after="0"/>
              <w:rPr>
                <w:sz w:val="21"/>
                <w:szCs w:val="21"/>
                <w:color w:val="auto"/>
              </w:rPr>
            </w:pPr>
          </w:p>
        </w:tc>
        <w:tc>
          <w:tcPr>
            <w:tcW w:w="13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shd w:val="clear" w:color="auto" w:fill="FCE9E8"/>
          </w:tcPr>
          <w:p>
            <w:pPr>
              <w:spacing w:after="0"/>
              <w:rPr>
                <w:sz w:val="21"/>
                <w:szCs w:val="21"/>
                <w:color w:val="auto"/>
              </w:rPr>
            </w:pPr>
          </w:p>
        </w:tc>
      </w:tr>
      <w:tr>
        <w:trPr>
          <w:trHeight w:val="233"/>
        </w:trPr>
        <w:tc>
          <w:tcPr>
            <w:tcW w:w="4140" w:type="dxa"/>
            <w:vAlign w:val="bottom"/>
          </w:tcPr>
          <w:p>
            <w:pPr>
              <w:ind w:left="80"/>
              <w:spacing w:after="0"/>
              <w:rPr>
                <w:sz w:val="20"/>
                <w:szCs w:val="20"/>
                <w:color w:val="auto"/>
              </w:rPr>
            </w:pPr>
            <w:r>
              <w:rPr>
                <w:rFonts w:ascii="Arial" w:cs="Arial" w:eastAsia="Arial" w:hAnsi="Arial"/>
                <w:sz w:val="16"/>
                <w:szCs w:val="16"/>
                <w:color w:val="auto"/>
              </w:rPr>
              <w:t>Kathleen A. Ligocki</w:t>
            </w:r>
          </w:p>
        </w:tc>
        <w:tc>
          <w:tcPr>
            <w:tcW w:w="34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20" w:type="dxa"/>
            <w:vAlign w:val="bottom"/>
          </w:tcPr>
          <w:p>
            <w:pPr>
              <w:jc w:val="center"/>
              <w:spacing w:after="0"/>
              <w:rPr>
                <w:sz w:val="20"/>
                <w:szCs w:val="20"/>
                <w:color w:val="auto"/>
              </w:rPr>
            </w:pPr>
            <w:r>
              <w:rPr>
                <w:rFonts w:ascii="Arial" w:cs="Arial" w:eastAsia="Arial" w:hAnsi="Arial"/>
                <w:sz w:val="16"/>
                <w:szCs w:val="16"/>
                <w:color w:val="auto"/>
              </w:rPr>
              <w:t>C</w:t>
            </w:r>
          </w:p>
        </w:tc>
      </w:tr>
      <w:tr>
        <w:trPr>
          <w:trHeight w:val="253"/>
        </w:trPr>
        <w:tc>
          <w:tcPr>
            <w:tcW w:w="4140" w:type="dxa"/>
            <w:vAlign w:val="bottom"/>
            <w:shd w:val="clear" w:color="auto" w:fill="FCE9E8"/>
          </w:tcPr>
          <w:p>
            <w:pPr>
              <w:ind w:left="80"/>
              <w:spacing w:after="0"/>
              <w:rPr>
                <w:sz w:val="20"/>
                <w:szCs w:val="20"/>
                <w:color w:val="auto"/>
              </w:rPr>
            </w:pPr>
            <w:r>
              <w:rPr>
                <w:rFonts w:ascii="Arial" w:cs="Arial" w:eastAsia="Arial" w:hAnsi="Arial"/>
                <w:sz w:val="16"/>
                <w:szCs w:val="16"/>
                <w:color w:val="auto"/>
              </w:rPr>
              <w:t>Conrad L. Mallett, Jr.</w:t>
            </w:r>
          </w:p>
        </w:tc>
        <w:tc>
          <w:tcPr>
            <w:tcW w:w="3440" w:type="dxa"/>
            <w:vAlign w:val="bottom"/>
            <w:shd w:val="clear" w:color="auto" w:fill="FCE9E8"/>
          </w:tcPr>
          <w:p>
            <w:pPr>
              <w:jc w:val="center"/>
              <w:ind w:left="2281"/>
              <w:spacing w:after="0"/>
              <w:rPr>
                <w:sz w:val="20"/>
                <w:szCs w:val="20"/>
                <w:color w:val="auto"/>
              </w:rPr>
            </w:pPr>
            <w:r>
              <w:rPr>
                <w:rFonts w:ascii="Arial" w:cs="Arial" w:eastAsia="Arial" w:hAnsi="Arial"/>
                <w:sz w:val="16"/>
                <w:szCs w:val="16"/>
                <w:color w:val="auto"/>
              </w:rPr>
              <w:t>X</w:t>
            </w:r>
          </w:p>
        </w:tc>
        <w:tc>
          <w:tcPr>
            <w:tcW w:w="1320" w:type="dxa"/>
            <w:vAlign w:val="bottom"/>
            <w:shd w:val="clear" w:color="auto" w:fill="FCE9E8"/>
          </w:tcPr>
          <w:p>
            <w:pPr>
              <w:spacing w:after="0"/>
              <w:rPr>
                <w:sz w:val="21"/>
                <w:szCs w:val="21"/>
                <w:color w:val="auto"/>
              </w:rPr>
            </w:pPr>
          </w:p>
        </w:tc>
        <w:tc>
          <w:tcPr>
            <w:tcW w:w="10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3"/>
              </w:rPr>
              <w:t>X</w:t>
            </w:r>
          </w:p>
        </w:tc>
      </w:tr>
      <w:tr>
        <w:trPr>
          <w:trHeight w:val="233"/>
        </w:trPr>
        <w:tc>
          <w:tcPr>
            <w:tcW w:w="4140" w:type="dxa"/>
            <w:vAlign w:val="bottom"/>
          </w:tcPr>
          <w:p>
            <w:pPr>
              <w:ind w:left="80"/>
              <w:spacing w:after="0"/>
              <w:rPr>
                <w:sz w:val="20"/>
                <w:szCs w:val="20"/>
                <w:color w:val="auto"/>
              </w:rPr>
            </w:pPr>
            <w:r>
              <w:rPr>
                <w:rFonts w:ascii="Arial" w:cs="Arial" w:eastAsia="Arial" w:hAnsi="Arial"/>
                <w:sz w:val="16"/>
                <w:szCs w:val="16"/>
                <w:color w:val="auto"/>
              </w:rPr>
              <w:t>Raymond E. Scott</w:t>
            </w:r>
          </w:p>
        </w:tc>
        <w:tc>
          <w:tcPr>
            <w:tcW w:w="3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6"/>
        </w:trPr>
        <w:tc>
          <w:tcPr>
            <w:tcW w:w="41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Gregory C. Smith</w:t>
            </w:r>
          </w:p>
        </w:tc>
        <w:tc>
          <w:tcPr>
            <w:tcW w:w="3440" w:type="dxa"/>
            <w:vAlign w:val="bottom"/>
            <w:tcBorders>
              <w:bottom w:val="single" w:sz="8" w:color="auto"/>
            </w:tcBorders>
            <w:shd w:val="clear" w:color="auto" w:fill="FCE9E8"/>
          </w:tcPr>
          <w:p>
            <w:pPr>
              <w:jc w:val="center"/>
              <w:ind w:left="2281"/>
              <w:spacing w:after="0"/>
              <w:rPr>
                <w:sz w:val="20"/>
                <w:szCs w:val="20"/>
                <w:color w:val="auto"/>
              </w:rPr>
            </w:pPr>
            <w:r>
              <w:rPr>
                <w:rFonts w:ascii="Arial" w:cs="Arial" w:eastAsia="Arial" w:hAnsi="Arial"/>
                <w:sz w:val="16"/>
                <w:szCs w:val="16"/>
                <w:color w:val="auto"/>
              </w:rPr>
              <w:t>E</w:t>
            </w:r>
          </w:p>
        </w:tc>
        <w:tc>
          <w:tcPr>
            <w:tcW w:w="132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3"/>
              </w:rPr>
              <w:t>E</w:t>
            </w:r>
          </w:p>
        </w:tc>
        <w:tc>
          <w:tcPr>
            <w:tcW w:w="102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3"/>
              </w:rPr>
              <w:t>E</w:t>
            </w:r>
          </w:p>
        </w:tc>
      </w:tr>
    </w:tbl>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23</w:t>
      </w:r>
    </w:p>
    <w:p>
      <w:pPr>
        <w:sectPr>
          <w:pgSz w:w="11900" w:h="16838" w:orient="portrait"/>
          <w:cols w:equalWidth="0" w:num="1">
            <w:col w:w="10860"/>
          </w:cols>
          <w:pgMar w:left="320" w:top="459" w:right="7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96" w:lineRule="exact"/>
        <w:rPr>
          <w:sz w:val="20"/>
          <w:szCs w:val="20"/>
          <w:color w:val="auto"/>
        </w:rPr>
      </w:pPr>
    </w:p>
    <w:p>
      <w:pPr>
        <w:ind w:left="960" w:hanging="291"/>
        <w:spacing w:after="0"/>
        <w:tabs>
          <w:tab w:leader="none" w:pos="9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Non-Executive Chairman of the Board</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 Denotes member and chairman of committee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“X” Denotes member</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 Denotes Ex Officio member</w:t>
      </w:r>
    </w:p>
    <w:p>
      <w:pPr>
        <w:spacing w:after="0" w:line="82" w:lineRule="exact"/>
        <w:rPr>
          <w:sz w:val="20"/>
          <w:szCs w:val="20"/>
          <w:color w:val="auto"/>
        </w:rPr>
      </w:pPr>
    </w:p>
    <w:p>
      <w:pPr>
        <w:ind w:left="960" w:right="320" w:hanging="291"/>
        <w:spacing w:after="0" w:line="183" w:lineRule="auto"/>
        <w:tabs>
          <w:tab w:leader="none" w:pos="96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Thomas P. Capo, the current Chair of the Compensation Committee, is not standing for reelection to the Board. Following the Annual Meeting, the Board will appoint a new Chairperson from among the other Compensation Committee members, all of whom are independent.</w:t>
      </w:r>
    </w:p>
    <w:p>
      <w:pPr>
        <w:sectPr>
          <w:pgSz w:w="11900" w:h="16838" w:orient="portrait"/>
          <w:cols w:equalWidth="0" w:num="1">
            <w:col w:w="10540"/>
          </w:cols>
          <w:pgMar w:left="320" w:top="459" w:right="1039" w:bottom="1440" w:gutter="0" w:footer="0" w:header="0"/>
        </w:sectPr>
      </w:pP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19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In 2020, the Audit Committee held 9 meetings. Each of the members of the Audit Committee is a non-employee director. In addition, the Board has determined that all of the members of the Audit Committee are independent, financially literate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and financial experts, as further discussed under “Audit Committee Report.” For a description of the Audit Committee’s responsibilities and findings and additional information about the Audit Committee, see “Audit Committee Report.”</w:t>
      </w:r>
    </w:p>
    <w:p>
      <w:pPr>
        <w:spacing w:after="0" w:line="200" w:lineRule="exact"/>
        <w:rPr>
          <w:sz w:val="20"/>
          <w:szCs w:val="20"/>
          <w:color w:val="auto"/>
        </w:rPr>
      </w:pPr>
    </w:p>
    <w:p>
      <w:pPr>
        <w:sectPr>
          <w:pgSz w:w="11900" w:h="16838" w:orient="portrait"/>
          <w:cols w:equalWidth="0" w:num="2">
            <w:col w:w="5340" w:space="380"/>
            <w:col w:w="4820"/>
          </w:cols>
          <w:pgMar w:left="320" w:top="459" w:right="1039" w:bottom="1440" w:gutter="0" w:footer="0" w:header="0"/>
          <w:type w:val="continuous"/>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192"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In 2020, the Compensation Committee held 8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10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session. The Compensation Committee approves all compensation of our executive officers, including equity awards. Under our equity award policy, an aggregate equity award pool to non-executive officers may be approved by the Compensation Committee and allocated to individuals by the Company’s CEO. The policy also allows the Compensation Committee to delegate to the CEO the ability to grant equity awards to non-executive officer employees who are newly hired or promoted or deemed to be deserving of special retention or recognition awards.</w:t>
      </w:r>
    </w:p>
    <w:p>
      <w:pPr>
        <w:spacing w:after="0" w:line="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with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w:t>
      </w:r>
    </w:p>
    <w:p>
      <w:pPr>
        <w:spacing w:after="0" w:line="386" w:lineRule="exact"/>
        <w:rPr>
          <w:sz w:val="20"/>
          <w:szCs w:val="20"/>
          <w:color w:val="auto"/>
        </w:rPr>
      </w:pPr>
    </w:p>
    <w:p>
      <w:pPr>
        <w:sectPr>
          <w:pgSz w:w="11900" w:h="16838" w:orient="portrait"/>
          <w:cols w:equalWidth="0" w:num="2">
            <w:col w:w="5420" w:space="300"/>
            <w:col w:w="4820"/>
          </w:cols>
          <w:pgMar w:left="320" w:top="459" w:right="10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780" w:hanging="393"/>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consulting on executive and director compensation matters, Pay Governance has performed no other services for the Compensation Committee or the Company.</w:t>
      </w:r>
    </w:p>
    <w:p>
      <w:pPr>
        <w:spacing w:after="0" w:line="93"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In 2020,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687"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Committee</w:t>
      </w:r>
    </w:p>
    <w:p>
      <w:pPr>
        <w:spacing w:after="0" w:line="192" w:lineRule="exact"/>
        <w:rPr>
          <w:sz w:val="20"/>
          <w:szCs w:val="20"/>
          <w:color w:val="auto"/>
        </w:rPr>
      </w:pPr>
    </w:p>
    <w:p>
      <w:pPr>
        <w:ind w:left="660" w:right="100"/>
        <w:spacing w:after="0" w:line="250" w:lineRule="auto"/>
        <w:rPr>
          <w:sz w:val="20"/>
          <w:szCs w:val="20"/>
          <w:color w:val="auto"/>
        </w:rPr>
      </w:pPr>
      <w:r>
        <w:rPr>
          <w:rFonts w:ascii="Arial" w:cs="Arial" w:eastAsia="Arial" w:hAnsi="Arial"/>
          <w:sz w:val="16"/>
          <w:szCs w:val="16"/>
          <w:color w:val="auto"/>
        </w:rPr>
        <w:t>In 2020, the Nominating Committee held 8 meetings. Each of the members of the Nominating Committee is a non-employee director. In addition, the Board has determined that all of the members of the Nominating Committee are independent as defined in the listing standards of the NYSE.</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Committee is responsible for, among other things:</w:t>
      </w:r>
    </w:p>
    <w:p>
      <w:pPr>
        <w:spacing w:after="0" w:line="5" w:lineRule="exact"/>
        <w:rPr>
          <w:sz w:val="20"/>
          <w:szCs w:val="20"/>
          <w:color w:val="auto"/>
        </w:rPr>
      </w:pPr>
    </w:p>
    <w:p>
      <w:pPr>
        <w:ind w:left="660" w:right="420" w:firstLine="9"/>
        <w:spacing w:after="0" w:line="246" w:lineRule="auto"/>
        <w:tabs>
          <w:tab w:leader="none" w:pos="846"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consistent with criteria approved by the Board;</w:t>
      </w:r>
    </w:p>
    <w:p>
      <w:pPr>
        <w:ind w:left="660" w:right="180" w:firstLine="9"/>
        <w:spacing w:after="0" w:line="246" w:lineRule="auto"/>
        <w:tabs>
          <w:tab w:leader="none" w:pos="882"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recommending director nominees to the Board for election at the next annual meeting of the stockholders of the Company;</w:t>
      </w:r>
    </w:p>
    <w:p>
      <w:pPr>
        <w:ind w:left="660" w:right="180" w:firstLine="9"/>
        <w:spacing w:after="0" w:line="260" w:lineRule="auto"/>
        <w:tabs>
          <w:tab w:leader="none" w:pos="918"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event of a vacancy on or an increase in the size of the Board, recommending director nominees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Board to fill such vacancy or newly established Board seat;</w:t>
      </w:r>
    </w:p>
    <w:p>
      <w:pPr>
        <w:spacing w:after="0" w:line="5" w:lineRule="exact"/>
        <w:rPr>
          <w:sz w:val="20"/>
          <w:szCs w:val="20"/>
          <w:color w:val="auto"/>
        </w:rPr>
      </w:pPr>
    </w:p>
    <w:p>
      <w:pPr>
        <w:ind w:right="320" w:firstLine="3"/>
        <w:spacing w:after="0" w:line="248" w:lineRule="auto"/>
        <w:tabs>
          <w:tab w:leader="none" w:pos="27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recommending directors to the Board for membership on each committee of the Board; (v) establishing and reviewing annually our Corporate Governance Guidelines and Code of Business Conduct and Ethics; (vi) reviewing potential conflicts of interest involving our executive officers; and (vii) overseeing sustainability issues, including as they pertain to environmental, human rights and other corporate social responsibility matters. The Nominating Committee operates under a written charter setting forth its functions and responsibilities. A copy of the current charter is available on our website at www.lear.com or in printed form upon request.</w:t>
      </w:r>
    </w:p>
    <w:p>
      <w:pPr>
        <w:spacing w:after="0" w:line="506"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Harry A. Kemp, Senior Vice President,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25</w:t>
      </w:r>
    </w:p>
    <w:p>
      <w:pPr>
        <w:sectPr>
          <w:pgSz w:w="11900" w:h="16838" w:orient="portrait"/>
          <w:cols w:equalWidth="0" w:num="2">
            <w:col w:w="5400" w:space="320"/>
            <w:col w:w="5140"/>
          </w:cols>
          <w:pgMar w:left="320" w:top="459" w:right="7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700"/>
        <w:spacing w:after="0" w:line="260" w:lineRule="auto"/>
        <w:rPr>
          <w:sz w:val="20"/>
          <w:szCs w:val="20"/>
          <w:color w:val="auto"/>
        </w:rPr>
      </w:pPr>
      <w:r>
        <w:rPr>
          <w:rFonts w:ascii="Arial" w:cs="Arial" w:eastAsia="Arial" w:hAnsi="Arial"/>
          <w:sz w:val="16"/>
          <w:szCs w:val="16"/>
          <w:color w:val="auto"/>
        </w:rPr>
        <w:t>The following table summarizes the annual compensation for our non-employee directors during 2020. A summary of the director compensation program and elements is presented after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139700</wp:posOffset>
            </wp:positionV>
            <wp:extent cx="629221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FFFFFF"/>
        </w:rPr>
        <w:t>2020 Director Compensation</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20" w:type="dxa"/>
            <w:vAlign w:val="bottom"/>
            <w:gridSpan w:val="2"/>
          </w:tcPr>
          <w:p>
            <w:pPr>
              <w:ind w:left="800"/>
              <w:spacing w:after="0"/>
              <w:rPr>
                <w:sz w:val="20"/>
                <w:szCs w:val="20"/>
                <w:color w:val="auto"/>
              </w:rPr>
            </w:pPr>
            <w:r>
              <w:rPr>
                <w:rFonts w:ascii="Arial" w:cs="Arial" w:eastAsia="Arial" w:hAnsi="Arial"/>
                <w:sz w:val="14"/>
                <w:szCs w:val="14"/>
                <w:b w:val="1"/>
                <w:bCs w:val="1"/>
                <w:color w:val="E2231A"/>
              </w:rPr>
              <w:t>Fees Earned or Paid</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2"/>
        </w:trPr>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2820" w:type="dxa"/>
            <w:vAlign w:val="bottom"/>
            <w:tcBorders>
              <w:bottom w:val="single" w:sz="8" w:color="auto"/>
            </w:tcBorders>
            <w:gridSpan w:val="2"/>
          </w:tcPr>
          <w:p>
            <w:pPr>
              <w:ind w:left="1160"/>
              <w:spacing w:after="0" w:line="192" w:lineRule="exact"/>
              <w:rPr>
                <w:sz w:val="20"/>
                <w:szCs w:val="20"/>
                <w:color w:val="auto"/>
              </w:rPr>
            </w:pPr>
            <w:r>
              <w:rPr>
                <w:rFonts w:ascii="Arial" w:cs="Arial" w:eastAsia="Arial" w:hAnsi="Arial"/>
                <w:sz w:val="13"/>
                <w:szCs w:val="13"/>
                <w:b w:val="1"/>
                <w:bCs w:val="1"/>
                <w:color w:val="E2231A"/>
              </w:rPr>
              <w:t>in Cash</w:t>
            </w:r>
            <w:r>
              <w:rPr>
                <w:rFonts w:ascii="Arial" w:cs="Arial" w:eastAsia="Arial" w:hAnsi="Arial"/>
                <w:sz w:val="22"/>
                <w:szCs w:val="22"/>
                <w:b w:val="1"/>
                <w:bCs w:val="1"/>
                <w:color w:val="E2231A"/>
                <w:vertAlign w:val="superscript"/>
              </w:rPr>
              <w:t>(1)</w:t>
            </w:r>
          </w:p>
        </w:tc>
        <w:tc>
          <w:tcPr>
            <w:tcW w:w="2200" w:type="dxa"/>
            <w:vAlign w:val="bottom"/>
            <w:tcBorders>
              <w:bottom w:val="single" w:sz="8" w:color="auto"/>
            </w:tcBorders>
            <w:gridSpan w:val="2"/>
          </w:tcPr>
          <w:p>
            <w:pPr>
              <w:jc w:val="right"/>
              <w:ind w:right="399"/>
              <w:spacing w:after="0" w:line="192" w:lineRule="exact"/>
              <w:rPr>
                <w:sz w:val="20"/>
                <w:szCs w:val="20"/>
                <w:color w:val="auto"/>
              </w:rPr>
            </w:pPr>
            <w:r>
              <w:rPr>
                <w:rFonts w:ascii="Arial" w:cs="Arial" w:eastAsia="Arial" w:hAnsi="Arial"/>
                <w:sz w:val="13"/>
                <w:szCs w:val="13"/>
                <w:b w:val="1"/>
                <w:bCs w:val="1"/>
                <w:color w:val="E2231A"/>
              </w:rPr>
              <w:t>Stock Awards</w:t>
            </w:r>
            <w:r>
              <w:rPr>
                <w:rFonts w:ascii="Arial" w:cs="Arial" w:eastAsia="Arial" w:hAnsi="Arial"/>
                <w:sz w:val="22"/>
                <w:szCs w:val="22"/>
                <w:b w:val="1"/>
                <w:bCs w:val="1"/>
                <w:color w:val="E2231A"/>
                <w:vertAlign w:val="superscript"/>
              </w:rPr>
              <w:t>(3)</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E2231A"/>
              </w:rPr>
              <w:t>Total</w:t>
            </w:r>
          </w:p>
        </w:tc>
      </w:tr>
      <w:tr>
        <w:trPr>
          <w:trHeight w:val="237"/>
        </w:trPr>
        <w:tc>
          <w:tcPr>
            <w:tcW w:w="3740" w:type="dxa"/>
            <w:vAlign w:val="bottom"/>
            <w:shd w:val="clear" w:color="auto" w:fill="FCE9E8"/>
          </w:tcPr>
          <w:p>
            <w:pPr>
              <w:ind w:left="80"/>
              <w:spacing w:after="0"/>
              <w:rPr>
                <w:sz w:val="20"/>
                <w:szCs w:val="20"/>
                <w:color w:val="auto"/>
              </w:rPr>
            </w:pPr>
            <w:r>
              <w:rPr>
                <w:rFonts w:ascii="Arial" w:cs="Arial" w:eastAsia="Arial" w:hAnsi="Arial"/>
                <w:sz w:val="16"/>
                <w:szCs w:val="16"/>
                <w:color w:val="auto"/>
              </w:rPr>
              <w:t>Thomas P. Capo</w:t>
            </w:r>
          </w:p>
        </w:tc>
        <w:tc>
          <w:tcPr>
            <w:tcW w:w="1240" w:type="dxa"/>
            <w:vAlign w:val="bottom"/>
            <w:shd w:val="clear" w:color="auto" w:fill="FCE9E8"/>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CE9E8"/>
          </w:tcPr>
          <w:p>
            <w:pPr>
              <w:jc w:val="right"/>
              <w:ind w:right="899"/>
              <w:spacing w:after="0"/>
              <w:rPr>
                <w:sz w:val="20"/>
                <w:szCs w:val="20"/>
                <w:color w:val="auto"/>
              </w:rPr>
            </w:pPr>
            <w:r>
              <w:rPr>
                <w:rFonts w:ascii="Arial" w:cs="Arial" w:eastAsia="Arial" w:hAnsi="Arial"/>
                <w:sz w:val="16"/>
                <w:szCs w:val="16"/>
                <w:color w:val="auto"/>
              </w:rPr>
              <w:t>122,563</w:t>
            </w:r>
          </w:p>
        </w:tc>
        <w:tc>
          <w:tcPr>
            <w:tcW w:w="9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599"/>
              <w:spacing w:after="0"/>
              <w:rPr>
                <w:sz w:val="20"/>
                <w:szCs w:val="20"/>
                <w:color w:val="auto"/>
              </w:rPr>
            </w:pPr>
            <w:r>
              <w:rPr>
                <w:rFonts w:ascii="Arial" w:cs="Arial" w:eastAsia="Arial" w:hAnsi="Arial"/>
                <w:sz w:val="16"/>
                <w:szCs w:val="16"/>
                <w:color w:val="auto"/>
                <w:w w:val="96"/>
              </w:rPr>
              <w:t>159,923</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282,486</w:t>
            </w:r>
          </w:p>
        </w:tc>
      </w:tr>
      <w:tr>
        <w:trPr>
          <w:trHeight w:val="257"/>
        </w:trPr>
        <w:tc>
          <w:tcPr>
            <w:tcW w:w="3740" w:type="dxa"/>
            <w:vAlign w:val="bottom"/>
          </w:tcPr>
          <w:p>
            <w:pPr>
              <w:ind w:left="80"/>
              <w:spacing w:after="0" w:line="257" w:lineRule="exact"/>
              <w:rPr>
                <w:sz w:val="20"/>
                <w:szCs w:val="20"/>
                <w:color w:val="auto"/>
              </w:rPr>
            </w:pPr>
            <w:r>
              <w:rPr>
                <w:rFonts w:ascii="Arial" w:cs="Arial" w:eastAsia="Arial" w:hAnsi="Arial"/>
                <w:sz w:val="16"/>
                <w:szCs w:val="16"/>
                <w:color w:val="auto"/>
              </w:rPr>
              <w:t>Mei-Wei Cheng</w:t>
            </w:r>
            <w:r>
              <w:rPr>
                <w:rFonts w:ascii="Arial" w:cs="Arial" w:eastAsia="Arial" w:hAnsi="Arial"/>
                <w:sz w:val="27"/>
                <w:szCs w:val="27"/>
                <w:color w:val="auto"/>
                <w:vertAlign w:val="superscript"/>
              </w:rPr>
              <w:t>(2)</w:t>
            </w:r>
          </w:p>
        </w:tc>
        <w:tc>
          <w:tcPr>
            <w:tcW w:w="1240" w:type="dxa"/>
            <w:vAlign w:val="bottom"/>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899"/>
              <w:spacing w:after="0"/>
              <w:rPr>
                <w:sz w:val="20"/>
                <w:szCs w:val="20"/>
                <w:color w:val="auto"/>
              </w:rPr>
            </w:pPr>
            <w:r>
              <w:rPr>
                <w:rFonts w:ascii="Arial" w:cs="Arial" w:eastAsia="Arial" w:hAnsi="Arial"/>
                <w:sz w:val="16"/>
                <w:szCs w:val="16"/>
                <w:color w:val="auto"/>
              </w:rPr>
              <w:t>103,479</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9"/>
              <w:spacing w:after="0"/>
              <w:rPr>
                <w:sz w:val="20"/>
                <w:szCs w:val="20"/>
                <w:color w:val="auto"/>
              </w:rPr>
            </w:pPr>
            <w:r>
              <w:rPr>
                <w:rFonts w:ascii="Arial" w:cs="Arial" w:eastAsia="Arial" w:hAnsi="Arial"/>
                <w:sz w:val="16"/>
                <w:szCs w:val="16"/>
                <w:color w:val="auto"/>
                <w:w w:val="96"/>
              </w:rPr>
              <w:t>159,923</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263,402</w:t>
            </w:r>
          </w:p>
        </w:tc>
      </w:tr>
      <w:tr>
        <w:trPr>
          <w:trHeight w:val="256"/>
        </w:trPr>
        <w:tc>
          <w:tcPr>
            <w:tcW w:w="3740" w:type="dxa"/>
            <w:vAlign w:val="bottom"/>
            <w:shd w:val="clear" w:color="auto" w:fill="FCE9E8"/>
          </w:tcPr>
          <w:p>
            <w:pPr>
              <w:ind w:left="80"/>
              <w:spacing w:after="0"/>
              <w:rPr>
                <w:sz w:val="20"/>
                <w:szCs w:val="20"/>
                <w:color w:val="auto"/>
              </w:rPr>
            </w:pPr>
            <w:r>
              <w:rPr>
                <w:rFonts w:ascii="Arial" w:cs="Arial" w:eastAsia="Arial" w:hAnsi="Arial"/>
                <w:sz w:val="16"/>
                <w:szCs w:val="16"/>
                <w:color w:val="auto"/>
              </w:rPr>
              <w:t>Jonathan F. Foster</w:t>
            </w:r>
          </w:p>
        </w:tc>
        <w:tc>
          <w:tcPr>
            <w:tcW w:w="1240" w:type="dxa"/>
            <w:vAlign w:val="bottom"/>
            <w:shd w:val="clear" w:color="auto" w:fill="FCE9E8"/>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CE9E8"/>
          </w:tcPr>
          <w:p>
            <w:pPr>
              <w:jc w:val="right"/>
              <w:ind w:right="899"/>
              <w:spacing w:after="0"/>
              <w:rPr>
                <w:sz w:val="20"/>
                <w:szCs w:val="20"/>
                <w:color w:val="auto"/>
              </w:rPr>
            </w:pPr>
            <w:r>
              <w:rPr>
                <w:rFonts w:ascii="Arial" w:cs="Arial" w:eastAsia="Arial" w:hAnsi="Arial"/>
                <w:sz w:val="16"/>
                <w:szCs w:val="16"/>
                <w:color w:val="auto"/>
              </w:rPr>
              <w:t>122,563</w:t>
            </w:r>
          </w:p>
        </w:tc>
        <w:tc>
          <w:tcPr>
            <w:tcW w:w="9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599"/>
              <w:spacing w:after="0"/>
              <w:rPr>
                <w:sz w:val="20"/>
                <w:szCs w:val="20"/>
                <w:color w:val="auto"/>
              </w:rPr>
            </w:pPr>
            <w:r>
              <w:rPr>
                <w:rFonts w:ascii="Arial" w:cs="Arial" w:eastAsia="Arial" w:hAnsi="Arial"/>
                <w:sz w:val="16"/>
                <w:szCs w:val="16"/>
                <w:color w:val="auto"/>
                <w:w w:val="96"/>
              </w:rPr>
              <w:t>159,923</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282,486</w:t>
            </w:r>
          </w:p>
        </w:tc>
      </w:tr>
      <w:tr>
        <w:trPr>
          <w:trHeight w:val="257"/>
        </w:trPr>
        <w:tc>
          <w:tcPr>
            <w:tcW w:w="3740" w:type="dxa"/>
            <w:vAlign w:val="bottom"/>
          </w:tcPr>
          <w:p>
            <w:pPr>
              <w:ind w:left="80"/>
              <w:spacing w:after="0" w:line="257" w:lineRule="exact"/>
              <w:rPr>
                <w:sz w:val="20"/>
                <w:szCs w:val="20"/>
                <w:color w:val="auto"/>
              </w:rPr>
            </w:pPr>
            <w:r>
              <w:rPr>
                <w:rFonts w:ascii="Arial" w:cs="Arial" w:eastAsia="Arial" w:hAnsi="Arial"/>
                <w:sz w:val="16"/>
                <w:szCs w:val="16"/>
                <w:color w:val="auto"/>
              </w:rPr>
              <w:t>Bradley M. Halverson</w:t>
            </w:r>
            <w:r>
              <w:rPr>
                <w:rFonts w:ascii="Arial" w:cs="Arial" w:eastAsia="Arial" w:hAnsi="Arial"/>
                <w:sz w:val="27"/>
                <w:szCs w:val="27"/>
                <w:color w:val="auto"/>
                <w:vertAlign w:val="superscript"/>
              </w:rPr>
              <w:t>(4)</w:t>
            </w:r>
          </w:p>
        </w:tc>
        <w:tc>
          <w:tcPr>
            <w:tcW w:w="1240" w:type="dxa"/>
            <w:vAlign w:val="bottom"/>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899"/>
              <w:spacing w:after="0"/>
              <w:rPr>
                <w:sz w:val="20"/>
                <w:szCs w:val="20"/>
                <w:color w:val="auto"/>
              </w:rPr>
            </w:pPr>
            <w:r>
              <w:rPr>
                <w:rFonts w:ascii="Arial" w:cs="Arial" w:eastAsia="Arial" w:hAnsi="Arial"/>
                <w:sz w:val="16"/>
                <w:szCs w:val="16"/>
                <w:color w:val="auto"/>
              </w:rPr>
              <w:t>52,708</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9"/>
              <w:spacing w:after="0"/>
              <w:rPr>
                <w:sz w:val="20"/>
                <w:szCs w:val="20"/>
                <w:color w:val="auto"/>
              </w:rPr>
            </w:pPr>
            <w:r>
              <w:rPr>
                <w:rFonts w:ascii="Arial" w:cs="Arial" w:eastAsia="Arial" w:hAnsi="Arial"/>
                <w:sz w:val="16"/>
                <w:szCs w:val="16"/>
                <w:color w:val="auto"/>
                <w:w w:val="96"/>
              </w:rPr>
              <w:t>146,623</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199,331</w:t>
            </w:r>
          </w:p>
        </w:tc>
      </w:tr>
      <w:tr>
        <w:trPr>
          <w:trHeight w:val="257"/>
        </w:trPr>
        <w:tc>
          <w:tcPr>
            <w:tcW w:w="3740" w:type="dxa"/>
            <w:vAlign w:val="bottom"/>
            <w:shd w:val="clear" w:color="auto" w:fill="FCE9E8"/>
          </w:tcPr>
          <w:p>
            <w:pPr>
              <w:ind w:left="80"/>
              <w:spacing w:after="0"/>
              <w:rPr>
                <w:sz w:val="20"/>
                <w:szCs w:val="20"/>
                <w:color w:val="auto"/>
              </w:rPr>
            </w:pPr>
            <w:r>
              <w:rPr>
                <w:rFonts w:ascii="Arial" w:cs="Arial" w:eastAsia="Arial" w:hAnsi="Arial"/>
                <w:sz w:val="16"/>
                <w:szCs w:val="16"/>
                <w:color w:val="auto"/>
              </w:rPr>
              <w:t>Mary Lou Jepsen</w:t>
            </w:r>
          </w:p>
        </w:tc>
        <w:tc>
          <w:tcPr>
            <w:tcW w:w="1240" w:type="dxa"/>
            <w:vAlign w:val="bottom"/>
            <w:shd w:val="clear" w:color="auto" w:fill="FCE9E8"/>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CE9E8"/>
          </w:tcPr>
          <w:p>
            <w:pPr>
              <w:jc w:val="right"/>
              <w:ind w:right="899"/>
              <w:spacing w:after="0"/>
              <w:rPr>
                <w:sz w:val="20"/>
                <w:szCs w:val="20"/>
                <w:color w:val="auto"/>
              </w:rPr>
            </w:pPr>
            <w:r>
              <w:rPr>
                <w:rFonts w:ascii="Arial" w:cs="Arial" w:eastAsia="Arial" w:hAnsi="Arial"/>
                <w:sz w:val="16"/>
                <w:szCs w:val="16"/>
                <w:color w:val="auto"/>
              </w:rPr>
              <w:t>103,479</w:t>
            </w:r>
          </w:p>
        </w:tc>
        <w:tc>
          <w:tcPr>
            <w:tcW w:w="9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599"/>
              <w:spacing w:after="0"/>
              <w:rPr>
                <w:sz w:val="20"/>
                <w:szCs w:val="20"/>
                <w:color w:val="auto"/>
              </w:rPr>
            </w:pPr>
            <w:r>
              <w:rPr>
                <w:rFonts w:ascii="Arial" w:cs="Arial" w:eastAsia="Arial" w:hAnsi="Arial"/>
                <w:sz w:val="16"/>
                <w:szCs w:val="16"/>
                <w:color w:val="auto"/>
                <w:w w:val="96"/>
              </w:rPr>
              <w:t>159,923</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263,402</w:t>
            </w:r>
          </w:p>
        </w:tc>
      </w:tr>
      <w:tr>
        <w:trPr>
          <w:trHeight w:val="257"/>
        </w:trPr>
        <w:tc>
          <w:tcPr>
            <w:tcW w:w="3740" w:type="dxa"/>
            <w:vAlign w:val="bottom"/>
          </w:tcPr>
          <w:p>
            <w:pPr>
              <w:ind w:left="80"/>
              <w:spacing w:after="0" w:line="257" w:lineRule="exact"/>
              <w:rPr>
                <w:sz w:val="20"/>
                <w:szCs w:val="20"/>
                <w:color w:val="auto"/>
              </w:rPr>
            </w:pPr>
            <w:r>
              <w:rPr>
                <w:rFonts w:ascii="Arial" w:cs="Arial" w:eastAsia="Arial" w:hAnsi="Arial"/>
                <w:sz w:val="16"/>
                <w:szCs w:val="16"/>
                <w:color w:val="auto"/>
              </w:rPr>
              <w:t>Roger A. Krone</w:t>
            </w:r>
            <w:r>
              <w:rPr>
                <w:rFonts w:ascii="Arial" w:cs="Arial" w:eastAsia="Arial" w:hAnsi="Arial"/>
                <w:sz w:val="27"/>
                <w:szCs w:val="27"/>
                <w:color w:val="auto"/>
                <w:vertAlign w:val="superscript"/>
              </w:rPr>
              <w:t>(5)</w:t>
            </w:r>
          </w:p>
        </w:tc>
        <w:tc>
          <w:tcPr>
            <w:tcW w:w="1240" w:type="dxa"/>
            <w:vAlign w:val="bottom"/>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899"/>
              <w:spacing w:after="0"/>
              <w:rPr>
                <w:sz w:val="20"/>
                <w:szCs w:val="20"/>
                <w:color w:val="auto"/>
              </w:rPr>
            </w:pPr>
            <w:r>
              <w:rPr>
                <w:rFonts w:ascii="Arial" w:cs="Arial" w:eastAsia="Arial" w:hAnsi="Arial"/>
                <w:sz w:val="16"/>
                <w:szCs w:val="16"/>
                <w:color w:val="auto"/>
              </w:rPr>
              <w:t>16,771</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9"/>
              <w:spacing w:after="0"/>
              <w:rPr>
                <w:sz w:val="20"/>
                <w:szCs w:val="20"/>
                <w:color w:val="auto"/>
              </w:rPr>
            </w:pPr>
            <w:r>
              <w:rPr>
                <w:rFonts w:ascii="Arial" w:cs="Arial" w:eastAsia="Arial" w:hAnsi="Arial"/>
                <w:sz w:val="16"/>
                <w:szCs w:val="16"/>
                <w:color w:val="auto"/>
              </w:rPr>
              <w:t>79,914</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96,685</w:t>
            </w:r>
          </w:p>
        </w:tc>
      </w:tr>
      <w:tr>
        <w:trPr>
          <w:trHeight w:val="256"/>
        </w:trPr>
        <w:tc>
          <w:tcPr>
            <w:tcW w:w="3740" w:type="dxa"/>
            <w:vAlign w:val="bottom"/>
            <w:shd w:val="clear" w:color="auto" w:fill="FCE9E8"/>
          </w:tcPr>
          <w:p>
            <w:pPr>
              <w:ind w:left="80"/>
              <w:spacing w:after="0" w:line="257" w:lineRule="exact"/>
              <w:rPr>
                <w:sz w:val="20"/>
                <w:szCs w:val="20"/>
                <w:color w:val="auto"/>
              </w:rPr>
            </w:pPr>
            <w:r>
              <w:rPr>
                <w:rFonts w:ascii="Arial" w:cs="Arial" w:eastAsia="Arial" w:hAnsi="Arial"/>
                <w:sz w:val="16"/>
                <w:szCs w:val="16"/>
                <w:color w:val="auto"/>
              </w:rPr>
              <w:t>Patricia L. Lewis</w:t>
            </w:r>
            <w:r>
              <w:rPr>
                <w:rFonts w:ascii="Arial" w:cs="Arial" w:eastAsia="Arial" w:hAnsi="Arial"/>
                <w:sz w:val="27"/>
                <w:szCs w:val="27"/>
                <w:color w:val="auto"/>
                <w:vertAlign w:val="superscript"/>
              </w:rPr>
              <w:t>(6)</w:t>
            </w:r>
          </w:p>
        </w:tc>
        <w:tc>
          <w:tcPr>
            <w:tcW w:w="1240" w:type="dxa"/>
            <w:vAlign w:val="bottom"/>
            <w:shd w:val="clear" w:color="auto" w:fill="FCE9E8"/>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CE9E8"/>
          </w:tcPr>
          <w:p>
            <w:pPr>
              <w:jc w:val="right"/>
              <w:ind w:right="899"/>
              <w:spacing w:after="0"/>
              <w:rPr>
                <w:sz w:val="20"/>
                <w:szCs w:val="20"/>
                <w:color w:val="auto"/>
              </w:rPr>
            </w:pPr>
            <w:r>
              <w:rPr>
                <w:rFonts w:ascii="Arial" w:cs="Arial" w:eastAsia="Arial" w:hAnsi="Arial"/>
                <w:sz w:val="16"/>
                <w:szCs w:val="16"/>
                <w:color w:val="auto"/>
              </w:rPr>
              <w:t>16,771</w:t>
            </w:r>
          </w:p>
        </w:tc>
        <w:tc>
          <w:tcPr>
            <w:tcW w:w="9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599"/>
              <w:spacing w:after="0"/>
              <w:rPr>
                <w:sz w:val="20"/>
                <w:szCs w:val="20"/>
                <w:color w:val="auto"/>
              </w:rPr>
            </w:pPr>
            <w:r>
              <w:rPr>
                <w:rFonts w:ascii="Arial" w:cs="Arial" w:eastAsia="Arial" w:hAnsi="Arial"/>
                <w:sz w:val="16"/>
                <w:szCs w:val="16"/>
                <w:color w:val="auto"/>
              </w:rPr>
              <w:t>79,914</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96,685</w:t>
            </w:r>
          </w:p>
        </w:tc>
      </w:tr>
      <w:tr>
        <w:trPr>
          <w:trHeight w:val="247"/>
        </w:trPr>
        <w:tc>
          <w:tcPr>
            <w:tcW w:w="3740" w:type="dxa"/>
            <w:vAlign w:val="bottom"/>
          </w:tcPr>
          <w:p>
            <w:pPr>
              <w:ind w:left="80"/>
              <w:spacing w:after="0"/>
              <w:rPr>
                <w:sz w:val="20"/>
                <w:szCs w:val="20"/>
                <w:color w:val="auto"/>
              </w:rPr>
            </w:pPr>
            <w:r>
              <w:rPr>
                <w:rFonts w:ascii="Arial" w:cs="Arial" w:eastAsia="Arial" w:hAnsi="Arial"/>
                <w:sz w:val="16"/>
                <w:szCs w:val="16"/>
                <w:color w:val="auto"/>
              </w:rPr>
              <w:t>Kathleen A. Ligocki</w:t>
            </w:r>
          </w:p>
        </w:tc>
        <w:tc>
          <w:tcPr>
            <w:tcW w:w="1240" w:type="dxa"/>
            <w:vAlign w:val="bottom"/>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899"/>
              <w:spacing w:after="0"/>
              <w:rPr>
                <w:sz w:val="20"/>
                <w:szCs w:val="20"/>
                <w:color w:val="auto"/>
              </w:rPr>
            </w:pPr>
            <w:r>
              <w:rPr>
                <w:rFonts w:ascii="Arial" w:cs="Arial" w:eastAsia="Arial" w:hAnsi="Arial"/>
                <w:sz w:val="16"/>
                <w:szCs w:val="16"/>
                <w:color w:val="auto"/>
              </w:rPr>
              <w:t>116,292</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9"/>
              <w:spacing w:after="0"/>
              <w:rPr>
                <w:sz w:val="20"/>
                <w:szCs w:val="20"/>
                <w:color w:val="auto"/>
              </w:rPr>
            </w:pPr>
            <w:r>
              <w:rPr>
                <w:rFonts w:ascii="Arial" w:cs="Arial" w:eastAsia="Arial" w:hAnsi="Arial"/>
                <w:sz w:val="16"/>
                <w:szCs w:val="16"/>
                <w:color w:val="auto"/>
                <w:w w:val="96"/>
              </w:rPr>
              <w:t>159,923</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276,215</w:t>
            </w:r>
          </w:p>
        </w:tc>
      </w:tr>
      <w:tr>
        <w:trPr>
          <w:trHeight w:val="266"/>
        </w:trPr>
        <w:tc>
          <w:tcPr>
            <w:tcW w:w="3740" w:type="dxa"/>
            <w:vAlign w:val="bottom"/>
            <w:shd w:val="clear" w:color="auto" w:fill="FCE9E8"/>
          </w:tcPr>
          <w:p>
            <w:pPr>
              <w:ind w:left="80"/>
              <w:spacing w:after="0"/>
              <w:rPr>
                <w:sz w:val="20"/>
                <w:szCs w:val="20"/>
                <w:color w:val="auto"/>
              </w:rPr>
            </w:pPr>
            <w:r>
              <w:rPr>
                <w:rFonts w:ascii="Arial" w:cs="Arial" w:eastAsia="Arial" w:hAnsi="Arial"/>
                <w:sz w:val="16"/>
                <w:szCs w:val="16"/>
                <w:color w:val="auto"/>
              </w:rPr>
              <w:t>Conrad L. Mallett, Jr.</w:t>
            </w:r>
          </w:p>
        </w:tc>
        <w:tc>
          <w:tcPr>
            <w:tcW w:w="1240" w:type="dxa"/>
            <w:vAlign w:val="bottom"/>
            <w:shd w:val="clear" w:color="auto" w:fill="FCE9E8"/>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CE9E8"/>
          </w:tcPr>
          <w:p>
            <w:pPr>
              <w:jc w:val="right"/>
              <w:ind w:right="899"/>
              <w:spacing w:after="0"/>
              <w:rPr>
                <w:sz w:val="20"/>
                <w:szCs w:val="20"/>
                <w:color w:val="auto"/>
              </w:rPr>
            </w:pPr>
            <w:r>
              <w:rPr>
                <w:rFonts w:ascii="Arial" w:cs="Arial" w:eastAsia="Arial" w:hAnsi="Arial"/>
                <w:sz w:val="16"/>
                <w:szCs w:val="16"/>
                <w:color w:val="auto"/>
              </w:rPr>
              <w:t>103,479</w:t>
            </w:r>
          </w:p>
        </w:tc>
        <w:tc>
          <w:tcPr>
            <w:tcW w:w="9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599"/>
              <w:spacing w:after="0"/>
              <w:rPr>
                <w:sz w:val="20"/>
                <w:szCs w:val="20"/>
                <w:color w:val="auto"/>
              </w:rPr>
            </w:pPr>
            <w:r>
              <w:rPr>
                <w:rFonts w:ascii="Arial" w:cs="Arial" w:eastAsia="Arial" w:hAnsi="Arial"/>
                <w:sz w:val="16"/>
                <w:szCs w:val="16"/>
                <w:color w:val="auto"/>
                <w:w w:val="96"/>
              </w:rPr>
              <w:t>159,923</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263,402</w:t>
            </w:r>
          </w:p>
        </w:tc>
      </w:tr>
      <w:tr>
        <w:trPr>
          <w:trHeight w:val="257"/>
        </w:trPr>
        <w:tc>
          <w:tcPr>
            <w:tcW w:w="3740" w:type="dxa"/>
            <w:vAlign w:val="bottom"/>
          </w:tcPr>
          <w:p>
            <w:pPr>
              <w:ind w:left="80"/>
              <w:spacing w:after="0" w:line="257" w:lineRule="exact"/>
              <w:rPr>
                <w:sz w:val="20"/>
                <w:szCs w:val="20"/>
                <w:color w:val="auto"/>
              </w:rPr>
            </w:pPr>
            <w:r>
              <w:rPr>
                <w:rFonts w:ascii="Arial" w:cs="Arial" w:eastAsia="Arial" w:hAnsi="Arial"/>
                <w:sz w:val="16"/>
                <w:szCs w:val="16"/>
                <w:color w:val="auto"/>
              </w:rPr>
              <w:t>Gregory C. Smith</w:t>
            </w:r>
            <w:r>
              <w:rPr>
                <w:rFonts w:ascii="Arial" w:cs="Arial" w:eastAsia="Arial" w:hAnsi="Arial"/>
                <w:sz w:val="27"/>
                <w:szCs w:val="27"/>
                <w:color w:val="auto"/>
                <w:vertAlign w:val="superscript"/>
              </w:rPr>
              <w:t>(7)</w:t>
            </w:r>
          </w:p>
        </w:tc>
        <w:tc>
          <w:tcPr>
            <w:tcW w:w="1240" w:type="dxa"/>
            <w:vAlign w:val="bottom"/>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899"/>
              <w:spacing w:after="0"/>
              <w:rPr>
                <w:sz w:val="20"/>
                <w:szCs w:val="20"/>
                <w:color w:val="auto"/>
              </w:rPr>
            </w:pPr>
            <w:r>
              <w:rPr>
                <w:rFonts w:ascii="Arial" w:cs="Arial" w:eastAsia="Arial" w:hAnsi="Arial"/>
                <w:sz w:val="16"/>
                <w:szCs w:val="16"/>
                <w:color w:val="auto"/>
              </w:rPr>
              <w:t>147,146</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9"/>
              <w:spacing w:after="0"/>
              <w:rPr>
                <w:sz w:val="20"/>
                <w:szCs w:val="20"/>
                <w:color w:val="auto"/>
              </w:rPr>
            </w:pPr>
            <w:r>
              <w:rPr>
                <w:rFonts w:ascii="Arial" w:cs="Arial" w:eastAsia="Arial" w:hAnsi="Arial"/>
                <w:sz w:val="16"/>
                <w:szCs w:val="16"/>
                <w:color w:val="auto"/>
                <w:w w:val="96"/>
              </w:rPr>
              <w:t>279,972</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427,118</w:t>
            </w:r>
          </w:p>
        </w:tc>
      </w:tr>
      <w:tr>
        <w:trPr>
          <w:trHeight w:val="257"/>
        </w:trPr>
        <w:tc>
          <w:tcPr>
            <w:tcW w:w="3740" w:type="dxa"/>
            <w:vAlign w:val="bottom"/>
            <w:shd w:val="clear" w:color="auto" w:fill="FCE9E8"/>
          </w:tcPr>
          <w:p>
            <w:pPr>
              <w:ind w:left="80"/>
              <w:spacing w:after="0" w:line="257" w:lineRule="exact"/>
              <w:rPr>
                <w:sz w:val="20"/>
                <w:szCs w:val="20"/>
                <w:color w:val="auto"/>
              </w:rPr>
            </w:pPr>
            <w:r>
              <w:rPr>
                <w:rFonts w:ascii="Arial" w:cs="Arial" w:eastAsia="Arial" w:hAnsi="Arial"/>
                <w:sz w:val="16"/>
                <w:szCs w:val="16"/>
                <w:color w:val="auto"/>
              </w:rPr>
              <w:t>Henry D.G. Wallace</w:t>
            </w:r>
            <w:r>
              <w:rPr>
                <w:rFonts w:ascii="Arial" w:cs="Arial" w:eastAsia="Arial" w:hAnsi="Arial"/>
                <w:sz w:val="27"/>
                <w:szCs w:val="27"/>
                <w:color w:val="auto"/>
                <w:vertAlign w:val="superscript"/>
              </w:rPr>
              <w:t>(2)(8)</w:t>
            </w:r>
          </w:p>
        </w:tc>
        <w:tc>
          <w:tcPr>
            <w:tcW w:w="1240" w:type="dxa"/>
            <w:vAlign w:val="bottom"/>
            <w:shd w:val="clear" w:color="auto" w:fill="FCE9E8"/>
          </w:tcPr>
          <w:p>
            <w:pPr>
              <w:ind w:left="114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FCE9E8"/>
          </w:tcPr>
          <w:p>
            <w:pPr>
              <w:jc w:val="right"/>
              <w:ind w:right="899"/>
              <w:spacing w:after="0"/>
              <w:rPr>
                <w:sz w:val="20"/>
                <w:szCs w:val="20"/>
                <w:color w:val="auto"/>
              </w:rPr>
            </w:pPr>
            <w:r>
              <w:rPr>
                <w:rFonts w:ascii="Arial" w:cs="Arial" w:eastAsia="Arial" w:hAnsi="Arial"/>
                <w:sz w:val="16"/>
                <w:szCs w:val="16"/>
                <w:color w:val="auto"/>
              </w:rPr>
              <w:t>77,188</w:t>
            </w:r>
          </w:p>
        </w:tc>
        <w:tc>
          <w:tcPr>
            <w:tcW w:w="9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599"/>
              <w:spacing w:after="0"/>
              <w:rPr>
                <w:sz w:val="20"/>
                <w:szCs w:val="20"/>
                <w:color w:val="auto"/>
              </w:rPr>
            </w:pPr>
            <w:r>
              <w:rPr>
                <w:rFonts w:ascii="Arial" w:cs="Arial" w:eastAsia="Arial" w:hAnsi="Arial"/>
                <w:sz w:val="16"/>
                <w:szCs w:val="16"/>
                <w:color w:val="auto"/>
              </w:rPr>
              <w:t>—</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77,188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right="20" w:hanging="291"/>
        <w:spacing w:after="0" w:line="221" w:lineRule="auto"/>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Includes cash retainer and other fees earned for service as directors in 2020. The base annual cash retainer is $115,000 and as described below, there is an additional cash retainer for the Non-Executive Chairman and the Chairman of each of the Audit Committee, Compensation Committee and Nominating Committee. Also, as noted below, for the period from May to November 2020, the directors took a 25% reduction in cash fees in response to industry conditions created by the COVID-19 pandemic. Our directors received the following additional cash fees in 2020: (i) Messrs. Capo, Foster, and Smith each received $2,000 (representing fees for two non-standing special Financing Committee meetings), and (ii) Messrs. Capo, Cheng, Foster, Mallett and Smith, and Mses. Jepsen and Ligocki each received $5,250 (representing fees for four meetings held in 2020 in excess of the twelve meetings each individual attends in a calendar year)).</w:t>
      </w:r>
    </w:p>
    <w:p>
      <w:pPr>
        <w:spacing w:after="0" w:line="71" w:lineRule="exact"/>
        <w:rPr>
          <w:rFonts w:ascii="Arial" w:cs="Arial" w:eastAsia="Arial" w:hAnsi="Arial"/>
          <w:sz w:val="24"/>
          <w:szCs w:val="24"/>
          <w:color w:val="auto"/>
          <w:vertAlign w:val="superscript"/>
        </w:rPr>
      </w:pPr>
    </w:p>
    <w:p>
      <w:pPr>
        <w:ind w:left="960" w:right="240" w:hanging="291"/>
        <w:spacing w:after="0" w:line="183" w:lineRule="auto"/>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Mr. Cheng deferred $103,479 of his 2020 retainer and other cash fees. In addition, Mr. Wallace deferred $77,188 of his 2020 retainer fees; however, such amounts were paid out in connection with his retirement from the Board.</w:t>
      </w:r>
    </w:p>
    <w:p>
      <w:pPr>
        <w:spacing w:after="0" w:line="71" w:lineRule="exact"/>
        <w:rPr>
          <w:rFonts w:ascii="Arial" w:cs="Arial" w:eastAsia="Arial" w:hAnsi="Arial"/>
          <w:sz w:val="24"/>
          <w:szCs w:val="24"/>
          <w:color w:val="auto"/>
          <w:vertAlign w:val="superscript"/>
        </w:rPr>
      </w:pPr>
    </w:p>
    <w:p>
      <w:pPr>
        <w:ind w:left="960" w:right="60" w:hanging="291"/>
        <w:spacing w:after="0" w:line="214" w:lineRule="auto"/>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As described below under the heading “Equity Compensation,” on May 21, 2020, each of our non-employee directors who were members of the Board on the date of the annual meeting received a grant of restricted stock units, which vest on the earlier of the first anniversary of the grant date and the date of the next annual meeting of stockholders that is at least 50 weeks following the immediately preceding year’s annual meeting, subject to each director’s continued service on the Board. Each of Messrs. Halverson and Krone, and Ms. Lewis, received a prorated grant of restricted stock units, with the same vesting schedule noted in the preceding sentence, on June 18, 2020 (for Mr. Halverson) and on November 9, 2020 (for Mr. Krone and Ms. Lewis, respectively). The amounts reported in this column for each director reflect the aggregate grant date fair value determined in accordance with FASB Accounting Standards Codification</w:t>
      </w:r>
      <w:r>
        <w:rPr>
          <w:rFonts w:ascii="Arial" w:cs="Arial" w:eastAsia="Arial" w:hAnsi="Arial"/>
          <w:sz w:val="24"/>
          <w:szCs w:val="24"/>
          <w:color w:val="auto"/>
          <w:vertAlign w:val="superscript"/>
        </w:rPr>
        <w:t>™</w:t>
      </w:r>
      <w:r>
        <w:rPr>
          <w:rFonts w:ascii="Arial" w:cs="Arial" w:eastAsia="Arial" w:hAnsi="Arial"/>
          <w:sz w:val="14"/>
          <w:szCs w:val="14"/>
          <w:color w:val="auto"/>
        </w:rPr>
        <w:t xml:space="preserve"> (“ASC”) Topic 718, “Compensation-Stock Compensation.” As of December 31, 2020, each of our non-employee directors who were members of the Board on such date held the following outstanding and unvested restricted stock units: Messrs. Capo, Cheng, Foster, Mallett, along with Ms. Jepsen and Ms. Ligocki – 1,508; Mr. Halverson – 1,364; Mr. Krone and Ms. Lewis – 579; and Mr. Smith – 2,640. Messrs. Capo and Cheng, along with Ms. Ligocki, each elected to defer 100% of their 2020 restricted stock unit grants; Mr. Mallett elected to defer 61% of his 2020 restricted stock unit grant (in each case, subject to vesting of the restricted stock units).</w:t>
      </w:r>
    </w:p>
    <w:p>
      <w:pPr>
        <w:spacing w:after="0" w:line="8" w:lineRule="exact"/>
        <w:rPr>
          <w:rFonts w:ascii="Arial" w:cs="Arial" w:eastAsia="Arial" w:hAnsi="Arial"/>
          <w:sz w:val="24"/>
          <w:szCs w:val="24"/>
          <w:color w:val="auto"/>
          <w:vertAlign w:val="superscript"/>
        </w:rPr>
      </w:pPr>
    </w:p>
    <w:p>
      <w:pPr>
        <w:ind w:left="960" w:hanging="291"/>
        <w:spacing w:after="0" w:line="211" w:lineRule="auto"/>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Mr. Halverson was appointed to the Board in June 2020.</w:t>
      </w:r>
    </w:p>
    <w:p>
      <w:pPr>
        <w:spacing w:after="0" w:line="71" w:lineRule="exact"/>
        <w:rPr>
          <w:rFonts w:ascii="Arial" w:cs="Arial" w:eastAsia="Arial" w:hAnsi="Arial"/>
          <w:sz w:val="24"/>
          <w:szCs w:val="24"/>
          <w:color w:val="auto"/>
          <w:vertAlign w:val="superscript"/>
        </w:rPr>
      </w:pPr>
    </w:p>
    <w:p>
      <w:pPr>
        <w:ind w:left="960" w:hanging="291"/>
        <w:spacing w:after="0" w:line="189" w:lineRule="auto"/>
        <w:tabs>
          <w:tab w:leader="none" w:pos="96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Mr. Krone was appointed to the Board in November 2020.</w:t>
      </w:r>
    </w:p>
    <w:p>
      <w:pPr>
        <w:spacing w:after="0" w:line="70" w:lineRule="exact"/>
        <w:rPr>
          <w:rFonts w:ascii="Arial" w:cs="Arial" w:eastAsia="Arial" w:hAnsi="Arial"/>
          <w:sz w:val="19"/>
          <w:szCs w:val="19"/>
          <w:color w:val="auto"/>
          <w:vertAlign w:val="superscript"/>
        </w:rPr>
      </w:pPr>
    </w:p>
    <w:p>
      <w:pPr>
        <w:ind w:left="960" w:hanging="291"/>
        <w:spacing w:after="0" w:line="189" w:lineRule="auto"/>
        <w:tabs>
          <w:tab w:leader="none" w:pos="96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Ms. Lewis was appointed to the Board in November 2020.</w:t>
      </w:r>
    </w:p>
    <w:p>
      <w:pPr>
        <w:spacing w:after="0" w:line="70" w:lineRule="exact"/>
        <w:rPr>
          <w:rFonts w:ascii="Arial" w:cs="Arial" w:eastAsia="Arial" w:hAnsi="Arial"/>
          <w:sz w:val="19"/>
          <w:szCs w:val="19"/>
          <w:color w:val="auto"/>
          <w:vertAlign w:val="superscript"/>
        </w:rPr>
      </w:pPr>
    </w:p>
    <w:p>
      <w:pPr>
        <w:ind w:left="960" w:right="40" w:hanging="291"/>
        <w:spacing w:after="0" w:line="183" w:lineRule="auto"/>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In connection with Mr. Wallace’s retirement, the Board appointed Mr. Smith as the new Non-Executive Chairman of the Board immediately following the 2020 annual meeting.</w:t>
      </w:r>
    </w:p>
    <w:p>
      <w:pPr>
        <w:spacing w:after="0" w:line="71" w:lineRule="exact"/>
        <w:rPr>
          <w:rFonts w:ascii="Arial" w:cs="Arial" w:eastAsia="Arial" w:hAnsi="Arial"/>
          <w:sz w:val="24"/>
          <w:szCs w:val="24"/>
          <w:color w:val="auto"/>
          <w:vertAlign w:val="superscript"/>
        </w:rPr>
      </w:pPr>
    </w:p>
    <w:p>
      <w:pPr>
        <w:ind w:left="960" w:right="60" w:hanging="291"/>
        <w:spacing w:after="0" w:line="183" w:lineRule="auto"/>
        <w:tabs>
          <w:tab w:leader="none" w:pos="9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Mr. Wallace, who served as the Non-Executive Chairman of the Board, did not stand for re-election at the 2020 annual meeting, as he had reached the Company’s mandatory retirement age for directors. The fees earned by Mr. Wallace represent the amounts he received prior to his retirement.</w:t>
      </w:r>
    </w:p>
    <w:p>
      <w:pPr>
        <w:spacing w:after="0" w:line="395" w:lineRule="exact"/>
        <w:rPr>
          <w:sz w:val="20"/>
          <w:szCs w:val="20"/>
          <w:color w:val="auto"/>
        </w:rPr>
      </w:pPr>
    </w:p>
    <w:p>
      <w:pPr>
        <w:ind w:left="780" w:hanging="393"/>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Summary of 2020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 — Benchmarking” below) and a broader set of large companies. The most recent competitive pay study was reviewed in August 2019, and the Compensation Committee determined not to provide for any increases for 2020. Based on the most recent benchmarking analysis, the director compensation is near the market median level within the Comparator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spacing w:after="0" w:line="247" w:lineRule="auto"/>
        <w:rPr>
          <w:sz w:val="20"/>
          <w:szCs w:val="20"/>
          <w:color w:val="auto"/>
        </w:rPr>
      </w:pPr>
      <w:r>
        <w:rPr>
          <w:rFonts w:ascii="Arial" w:cs="Arial" w:eastAsia="Arial" w:hAnsi="Arial"/>
          <w:sz w:val="16"/>
          <w:szCs w:val="16"/>
          <w:color w:val="auto"/>
        </w:rPr>
        <w:t>In April 2020, facing the onset of a global pandemic that deeply affected economies around the world, as well as the automotive sector and several other industries, Lear implemented a series of cash conservation efforts. As part of those efforts, our non-employee directors accepted a 25% reduction in annual retainer and meeting fees (those held in excess of the twelve that he/she attends in a calendar year). The decreased amounts are reflected in the Director Compensation table above. Given the rapidly changing environment, there were 4 additional meetings held in 2020 to react to the crisis that were not scheduled prior to the beginning of 2020. The cash compensation components described below, including under “Non-Executive Chairman Compensation,” do not reflect the 25% reduction in the cash fees that were paid from May through November 2020.</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base annual cash retainer for each non-employee director under the Outside Directors Compensation Plan is $115,000. The additional cash retainer for the chairs of the Compensation Committee and the Audit Committee is $20,000, the additional cash retainer for the chair of the Nominating Committee is $15,000 and the additional cash retainer for the Presiding Director, if any, is $10,000. The annual cash retainer for each non-employee director is paid in advance in equal installments on the last business day of the month. Because the Company has an independent Non-Executive Chairman, there currently is no Presiding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 non-employee director is eligible to receive $1,500 for each Board meeting in excess of twelve that he/she attends in a calendar year. Meeting fees for a special committee of the Board are set by the Board at the time of the formation of the special committee and usually are set at the rate of $1,000 per meeting. Meeting fees, if any, are paid on the last business day of the month (for that month’s meeting fees).</w:t>
      </w:r>
    </w:p>
    <w:p>
      <w:pPr>
        <w:spacing w:after="0" w:line="761"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Pursuant to the Outside Directors Compensation Plan, in addition to a cash retainer, each non-employee director receives a portion of his or her annual compensation in the form of equity compensation, which is granted each year on the date of the annual meeting of stockholders at which a director is elected or re-elected to serve on the Board. Such equity compensation is paid in the form of an annual grant of restricted stock units with a grant date value of approximately</w:t>
      </w: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96"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color w:val="auto"/>
        </w:rPr>
        <w:t>In 2020, the additional compensation for our Non-Executive Chairman, currently Mr. Smith, was an additional annual cash retainer in the amount of $80,000 (prorated for his time in service as our Non-Executive Chairman, starting immediately following the 2020 annual meeting) and an additional annual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$160,000. The restricted stock unit awards will vest on the earlier of the first anniversary of the grant date and the date of the next annual meeting of stockholders that is at least 50 weeks following the immediately preceding year’s annual meeting, subject to forfeiture in the event that a director’s service on the Board ceases for any reason prior to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grant of restricted stock units with a grant date value of approximately $120,000. The payment and vesting schedule for this additional annual compensation is the same as that described above.</w:t>
      </w:r>
    </w:p>
    <w:p>
      <w:pPr>
        <w:spacing w:after="0" w:line="388" w:lineRule="exact"/>
        <w:rPr>
          <w:sz w:val="20"/>
          <w:szCs w:val="20"/>
          <w:color w:val="auto"/>
        </w:rPr>
      </w:pPr>
    </w:p>
    <w:p>
      <w:pPr>
        <w:sectPr>
          <w:pgSz w:w="11900" w:h="16838" w:orient="portrait"/>
          <w:cols w:equalWidth="0" w:num="2">
            <w:col w:w="5340" w:space="380"/>
            <w:col w:w="5140"/>
          </w:cols>
          <w:pgMar w:left="320" w:top="459" w:right="719" w:bottom="1440" w:gutter="0" w:footer="0" w:header="0"/>
          <w:type w:val="continuous"/>
        </w:sectPr>
      </w:pPr>
    </w:p>
    <w:p>
      <w:pPr>
        <w:spacing w:after="0" w:line="34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27</w:t>
      </w:r>
    </w:p>
    <w:p>
      <w:pPr>
        <w:sectPr>
          <w:pgSz w:w="11900" w:h="16838" w:orient="portrait"/>
          <w:cols w:equalWidth="0" w:num="1">
            <w:col w:w="10860"/>
          </w:cols>
          <w:pgMar w:left="320" w:top="459" w:right="7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Deferrals</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restricted stock unit grant into a stock account where, subject to and following satisfaction of the applicable vesting requirements, notional stock units are credited until distribution in the form of shares of common stock upon the pre-selected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general, amounts deferred are paid to a non-employee director as of the earliest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-1325245</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ind w:left="200" w:hanging="197"/>
        <w:spacing w:after="0"/>
        <w:tabs>
          <w:tab w:leader="none" w:pos="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date elected by such director;</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6" w:lineRule="exact"/>
        <w:rPr>
          <w:rFonts w:ascii="Arial" w:cs="Arial" w:eastAsia="Arial" w:hAnsi="Arial"/>
          <w:sz w:val="16"/>
          <w:szCs w:val="16"/>
          <w:color w:val="auto"/>
        </w:rPr>
      </w:pPr>
    </w:p>
    <w:p>
      <w:pPr>
        <w:ind w:left="200" w:right="40" w:hanging="197"/>
        <w:spacing w:after="0" w:line="260" w:lineRule="auto"/>
        <w:tabs>
          <w:tab w:leader="none" w:pos="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restricted stock unit grants that are deferred are paid in the form of shares of common stock in a lump sum or installments in accordance with the director’s election.</w:t>
      </w:r>
    </w:p>
    <w:p>
      <w:pPr>
        <w:spacing w:after="0" w:line="200" w:lineRule="exact"/>
        <w:rPr>
          <w:sz w:val="20"/>
          <w:szCs w:val="20"/>
          <w:color w:val="auto"/>
        </w:rPr>
      </w:pPr>
    </w:p>
    <w:p>
      <w:pPr>
        <w:sectPr>
          <w:pgSz w:w="11900" w:h="16838" w:orient="portrait"/>
          <w:cols w:equalWidth="0" w:num="2">
            <w:col w:w="5420" w:space="300"/>
            <w:col w:w="4840"/>
          </w:cols>
          <w:pgMar w:left="320" w:top="459" w:right="1019" w:bottom="1440" w:gutter="0" w:footer="0" w:header="0"/>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beginning in 2014, must hold 50% of the net shares from their annual stock grants received until they are in compliance with these guidelines. As of our latest measurement date (December 31, 2020), all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non-employee directors who were directors on the measurement date (other than Dr. Jepsen, who joined the Board in March 2016, Mr. Cheng, who joined the Board in January 2019, Mr. Halverson, who joined the Board in June 2020, and Mr. Krone and Ms. Lewis, who joined the Board in November 2020, each of whom is in compliance with the 50% hold requirement) met the required ownership guideline level.</w:t>
      </w:r>
    </w:p>
    <w:p>
      <w:pPr>
        <w:spacing w:after="0" w:line="390" w:lineRule="exact"/>
        <w:rPr>
          <w:sz w:val="20"/>
          <w:szCs w:val="20"/>
          <w:color w:val="auto"/>
        </w:rPr>
      </w:pPr>
    </w:p>
    <w:p>
      <w:pPr>
        <w:sectPr>
          <w:pgSz w:w="11900" w:h="16838" w:orient="portrait"/>
          <w:cols w:equalWidth="0" w:num="2">
            <w:col w:w="5380" w:space="340"/>
            <w:col w:w="4840"/>
          </w:cols>
          <w:pgMar w:left="320" w:top="459" w:right="101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96"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pacing w:after="0" w:line="200" w:lineRule="exact"/>
        <w:rPr>
          <w:sz w:val="20"/>
          <w:szCs w:val="20"/>
          <w:color w:val="auto"/>
        </w:rPr>
      </w:pPr>
    </w:p>
    <w:p>
      <w:pPr>
        <w:sectPr>
          <w:pgSz w:w="11900" w:h="16838" w:orient="portrait"/>
          <w:cols w:equalWidth="0" w:num="2">
            <w:col w:w="5240" w:space="480"/>
            <w:col w:w="4840"/>
          </w:cols>
          <w:pgMar w:left="320" w:top="459" w:right="1019" w:bottom="1440" w:gutter="0" w:footer="0" w:header="0"/>
          <w:type w:val="continuous"/>
        </w:sectPr>
      </w:pPr>
    </w:p>
    <w:p>
      <w:pPr>
        <w:spacing w:after="0" w:line="335" w:lineRule="exact"/>
        <w:rPr>
          <w:sz w:val="20"/>
          <w:szCs w:val="20"/>
          <w:color w:val="auto"/>
        </w:rPr>
      </w:pPr>
    </w:p>
    <w:p>
      <w:pPr>
        <w:ind w:left="780" w:hanging="393"/>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58420</wp:posOffset>
            </wp:positionV>
            <wp:extent cx="22028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360"/>
        <w:spacing w:after="0" w:line="249" w:lineRule="auto"/>
        <w:rPr>
          <w:sz w:val="20"/>
          <w:szCs w:val="20"/>
          <w:color w:val="auto"/>
        </w:rPr>
      </w:pPr>
      <w:r>
        <w:rPr>
          <w:rFonts w:ascii="Arial" w:cs="Arial" w:eastAsia="Arial" w:hAnsi="Arial"/>
          <w:sz w:val="16"/>
          <w:szCs w:val="16"/>
          <w:color w:val="auto"/>
        </w:rPr>
        <w:t>The following table sets forth, as of March 26, 2021 (except as indicated below), beneficial ownership, as defined by SEC rules, of our common stock (including shares of common stock subject to stock options that are currently exercisable or exercisable within 60 days of March 26, 2021)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60,129,685 shares of common stock outstanding on March 26, 2021, rather than based on the percentages set forth in stockholders’ Schedules 13G or 13D, as applicable, filed with the SEC.</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620" w:type="dxa"/>
            <w:vAlign w:val="bottom"/>
          </w:tcPr>
          <w:p>
            <w:pPr>
              <w:jc w:val="center"/>
              <w:ind w:left="260"/>
              <w:spacing w:after="0"/>
              <w:rPr>
                <w:sz w:val="20"/>
                <w:szCs w:val="20"/>
                <w:color w:val="auto"/>
              </w:rPr>
            </w:pPr>
            <w:r>
              <w:rPr>
                <w:rFonts w:ascii="Arial" w:cs="Arial" w:eastAsia="Arial" w:hAnsi="Arial"/>
                <w:sz w:val="14"/>
                <w:szCs w:val="14"/>
                <w:b w:val="1"/>
                <w:bCs w:val="1"/>
                <w:color w:val="E2231A"/>
              </w:rPr>
              <w:t>Number of Shares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E2231A"/>
              </w:rPr>
              <w:t>Percentage of</w:t>
            </w:r>
          </w:p>
        </w:tc>
        <w:tc>
          <w:tcPr>
            <w:tcW w:w="1500" w:type="dxa"/>
            <w:vAlign w:val="bottom"/>
          </w:tcPr>
          <w:p>
            <w:pPr>
              <w:jc w:val="center"/>
              <w:ind w:left="60"/>
              <w:spacing w:after="0"/>
              <w:rPr>
                <w:sz w:val="20"/>
                <w:szCs w:val="20"/>
                <w:color w:val="auto"/>
              </w:rPr>
            </w:pPr>
            <w:r>
              <w:rPr>
                <w:rFonts w:ascii="Arial" w:cs="Arial" w:eastAsia="Arial" w:hAnsi="Arial"/>
                <w:sz w:val="14"/>
                <w:szCs w:val="14"/>
                <w:b w:val="1"/>
                <w:bCs w:val="1"/>
                <w:color w:val="E2231A"/>
              </w:rPr>
              <w:t>Number of</w:t>
            </w:r>
          </w:p>
        </w:tc>
      </w:tr>
      <w:tr>
        <w:trPr>
          <w:trHeight w:val="162"/>
        </w:trPr>
        <w:tc>
          <w:tcPr>
            <w:tcW w:w="3520" w:type="dxa"/>
            <w:vAlign w:val="bottom"/>
          </w:tcPr>
          <w:p>
            <w:pPr>
              <w:spacing w:after="0"/>
              <w:rPr>
                <w:sz w:val="14"/>
                <w:szCs w:val="14"/>
                <w:color w:val="auto"/>
              </w:rPr>
            </w:pPr>
          </w:p>
        </w:tc>
        <w:tc>
          <w:tcPr>
            <w:tcW w:w="2620" w:type="dxa"/>
            <w:vAlign w:val="bottom"/>
          </w:tcPr>
          <w:p>
            <w:pPr>
              <w:jc w:val="center"/>
              <w:ind w:left="240"/>
              <w:spacing w:after="0"/>
              <w:rPr>
                <w:sz w:val="20"/>
                <w:szCs w:val="20"/>
                <w:color w:val="auto"/>
              </w:rPr>
            </w:pPr>
            <w:r>
              <w:rPr>
                <w:rFonts w:ascii="Arial" w:cs="Arial" w:eastAsia="Arial" w:hAnsi="Arial"/>
                <w:sz w:val="14"/>
                <w:szCs w:val="14"/>
                <w:b w:val="1"/>
                <w:bCs w:val="1"/>
                <w:color w:val="E2231A"/>
              </w:rPr>
              <w:t>of Common Stock</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E2231A"/>
              </w:rPr>
              <w:t>Common Stock</w:t>
            </w:r>
          </w:p>
        </w:tc>
        <w:tc>
          <w:tcPr>
            <w:tcW w:w="1500" w:type="dxa"/>
            <w:vAlign w:val="bottom"/>
          </w:tcPr>
          <w:p>
            <w:pPr>
              <w:jc w:val="center"/>
              <w:ind w:left="80"/>
              <w:spacing w:after="0"/>
              <w:rPr>
                <w:sz w:val="20"/>
                <w:szCs w:val="20"/>
                <w:color w:val="auto"/>
              </w:rPr>
            </w:pPr>
            <w:r>
              <w:rPr>
                <w:rFonts w:ascii="Arial" w:cs="Arial" w:eastAsia="Arial" w:hAnsi="Arial"/>
                <w:sz w:val="14"/>
                <w:szCs w:val="14"/>
                <w:b w:val="1"/>
                <w:bCs w:val="1"/>
                <w:color w:val="E2231A"/>
              </w:rPr>
              <w:t>RSUs</w:t>
            </w:r>
          </w:p>
        </w:tc>
      </w:tr>
      <w:tr>
        <w:trPr>
          <w:trHeight w:val="189"/>
        </w:trPr>
        <w:tc>
          <w:tcPr>
            <w:tcW w:w="35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center"/>
              <w:ind w:left="260"/>
              <w:spacing w:after="0"/>
              <w:rPr>
                <w:sz w:val="20"/>
                <w:szCs w:val="20"/>
                <w:color w:val="auto"/>
              </w:rPr>
            </w:pPr>
            <w:r>
              <w:rPr>
                <w:rFonts w:ascii="Arial" w:cs="Arial" w:eastAsia="Arial" w:hAnsi="Arial"/>
                <w:sz w:val="14"/>
                <w:szCs w:val="14"/>
                <w:b w:val="1"/>
                <w:bCs w:val="1"/>
                <w:color w:val="E2231A"/>
              </w:rPr>
              <w:t>Owned Beneficially</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Owned Beneficially</w:t>
            </w:r>
          </w:p>
        </w:tc>
        <w:tc>
          <w:tcPr>
            <w:tcW w:w="1500" w:type="dxa"/>
            <w:vAlign w:val="bottom"/>
            <w:tcBorders>
              <w:bottom w:val="single" w:sz="8" w:color="auto"/>
            </w:tcBorders>
          </w:tcPr>
          <w:p>
            <w:pPr>
              <w:jc w:val="center"/>
              <w:ind w:left="80"/>
              <w:spacing w:after="0" w:line="189" w:lineRule="exact"/>
              <w:rPr>
                <w:sz w:val="20"/>
                <w:szCs w:val="20"/>
                <w:color w:val="auto"/>
              </w:rPr>
            </w:pPr>
            <w:r>
              <w:rPr>
                <w:rFonts w:ascii="Arial" w:cs="Arial" w:eastAsia="Arial" w:hAnsi="Arial"/>
                <w:sz w:val="13"/>
                <w:szCs w:val="13"/>
                <w:b w:val="1"/>
                <w:bCs w:val="1"/>
                <w:color w:val="E2231A"/>
              </w:rPr>
              <w:t>Owned</w:t>
            </w:r>
            <w:r>
              <w:rPr>
                <w:rFonts w:ascii="Arial" w:cs="Arial" w:eastAsia="Arial" w:hAnsi="Arial"/>
                <w:sz w:val="21"/>
                <w:szCs w:val="21"/>
                <w:b w:val="1"/>
                <w:bCs w:val="1"/>
                <w:color w:val="E2231A"/>
                <w:vertAlign w:val="superscript"/>
              </w:rPr>
              <w:t>(20)</w:t>
            </w:r>
          </w:p>
        </w:tc>
      </w:tr>
      <w:tr>
        <w:trPr>
          <w:trHeight w:val="223"/>
        </w:trPr>
        <w:tc>
          <w:tcPr>
            <w:tcW w:w="352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5% Beneficial Owners:</w:t>
            </w:r>
          </w:p>
        </w:tc>
        <w:tc>
          <w:tcPr>
            <w:tcW w:w="2620" w:type="dxa"/>
            <w:vAlign w:val="bottom"/>
            <w:shd w:val="clear" w:color="auto" w:fill="FCE9E8"/>
          </w:tcPr>
          <w:p>
            <w:pPr>
              <w:spacing w:after="0"/>
              <w:rPr>
                <w:sz w:val="19"/>
                <w:szCs w:val="19"/>
                <w:color w:val="auto"/>
              </w:rPr>
            </w:pPr>
          </w:p>
        </w:tc>
        <w:tc>
          <w:tcPr>
            <w:tcW w:w="2280" w:type="dxa"/>
            <w:vAlign w:val="bottom"/>
            <w:shd w:val="clear" w:color="auto" w:fill="FCE9E8"/>
          </w:tcPr>
          <w:p>
            <w:pPr>
              <w:spacing w:after="0"/>
              <w:rPr>
                <w:sz w:val="19"/>
                <w:szCs w:val="19"/>
                <w:color w:val="auto"/>
              </w:rPr>
            </w:pPr>
          </w:p>
        </w:tc>
        <w:tc>
          <w:tcPr>
            <w:tcW w:w="1500" w:type="dxa"/>
            <w:vAlign w:val="bottom"/>
            <w:shd w:val="clear" w:color="auto" w:fill="FCE9E8"/>
          </w:tcPr>
          <w:p>
            <w:pPr>
              <w:spacing w:after="0"/>
              <w:rPr>
                <w:sz w:val="19"/>
                <w:szCs w:val="19"/>
                <w:color w:val="auto"/>
              </w:rPr>
            </w:pP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(1)</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6,379,552</w:t>
            </w:r>
          </w:p>
        </w:tc>
        <w:tc>
          <w:tcPr>
            <w:tcW w:w="2280" w:type="dxa"/>
            <w:vAlign w:val="bottom"/>
          </w:tcPr>
          <w:p>
            <w:pPr>
              <w:jc w:val="right"/>
              <w:ind w:right="700"/>
              <w:spacing w:after="0"/>
              <w:rPr>
                <w:sz w:val="20"/>
                <w:szCs w:val="20"/>
                <w:color w:val="auto"/>
              </w:rPr>
            </w:pPr>
            <w:r>
              <w:rPr>
                <w:rFonts w:ascii="Arial" w:cs="Arial" w:eastAsia="Arial" w:hAnsi="Arial"/>
                <w:sz w:val="16"/>
                <w:szCs w:val="16"/>
                <w:color w:val="auto"/>
              </w:rPr>
              <w:t>10.6%</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FMR LLC</w:t>
            </w:r>
            <w:r>
              <w:rPr>
                <w:rFonts w:ascii="Arial" w:cs="Arial" w:eastAsia="Arial" w:hAnsi="Arial"/>
                <w:sz w:val="27"/>
                <w:szCs w:val="27"/>
                <w:color w:val="auto"/>
                <w:vertAlign w:val="superscript"/>
              </w:rPr>
              <w:t>(2)</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5,420,650</w:t>
            </w:r>
          </w:p>
        </w:tc>
        <w:tc>
          <w:tcPr>
            <w:tcW w:w="2280" w:type="dxa"/>
            <w:vAlign w:val="bottom"/>
            <w:shd w:val="clear" w:color="auto" w:fill="FCE9E8"/>
          </w:tcPr>
          <w:p>
            <w:pPr>
              <w:jc w:val="right"/>
              <w:ind w:right="700"/>
              <w:spacing w:after="0"/>
              <w:rPr>
                <w:sz w:val="20"/>
                <w:szCs w:val="20"/>
                <w:color w:val="auto"/>
              </w:rPr>
            </w:pPr>
            <w:r>
              <w:rPr>
                <w:rFonts w:ascii="Arial" w:cs="Arial" w:eastAsia="Arial" w:hAnsi="Arial"/>
                <w:sz w:val="16"/>
                <w:szCs w:val="16"/>
                <w:color w:val="auto"/>
              </w:rPr>
              <w:t>9.0%</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(3)</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5,261,807</w:t>
            </w:r>
          </w:p>
        </w:tc>
        <w:tc>
          <w:tcPr>
            <w:tcW w:w="2280" w:type="dxa"/>
            <w:vAlign w:val="bottom"/>
          </w:tcPr>
          <w:p>
            <w:pPr>
              <w:jc w:val="right"/>
              <w:ind w:right="700"/>
              <w:spacing w:after="0"/>
              <w:rPr>
                <w:sz w:val="20"/>
                <w:szCs w:val="20"/>
                <w:color w:val="auto"/>
              </w:rPr>
            </w:pPr>
            <w:r>
              <w:rPr>
                <w:rFonts w:ascii="Arial" w:cs="Arial" w:eastAsia="Arial" w:hAnsi="Arial"/>
                <w:sz w:val="16"/>
                <w:szCs w:val="16"/>
                <w:color w:val="auto"/>
              </w:rPr>
              <w:t>8.8%</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Pzena Investment Management, LLC</w:t>
            </w:r>
            <w:r>
              <w:rPr>
                <w:rFonts w:ascii="Arial" w:cs="Arial" w:eastAsia="Arial" w:hAnsi="Arial"/>
                <w:sz w:val="27"/>
                <w:szCs w:val="27"/>
                <w:color w:val="auto"/>
                <w:vertAlign w:val="superscript"/>
              </w:rPr>
              <w:t>(4)</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4,607,440</w:t>
            </w:r>
          </w:p>
        </w:tc>
        <w:tc>
          <w:tcPr>
            <w:tcW w:w="2280" w:type="dxa"/>
            <w:vAlign w:val="bottom"/>
            <w:shd w:val="clear" w:color="auto" w:fill="FCE9E8"/>
          </w:tcPr>
          <w:p>
            <w:pPr>
              <w:jc w:val="right"/>
              <w:ind w:right="700"/>
              <w:spacing w:after="0"/>
              <w:rPr>
                <w:sz w:val="20"/>
                <w:szCs w:val="20"/>
                <w:color w:val="auto"/>
              </w:rPr>
            </w:pPr>
            <w:r>
              <w:rPr>
                <w:rFonts w:ascii="Arial" w:cs="Arial" w:eastAsia="Arial" w:hAnsi="Arial"/>
                <w:sz w:val="16"/>
                <w:szCs w:val="16"/>
                <w:color w:val="auto"/>
              </w:rPr>
              <w:t>7.7%</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Harris Associates L.P.</w:t>
            </w:r>
            <w:r>
              <w:rPr>
                <w:rFonts w:ascii="Arial" w:cs="Arial" w:eastAsia="Arial" w:hAnsi="Arial"/>
                <w:sz w:val="27"/>
                <w:szCs w:val="27"/>
                <w:color w:val="auto"/>
                <w:vertAlign w:val="superscript"/>
              </w:rPr>
              <w:t>(5)</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3,663,503</w:t>
            </w:r>
          </w:p>
        </w:tc>
        <w:tc>
          <w:tcPr>
            <w:tcW w:w="2280" w:type="dxa"/>
            <w:vAlign w:val="bottom"/>
          </w:tcPr>
          <w:p>
            <w:pPr>
              <w:jc w:val="right"/>
              <w:ind w:right="700"/>
              <w:spacing w:after="0"/>
              <w:rPr>
                <w:sz w:val="20"/>
                <w:szCs w:val="20"/>
                <w:color w:val="auto"/>
              </w:rPr>
            </w:pPr>
            <w:r>
              <w:rPr>
                <w:rFonts w:ascii="Arial" w:cs="Arial" w:eastAsia="Arial" w:hAnsi="Arial"/>
                <w:sz w:val="16"/>
                <w:szCs w:val="16"/>
                <w:color w:val="auto"/>
              </w:rPr>
              <w:t>6.1%</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Named Executive Officers and Directors:</w:t>
            </w:r>
          </w:p>
        </w:tc>
        <w:tc>
          <w:tcPr>
            <w:tcW w:w="2620" w:type="dxa"/>
            <w:vAlign w:val="bottom"/>
            <w:shd w:val="clear" w:color="auto" w:fill="FCE9E8"/>
          </w:tcPr>
          <w:p>
            <w:pPr>
              <w:spacing w:after="0"/>
              <w:rPr>
                <w:sz w:val="21"/>
                <w:szCs w:val="21"/>
                <w:color w:val="auto"/>
              </w:rPr>
            </w:pPr>
          </w:p>
        </w:tc>
        <w:tc>
          <w:tcPr>
            <w:tcW w:w="2280" w:type="dxa"/>
            <w:vAlign w:val="bottom"/>
            <w:shd w:val="clear" w:color="auto" w:fill="FCE9E8"/>
          </w:tcPr>
          <w:p>
            <w:pPr>
              <w:spacing w:after="0"/>
              <w:rPr>
                <w:sz w:val="21"/>
                <w:szCs w:val="21"/>
                <w:color w:val="auto"/>
              </w:rPr>
            </w:pPr>
          </w:p>
        </w:tc>
        <w:tc>
          <w:tcPr>
            <w:tcW w:w="1500" w:type="dxa"/>
            <w:vAlign w:val="bottom"/>
            <w:shd w:val="clear" w:color="auto" w:fill="FCE9E8"/>
          </w:tcPr>
          <w:p>
            <w:pPr>
              <w:spacing w:after="0"/>
              <w:rPr>
                <w:sz w:val="21"/>
                <w:szCs w:val="21"/>
                <w:color w:val="auto"/>
              </w:rPr>
            </w:pP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Raymond E. Scott</w:t>
            </w:r>
            <w:r>
              <w:rPr>
                <w:rFonts w:ascii="Arial" w:cs="Arial" w:eastAsia="Arial" w:hAnsi="Arial"/>
                <w:sz w:val="27"/>
                <w:szCs w:val="27"/>
                <w:color w:val="auto"/>
                <w:vertAlign w:val="superscript"/>
              </w:rPr>
              <w:t>(6)(7)(8)</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104,696</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10,670</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Jason M. Cardew</w:t>
            </w:r>
            <w:r>
              <w:rPr>
                <w:rFonts w:ascii="Arial" w:cs="Arial" w:eastAsia="Arial" w:hAnsi="Arial"/>
                <w:sz w:val="27"/>
                <w:szCs w:val="27"/>
                <w:color w:val="auto"/>
                <w:vertAlign w:val="superscript"/>
              </w:rPr>
              <w:t>(6)(9)</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10,890</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16,489</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Carl A. Esposito</w:t>
            </w:r>
            <w:r>
              <w:rPr>
                <w:rFonts w:ascii="Arial" w:cs="Arial" w:eastAsia="Arial" w:hAnsi="Arial"/>
                <w:sz w:val="27"/>
                <w:szCs w:val="27"/>
                <w:color w:val="auto"/>
                <w:vertAlign w:val="superscript"/>
              </w:rPr>
              <w:t>(6)(9)</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3,859</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60,860</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Frank Orsini</w:t>
            </w:r>
            <w:r>
              <w:rPr>
                <w:rFonts w:ascii="Arial" w:cs="Arial" w:eastAsia="Arial" w:hAnsi="Arial"/>
                <w:sz w:val="27"/>
                <w:szCs w:val="27"/>
                <w:color w:val="auto"/>
                <w:vertAlign w:val="superscript"/>
              </w:rPr>
              <w:t>(6)(9)</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27,873</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24,073</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Thomas A. DiDonato</w:t>
            </w:r>
            <w:r>
              <w:rPr>
                <w:rFonts w:ascii="Arial" w:cs="Arial" w:eastAsia="Arial" w:hAnsi="Arial"/>
                <w:sz w:val="27"/>
                <w:szCs w:val="27"/>
                <w:color w:val="auto"/>
                <w:vertAlign w:val="superscript"/>
              </w:rPr>
              <w:t>(6)(7)</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28,694</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2,534</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Thomas P. Capo</w:t>
            </w:r>
            <w:r>
              <w:rPr>
                <w:rFonts w:ascii="Arial" w:cs="Arial" w:eastAsia="Arial" w:hAnsi="Arial"/>
                <w:sz w:val="27"/>
                <w:szCs w:val="27"/>
                <w:color w:val="auto"/>
                <w:vertAlign w:val="superscript"/>
              </w:rPr>
              <w:t>(8)(10)</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14,252</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Mei-Wei Cheng</w:t>
            </w:r>
            <w:r>
              <w:rPr>
                <w:rFonts w:ascii="Arial" w:cs="Arial" w:eastAsia="Arial" w:hAnsi="Arial"/>
                <w:sz w:val="27"/>
                <w:szCs w:val="27"/>
                <w:color w:val="auto"/>
                <w:vertAlign w:val="superscript"/>
              </w:rPr>
              <w:t>(8)(11)</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3,053</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Jonathan F. Foster</w:t>
            </w:r>
            <w:r>
              <w:rPr>
                <w:rFonts w:ascii="Arial" w:cs="Arial" w:eastAsia="Arial" w:hAnsi="Arial"/>
                <w:sz w:val="27"/>
                <w:szCs w:val="27"/>
                <w:color w:val="auto"/>
                <w:vertAlign w:val="superscript"/>
              </w:rPr>
              <w:t>(8)(12)</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11,134</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Bradley M. Halverson</w:t>
            </w:r>
            <w:r>
              <w:rPr>
                <w:rFonts w:ascii="Arial" w:cs="Arial" w:eastAsia="Arial" w:hAnsi="Arial"/>
                <w:sz w:val="27"/>
                <w:szCs w:val="27"/>
                <w:color w:val="auto"/>
                <w:vertAlign w:val="superscript"/>
              </w:rPr>
              <w:t>(8)(13)</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1,364</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Mary Lou Jepsen</w:t>
            </w:r>
            <w:r>
              <w:rPr>
                <w:rFonts w:ascii="Arial" w:cs="Arial" w:eastAsia="Arial" w:hAnsi="Arial"/>
                <w:sz w:val="27"/>
                <w:szCs w:val="27"/>
                <w:color w:val="auto"/>
                <w:vertAlign w:val="superscript"/>
              </w:rPr>
              <w:t>(8)(14)</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6,086</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Roger A. Krone</w:t>
            </w:r>
            <w:r>
              <w:rPr>
                <w:rFonts w:ascii="Arial" w:cs="Arial" w:eastAsia="Arial" w:hAnsi="Arial"/>
                <w:sz w:val="27"/>
                <w:szCs w:val="27"/>
                <w:color w:val="auto"/>
                <w:vertAlign w:val="superscript"/>
              </w:rPr>
              <w:t>(8)(15)</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579</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Patricia L. Lewis</w:t>
            </w:r>
            <w:r>
              <w:rPr>
                <w:rFonts w:ascii="Arial" w:cs="Arial" w:eastAsia="Arial" w:hAnsi="Arial"/>
                <w:sz w:val="27"/>
                <w:szCs w:val="27"/>
                <w:color w:val="auto"/>
                <w:vertAlign w:val="superscript"/>
              </w:rPr>
              <w:t>(8)(16)</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579</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Kathleen A. Ligocki</w:t>
            </w:r>
            <w:r>
              <w:rPr>
                <w:rFonts w:ascii="Arial" w:cs="Arial" w:eastAsia="Arial" w:hAnsi="Arial"/>
                <w:sz w:val="27"/>
                <w:szCs w:val="27"/>
                <w:color w:val="auto"/>
                <w:vertAlign w:val="superscript"/>
              </w:rPr>
              <w:t>(8)(17)</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15,546</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shd w:val="clear" w:color="auto" w:fill="FCE9E8"/>
          </w:tcPr>
          <w:p>
            <w:pPr>
              <w:ind w:left="80"/>
              <w:spacing w:after="0" w:line="242" w:lineRule="exact"/>
              <w:rPr>
                <w:sz w:val="20"/>
                <w:szCs w:val="20"/>
                <w:color w:val="auto"/>
              </w:rPr>
            </w:pPr>
            <w:r>
              <w:rPr>
                <w:rFonts w:ascii="Arial" w:cs="Arial" w:eastAsia="Arial" w:hAnsi="Arial"/>
                <w:sz w:val="16"/>
                <w:szCs w:val="16"/>
                <w:color w:val="auto"/>
              </w:rPr>
              <w:t>Conrad L. Mallett, Jr.</w:t>
            </w:r>
            <w:r>
              <w:rPr>
                <w:rFonts w:ascii="Arial" w:cs="Arial" w:eastAsia="Arial" w:hAnsi="Arial"/>
                <w:sz w:val="27"/>
                <w:szCs w:val="27"/>
                <w:color w:val="auto"/>
                <w:vertAlign w:val="superscript"/>
              </w:rPr>
              <w:t>(8)(19)</w:t>
            </w:r>
          </w:p>
        </w:tc>
        <w:tc>
          <w:tcPr>
            <w:tcW w:w="2620" w:type="dxa"/>
            <w:vAlign w:val="bottom"/>
            <w:shd w:val="clear" w:color="auto" w:fill="FCE9E8"/>
          </w:tcPr>
          <w:p>
            <w:pPr>
              <w:jc w:val="right"/>
              <w:ind w:right="680"/>
              <w:spacing w:after="0"/>
              <w:rPr>
                <w:sz w:val="20"/>
                <w:szCs w:val="20"/>
                <w:color w:val="auto"/>
              </w:rPr>
            </w:pPr>
            <w:r>
              <w:rPr>
                <w:rFonts w:ascii="Arial" w:cs="Arial" w:eastAsia="Arial" w:hAnsi="Arial"/>
                <w:sz w:val="16"/>
                <w:szCs w:val="16"/>
                <w:color w:val="auto"/>
              </w:rPr>
              <w:t>10,409</w:t>
            </w:r>
          </w:p>
        </w:tc>
        <w:tc>
          <w:tcPr>
            <w:tcW w:w="2280" w:type="dxa"/>
            <w:vAlign w:val="bottom"/>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r>
      <w:tr>
        <w:trPr>
          <w:trHeight w:val="243"/>
        </w:trPr>
        <w:tc>
          <w:tcPr>
            <w:tcW w:w="3520" w:type="dxa"/>
            <w:vAlign w:val="bottom"/>
          </w:tcPr>
          <w:p>
            <w:pPr>
              <w:ind w:left="80"/>
              <w:spacing w:after="0" w:line="242" w:lineRule="exact"/>
              <w:rPr>
                <w:sz w:val="20"/>
                <w:szCs w:val="20"/>
                <w:color w:val="auto"/>
              </w:rPr>
            </w:pPr>
            <w:r>
              <w:rPr>
                <w:rFonts w:ascii="Arial" w:cs="Arial" w:eastAsia="Arial" w:hAnsi="Arial"/>
                <w:sz w:val="16"/>
                <w:szCs w:val="16"/>
                <w:color w:val="auto"/>
              </w:rPr>
              <w:t>Gregory C. Smith</w:t>
            </w:r>
            <w:r>
              <w:rPr>
                <w:rFonts w:ascii="Arial" w:cs="Arial" w:eastAsia="Arial" w:hAnsi="Arial"/>
                <w:sz w:val="27"/>
                <w:szCs w:val="27"/>
                <w:color w:val="auto"/>
                <w:vertAlign w:val="superscript"/>
              </w:rPr>
              <w:t>(8)(19)</w:t>
            </w:r>
          </w:p>
        </w:tc>
        <w:tc>
          <w:tcPr>
            <w:tcW w:w="2620" w:type="dxa"/>
            <w:vAlign w:val="bottom"/>
          </w:tcPr>
          <w:p>
            <w:pPr>
              <w:jc w:val="right"/>
              <w:ind w:right="680"/>
              <w:spacing w:after="0"/>
              <w:rPr>
                <w:sz w:val="20"/>
                <w:szCs w:val="20"/>
                <w:color w:val="auto"/>
              </w:rPr>
            </w:pPr>
            <w:r>
              <w:rPr>
                <w:rFonts w:ascii="Arial" w:cs="Arial" w:eastAsia="Arial" w:hAnsi="Arial"/>
                <w:sz w:val="16"/>
                <w:szCs w:val="16"/>
                <w:color w:val="auto"/>
              </w:rPr>
              <w:t>14,171</w:t>
            </w:r>
          </w:p>
        </w:tc>
        <w:tc>
          <w:tcPr>
            <w:tcW w:w="228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w:t>
            </w:r>
          </w:p>
        </w:tc>
      </w:tr>
      <w:tr>
        <w:trPr>
          <w:trHeight w:val="218"/>
        </w:trPr>
        <w:tc>
          <w:tcPr>
            <w:tcW w:w="3520" w:type="dxa"/>
            <w:vAlign w:val="bottom"/>
            <w:shd w:val="clear" w:color="auto" w:fill="FCE9E8"/>
          </w:tcPr>
          <w:p>
            <w:pPr>
              <w:ind w:left="80"/>
              <w:spacing w:after="0"/>
              <w:rPr>
                <w:sz w:val="20"/>
                <w:szCs w:val="20"/>
                <w:color w:val="auto"/>
              </w:rPr>
            </w:pPr>
            <w:r>
              <w:rPr>
                <w:rFonts w:ascii="Arial" w:cs="Arial" w:eastAsia="Arial" w:hAnsi="Arial"/>
                <w:sz w:val="16"/>
                <w:szCs w:val="16"/>
                <w:color w:val="auto"/>
              </w:rPr>
              <w:t>Total Executive Officers and Directors as a</w:t>
            </w:r>
          </w:p>
        </w:tc>
        <w:tc>
          <w:tcPr>
            <w:tcW w:w="2620" w:type="dxa"/>
            <w:vAlign w:val="bottom"/>
            <w:shd w:val="clear" w:color="auto" w:fill="FCE9E8"/>
          </w:tcPr>
          <w:p>
            <w:pPr>
              <w:spacing w:after="0"/>
              <w:rPr>
                <w:sz w:val="18"/>
                <w:szCs w:val="18"/>
                <w:color w:val="auto"/>
              </w:rPr>
            </w:pPr>
          </w:p>
        </w:tc>
        <w:tc>
          <w:tcPr>
            <w:tcW w:w="2280" w:type="dxa"/>
            <w:vAlign w:val="bottom"/>
            <w:shd w:val="clear" w:color="auto" w:fill="FCE9E8"/>
          </w:tcPr>
          <w:p>
            <w:pPr>
              <w:spacing w:after="0"/>
              <w:rPr>
                <w:sz w:val="18"/>
                <w:szCs w:val="18"/>
                <w:color w:val="auto"/>
              </w:rPr>
            </w:pPr>
          </w:p>
        </w:tc>
        <w:tc>
          <w:tcPr>
            <w:tcW w:w="1500" w:type="dxa"/>
            <w:vAlign w:val="bottom"/>
            <w:shd w:val="clear" w:color="auto" w:fill="FCE9E8"/>
          </w:tcPr>
          <w:p>
            <w:pPr>
              <w:spacing w:after="0"/>
              <w:rPr>
                <w:sz w:val="18"/>
                <w:szCs w:val="18"/>
                <w:color w:val="auto"/>
              </w:rPr>
            </w:pPr>
          </w:p>
        </w:tc>
      </w:tr>
      <w:tr>
        <w:trPr>
          <w:trHeight w:val="208"/>
        </w:trPr>
        <w:tc>
          <w:tcPr>
            <w:tcW w:w="35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Group (19 individuals)</w:t>
            </w:r>
          </w:p>
        </w:tc>
        <w:tc>
          <w:tcPr>
            <w:tcW w:w="2620" w:type="dxa"/>
            <w:vAlign w:val="bottom"/>
            <w:tcBorders>
              <w:bottom w:val="single" w:sz="8" w:color="auto"/>
            </w:tcBorders>
            <w:shd w:val="clear" w:color="auto" w:fill="FCE9E8"/>
          </w:tcPr>
          <w:p>
            <w:pPr>
              <w:jc w:val="right"/>
              <w:ind w:right="680"/>
              <w:spacing w:after="0"/>
              <w:rPr>
                <w:sz w:val="20"/>
                <w:szCs w:val="20"/>
                <w:color w:val="auto"/>
              </w:rPr>
            </w:pPr>
            <w:r>
              <w:rPr>
                <w:rFonts w:ascii="Arial" w:cs="Arial" w:eastAsia="Arial" w:hAnsi="Arial"/>
                <w:sz w:val="16"/>
                <w:szCs w:val="16"/>
                <w:color w:val="auto"/>
              </w:rPr>
              <w:t>256,972</w:t>
            </w:r>
          </w:p>
        </w:tc>
        <w:tc>
          <w:tcPr>
            <w:tcW w:w="2280" w:type="dxa"/>
            <w:vAlign w:val="bottom"/>
            <w:tcBorders>
              <w:bottom w:val="single" w:sz="8" w:color="auto"/>
            </w:tcBorders>
            <w:shd w:val="clear" w:color="auto" w:fill="FCE9E8"/>
          </w:tcPr>
          <w:p>
            <w:pPr>
              <w:jc w:val="right"/>
              <w:ind w:right="8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FCE9E8"/>
          </w:tcPr>
          <w:p>
            <w:pPr>
              <w:jc w:val="right"/>
              <w:ind w:right="280"/>
              <w:spacing w:after="0"/>
              <w:rPr>
                <w:sz w:val="20"/>
                <w:szCs w:val="20"/>
                <w:color w:val="auto"/>
              </w:rPr>
            </w:pPr>
            <w:r>
              <w:rPr>
                <w:rFonts w:ascii="Arial" w:cs="Arial" w:eastAsia="Arial" w:hAnsi="Arial"/>
                <w:sz w:val="16"/>
                <w:szCs w:val="16"/>
                <w:color w:val="auto"/>
              </w:rPr>
              <w:t>132,253</w:t>
            </w:r>
          </w:p>
        </w:tc>
      </w:tr>
    </w:tbl>
    <w:p>
      <w:pPr>
        <w:spacing w:after="0" w:line="5" w:lineRule="exact"/>
        <w:rPr>
          <w:sz w:val="20"/>
          <w:szCs w:val="20"/>
          <w:color w:val="auto"/>
        </w:rPr>
      </w:pPr>
    </w:p>
    <w:p>
      <w:pPr>
        <w:ind w:left="960" w:hanging="293"/>
        <w:spacing w:after="0"/>
        <w:tabs>
          <w:tab w:leader="none" w:pos="9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960" w:right="340" w:hanging="293"/>
        <w:spacing w:after="0" w:line="213" w:lineRule="auto"/>
        <w:tabs>
          <w:tab w:leader="none" w:pos="96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March 10, 2021 by BlackRock, Inc. (“BlackRock”). BlackRock is the beneficial owner of 6,379,552 shares, with sole dispositive power as to all such shares and sole voting power as to 5,923,073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74" w:lineRule="exact"/>
        <w:rPr>
          <w:rFonts w:ascii="Arial" w:cs="Arial" w:eastAsia="Arial" w:hAnsi="Arial"/>
          <w:sz w:val="24"/>
          <w:szCs w:val="24"/>
          <w:color w:val="auto"/>
          <w:vertAlign w:val="superscript"/>
        </w:rPr>
      </w:pPr>
    </w:p>
    <w:p>
      <w:pPr>
        <w:ind w:left="960" w:right="420" w:hanging="293"/>
        <w:spacing w:after="0" w:line="199" w:lineRule="auto"/>
        <w:tabs>
          <w:tab w:leader="none" w:pos="96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February 8, 2021 by FMR LLC (“FMR”). FMR is the beneficial owner of 5,420,650 shares, with sole dispositive power as to all such shares and sole voting power as to 461,344 shares. FMR’s principal place of business is 245 Summer Street, Boston, Massachusetts 02210.</w:t>
      </w:r>
    </w:p>
    <w:p>
      <w:pPr>
        <w:spacing w:after="0" w:line="395"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29</w:t>
      </w:r>
    </w:p>
    <w:p>
      <w:pPr>
        <w:sectPr>
          <w:pgSz w:w="11900" w:h="16838" w:orient="portrait"/>
          <w:cols w:equalWidth="0" w:num="1">
            <w:col w:w="10860"/>
          </w:cols>
          <w:pgMar w:left="320" w:top="459"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40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96" w:lineRule="exact"/>
        <w:rPr>
          <w:sz w:val="20"/>
          <w:szCs w:val="20"/>
          <w:color w:val="auto"/>
        </w:rPr>
      </w:pPr>
    </w:p>
    <w:p>
      <w:pPr>
        <w:ind w:left="960" w:right="10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10, 2021 by The Vanguard Group (“Vanguard”). Vanguard is the beneficial owner of 5,261,807 shares, with sole dispositive power as to 5,129,108 such shares, shared dispositive power as to 132,699 such shares and shared voting power as to 52,254 such shares. Vanguard’s principal place of business is 100 Vanguard Blvd., Malvern, PA 19355.</w:t>
      </w:r>
    </w:p>
    <w:p>
      <w:pPr>
        <w:spacing w:after="0" w:line="71" w:lineRule="exact"/>
        <w:rPr>
          <w:rFonts w:ascii="Arial" w:cs="Arial" w:eastAsia="Arial" w:hAnsi="Arial"/>
          <w:sz w:val="24"/>
          <w:szCs w:val="24"/>
          <w:color w:val="auto"/>
          <w:vertAlign w:val="superscript"/>
        </w:rPr>
      </w:pPr>
    </w:p>
    <w:p>
      <w:pPr>
        <w:ind w:left="960" w:right="60" w:hanging="293"/>
        <w:spacing w:after="0" w:line="199"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 filed with the SEC on January 29, 2021 by Pzena Investment Management, LLC (“Pzena”). Pzena is the beneficial owner of 4,607,440 shares, with sole dispositive power as to all such shares and sole voting power as to 4,145,977 shares. Pzena’s principal place of business is 320 Park Avenue, 8th Floor, New York, NY 10022.</w:t>
      </w:r>
    </w:p>
    <w:p>
      <w:pPr>
        <w:spacing w:after="0" w:line="71" w:lineRule="exact"/>
        <w:rPr>
          <w:rFonts w:ascii="Arial" w:cs="Arial" w:eastAsia="Arial" w:hAnsi="Arial"/>
          <w:sz w:val="24"/>
          <w:szCs w:val="24"/>
          <w:color w:val="auto"/>
          <w:vertAlign w:val="superscript"/>
        </w:rPr>
      </w:pPr>
    </w:p>
    <w:p>
      <w:pPr>
        <w:jc w:val="both"/>
        <w:ind w:left="960" w:right="12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16, 2021 by Harris Associates L.P. and Harris Associates Inc. (collectively, “Harris”). By reason of advisory and other relationships with the person who owns the shares, Harris may be deemed to be the beneficial owner of 3,663,503 shares, with sole voting power as to 3,657,578 shares and sole dispositive power over all such shares. Harris’ principal place of business is 111 S. Wacker Drive, Suite 4600, Chicago IL 60606.</w:t>
      </w:r>
    </w:p>
    <w:p>
      <w:pPr>
        <w:ind w:left="960" w:hanging="293"/>
        <w:spacing w:after="0" w:line="211"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individual is a Named Executive Officer.</w:t>
      </w:r>
    </w:p>
    <w:p>
      <w:pPr>
        <w:spacing w:after="0" w:line="71" w:lineRule="exact"/>
        <w:rPr>
          <w:rFonts w:ascii="Arial" w:cs="Arial" w:eastAsia="Arial" w:hAnsi="Arial"/>
          <w:sz w:val="24"/>
          <w:szCs w:val="24"/>
          <w:color w:val="auto"/>
          <w:vertAlign w:val="superscript"/>
        </w:rPr>
      </w:pPr>
    </w:p>
    <w:p>
      <w:pPr>
        <w:ind w:left="960" w:right="40" w:hanging="293"/>
        <w:spacing w:after="0" w:line="221"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Messrs. Scott and DiDonato are retirement-eligible and therefore each qualifies for accelerated vesting of all of his time-vesting Career Shares and RSUs that would have vested if the date of retirement had been 24 months later than it actually occurred. As a result, Mr. Scott’s share ownership includes 23,383 time-vesting Career Shares and 28,448 unvested RSUs and Mr. DiDonato’s share ownership includes 4,622 time-vesting Career Shares and 6,871 unvested RSUs (all RSUs awarded more than one year prior to the record date). Each of Messrs. Scott and DiDonato’s time-vesting Career Shares and unvested RSUs would be forfeited only if he were terminated for “cause” pursuant to the terms of his employment agreement. Messrs. Scott and DiDonato’s respective share ownership also includes 18,470 and 4,387 shares of common stock, respectively, that each person has the right to acquire pursuant to stock options that are currently exercisable.</w:t>
      </w:r>
    </w:p>
    <w:p>
      <w:pPr>
        <w:ind w:left="960" w:hanging="293"/>
        <w:spacing w:after="0" w:line="211"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individual is a director.</w:t>
      </w:r>
    </w:p>
    <w:p>
      <w:pPr>
        <w:spacing w:after="0" w:line="71" w:lineRule="exact"/>
        <w:rPr>
          <w:rFonts w:ascii="Arial" w:cs="Arial" w:eastAsia="Arial" w:hAnsi="Arial"/>
          <w:sz w:val="24"/>
          <w:szCs w:val="24"/>
          <w:color w:val="auto"/>
          <w:vertAlign w:val="superscript"/>
        </w:rPr>
      </w:pPr>
    </w:p>
    <w:p>
      <w:pPr>
        <w:ind w:left="960" w:right="4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Messrs. Cardew, Esposito and Orsini are not yet retirement-eligible, and thus, their share ownership does not include any unvested Career Shares or RSUs. If they remain employed by the Company, Messrs. Cardew, Esposito and Orsini will become retirement-eligible on June 29, 2025, September 1, 2026, and April 2, 2027, respectively. Messrs. Cardew, Esposito and Orsini’s respective share ownership also includes 4,156, 3,859, and 5,278 shares of common stock, respectively, that each person has the right to acquire pursuant to stock options that are currently exercisable.</w:t>
      </w:r>
    </w:p>
    <w:p>
      <w:pPr>
        <w:spacing w:after="0" w:line="71" w:lineRule="exact"/>
        <w:rPr>
          <w:rFonts w:ascii="Arial" w:cs="Arial" w:eastAsia="Arial" w:hAnsi="Arial"/>
          <w:sz w:val="24"/>
          <w:szCs w:val="24"/>
          <w:color w:val="auto"/>
          <w:vertAlign w:val="superscript"/>
        </w:rPr>
      </w:pPr>
    </w:p>
    <w:p>
      <w:pPr>
        <w:ind w:left="96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Capo, the information contained in the table above includes 12,604 deferred stock units, which are fully vested and convert into shares of common stock on a 1-for-1 basis upon the earliest of the director’s departure from the Board, a change in control or the pre-established date elected by the director. The table also includes 1,508 restricted stock units vesting on May 20, 2021,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Cheng, the information contained in the table above includes 1,182 deferred stock units, which are fully vested and convert into shares of common stock on a 1-for-1 basis upon the earliest of the director’s departure from the Board, a change in control or the pre-established date elected by the director. The table also includes 1,508 restricted stock units vesting on May 20, 2021,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right="80" w:hanging="293"/>
        <w:spacing w:after="0" w:line="183"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Foster, the information contained in the table above includes 1,508 restricted stock units vesting on May 20, 2021, within 60 days following the record date.</w:t>
      </w:r>
    </w:p>
    <w:p>
      <w:pPr>
        <w:spacing w:after="0" w:line="71" w:lineRule="exact"/>
        <w:rPr>
          <w:rFonts w:ascii="Arial" w:cs="Arial" w:eastAsia="Arial" w:hAnsi="Arial"/>
          <w:sz w:val="24"/>
          <w:szCs w:val="24"/>
          <w:color w:val="auto"/>
          <w:vertAlign w:val="superscript"/>
        </w:rPr>
      </w:pPr>
    </w:p>
    <w:p>
      <w:pPr>
        <w:ind w:left="960" w:right="80" w:hanging="293"/>
        <w:spacing w:after="0" w:line="183"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Halverson, the information contained in the table above includes 1,364 restricted stock units vesting on May 20, 2021, within 60 days following the record date.</w:t>
      </w:r>
    </w:p>
    <w:p>
      <w:pPr>
        <w:spacing w:after="0" w:line="71" w:lineRule="exact"/>
        <w:rPr>
          <w:rFonts w:ascii="Arial" w:cs="Arial" w:eastAsia="Arial" w:hAnsi="Arial"/>
          <w:sz w:val="24"/>
          <w:szCs w:val="24"/>
          <w:color w:val="auto"/>
          <w:vertAlign w:val="superscript"/>
        </w:rPr>
      </w:pPr>
    </w:p>
    <w:p>
      <w:pPr>
        <w:ind w:left="960" w:hanging="293"/>
        <w:spacing w:after="0" w:line="199"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Ms. Jepsen, the information contained in the table above includes 1,063 deferred stock units, which are fully vested and convert into shares of common stock on a 1-for-1 basis upon the earliest of the director’s departure from the Board, a change in control or the pre-established date elected by the director. The table also includes 1,508 restricted stock units vesting on May 20, 2021, within 60 days following the record date.</w:t>
      </w:r>
    </w:p>
    <w:p>
      <w:pPr>
        <w:spacing w:after="0" w:line="71" w:lineRule="exact"/>
        <w:rPr>
          <w:rFonts w:ascii="Arial" w:cs="Arial" w:eastAsia="Arial" w:hAnsi="Arial"/>
          <w:sz w:val="24"/>
          <w:szCs w:val="24"/>
          <w:color w:val="auto"/>
          <w:vertAlign w:val="superscript"/>
        </w:rPr>
      </w:pPr>
    </w:p>
    <w:p>
      <w:pPr>
        <w:ind w:left="960" w:right="220" w:hanging="293"/>
        <w:spacing w:after="0" w:line="183"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Krone, the information contained in the table above includes 579 restricted stock units vesting on May 20, 2021, within 60 days following the record date.</w:t>
      </w:r>
    </w:p>
    <w:p>
      <w:pPr>
        <w:spacing w:after="0" w:line="71" w:lineRule="exact"/>
        <w:rPr>
          <w:rFonts w:ascii="Arial" w:cs="Arial" w:eastAsia="Arial" w:hAnsi="Arial"/>
          <w:sz w:val="24"/>
          <w:szCs w:val="24"/>
          <w:color w:val="auto"/>
          <w:vertAlign w:val="superscript"/>
        </w:rPr>
      </w:pPr>
    </w:p>
    <w:p>
      <w:pPr>
        <w:ind w:left="960" w:right="200" w:hanging="293"/>
        <w:spacing w:after="0" w:line="183"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Ms. Lewis, the information contained in the table above includes 579 restricted stock units vesting on May 20, 2021, within 60 days following the record date.</w:t>
      </w:r>
    </w:p>
    <w:p>
      <w:pPr>
        <w:spacing w:after="0" w:line="71" w:lineRule="exact"/>
        <w:rPr>
          <w:rFonts w:ascii="Arial" w:cs="Arial" w:eastAsia="Arial" w:hAnsi="Arial"/>
          <w:sz w:val="24"/>
          <w:szCs w:val="24"/>
          <w:color w:val="auto"/>
          <w:vertAlign w:val="superscript"/>
        </w:rPr>
      </w:pPr>
    </w:p>
    <w:p>
      <w:pPr>
        <w:ind w:left="96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Ms. Ligocki, the information contained in the table above includes 11,268 deferred stock units, which are fully vested and convert into shares of common stock on a 1-for-1 basis upon the earliest of the director’s departure from the Board, a change in control or the pre-established date elected by the director. The table also includes 1,508 restricted stock units vesting on May 20, 2021, within 60 days following the record date,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hanging="293"/>
        <w:spacing w:after="0" w:line="208"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Mallett, the information contained in the table above includes 8,901 deferred stock units, which are fully vested and convert into shares of common stock on a 1-for-1 basis upon the earliest of the director’s departure from the Board, a change in control or the pre-established date elected by the director. The table also includes 1,508 restricted stock units vesting on May 20, 2021, within 60 days following the record date, a portion of which will be deferred upon vesting in accordance with the director’s election.</w:t>
      </w:r>
    </w:p>
    <w:p>
      <w:pPr>
        <w:spacing w:after="0" w:line="71" w:lineRule="exact"/>
        <w:rPr>
          <w:rFonts w:ascii="Arial" w:cs="Arial" w:eastAsia="Arial" w:hAnsi="Arial"/>
          <w:sz w:val="24"/>
          <w:szCs w:val="24"/>
          <w:color w:val="auto"/>
          <w:vertAlign w:val="superscript"/>
        </w:rPr>
      </w:pPr>
    </w:p>
    <w:p>
      <w:pPr>
        <w:ind w:left="960" w:right="120" w:hanging="293"/>
        <w:spacing w:after="0" w:line="183"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For Mr. Smith, the information contained in the table above includes 2,640 restricted stock units vesting on May 20, 2021, within 60 days following the record date.</w:t>
      </w:r>
    </w:p>
    <w:p>
      <w:pPr>
        <w:spacing w:after="0" w:line="71" w:lineRule="exact"/>
        <w:rPr>
          <w:rFonts w:ascii="Arial" w:cs="Arial" w:eastAsia="Arial" w:hAnsi="Arial"/>
          <w:sz w:val="24"/>
          <w:szCs w:val="24"/>
          <w:color w:val="auto"/>
          <w:vertAlign w:val="superscript"/>
        </w:rPr>
      </w:pPr>
    </w:p>
    <w:p>
      <w:pPr>
        <w:jc w:val="both"/>
        <w:ind w:left="960" w:right="160" w:hanging="293"/>
        <w:spacing w:after="0" w:line="199" w:lineRule="auto"/>
        <w:tabs>
          <w:tab w:leader="none" w:pos="9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Includes, as of March 26, 2021, time-vesting Career Shares and unvested RSUs owned by our executive officers. These time-vesting Career Shares and unvested RSUs are subject to all of the economic risks of stock ownership but may not be voted or sold and are subject to vesting provisions as set forth in the respective grant agreements.</w:t>
      </w:r>
    </w:p>
    <w:p>
      <w:pPr>
        <w:spacing w:after="0" w:line="200" w:lineRule="exact"/>
        <w:rPr>
          <w:sz w:val="20"/>
          <w:szCs w:val="20"/>
          <w:color w:val="auto"/>
        </w:rPr>
      </w:pPr>
    </w:p>
    <w:p>
      <w:pPr>
        <w:spacing w:after="0" w:line="208" w:lineRule="exact"/>
        <w:rPr>
          <w:sz w:val="20"/>
          <w:szCs w:val="20"/>
          <w:color w:val="auto"/>
        </w:rPr>
      </w:pPr>
    </w:p>
    <w:p>
      <w:pPr>
        <w:ind w:left="780" w:hanging="393"/>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COMPENSATION DISCUSSION AND ANALYSIS</w:t>
      </w:r>
    </w:p>
    <w:p>
      <w:pPr>
        <w:spacing w:after="0" w:line="261" w:lineRule="exact"/>
        <w:rPr>
          <w:sz w:val="20"/>
          <w:szCs w:val="20"/>
          <w:color w:val="auto"/>
        </w:rPr>
      </w:pPr>
    </w:p>
    <w:p>
      <w:pPr>
        <w:ind w:left="660" w:right="340"/>
        <w:spacing w:after="0" w:line="248" w:lineRule="auto"/>
        <w:rPr>
          <w:sz w:val="20"/>
          <w:szCs w:val="20"/>
          <w:color w:val="auto"/>
        </w:rPr>
      </w:pPr>
      <w:r>
        <w:rPr>
          <w:rFonts w:ascii="Arial" w:cs="Arial" w:eastAsia="Arial" w:hAnsi="Arial"/>
          <w:sz w:val="16"/>
          <w:szCs w:val="16"/>
          <w:color w:val="auto"/>
        </w:rPr>
        <w:t>The following discusses the material elements of the compensation for our Chief Executive Officer (CEO), Chief Financial Officer (CFO) and each of the other executive officers listed in the “2020 Summary Compensation Table” (collectively, the “Named Executive Officers” or “NEOs”) during the year ended December 31, 2020. To assist in understanding compensation for 2020, we have included a discussion of our compensation policies and practices for periods before and after 2020 where relevant. To avoid repetition, in the discussion that follows we make cross-references to specific compensation data and terms for our Named Executive Officers contained in “Executive Compensation.” In addition, because we have a global team of managers in 38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5060" w:type="dxa"/>
            <w:vAlign w:val="bottom"/>
          </w:tcPr>
          <w:p>
            <w:pPr>
              <w:spacing w:after="0"/>
              <w:rPr>
                <w:sz w:val="20"/>
                <w:szCs w:val="20"/>
                <w:color w:val="auto"/>
              </w:rPr>
            </w:pPr>
            <w:r>
              <w:rPr>
                <w:rFonts w:ascii="Arial" w:cs="Arial" w:eastAsia="Arial" w:hAnsi="Arial"/>
                <w:sz w:val="16"/>
                <w:szCs w:val="16"/>
                <w:color w:val="auto"/>
              </w:rPr>
              <w:t>Our Named Executive Officers for 2020 are:</w:t>
            </w:r>
          </w:p>
        </w:tc>
        <w:tc>
          <w:tcPr>
            <w:tcW w:w="4320" w:type="dxa"/>
            <w:vAlign w:val="bottom"/>
          </w:tcPr>
          <w:p>
            <w:pPr>
              <w:ind w:left="320"/>
              <w:spacing w:after="0"/>
              <w:rPr>
                <w:sz w:val="20"/>
                <w:szCs w:val="20"/>
                <w:color w:val="auto"/>
              </w:rPr>
            </w:pPr>
            <w:r>
              <w:rPr>
                <w:rFonts w:ascii="Arial" w:cs="Arial" w:eastAsia="Arial" w:hAnsi="Arial"/>
                <w:sz w:val="16"/>
                <w:szCs w:val="16"/>
                <w:b w:val="1"/>
                <w:bCs w:val="1"/>
                <w:color w:val="auto"/>
              </w:rPr>
              <w:t>Thomas A. DiDonato</w:t>
            </w:r>
            <w:r>
              <w:rPr>
                <w:rFonts w:ascii="Arial" w:cs="Arial" w:eastAsia="Arial" w:hAnsi="Arial"/>
                <w:sz w:val="16"/>
                <w:szCs w:val="16"/>
                <w:color w:val="auto"/>
              </w:rPr>
              <w:t>, Senior Vice President and Chief</w:t>
            </w:r>
          </w:p>
        </w:tc>
        <w:tc>
          <w:tcPr>
            <w:tcW w:w="0" w:type="dxa"/>
            <w:vAlign w:val="bottom"/>
          </w:tcPr>
          <w:p>
            <w:pPr>
              <w:spacing w:after="0"/>
              <w:rPr>
                <w:sz w:val="1"/>
                <w:szCs w:val="1"/>
                <w:color w:val="auto"/>
              </w:rPr>
            </w:pPr>
          </w:p>
        </w:tc>
      </w:tr>
      <w:tr>
        <w:trPr>
          <w:trHeight w:val="195"/>
        </w:trPr>
        <w:tc>
          <w:tcPr>
            <w:tcW w:w="50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Raymond E. Scott</w:t>
            </w:r>
            <w:r>
              <w:rPr>
                <w:rFonts w:ascii="Arial" w:cs="Arial" w:eastAsia="Arial" w:hAnsi="Arial"/>
                <w:sz w:val="16"/>
                <w:szCs w:val="16"/>
                <w:color w:val="auto"/>
              </w:rPr>
              <w:t>, President and Chief Executive Officer</w:t>
            </w:r>
          </w:p>
        </w:tc>
        <w:tc>
          <w:tcPr>
            <w:tcW w:w="4320" w:type="dxa"/>
            <w:vAlign w:val="bottom"/>
          </w:tcPr>
          <w:p>
            <w:pPr>
              <w:ind w:left="320"/>
              <w:spacing w:after="0"/>
              <w:rPr>
                <w:sz w:val="20"/>
                <w:szCs w:val="20"/>
                <w:color w:val="auto"/>
              </w:rPr>
            </w:pPr>
            <w:r>
              <w:rPr>
                <w:rFonts w:ascii="Arial" w:cs="Arial" w:eastAsia="Arial" w:hAnsi="Arial"/>
                <w:sz w:val="16"/>
                <w:szCs w:val="16"/>
                <w:color w:val="auto"/>
              </w:rPr>
              <w:t>Administrative Officer</w:t>
            </w:r>
          </w:p>
        </w:tc>
        <w:tc>
          <w:tcPr>
            <w:tcW w:w="0" w:type="dxa"/>
            <w:vAlign w:val="bottom"/>
          </w:tcPr>
          <w:p>
            <w:pPr>
              <w:spacing w:after="0"/>
              <w:rPr>
                <w:sz w:val="1"/>
                <w:szCs w:val="1"/>
                <w:color w:val="auto"/>
              </w:rPr>
            </w:pPr>
          </w:p>
        </w:tc>
      </w:tr>
      <w:tr>
        <w:trPr>
          <w:trHeight w:val="108"/>
        </w:trPr>
        <w:tc>
          <w:tcPr>
            <w:tcW w:w="5060" w:type="dxa"/>
            <w:vAlign w:val="bottom"/>
            <w:vMerge w:val="continue"/>
          </w:tcPr>
          <w:p>
            <w:pPr>
              <w:spacing w:after="0"/>
              <w:rPr>
                <w:sz w:val="9"/>
                <w:szCs w:val="9"/>
                <w:color w:val="auto"/>
              </w:rPr>
            </w:pPr>
          </w:p>
        </w:tc>
        <w:tc>
          <w:tcPr>
            <w:tcW w:w="432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Carl A. Esposito</w:t>
            </w:r>
            <w:r>
              <w:rPr>
                <w:rFonts w:ascii="Arial" w:cs="Arial" w:eastAsia="Arial" w:hAnsi="Arial"/>
                <w:sz w:val="16"/>
                <w:szCs w:val="16"/>
                <w:color w:val="auto"/>
              </w:rPr>
              <w:t>, Senior Vice President and President,</w:t>
            </w:r>
          </w:p>
        </w:tc>
        <w:tc>
          <w:tcPr>
            <w:tcW w:w="0" w:type="dxa"/>
            <w:vAlign w:val="bottom"/>
          </w:tcPr>
          <w:p>
            <w:pPr>
              <w:spacing w:after="0"/>
              <w:rPr>
                <w:sz w:val="1"/>
                <w:szCs w:val="1"/>
                <w:color w:val="auto"/>
              </w:rPr>
            </w:pPr>
          </w:p>
        </w:tc>
      </w:tr>
      <w:tr>
        <w:trPr>
          <w:trHeight w:val="183"/>
        </w:trPr>
        <w:tc>
          <w:tcPr>
            <w:tcW w:w="50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Jason M. Cardew</w:t>
            </w:r>
            <w:r>
              <w:rPr>
                <w:rFonts w:ascii="Arial" w:cs="Arial" w:eastAsia="Arial" w:hAnsi="Arial"/>
                <w:sz w:val="16"/>
                <w:szCs w:val="16"/>
                <w:color w:val="auto"/>
              </w:rPr>
              <w:t>, Senior Vice President and Chief Financial</w:t>
            </w:r>
          </w:p>
        </w:tc>
        <w:tc>
          <w:tcPr>
            <w:tcW w:w="4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060" w:type="dxa"/>
            <w:vAlign w:val="bottom"/>
            <w:vMerge w:val="continue"/>
          </w:tcPr>
          <w:p>
            <w:pPr>
              <w:spacing w:after="0"/>
              <w:rPr>
                <w:sz w:val="9"/>
                <w:szCs w:val="9"/>
                <w:color w:val="auto"/>
              </w:rPr>
            </w:pPr>
          </w:p>
        </w:tc>
        <w:tc>
          <w:tcPr>
            <w:tcW w:w="4320" w:type="dxa"/>
            <w:vAlign w:val="bottom"/>
            <w:vMerge w:val="restart"/>
          </w:tcPr>
          <w:p>
            <w:pPr>
              <w:ind w:left="320"/>
              <w:spacing w:after="0"/>
              <w:rPr>
                <w:sz w:val="20"/>
                <w:szCs w:val="20"/>
                <w:color w:val="auto"/>
              </w:rPr>
            </w:pPr>
            <w:r>
              <w:rPr>
                <w:rFonts w:ascii="Arial" w:cs="Arial" w:eastAsia="Arial" w:hAnsi="Arial"/>
                <w:sz w:val="16"/>
                <w:szCs w:val="16"/>
                <w:color w:val="auto"/>
              </w:rPr>
              <w:t>E-Systems</w:t>
            </w:r>
          </w:p>
        </w:tc>
        <w:tc>
          <w:tcPr>
            <w:tcW w:w="0" w:type="dxa"/>
            <w:vAlign w:val="bottom"/>
          </w:tcPr>
          <w:p>
            <w:pPr>
              <w:spacing w:after="0"/>
              <w:rPr>
                <w:sz w:val="1"/>
                <w:szCs w:val="1"/>
                <w:color w:val="auto"/>
              </w:rPr>
            </w:pPr>
          </w:p>
        </w:tc>
      </w:tr>
      <w:tr>
        <w:trPr>
          <w:trHeight w:val="87"/>
        </w:trPr>
        <w:tc>
          <w:tcPr>
            <w:tcW w:w="5060" w:type="dxa"/>
            <w:vAlign w:val="bottom"/>
            <w:vMerge w:val="restart"/>
          </w:tcPr>
          <w:p>
            <w:pPr>
              <w:ind w:left="340"/>
              <w:spacing w:after="0"/>
              <w:rPr>
                <w:sz w:val="20"/>
                <w:szCs w:val="20"/>
                <w:color w:val="auto"/>
              </w:rPr>
            </w:pPr>
            <w:r>
              <w:rPr>
                <w:rFonts w:ascii="Arial" w:cs="Arial" w:eastAsia="Arial" w:hAnsi="Arial"/>
                <w:sz w:val="16"/>
                <w:szCs w:val="16"/>
                <w:color w:val="auto"/>
              </w:rPr>
              <w:t>Officer</w:t>
            </w:r>
          </w:p>
        </w:tc>
        <w:tc>
          <w:tcPr>
            <w:tcW w:w="4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060" w:type="dxa"/>
            <w:vAlign w:val="bottom"/>
            <w:vMerge w:val="continue"/>
          </w:tcPr>
          <w:p>
            <w:pPr>
              <w:spacing w:after="0"/>
              <w:rPr>
                <w:sz w:val="9"/>
                <w:szCs w:val="9"/>
                <w:color w:val="auto"/>
              </w:rPr>
            </w:pPr>
          </w:p>
        </w:tc>
        <w:tc>
          <w:tcPr>
            <w:tcW w:w="4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5060" w:type="dxa"/>
            <w:vAlign w:val="bottom"/>
          </w:tcPr>
          <w:p>
            <w:pPr>
              <w:ind w:left="340"/>
              <w:spacing w:after="0"/>
              <w:rPr>
                <w:sz w:val="20"/>
                <w:szCs w:val="20"/>
                <w:color w:val="auto"/>
              </w:rPr>
            </w:pPr>
            <w:r>
              <w:rPr>
                <w:rFonts w:ascii="Arial" w:cs="Arial" w:eastAsia="Arial" w:hAnsi="Arial"/>
                <w:sz w:val="16"/>
                <w:szCs w:val="16"/>
                <w:b w:val="1"/>
                <w:bCs w:val="1"/>
                <w:color w:val="auto"/>
              </w:rPr>
              <w:t>Frank C. Orsini</w:t>
            </w:r>
            <w:r>
              <w:rPr>
                <w:rFonts w:ascii="Arial" w:cs="Arial" w:eastAsia="Arial" w:hAnsi="Arial"/>
                <w:sz w:val="16"/>
                <w:szCs w:val="16"/>
                <w:color w:val="auto"/>
              </w:rPr>
              <w:t>, Executive Vice President and President,</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340"/>
              <w:spacing w:after="0"/>
              <w:rPr>
                <w:sz w:val="20"/>
                <w:szCs w:val="20"/>
                <w:color w:val="auto"/>
              </w:rPr>
            </w:pPr>
            <w:r>
              <w:rPr>
                <w:rFonts w:ascii="Arial" w:cs="Arial" w:eastAsia="Arial" w:hAnsi="Arial"/>
                <w:sz w:val="16"/>
                <w:szCs w:val="16"/>
                <w:color w:val="auto"/>
              </w:rPr>
              <w:t>Seating</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96" w:lineRule="exact"/>
        <w:rPr>
          <w:sz w:val="20"/>
          <w:szCs w:val="20"/>
          <w:color w:val="auto"/>
        </w:rPr>
      </w:pPr>
    </w:p>
    <w:p>
      <w:pPr>
        <w:ind w:left="660"/>
        <w:spacing w:after="0" w:line="229" w:lineRule="auto"/>
        <w:rPr>
          <w:sz w:val="20"/>
          <w:szCs w:val="20"/>
          <w:color w:val="auto"/>
        </w:rPr>
      </w:pPr>
      <w:r>
        <w:rPr>
          <w:rFonts w:ascii="Arial" w:cs="Arial" w:eastAsia="Arial" w:hAnsi="Arial"/>
          <w:sz w:val="16"/>
          <w:szCs w:val="16"/>
          <w:color w:val="auto"/>
        </w:rPr>
        <w:t xml:space="preserve">We are a global automotive technology leader in Seating and E-Systems that enables superior in-vehicle experiences for consumers around the world. Our business is powertrain agnostic and well positioned to capitalize on the industry trends of electrification, connectivity, autonomy and shared mobility through our offerings in seating, electrical distribution and connection systems and software and connected services. Lear is </w:t>
      </w:r>
      <w:r>
        <w:rPr>
          <w:rFonts w:ascii="Arial" w:cs="Arial" w:eastAsia="Arial" w:hAnsi="Arial"/>
          <w:sz w:val="16"/>
          <w:szCs w:val="16"/>
          <w:i w:val="1"/>
          <w:iCs w:val="1"/>
          <w:color w:val="auto"/>
        </w:rPr>
        <w:t>Making</w:t>
      </w:r>
      <w:r>
        <w:rPr>
          <w:rFonts w:ascii="Arial" w:cs="Arial" w:eastAsia="Arial" w:hAnsi="Arial"/>
          <w:sz w:val="16"/>
          <w:szCs w:val="16"/>
          <w:color w:val="auto"/>
        </w:rPr>
        <w:t xml:space="preserve"> </w:t>
      </w:r>
      <w:r>
        <w:rPr>
          <w:rFonts w:ascii="Arial" w:cs="Arial" w:eastAsia="Arial" w:hAnsi="Arial"/>
          <w:sz w:val="16"/>
          <w:szCs w:val="16"/>
          <w:i w:val="1"/>
          <w:iCs w:val="1"/>
          <w:color w:val="auto"/>
        </w:rPr>
        <w:t>every drive better</w:t>
      </w:r>
      <w:r>
        <w:rPr>
          <w:rFonts w:ascii="Arial" w:cs="Arial" w:eastAsia="Arial" w:hAnsi="Arial"/>
          <w:sz w:val="27"/>
          <w:szCs w:val="27"/>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the technology for safer, smarter,</w:t>
      </w:r>
      <w:r>
        <w:rPr>
          <w:rFonts w:ascii="Arial" w:cs="Arial" w:eastAsia="Arial" w:hAnsi="Arial"/>
          <w:sz w:val="16"/>
          <w:szCs w:val="16"/>
          <w:i w:val="1"/>
          <w:iCs w:val="1"/>
          <w:color w:val="auto"/>
        </w:rPr>
        <w:t xml:space="preserve"> </w:t>
      </w:r>
      <w:r>
        <w:rPr>
          <w:rFonts w:ascii="Arial" w:cs="Arial" w:eastAsia="Arial" w:hAnsi="Arial"/>
          <w:sz w:val="16"/>
          <w:szCs w:val="16"/>
          <w:color w:val="auto"/>
        </w:rPr>
        <w:t>and more comfortable journeys.</w:t>
      </w:r>
    </w:p>
    <w:p>
      <w:pPr>
        <w:spacing w:after="0" w:line="108" w:lineRule="exact"/>
        <w:rPr>
          <w:sz w:val="20"/>
          <w:szCs w:val="20"/>
          <w:color w:val="auto"/>
        </w:rPr>
      </w:pPr>
    </w:p>
    <w:p>
      <w:pPr>
        <w:ind w:left="660" w:right="120"/>
        <w:spacing w:after="0" w:line="248" w:lineRule="auto"/>
        <w:rPr>
          <w:sz w:val="20"/>
          <w:szCs w:val="20"/>
          <w:color w:val="auto"/>
        </w:rPr>
      </w:pPr>
      <w:r>
        <w:rPr>
          <w:rFonts w:ascii="Arial" w:cs="Arial" w:eastAsia="Arial" w:hAnsi="Arial"/>
          <w:sz w:val="16"/>
          <w:szCs w:val="16"/>
          <w:color w:val="auto"/>
        </w:rPr>
        <w:t xml:space="preserve">Lear, headquartered in Southfield, Michigan, serves every major automaker in the world while adhering to our values — </w:t>
      </w:r>
      <w:r>
        <w:rPr>
          <w:rFonts w:ascii="Arial" w:cs="Arial" w:eastAsia="Arial" w:hAnsi="Arial"/>
          <w:sz w:val="16"/>
          <w:szCs w:val="16"/>
          <w:i w:val="1"/>
          <w:iCs w:val="1"/>
          <w:color w:val="auto"/>
        </w:rPr>
        <w:t>Be</w:t>
      </w:r>
      <w:r>
        <w:rPr>
          <w:rFonts w:ascii="Arial" w:cs="Arial" w:eastAsia="Arial" w:hAnsi="Arial"/>
          <w:sz w:val="16"/>
          <w:szCs w:val="16"/>
          <w:color w:val="auto"/>
        </w:rPr>
        <w:t xml:space="preserve"> </w:t>
      </w:r>
      <w:r>
        <w:rPr>
          <w:rFonts w:ascii="Arial" w:cs="Arial" w:eastAsia="Arial" w:hAnsi="Arial"/>
          <w:sz w:val="16"/>
          <w:szCs w:val="16"/>
          <w:i w:val="1"/>
          <w:iCs w:val="1"/>
          <w:color w:val="auto"/>
        </w:rPr>
        <w:t>Inclusive. Be Inventive. Get Results The Right Way</w:t>
      </w:r>
      <w:r>
        <w:rPr>
          <w:rFonts w:ascii="Arial" w:cs="Arial" w:eastAsia="Arial" w:hAnsi="Arial"/>
          <w:sz w:val="16"/>
          <w:szCs w:val="16"/>
          <w:color w:val="auto"/>
        </w:rPr>
        <w:t>. Our diverse</w:t>
      </w:r>
      <w:r>
        <w:rPr>
          <w:rFonts w:ascii="Arial" w:cs="Arial" w:eastAsia="Arial" w:hAnsi="Arial"/>
          <w:sz w:val="16"/>
          <w:szCs w:val="16"/>
          <w:i w:val="1"/>
          <w:iCs w:val="1"/>
          <w:color w:val="auto"/>
        </w:rPr>
        <w:t xml:space="preserve"> </w:t>
      </w:r>
      <w:r>
        <w:rPr>
          <w:rFonts w:ascii="Arial" w:cs="Arial" w:eastAsia="Arial" w:hAnsi="Arial"/>
          <w:sz w:val="16"/>
          <w:szCs w:val="16"/>
          <w:color w:val="auto"/>
        </w:rPr>
        <w:t>team of talented employees in 38 countries is driven by a commitment to innovation, operational excellence, and sustainability. We have 251 manufacturing, engineering and administrative locations globally, with 68% of our manufacturing facilities and 86% of our employees located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low cost countries, and we are continuing to grow our business in all automotive producing regions of the world, both organically and through complementary acquisitions. We have an executive compensation program that is generally market-median based for achievement of targets with the opportunity to earn more (or less) commensurate with the Company’s performance.</w:t>
      </w:r>
    </w:p>
    <w:p>
      <w:pPr>
        <w:spacing w:after="0" w:line="97" w:lineRule="exact"/>
        <w:rPr>
          <w:sz w:val="20"/>
          <w:szCs w:val="20"/>
          <w:color w:val="auto"/>
        </w:rPr>
      </w:pPr>
    </w:p>
    <w:p>
      <w:pPr>
        <w:ind w:right="440"/>
        <w:spacing w:after="0" w:line="248" w:lineRule="auto"/>
        <w:rPr>
          <w:sz w:val="20"/>
          <w:szCs w:val="20"/>
          <w:color w:val="auto"/>
        </w:rPr>
      </w:pPr>
      <w:r>
        <w:rPr>
          <w:rFonts w:ascii="Arial" w:cs="Arial" w:eastAsia="Arial" w:hAnsi="Arial"/>
          <w:sz w:val="16"/>
          <w:szCs w:val="16"/>
          <w:color w:val="auto"/>
        </w:rPr>
        <w:t>Our overarching objective is to maximize stockholder value by delivering profitable growth while balancing risk and returns, maintaining a strong balance sheet with investment grade credit metrics, and delivering superior shareholder returns over the long term. Critical to achieving this objective is a highly qualified global team that is strongly motivated to execute our strategy, while navigating uncertainty, through market-competitive pay programs that emphasize at-risk, performance-based pay over annual and multi-year periods.</w:t>
      </w:r>
    </w:p>
    <w:p>
      <w:pPr>
        <w:spacing w:after="0" w:line="576"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Resilience During a Global Pandemic</w:t>
      </w:r>
    </w:p>
    <w:p>
      <w:pPr>
        <w:spacing w:after="0" w:line="19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2020, we faced an extraordinarily challenging macro environment driven by the COVID-19 pandemic. Due to the impact of national and locally mandated shutdowns, our customers were forced to stop production for several weeks and then gradually restart production once restrictions were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lifted during the first half of 2020. This resulted in global industry production being down 17% from 2019. Specifically, our operations in China were first impacted with several weeks of down-time in the first quarter, followed by our operations in the rest of the world being stopped from the end of March</w:t>
      </w:r>
    </w:p>
    <w:p>
      <w:pPr>
        <w:spacing w:after="0" w:line="200" w:lineRule="exact"/>
        <w:rPr>
          <w:sz w:val="20"/>
          <w:szCs w:val="20"/>
          <w:color w:val="auto"/>
        </w:rPr>
      </w:pPr>
    </w:p>
    <w:p>
      <w:pPr>
        <w:sectPr>
          <w:pgSz w:w="11900" w:h="16838" w:orient="portrait"/>
          <w:cols w:equalWidth="0" w:num="2">
            <w:col w:w="5260" w:space="460"/>
            <w:col w:w="5140"/>
          </w:cols>
          <w:pgMar w:left="320" w:top="459" w:right="719" w:bottom="1440" w:gutter="0" w:footer="0" w:header="0"/>
          <w:type w:val="continuous"/>
        </w:sectPr>
      </w:pPr>
    </w:p>
    <w:p>
      <w:pPr>
        <w:spacing w:after="0" w:line="34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31</w:t>
      </w:r>
    </w:p>
    <w:p>
      <w:pPr>
        <w:sectPr>
          <w:pgSz w:w="11900" w:h="16838" w:orient="portrait"/>
          <w:cols w:equalWidth="0" w:num="1">
            <w:col w:w="10860"/>
          </w:cols>
          <w:pgMar w:left="320" w:top="459" w:right="7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347"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through, in most cases, a portion of May. Although manufacturing resumed gradually, most of our plants in our major markets were operating at pre-COVID-19 levels at the end of the second quarter and throughout the second half of 2020. We experienced significant inefficiencies and incremental costs related to the COVID-19 pandemic in the first half of the year, such as costs related to personal protective equipment, employee transportation, higher labor costs reflecting an increase in absenteeism and other labor inefficiencies. In the second half of the year, these costs continued, but were less significant. Despite the extremely challenging environment, we delivered solid financial results for the year. Highlights of our 2020 performance and recent significant events include the following:</w:t>
      </w:r>
    </w:p>
    <w:p>
      <w:pPr>
        <w:spacing w:after="0" w:line="117" w:lineRule="exact"/>
        <w:rPr>
          <w:sz w:val="20"/>
          <w:szCs w:val="20"/>
          <w:color w:val="auto"/>
        </w:rPr>
      </w:pPr>
    </w:p>
    <w:p>
      <w:pPr>
        <w:ind w:left="860" w:right="340" w:hanging="191"/>
        <w:spacing w:after="0" w:line="253"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achieved full-year sales of $17.0 billion in 2020, which represents 6 percentage points of growth over market excluding the impact of foreign exchange and acquisitions.</w:t>
      </w:r>
    </w:p>
    <w:p>
      <w:pPr>
        <w:spacing w:after="0" w:line="106" w:lineRule="exact"/>
        <w:rPr>
          <w:rFonts w:ascii="Arial" w:cs="Arial" w:eastAsia="Arial" w:hAnsi="Arial"/>
          <w:sz w:val="16"/>
          <w:szCs w:val="16"/>
          <w:color w:val="auto"/>
        </w:rPr>
      </w:pPr>
    </w:p>
    <w:p>
      <w:pPr>
        <w:ind w:left="860" w:right="440" w:hanging="191"/>
        <w:spacing w:after="0" w:line="260"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achieved core operating earnings of $614 million and adjusted earnings per share of $5.33 in 2020.*</w:t>
      </w:r>
    </w:p>
    <w:p>
      <w:pPr>
        <w:spacing w:after="0" w:line="100" w:lineRule="exact"/>
        <w:rPr>
          <w:rFonts w:ascii="Arial" w:cs="Arial" w:eastAsia="Arial" w:hAnsi="Arial"/>
          <w:sz w:val="16"/>
          <w:szCs w:val="16"/>
          <w:color w:val="auto"/>
        </w:rPr>
      </w:pPr>
    </w:p>
    <w:p>
      <w:pPr>
        <w:ind w:left="860" w:hanging="191"/>
        <w:spacing w:after="0"/>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generated free cash flow of $211 million in 2020.*</w:t>
      </w:r>
    </w:p>
    <w:p>
      <w:pPr>
        <w:spacing w:after="0" w:line="126" w:lineRule="exact"/>
        <w:rPr>
          <w:rFonts w:ascii="Arial" w:cs="Arial" w:eastAsia="Arial" w:hAnsi="Arial"/>
          <w:sz w:val="16"/>
          <w:szCs w:val="16"/>
          <w:color w:val="auto"/>
        </w:rPr>
      </w:pPr>
    </w:p>
    <w:p>
      <w:pPr>
        <w:ind w:left="860" w:right="420" w:hanging="191"/>
        <w:spacing w:after="0" w:line="260"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published a Safe Work Playbook on Lear’s website to share with organizations impacted by COVID-19.</w:t>
      </w:r>
    </w:p>
    <w:p>
      <w:pPr>
        <w:spacing w:after="0" w:line="100" w:lineRule="exact"/>
        <w:rPr>
          <w:rFonts w:ascii="Arial" w:cs="Arial" w:eastAsia="Arial" w:hAnsi="Arial"/>
          <w:sz w:val="16"/>
          <w:szCs w:val="16"/>
          <w:color w:val="auto"/>
        </w:rPr>
      </w:pPr>
    </w:p>
    <w:p>
      <w:pPr>
        <w:jc w:val="both"/>
        <w:ind w:left="860" w:right="120" w:hanging="191"/>
        <w:spacing w:after="0" w:line="246" w:lineRule="auto"/>
        <w:tabs>
          <w:tab w:leader="none" w:pos="8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received over 60 awards from global customers, industry organizations and publications for ESG initiatives, operational excellence, innovation, quality and safety, including two J.D.</w:t>
      </w:r>
    </w:p>
    <w:p>
      <w:pPr>
        <w:spacing w:after="0" w:line="1" w:lineRule="exact"/>
        <w:rPr>
          <w:rFonts w:ascii="Arial" w:cs="Arial" w:eastAsia="Arial" w:hAnsi="Arial"/>
          <w:sz w:val="16"/>
          <w:szCs w:val="16"/>
          <w:color w:val="auto"/>
        </w:rPr>
      </w:pPr>
    </w:p>
    <w:p>
      <w:pPr>
        <w:jc w:val="both"/>
        <w:ind w:left="860" w:right="400"/>
        <w:spacing w:after="0" w:line="253" w:lineRule="auto"/>
        <w:rPr>
          <w:rFonts w:ascii="Arial" w:cs="Arial" w:eastAsia="Arial" w:hAnsi="Arial"/>
          <w:sz w:val="16"/>
          <w:szCs w:val="16"/>
          <w:color w:val="auto"/>
        </w:rPr>
      </w:pPr>
      <w:r>
        <w:rPr>
          <w:rFonts w:ascii="Arial" w:cs="Arial" w:eastAsia="Arial" w:hAnsi="Arial"/>
          <w:sz w:val="16"/>
          <w:szCs w:val="16"/>
          <w:color w:val="auto"/>
        </w:rPr>
        <w:t>Power Seat Quality Awards and a 2020 Automotive News PACE Award for Xevo Market, Lear’s second consecutive PACE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2406650</wp:posOffset>
            </wp:positionV>
            <wp:extent cx="6940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7" w:right="60" w:hanging="197"/>
        <w:spacing w:after="0" w:line="251"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refinanced $650 million in bonds due in 2025, extending weighted average bond maturity to over 14 years and reducing weighted average interest rate on outstanding bond debt to less than 4.5%.</w:t>
      </w:r>
    </w:p>
    <w:p>
      <w:pPr>
        <w:spacing w:after="0" w:line="107" w:lineRule="exact"/>
        <w:rPr>
          <w:rFonts w:ascii="Arial" w:cs="Arial" w:eastAsia="Arial" w:hAnsi="Arial"/>
          <w:sz w:val="16"/>
          <w:szCs w:val="16"/>
          <w:color w:val="auto"/>
        </w:rPr>
      </w:pPr>
    </w:p>
    <w:p>
      <w:pPr>
        <w:ind w:left="197" w:right="120" w:hanging="197"/>
        <w:spacing w:after="0" w:line="260"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maintained investment grade credit ratings in a challenging market.</w:t>
      </w:r>
    </w:p>
    <w:p>
      <w:pPr>
        <w:spacing w:after="0" w:line="100" w:lineRule="exact"/>
        <w:rPr>
          <w:rFonts w:ascii="Arial" w:cs="Arial" w:eastAsia="Arial" w:hAnsi="Arial"/>
          <w:sz w:val="16"/>
          <w:szCs w:val="16"/>
          <w:color w:val="auto"/>
        </w:rPr>
      </w:pPr>
    </w:p>
    <w:p>
      <w:pPr>
        <w:ind w:left="197" w:hanging="197"/>
        <w:spacing w:after="0" w:line="248"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implemented a cost reduction and cash conservation program shortly after the onset of the COVID-19 pandemic, enabling us to preserve liquidity during the downturn. This program included salary deferrals for salaried employees around the world and a reduction in pay for our Named Executive Officers and members of our Board of Directors. Due to recovery of industry production in the second half of 2020 and overall strong company performance, we repaid all salary deferrals and reinstated salaries to pre-deferral levels by the end of 2020.</w:t>
      </w:r>
    </w:p>
    <w:p>
      <w:pPr>
        <w:spacing w:after="0" w:line="111" w:lineRule="exact"/>
        <w:rPr>
          <w:rFonts w:ascii="Arial" w:cs="Arial" w:eastAsia="Arial" w:hAnsi="Arial"/>
          <w:sz w:val="16"/>
          <w:szCs w:val="16"/>
          <w:color w:val="auto"/>
        </w:rPr>
      </w:pPr>
    </w:p>
    <w:p>
      <w:pPr>
        <w:jc w:val="both"/>
        <w:ind w:left="197" w:right="40" w:hanging="197"/>
        <w:spacing w:after="0" w:line="253"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initiated a quarterly dividend of $0.25 per share in the fourth quarter of 2020 after suspending the quarterly dividend in March 2020 as part of our cash conservation program.</w:t>
      </w:r>
    </w:p>
    <w:p>
      <w:pPr>
        <w:spacing w:after="0" w:line="106" w:lineRule="exact"/>
        <w:rPr>
          <w:rFonts w:ascii="Arial" w:cs="Arial" w:eastAsia="Arial" w:hAnsi="Arial"/>
          <w:sz w:val="16"/>
          <w:szCs w:val="16"/>
          <w:color w:val="auto"/>
        </w:rPr>
      </w:pPr>
    </w:p>
    <w:p>
      <w:pPr>
        <w:ind w:left="197" w:right="240" w:hanging="197"/>
        <w:spacing w:after="0" w:line="260"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continued to win new business in both product segments, with a 2021 to 2023 sales backlog of $2.8 billion.</w:t>
      </w:r>
    </w:p>
    <w:p>
      <w:pPr>
        <w:spacing w:after="0" w:line="100" w:lineRule="exact"/>
        <w:rPr>
          <w:rFonts w:ascii="Arial" w:cs="Arial" w:eastAsia="Arial" w:hAnsi="Arial"/>
          <w:sz w:val="16"/>
          <w:szCs w:val="16"/>
          <w:color w:val="auto"/>
        </w:rPr>
      </w:pPr>
    </w:p>
    <w:p>
      <w:pPr>
        <w:ind w:left="197" w:hanging="197"/>
        <w:spacing w:after="0"/>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won $700 million in net conquest awards in Seating in 2020.</w:t>
      </w:r>
    </w:p>
    <w:p>
      <w:pPr>
        <w:spacing w:after="0" w:line="126" w:lineRule="exact"/>
        <w:rPr>
          <w:rFonts w:ascii="Arial" w:cs="Arial" w:eastAsia="Arial" w:hAnsi="Arial"/>
          <w:sz w:val="16"/>
          <w:szCs w:val="16"/>
          <w:color w:val="auto"/>
        </w:rPr>
      </w:pPr>
    </w:p>
    <w:p>
      <w:pPr>
        <w:ind w:left="197" w:right="120" w:hanging="197"/>
        <w:spacing w:after="0" w:line="260"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expect our electrification business in E-Systems to grow by an average annual rate of 30% through 2025.</w:t>
      </w:r>
    </w:p>
    <w:p>
      <w:pPr>
        <w:spacing w:after="0" w:line="100" w:lineRule="exact"/>
        <w:rPr>
          <w:rFonts w:ascii="Arial" w:cs="Arial" w:eastAsia="Arial" w:hAnsi="Arial"/>
          <w:sz w:val="16"/>
          <w:szCs w:val="16"/>
          <w:color w:val="auto"/>
        </w:rPr>
      </w:pPr>
    </w:p>
    <w:p>
      <w:pPr>
        <w:ind w:left="197" w:right="380" w:hanging="197"/>
        <w:spacing w:after="0" w:line="260" w:lineRule="auto"/>
        <w:tabs>
          <w:tab w:leader="none" w:pos="19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Company’s total return to stockholders for the five-year period ended December 31, 2020 was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-4420235</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2">
            <w:col w:w="5400" w:space="323"/>
            <w:col w:w="4837"/>
          </w:cols>
          <w:pgMar w:left="320" w:top="459"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0" w:hanging="331"/>
        <w:spacing w:after="0" w:line="251" w:lineRule="auto"/>
        <w:tabs>
          <w:tab w:leader="none" w:pos="10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Core operating earnings, adjusted earnings per share and free cash flow are financial measures that are not calculated in accordance with accounting principles generally accepted in the United States (“GAAP”). For more information regarding our non-GAAP financial measures and reconciliations to the most directly comparable GAAP financial measures, see Appendix A, “Reconciliation of Non-GAAP Financial Measures.”</w:t>
      </w:r>
    </w:p>
    <w:p>
      <w:pPr>
        <w:spacing w:after="0" w:line="394" w:lineRule="exact"/>
        <w:rPr>
          <w:sz w:val="20"/>
          <w:szCs w:val="20"/>
          <w:color w:val="auto"/>
        </w:rPr>
      </w:pPr>
    </w:p>
    <w:p>
      <w:pPr>
        <w:ind w:left="780" w:hanging="393"/>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59" w:right="10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Compensation Highlights</w:t>
      </w:r>
    </w:p>
    <w:p>
      <w:pPr>
        <w:spacing w:after="0" w:line="196" w:lineRule="exact"/>
        <w:rPr>
          <w:sz w:val="20"/>
          <w:szCs w:val="20"/>
          <w:color w:val="auto"/>
        </w:rPr>
      </w:pPr>
    </w:p>
    <w:p>
      <w:pPr>
        <w:ind w:left="660" w:right="47"/>
        <w:spacing w:after="0" w:line="251" w:lineRule="auto"/>
        <w:rPr>
          <w:sz w:val="20"/>
          <w:szCs w:val="20"/>
          <w:color w:val="auto"/>
        </w:rPr>
      </w:pPr>
      <w:r>
        <w:rPr>
          <w:rFonts w:ascii="Arial" w:cs="Arial" w:eastAsia="Arial" w:hAnsi="Arial"/>
          <w:sz w:val="16"/>
          <w:szCs w:val="16"/>
          <w:color w:val="auto"/>
        </w:rPr>
        <w:t>The highlights of our 2020 executive compensation program resulting from our 2020 Company financial performance were as follows (detailed discussion follows later in this Compensation Discussion and Analysis):</w:t>
      </w:r>
    </w:p>
    <w:p>
      <w:pPr>
        <w:spacing w:after="0" w:line="108" w:lineRule="exact"/>
        <w:rPr>
          <w:sz w:val="20"/>
          <w:szCs w:val="20"/>
          <w:color w:val="auto"/>
        </w:rPr>
      </w:pPr>
    </w:p>
    <w:p>
      <w:pPr>
        <w:ind w:left="860" w:right="427" w:hanging="191"/>
        <w:spacing w:after="0" w:line="260" w:lineRule="auto"/>
        <w:tabs>
          <w:tab w:leader="none" w:pos="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as shown in the tables below.</w:t>
      </w:r>
    </w:p>
    <w:p>
      <w:pPr>
        <w:spacing w:after="0" w:line="100" w:lineRule="exact"/>
        <w:rPr>
          <w:rFonts w:ascii="Arial" w:cs="Arial" w:eastAsia="Arial" w:hAnsi="Arial"/>
          <w:sz w:val="16"/>
          <w:szCs w:val="16"/>
          <w:color w:val="auto"/>
        </w:rPr>
      </w:pPr>
    </w:p>
    <w:p>
      <w:pPr>
        <w:ind w:left="1200" w:right="247" w:hanging="209"/>
        <w:spacing w:after="0" w:line="260" w:lineRule="auto"/>
        <w:tabs>
          <w:tab w:leader="none" w:pos="12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Annual incentive earned at 60% of target, reflecting outperformance against revised 2020 goals, as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234315</wp:posOffset>
            </wp:positionV>
            <wp:extent cx="6292215"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073"/>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58420</wp:posOffset>
            </wp:positionV>
            <wp:extent cx="21945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53" w:right="340"/>
        <w:spacing w:after="0" w:line="251" w:lineRule="auto"/>
        <w:rPr>
          <w:sz w:val="20"/>
          <w:szCs w:val="20"/>
          <w:color w:val="auto"/>
        </w:rPr>
      </w:pPr>
      <w:r>
        <w:rPr>
          <w:rFonts w:ascii="Arial" w:cs="Arial" w:eastAsia="Arial" w:hAnsi="Arial"/>
          <w:sz w:val="16"/>
          <w:szCs w:val="16"/>
          <w:color w:val="auto"/>
        </w:rPr>
        <w:t>in the chart below, but subject to a maximum payout of 60% of target (instead of our typical maximum of 200% of target) due to the pandemic’s severe impact on our operations. See “Impact of the COVID-19 Pandemic” for additional detail.</w:t>
      </w:r>
    </w:p>
    <w:p>
      <w:pPr>
        <w:spacing w:after="0" w:line="108" w:lineRule="exact"/>
        <w:rPr>
          <w:sz w:val="20"/>
          <w:szCs w:val="20"/>
          <w:color w:val="auto"/>
        </w:rPr>
      </w:pPr>
    </w:p>
    <w:p>
      <w:pPr>
        <w:ind w:left="193" w:right="320" w:hanging="193"/>
        <w:spacing w:after="0" w:line="253" w:lineRule="auto"/>
        <w:tabs>
          <w:tab w:leader="none" w:pos="1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2018-2020 cycle of long-term Performance Shares was earned at 22% of the targeted level based on achievement of the financial goals outlined below.</w:t>
      </w:r>
    </w:p>
    <w:p>
      <w:pPr>
        <w:spacing w:after="0" w:line="516" w:lineRule="exact"/>
        <w:rPr>
          <w:sz w:val="20"/>
          <w:szCs w:val="20"/>
          <w:color w:val="auto"/>
        </w:rPr>
      </w:pPr>
    </w:p>
    <w:p>
      <w:pPr>
        <w:sectPr>
          <w:pgSz w:w="11900" w:h="16838" w:orient="portrait"/>
          <w:cols w:equalWidth="0" w:num="2">
            <w:col w:w="5327" w:space="720"/>
            <w:col w:w="4813"/>
          </w:cols>
          <w:pgMar w:left="320" w:top="459" w:right="719" w:bottom="1440" w:gutter="0" w:footer="0" w:header="0"/>
        </w:sect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FFFFFF"/>
        </w:rPr>
        <w:t>2020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218440</wp:posOffset>
            </wp:positionV>
            <wp:extent cx="6292215" cy="2057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FFFFFF"/>
        </w:rPr>
        <w:t>2018-2020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218440</wp:posOffset>
            </wp:positionV>
            <wp:extent cx="5657850" cy="1663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66306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(See “Pay for Performance,” “Annual Incentives” and “Long-Term Incentives” below for more information regarding these financial measures.)</w:t>
      </w:r>
    </w:p>
    <w:p>
      <w:pPr>
        <w:spacing w:after="0" w:line="107" w:lineRule="exact"/>
        <w:rPr>
          <w:sz w:val="20"/>
          <w:szCs w:val="20"/>
          <w:color w:val="auto"/>
        </w:rPr>
      </w:pPr>
    </w:p>
    <w:p>
      <w:pPr>
        <w:jc w:val="both"/>
        <w:ind w:left="860" w:right="200" w:hanging="191"/>
        <w:spacing w:after="0" w:line="260" w:lineRule="auto"/>
        <w:tabs>
          <w:tab w:leader="none" w:pos="8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Long-term incentive awards granted in January 2020 to our Named Executive Officers were solely in the form of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color w:val="auto"/>
        </w:rPr>
        <w:t>to directly link the interests of our executives with those of our stockholders. We awarded Performance Shares (weighted 60%), which require achievement of financial and TSR goals over a three-year period, stock options (weighted 20%) and RSUs (weighted 20%).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33</w:t>
      </w:r>
    </w:p>
    <w:p>
      <w:pPr>
        <w:sectPr>
          <w:pgSz w:w="11900" w:h="16838" w:orient="portrait"/>
          <w:cols w:equalWidth="0" w:num="2">
            <w:col w:w="5320" w:space="600"/>
            <w:col w:w="4940"/>
          </w:cols>
          <w:pgMar w:left="320" w:top="459" w:right="71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93" w:lineRule="exact"/>
        <w:rPr>
          <w:sz w:val="20"/>
          <w:szCs w:val="20"/>
          <w:color w:val="auto"/>
        </w:rPr>
      </w:pPr>
    </w:p>
    <w:p>
      <w:pPr>
        <w:ind w:left="660" w:right="200"/>
        <w:spacing w:after="0" w:line="260" w:lineRule="auto"/>
        <w:rPr>
          <w:sz w:val="20"/>
          <w:szCs w:val="20"/>
          <w:color w:val="auto"/>
        </w:rPr>
      </w:pPr>
      <w:r>
        <w:rPr>
          <w:rFonts w:ascii="Arial" w:cs="Arial" w:eastAsia="Arial" w:hAnsi="Arial"/>
          <w:sz w:val="16"/>
          <w:szCs w:val="16"/>
          <w:color w:val="auto"/>
        </w:rPr>
        <w:t>As part of a market-based pay program, we maintain many design features and corporate governance practices to ensure a strong link between executive pay, Company performance and stockholder interests:</w:t>
      </w:r>
    </w:p>
    <w:p>
      <w:pPr>
        <w:spacing w:after="0" w:line="207" w:lineRule="exact"/>
        <w:rPr>
          <w:sz w:val="20"/>
          <w:szCs w:val="20"/>
          <w:color w:val="auto"/>
        </w:rPr>
      </w:pPr>
    </w:p>
    <w:p>
      <w:pPr>
        <w:ind w:left="2620"/>
        <w:spacing w:after="0"/>
        <w:tabs>
          <w:tab w:leader="none" w:pos="7620" w:val="left"/>
        </w:tabs>
        <w:rPr>
          <w:sz w:val="20"/>
          <w:szCs w:val="20"/>
          <w:color w:val="auto"/>
        </w:rPr>
      </w:pPr>
      <w:r>
        <w:rPr>
          <w:rFonts w:ascii="Arial" w:cs="Arial" w:eastAsia="Arial" w:hAnsi="Arial"/>
          <w:sz w:val="14"/>
          <w:szCs w:val="14"/>
          <w:b w:val="1"/>
          <w:bCs w:val="1"/>
          <w:color w:val="E2231A"/>
        </w:rPr>
        <w:t>WHAT WE DO</w:t>
      </w:r>
      <w:r>
        <w:rPr>
          <w:sz w:val="20"/>
          <w:szCs w:val="20"/>
          <w:color w:val="auto"/>
        </w:rPr>
        <w:tab/>
      </w:r>
      <w:r>
        <w:rPr>
          <w:rFonts w:ascii="Arial" w:cs="Arial" w:eastAsia="Arial" w:hAnsi="Arial"/>
          <w:sz w:val="14"/>
          <w:szCs w:val="14"/>
          <w:b w:val="1"/>
          <w:bCs w:val="1"/>
          <w:color w:val="E2231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8890</wp:posOffset>
            </wp:positionV>
            <wp:extent cx="62922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00"/>
          </w:cols>
          <w:pgMar w:left="320" w:top="459" w:right="1079" w:bottom="1440" w:gutter="0" w:footer="0" w:header="0"/>
        </w:sectPr>
      </w:pPr>
    </w:p>
    <w:p>
      <w:pPr>
        <w:spacing w:after="0" w:line="29"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(see pages 34, 41</w:t>
      </w:r>
      <w:r>
        <w:rPr>
          <w:rFonts w:ascii="Arial" w:cs="Arial" w:eastAsia="Arial" w:hAnsi="Arial"/>
          <w:sz w:val="16"/>
          <w:szCs w:val="16"/>
          <w:b w:val="1"/>
          <w:bCs w:val="1"/>
          <w:color w:val="auto"/>
        </w:rPr>
        <w:t xml:space="preserve"> </w:t>
      </w:r>
      <w:r>
        <w:rPr>
          <w:rFonts w:ascii="Arial" w:cs="Arial" w:eastAsia="Arial" w:hAnsi="Arial"/>
          <w:sz w:val="16"/>
          <w:szCs w:val="16"/>
          <w:color w:val="auto"/>
        </w:rPr>
        <w:t>to 45)</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Balanced Mix of Performance Measures </w:t>
      </w:r>
      <w:r>
        <w:rPr>
          <w:rFonts w:ascii="Arial" w:cs="Arial" w:eastAsia="Arial" w:hAnsi="Arial"/>
          <w:sz w:val="16"/>
          <w:szCs w:val="16"/>
          <w:color w:val="auto"/>
        </w:rPr>
        <w:t>(see pages 39 to 40)</w:t>
      </w:r>
    </w:p>
    <w:p>
      <w:pPr>
        <w:spacing w:after="0" w:line="127" w:lineRule="exact"/>
        <w:rPr>
          <w:sz w:val="20"/>
          <w:szCs w:val="20"/>
          <w:color w:val="auto"/>
        </w:rPr>
      </w:pPr>
    </w:p>
    <w:p>
      <w:pPr>
        <w:ind w:left="660" w:right="860"/>
        <w:spacing w:after="0" w:line="286" w:lineRule="auto"/>
        <w:rPr>
          <w:sz w:val="20"/>
          <w:szCs w:val="20"/>
          <w:color w:val="auto"/>
        </w:rPr>
      </w:pPr>
      <w:r>
        <w:rPr>
          <w:rFonts w:ascii="Arial" w:cs="Arial" w:eastAsia="Arial" w:hAnsi="Arial"/>
          <w:sz w:val="16"/>
          <w:szCs w:val="16"/>
          <w:b w:val="1"/>
          <w:bCs w:val="1"/>
          <w:color w:val="auto"/>
        </w:rPr>
        <w:t xml:space="preserve">Relative TSR Performance Metric for 2020 and 2021 Performance Share Grants </w:t>
      </w:r>
      <w:r>
        <w:rPr>
          <w:rFonts w:ascii="Arial" w:cs="Arial" w:eastAsia="Arial" w:hAnsi="Arial"/>
          <w:sz w:val="16"/>
          <w:szCs w:val="16"/>
          <w:color w:val="auto"/>
        </w:rPr>
        <w:t>(see page 43 to 44)</w:t>
      </w:r>
    </w:p>
    <w:p>
      <w:pPr>
        <w:spacing w:after="0" w:line="61" w:lineRule="exact"/>
        <w:rPr>
          <w:sz w:val="20"/>
          <w:szCs w:val="20"/>
          <w:color w:val="auto"/>
        </w:rPr>
      </w:pPr>
    </w:p>
    <w:p>
      <w:pPr>
        <w:ind w:left="660" w:right="300"/>
        <w:spacing w:after="0" w:line="286"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pages 37, 39 and 41)</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Robust Stock Ownership Guidelines </w:t>
      </w:r>
      <w:r>
        <w:rPr>
          <w:rFonts w:ascii="Arial" w:cs="Arial" w:eastAsia="Arial" w:hAnsi="Arial"/>
          <w:sz w:val="16"/>
          <w:szCs w:val="16"/>
          <w:color w:val="auto"/>
        </w:rPr>
        <w:t>(see page 45)</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Equity Retention Requirement </w:t>
      </w:r>
      <w:r>
        <w:rPr>
          <w:rFonts w:ascii="Arial" w:cs="Arial" w:eastAsia="Arial" w:hAnsi="Arial"/>
          <w:sz w:val="16"/>
          <w:szCs w:val="16"/>
          <w:color w:val="auto"/>
        </w:rPr>
        <w:t>(see page 45)</w:t>
      </w:r>
    </w:p>
    <w:p>
      <w:pPr>
        <w:spacing w:after="0" w:line="127"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37 to 38 and 63 to 64)</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Clawback of Incentive Compensation </w:t>
      </w:r>
      <w:r>
        <w:rPr>
          <w:rFonts w:ascii="Arial" w:cs="Arial" w:eastAsia="Arial" w:hAnsi="Arial"/>
          <w:sz w:val="16"/>
          <w:szCs w:val="16"/>
          <w:color w:val="auto"/>
        </w:rPr>
        <w:t>(see page 46 to 47)</w:t>
      </w:r>
    </w:p>
    <w:p>
      <w:pPr>
        <w:spacing w:after="0" w:line="127" w:lineRule="exact"/>
        <w:rPr>
          <w:sz w:val="20"/>
          <w:szCs w:val="20"/>
          <w:color w:val="auto"/>
        </w:rPr>
      </w:pPr>
    </w:p>
    <w:p>
      <w:pPr>
        <w:ind w:left="660" w:right="360"/>
        <w:spacing w:after="0" w:line="286" w:lineRule="auto"/>
        <w:rPr>
          <w:sz w:val="20"/>
          <w:szCs w:val="20"/>
          <w:color w:val="auto"/>
        </w:rPr>
      </w:pPr>
      <w:r>
        <w:rPr>
          <w:rFonts w:ascii="Arial" w:cs="Arial" w:eastAsia="Arial" w:hAnsi="Arial"/>
          <w:sz w:val="16"/>
          <w:szCs w:val="16"/>
          <w:b w:val="1"/>
          <w:bCs w:val="1"/>
          <w:color w:val="auto"/>
        </w:rPr>
        <w:t xml:space="preserve">Independent Compensation Consultant for Compensation Committee </w:t>
      </w:r>
      <w:r>
        <w:rPr>
          <w:rFonts w:ascii="Arial" w:cs="Arial" w:eastAsia="Arial" w:hAnsi="Arial"/>
          <w:sz w:val="16"/>
          <w:szCs w:val="16"/>
          <w:color w:val="auto"/>
        </w:rPr>
        <w:t>(see pages 24 to 35 and 38 to 39)</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Holding Period for Career Shares </w:t>
      </w:r>
      <w:r>
        <w:rPr>
          <w:rFonts w:ascii="Arial" w:cs="Arial" w:eastAsia="Arial" w:hAnsi="Arial"/>
          <w:sz w:val="16"/>
          <w:szCs w:val="16"/>
          <w:color w:val="auto"/>
        </w:rPr>
        <w:t>(see pages 45 and 51 to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100330</wp:posOffset>
            </wp:positionV>
            <wp:extent cx="62922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(see page 46)</w:t>
      </w:r>
    </w:p>
    <w:p>
      <w:pPr>
        <w:spacing w:after="0" w:line="1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Severance Benefits </w:t>
      </w:r>
      <w:r>
        <w:rPr>
          <w:rFonts w:ascii="Arial" w:cs="Arial" w:eastAsia="Arial" w:hAnsi="Arial"/>
          <w:sz w:val="16"/>
          <w:szCs w:val="16"/>
          <w:color w:val="auto"/>
        </w:rPr>
        <w:t>(see pages 46 and 59 to 63)</w:t>
      </w:r>
    </w:p>
    <w:p>
      <w:pPr>
        <w:spacing w:after="0" w:line="6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(see pages 46 and 59 to 63)</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No Hedging or Pledging of Company Stock </w:t>
      </w:r>
      <w:r>
        <w:rPr>
          <w:rFonts w:ascii="Arial" w:cs="Arial" w:eastAsia="Arial" w:hAnsi="Arial"/>
          <w:sz w:val="16"/>
          <w:szCs w:val="16"/>
          <w:color w:val="auto"/>
        </w:rPr>
        <w:t>(see pages 47</w:t>
      </w:r>
      <w:r>
        <w:rPr>
          <w:rFonts w:ascii="Arial" w:cs="Arial" w:eastAsia="Arial" w:hAnsi="Arial"/>
          <w:sz w:val="16"/>
          <w:szCs w:val="16"/>
          <w:b w:val="1"/>
          <w:bCs w:val="1"/>
          <w:color w:val="auto"/>
        </w:rPr>
        <w:t xml:space="preserve"> </w:t>
      </w:r>
      <w:r>
        <w:rPr>
          <w:rFonts w:ascii="Arial" w:cs="Arial" w:eastAsia="Arial" w:hAnsi="Arial"/>
          <w:sz w:val="16"/>
          <w:szCs w:val="16"/>
          <w:color w:val="auto"/>
        </w:rPr>
        <w:t>and 65)</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Repricing of Stock Option Awards</w:t>
      </w:r>
    </w:p>
    <w:p>
      <w:pPr>
        <w:spacing w:after="0" w:line="2130" w:lineRule="exact"/>
        <w:rPr>
          <w:sz w:val="20"/>
          <w:szCs w:val="20"/>
          <w:color w:val="auto"/>
        </w:rPr>
      </w:pPr>
    </w:p>
    <w:p>
      <w:pPr>
        <w:sectPr>
          <w:pgSz w:w="11900" w:h="16838" w:orient="portrait"/>
          <w:cols w:equalWidth="0" w:num="2">
            <w:col w:w="5480" w:space="640"/>
            <w:col w:w="4380"/>
          </w:cols>
          <w:pgMar w:left="320" w:top="459" w:right="1079" w:bottom="1440" w:gutter="0" w:footer="0" w:header="0"/>
          <w:type w:val="continuous"/>
        </w:sectPr>
      </w:pP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Target Pay Mix for CEO and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165735</wp:posOffset>
            </wp:positionV>
            <wp:extent cx="6292215"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377190"/>
                    </a:xfrm>
                    <a:prstGeom prst="rect">
                      <a:avLst/>
                    </a:prstGeom>
                    <a:noFill/>
                  </pic:spPr>
                </pic:pic>
              </a:graphicData>
            </a:graphic>
          </wp:anchor>
        </w:drawing>
      </w:r>
    </w:p>
    <w:p>
      <w:pPr>
        <w:spacing w:after="0" w:line="276"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FFFFFF"/>
        </w:rPr>
        <w:t>2020 Target Total Direct Compensation Allocation</w:t>
      </w:r>
    </w:p>
    <w:p>
      <w:pPr>
        <w:spacing w:after="0" w:line="22" w:lineRule="exact"/>
        <w:rPr>
          <w:sz w:val="20"/>
          <w:szCs w:val="20"/>
          <w:color w:val="auto"/>
        </w:rPr>
      </w:pPr>
    </w:p>
    <w:p>
      <w:pPr>
        <w:jc w:val="right"/>
        <w:ind w:right="1120"/>
        <w:spacing w:after="0"/>
        <w:rPr>
          <w:sz w:val="20"/>
          <w:szCs w:val="20"/>
          <w:color w:val="auto"/>
        </w:rPr>
      </w:pPr>
      <w:r>
        <w:rPr>
          <w:rFonts w:ascii="Arial" w:cs="Arial" w:eastAsia="Arial" w:hAnsi="Arial"/>
          <w:sz w:val="18"/>
          <w:szCs w:val="18"/>
          <w:b w:val="1"/>
          <w:bCs w:val="1"/>
          <w:color w:val="FFFFFF"/>
        </w:rPr>
        <w:t>(Assuming Performance-Based Components at Target and not including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203200</wp:posOffset>
            </wp:positionV>
            <wp:extent cx="5648960" cy="2871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4896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80" w:hanging="393"/>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00"/>
          </w:cols>
          <w:pgMar w:left="320" w:top="459" w:right="10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will continue to monitor our executive compensation programs and consider appropriate modifications that will allow us to drive achievement of our business strategy 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targeted financial results, meet our talent needs and maintain fully competitive compensation programs and practices to maximize long-term stockholder value.</w:t>
      </w:r>
    </w:p>
    <w:p>
      <w:pPr>
        <w:spacing w:after="0" w:line="200"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Impact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the Pandemic on our Business</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COVID-19 pandemic has challenged the world and our business in unparalleled ways; however, we quickly pivoted to address these challenges. With our highest priority being the health and safety of our employees and the communities in which we live and work, we implemented a number of proactive efforts to respond, reopen and reset our operations for the new business environment. Specifically, we took the following actions:</w:t>
      </w:r>
    </w:p>
    <w:p>
      <w:pPr>
        <w:spacing w:after="0" w:line="114" w:lineRule="exact"/>
        <w:rPr>
          <w:sz w:val="20"/>
          <w:szCs w:val="20"/>
          <w:color w:val="auto"/>
        </w:rPr>
      </w:pPr>
    </w:p>
    <w:p>
      <w:pPr>
        <w:ind w:left="860" w:right="60" w:hanging="191"/>
        <w:spacing w:after="0" w:line="253" w:lineRule="auto"/>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converted production at our facilities on three continents to manufacture face masks for first responders and our employees – with more than 10 million made.</w:t>
      </w:r>
    </w:p>
    <w:p>
      <w:pPr>
        <w:spacing w:after="0" w:line="106" w:lineRule="exact"/>
        <w:rPr>
          <w:rFonts w:ascii="Arial" w:cs="Arial" w:eastAsia="Arial" w:hAnsi="Arial"/>
          <w:sz w:val="16"/>
          <w:szCs w:val="16"/>
          <w:color w:val="auto"/>
        </w:rPr>
      </w:pPr>
    </w:p>
    <w:p>
      <w:pPr>
        <w:ind w:left="860" w:right="40" w:hanging="191"/>
        <w:spacing w:after="0" w:line="251" w:lineRule="auto"/>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developed the Safe Work Playbook, an 80-plus page guide including, among other topics, health and safety procedures, facility cleaning protocols, social distancing policies, building signage and training for employees.</w:t>
      </w:r>
    </w:p>
    <w:p>
      <w:pPr>
        <w:spacing w:after="0" w:line="107" w:lineRule="exact"/>
        <w:rPr>
          <w:rFonts w:ascii="Arial" w:cs="Arial" w:eastAsia="Arial" w:hAnsi="Arial"/>
          <w:sz w:val="16"/>
          <w:szCs w:val="16"/>
          <w:color w:val="auto"/>
        </w:rPr>
      </w:pPr>
    </w:p>
    <w:p>
      <w:pPr>
        <w:ind w:left="860" w:right="60" w:hanging="191"/>
        <w:spacing w:after="0" w:line="253" w:lineRule="auto"/>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made the Safe Work Playbook publicly available at no cost on our website, where it has been downloaded more than 35,000 times, including by companies from multiple industries.</w:t>
      </w:r>
    </w:p>
    <w:p>
      <w:pPr>
        <w:spacing w:after="0" w:line="106" w:lineRule="exact"/>
        <w:rPr>
          <w:rFonts w:ascii="Arial" w:cs="Arial" w:eastAsia="Arial" w:hAnsi="Arial"/>
          <w:sz w:val="16"/>
          <w:szCs w:val="16"/>
          <w:color w:val="auto"/>
        </w:rPr>
      </w:pPr>
    </w:p>
    <w:p>
      <w:pPr>
        <w:ind w:left="860" w:right="420" w:hanging="191"/>
        <w:spacing w:after="0" w:line="260" w:lineRule="auto"/>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increased work schedule flexibility in order to allow employees to care for children and other family members.</w:t>
      </w:r>
    </w:p>
    <w:p>
      <w:pPr>
        <w:spacing w:after="0" w:line="100" w:lineRule="exact"/>
        <w:rPr>
          <w:rFonts w:ascii="Arial" w:cs="Arial" w:eastAsia="Arial" w:hAnsi="Arial"/>
          <w:sz w:val="16"/>
          <w:szCs w:val="16"/>
          <w:color w:val="auto"/>
        </w:rPr>
      </w:pPr>
    </w:p>
    <w:p>
      <w:pPr>
        <w:ind w:left="860" w:hanging="191"/>
        <w:spacing w:after="0" w:line="248" w:lineRule="auto"/>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noted above, in an effort to avoid layoffs and furloughs, from April 2020 until mid-November 2020, (i) the non-employee members of our Board accepted a 25% reduction in annual retainer fees and meeting fees (only paid for meetings in excess of 12 per year), (ii) salaried employees around the world agreed to a temporary 20% base salary deferral, and (iii) our CEO accepted a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00" w:right="340"/>
        <w:spacing w:after="0" w:line="249" w:lineRule="auto"/>
        <w:rPr>
          <w:sz w:val="20"/>
          <w:szCs w:val="20"/>
          <w:color w:val="auto"/>
        </w:rPr>
      </w:pPr>
      <w:r>
        <w:rPr>
          <w:rFonts w:ascii="Arial" w:cs="Arial" w:eastAsia="Arial" w:hAnsi="Arial"/>
          <w:sz w:val="16"/>
          <w:szCs w:val="16"/>
          <w:color w:val="auto"/>
        </w:rPr>
        <w:t>base salary reduction, and our other executive officers accepted a 5% base salary reduction. Due to recovery of industry production in the second half of 2020 and strong performance, we repaid all employee salary deferrals by the end of 2020 and reinstated non-employee members of our Board’s fees and employee salaries to pre-reduction and pre-deferral levels.</w:t>
      </w:r>
    </w:p>
    <w:p>
      <w:pPr>
        <w:spacing w:after="0" w:line="110" w:lineRule="exact"/>
        <w:rPr>
          <w:sz w:val="20"/>
          <w:szCs w:val="20"/>
          <w:color w:val="auto"/>
        </w:rPr>
      </w:pPr>
    </w:p>
    <w:p>
      <w:pPr>
        <w:ind w:left="200" w:right="560" w:hanging="197"/>
        <w:spacing w:after="0" w:line="253" w:lineRule="auto"/>
        <w:tabs>
          <w:tab w:leader="none" w:pos="2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regions that were hit particularly hard by the pandemic, we took extra steps to support our employees and local communities, such as in:</w:t>
      </w:r>
    </w:p>
    <w:p>
      <w:pPr>
        <w:spacing w:after="0" w:line="106" w:lineRule="exact"/>
        <w:rPr>
          <w:rFonts w:ascii="Arial" w:cs="Arial" w:eastAsia="Arial" w:hAnsi="Arial"/>
          <w:sz w:val="16"/>
          <w:szCs w:val="16"/>
          <w:color w:val="auto"/>
        </w:rPr>
      </w:pPr>
    </w:p>
    <w:p>
      <w:pPr>
        <w:ind w:left="520" w:right="300" w:hanging="193"/>
        <w:spacing w:after="0" w:line="251" w:lineRule="auto"/>
        <w:tabs>
          <w:tab w:leader="none" w:pos="5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Juarez, Mexico, where we donated $1 million to the local United Way, provided thousands of masks to local hospitals, and offered to fund private medical care for employees undergoing treatment for COVID-19.</w:t>
      </w:r>
    </w:p>
    <w:p>
      <w:pPr>
        <w:spacing w:after="0" w:line="107" w:lineRule="exact"/>
        <w:rPr>
          <w:rFonts w:ascii="Arial" w:cs="Arial" w:eastAsia="Arial" w:hAnsi="Arial"/>
          <w:sz w:val="16"/>
          <w:szCs w:val="16"/>
          <w:color w:val="auto"/>
        </w:rPr>
      </w:pPr>
    </w:p>
    <w:p>
      <w:pPr>
        <w:ind w:left="520" w:right="480" w:hanging="193"/>
        <w:spacing w:after="0" w:line="251" w:lineRule="auto"/>
        <w:tabs>
          <w:tab w:leader="none" w:pos="5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Additionally, we are covering all costs for any employee wanting to be tested for COVID-19 and are coordinating vaccination opportunities for those in our global workforce who wish to be vaccinated.</w:t>
      </w:r>
    </w:p>
    <w:p>
      <w:pPr>
        <w:spacing w:after="0" w:line="94"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The steps that we took to prepare our plants to ramp up production following government-mandated shutdowns have helped us to safely resume work. Our long-term competitive position, strong balance sheet, history of operational excellence and teamwork, and commitment to innovation has positioned our Company to not just emerge from these challenging times but to continue to prosper as a leader in our industry, as demonstrated by our strong financial results for the second half of 2020.</w:t>
      </w:r>
    </w:p>
    <w:p>
      <w:pPr>
        <w:spacing w:after="0" w:line="522"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36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35</w:t>
      </w:r>
    </w:p>
    <w:p>
      <w:pPr>
        <w:sectPr>
          <w:pgSz w:w="11900" w:h="16838" w:orient="portrait"/>
          <w:cols w:equalWidth="0" w:num="1">
            <w:col w:w="10860"/>
          </w:cols>
          <w:pgMar w:left="320" w:top="459" w:right="7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the Pandemic on 2020 Executive Pay</w:t>
      </w:r>
    </w:p>
    <w:p>
      <w:pPr>
        <w:spacing w:after="0" w:line="128" w:lineRule="exact"/>
        <w:rPr>
          <w:sz w:val="20"/>
          <w:szCs w:val="20"/>
          <w:color w:val="auto"/>
        </w:rPr>
      </w:pPr>
    </w:p>
    <w:p>
      <w:pPr>
        <w:ind w:left="660" w:right="280"/>
        <w:spacing w:after="0" w:line="253" w:lineRule="auto"/>
        <w:rPr>
          <w:sz w:val="20"/>
          <w:szCs w:val="20"/>
          <w:color w:val="auto"/>
        </w:rPr>
      </w:pPr>
      <w:r>
        <w:rPr>
          <w:rFonts w:ascii="Arial" w:cs="Arial" w:eastAsia="Arial" w:hAnsi="Arial"/>
          <w:sz w:val="16"/>
          <w:szCs w:val="16"/>
          <w:color w:val="auto"/>
        </w:rPr>
        <w:t>Our 2020 executive pay actions considered the unprecedented uncertainty and volatility caused by the pandemic and reflected our commitment to our employees, shareholders, and pay-for-performance philosophy, allowing us to attract and reward key talent that are critical to driving long-term shareholder value:</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280" w:type="dxa"/>
            <w:vAlign w:val="bottom"/>
            <w:shd w:val="clear" w:color="auto" w:fill="E2231A"/>
          </w:tcPr>
          <w:p>
            <w:pPr>
              <w:ind w:left="60"/>
              <w:spacing w:after="0"/>
              <w:rPr>
                <w:sz w:val="20"/>
                <w:szCs w:val="20"/>
                <w:color w:val="auto"/>
              </w:rPr>
            </w:pPr>
            <w:r>
              <w:rPr>
                <w:rFonts w:ascii="Arial" w:cs="Arial" w:eastAsia="Arial" w:hAnsi="Arial"/>
                <w:sz w:val="22"/>
                <w:szCs w:val="22"/>
                <w:b w:val="1"/>
                <w:bCs w:val="1"/>
                <w:color w:val="FFFFFF"/>
                <w:w w:val="97"/>
              </w:rPr>
              <w:t>Time Frame</w:t>
            </w:r>
          </w:p>
        </w:tc>
        <w:tc>
          <w:tcPr>
            <w:tcW w:w="8640" w:type="dxa"/>
            <w:vAlign w:val="bottom"/>
            <w:shd w:val="clear" w:color="auto" w:fill="E2231A"/>
          </w:tcPr>
          <w:p>
            <w:pPr>
              <w:ind w:left="3920"/>
              <w:spacing w:after="0"/>
              <w:rPr>
                <w:sz w:val="20"/>
                <w:szCs w:val="20"/>
                <w:color w:val="auto"/>
              </w:rPr>
            </w:pPr>
            <w:r>
              <w:rPr>
                <w:rFonts w:ascii="Arial" w:cs="Arial" w:eastAsia="Arial" w:hAnsi="Arial"/>
                <w:sz w:val="22"/>
                <w:szCs w:val="22"/>
                <w:b w:val="1"/>
                <w:bCs w:val="1"/>
                <w:color w:val="FFFFFF"/>
              </w:rPr>
              <w:t>Action / Event</w:t>
            </w:r>
          </w:p>
        </w:tc>
      </w:tr>
      <w:tr>
        <w:trPr>
          <w:trHeight w:val="258"/>
        </w:trPr>
        <w:tc>
          <w:tcPr>
            <w:tcW w:w="12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Q1 2020</w:t>
            </w:r>
          </w:p>
        </w:tc>
        <w:tc>
          <w:tcPr>
            <w:tcW w:w="8640" w:type="dxa"/>
            <w:vAlign w:val="bottom"/>
            <w:shd w:val="clear" w:color="auto" w:fill="FCE9E8"/>
          </w:tcPr>
          <w:p>
            <w:pPr>
              <w:ind w:left="640"/>
              <w:spacing w:after="0"/>
              <w:rPr>
                <w:sz w:val="20"/>
                <w:szCs w:val="20"/>
                <w:color w:val="auto"/>
              </w:rPr>
            </w:pPr>
            <w:r>
              <w:rPr>
                <w:rFonts w:ascii="Arial" w:cs="Arial" w:eastAsia="Arial" w:hAnsi="Arial"/>
                <w:sz w:val="16"/>
                <w:szCs w:val="16"/>
                <w:color w:val="auto"/>
              </w:rPr>
              <w:t>We started the year strongly with financial performance tracking above target; however, as the pandemic</w:t>
            </w:r>
          </w:p>
        </w:tc>
      </w:tr>
      <w:tr>
        <w:trPr>
          <w:trHeight w:val="235"/>
        </w:trPr>
        <w:tc>
          <w:tcPr>
            <w:tcW w:w="1280" w:type="dxa"/>
            <w:vAlign w:val="bottom"/>
            <w:tcBorders>
              <w:bottom w:val="single" w:sz="8" w:color="FCE9E8"/>
            </w:tcBorders>
            <w:shd w:val="clear" w:color="auto" w:fill="FCE9E8"/>
          </w:tcPr>
          <w:p>
            <w:pPr>
              <w:spacing w:after="0"/>
              <w:rPr>
                <w:sz w:val="20"/>
                <w:szCs w:val="20"/>
                <w:color w:val="auto"/>
              </w:rPr>
            </w:pPr>
          </w:p>
        </w:tc>
        <w:tc>
          <w:tcPr>
            <w:tcW w:w="8640" w:type="dxa"/>
            <w:vAlign w:val="bottom"/>
            <w:tcBorders>
              <w:bottom w:val="single" w:sz="8" w:color="FCE9E8"/>
            </w:tcBorders>
            <w:shd w:val="clear" w:color="auto" w:fill="FCE9E8"/>
          </w:tcPr>
          <w:p>
            <w:pPr>
              <w:ind w:left="640"/>
              <w:spacing w:after="0"/>
              <w:rPr>
                <w:sz w:val="20"/>
                <w:szCs w:val="20"/>
                <w:color w:val="auto"/>
              </w:rPr>
            </w:pPr>
            <w:r>
              <w:rPr>
                <w:rFonts w:ascii="Arial" w:cs="Arial" w:eastAsia="Arial" w:hAnsi="Arial"/>
                <w:sz w:val="16"/>
                <w:szCs w:val="16"/>
                <w:color w:val="auto"/>
              </w:rPr>
              <w:t>spread, our global facilities ceased production in response to customer shutdowns and government mandates.</w:t>
            </w:r>
          </w:p>
        </w:tc>
      </w:tr>
      <w:tr>
        <w:trPr>
          <w:trHeight w:val="258"/>
        </w:trPr>
        <w:tc>
          <w:tcPr>
            <w:tcW w:w="1280" w:type="dxa"/>
            <w:vAlign w:val="bottom"/>
          </w:tcPr>
          <w:p>
            <w:pPr>
              <w:ind w:left="100"/>
              <w:spacing w:after="0"/>
              <w:rPr>
                <w:sz w:val="20"/>
                <w:szCs w:val="20"/>
                <w:color w:val="auto"/>
              </w:rPr>
            </w:pPr>
            <w:r>
              <w:rPr>
                <w:rFonts w:ascii="Arial" w:cs="Arial" w:eastAsia="Arial" w:hAnsi="Arial"/>
                <w:sz w:val="16"/>
                <w:szCs w:val="16"/>
                <w:color w:val="auto"/>
              </w:rPr>
              <w:t>Q2 2020</w:t>
            </w:r>
          </w:p>
        </w:tc>
        <w:tc>
          <w:tcPr>
            <w:tcW w:w="8640" w:type="dxa"/>
            <w:vAlign w:val="bottom"/>
          </w:tcPr>
          <w:p>
            <w:pPr>
              <w:ind w:left="640"/>
              <w:spacing w:after="0"/>
              <w:rPr>
                <w:sz w:val="20"/>
                <w:szCs w:val="20"/>
                <w:color w:val="auto"/>
              </w:rPr>
            </w:pPr>
            <w:r>
              <w:rPr>
                <w:rFonts w:ascii="Arial" w:cs="Arial" w:eastAsia="Arial" w:hAnsi="Arial"/>
                <w:sz w:val="16"/>
                <w:szCs w:val="16"/>
                <w:color w:val="auto"/>
              </w:rPr>
              <w:t>As the pandemic continued to spread, we focused on safeguarding the health and safety of our employees and</w:t>
            </w:r>
          </w:p>
        </w:tc>
      </w:tr>
      <w:tr>
        <w:trPr>
          <w:trHeight w:val="189"/>
        </w:trPr>
        <w:tc>
          <w:tcPr>
            <w:tcW w:w="1280" w:type="dxa"/>
            <w:vAlign w:val="bottom"/>
          </w:tcPr>
          <w:p>
            <w:pPr>
              <w:spacing w:after="0"/>
              <w:rPr>
                <w:sz w:val="16"/>
                <w:szCs w:val="16"/>
                <w:color w:val="auto"/>
              </w:rPr>
            </w:pPr>
          </w:p>
        </w:tc>
        <w:tc>
          <w:tcPr>
            <w:tcW w:w="8640" w:type="dxa"/>
            <w:vAlign w:val="bottom"/>
          </w:tcPr>
          <w:p>
            <w:pPr>
              <w:ind w:left="640"/>
              <w:spacing w:after="0"/>
              <w:rPr>
                <w:sz w:val="20"/>
                <w:szCs w:val="20"/>
                <w:color w:val="auto"/>
              </w:rPr>
            </w:pPr>
            <w:r>
              <w:rPr>
                <w:rFonts w:ascii="Arial" w:cs="Arial" w:eastAsia="Arial" w:hAnsi="Arial"/>
                <w:sz w:val="16"/>
                <w:szCs w:val="16"/>
                <w:color w:val="auto"/>
              </w:rPr>
              <w:t>our business partners, which continued to be our #1 priority throughout the remainder of the year. Most of our</w:t>
            </w:r>
          </w:p>
        </w:tc>
      </w:tr>
      <w:tr>
        <w:trPr>
          <w:trHeight w:val="195"/>
        </w:trPr>
        <w:tc>
          <w:tcPr>
            <w:tcW w:w="1280" w:type="dxa"/>
            <w:vAlign w:val="bottom"/>
          </w:tcPr>
          <w:p>
            <w:pPr>
              <w:spacing w:after="0"/>
              <w:rPr>
                <w:sz w:val="16"/>
                <w:szCs w:val="16"/>
                <w:color w:val="auto"/>
              </w:rPr>
            </w:pPr>
          </w:p>
        </w:tc>
        <w:tc>
          <w:tcPr>
            <w:tcW w:w="8640" w:type="dxa"/>
            <w:vAlign w:val="bottom"/>
          </w:tcPr>
          <w:p>
            <w:pPr>
              <w:ind w:left="640"/>
              <w:spacing w:after="0"/>
              <w:rPr>
                <w:sz w:val="20"/>
                <w:szCs w:val="20"/>
                <w:color w:val="auto"/>
              </w:rPr>
            </w:pPr>
            <w:r>
              <w:rPr>
                <w:rFonts w:ascii="Arial" w:cs="Arial" w:eastAsia="Arial" w:hAnsi="Arial"/>
                <w:sz w:val="16"/>
                <w:szCs w:val="16"/>
                <w:color w:val="auto"/>
              </w:rPr>
              <w:t>facilities had resumed production by the end of Q2 2020.</w:t>
            </w:r>
          </w:p>
        </w:tc>
      </w:tr>
      <w:tr>
        <w:trPr>
          <w:trHeight w:val="60"/>
        </w:trPr>
        <w:tc>
          <w:tcPr>
            <w:tcW w:w="1280" w:type="dxa"/>
            <w:vAlign w:val="bottom"/>
          </w:tcPr>
          <w:p>
            <w:pPr>
              <w:spacing w:after="0"/>
              <w:rPr>
                <w:sz w:val="5"/>
                <w:szCs w:val="5"/>
                <w:color w:val="auto"/>
              </w:rPr>
            </w:pPr>
          </w:p>
        </w:tc>
        <w:tc>
          <w:tcPr>
            <w:tcW w:w="8640" w:type="dxa"/>
            <w:vAlign w:val="bottom"/>
          </w:tcPr>
          <w:p>
            <w:pPr>
              <w:spacing w:after="0"/>
              <w:rPr>
                <w:sz w:val="5"/>
                <w:szCs w:val="5"/>
                <w:color w:val="auto"/>
              </w:rPr>
            </w:pPr>
          </w:p>
        </w:tc>
      </w:tr>
      <w:tr>
        <w:trPr>
          <w:trHeight w:val="258"/>
        </w:trPr>
        <w:tc>
          <w:tcPr>
            <w:tcW w:w="12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Q3 2020</w:t>
            </w:r>
          </w:p>
        </w:tc>
        <w:tc>
          <w:tcPr>
            <w:tcW w:w="8640" w:type="dxa"/>
            <w:vAlign w:val="bottom"/>
            <w:shd w:val="clear" w:color="auto" w:fill="FCE9E8"/>
          </w:tcPr>
          <w:p>
            <w:pPr>
              <w:ind w:left="640"/>
              <w:spacing w:after="0"/>
              <w:rPr>
                <w:sz w:val="20"/>
                <w:szCs w:val="20"/>
                <w:color w:val="auto"/>
              </w:rPr>
            </w:pPr>
            <w:r>
              <w:rPr>
                <w:rFonts w:ascii="Arial" w:cs="Arial" w:eastAsia="Arial" w:hAnsi="Arial"/>
                <w:sz w:val="16"/>
                <w:szCs w:val="16"/>
                <w:color w:val="auto"/>
              </w:rPr>
              <w:t>As production volumes began to stabilize in our major markets, and as an increasing amount of our facilities</w:t>
            </w:r>
          </w:p>
        </w:tc>
      </w:tr>
      <w:tr>
        <w:trPr>
          <w:trHeight w:val="189"/>
        </w:trPr>
        <w:tc>
          <w:tcPr>
            <w:tcW w:w="1280" w:type="dxa"/>
            <w:vAlign w:val="bottom"/>
            <w:shd w:val="clear" w:color="auto" w:fill="FCE9E8"/>
          </w:tcPr>
          <w:p>
            <w:pPr>
              <w:spacing w:after="0"/>
              <w:rPr>
                <w:sz w:val="16"/>
                <w:szCs w:val="16"/>
                <w:color w:val="auto"/>
              </w:rPr>
            </w:pPr>
          </w:p>
        </w:tc>
        <w:tc>
          <w:tcPr>
            <w:tcW w:w="8640" w:type="dxa"/>
            <w:vAlign w:val="bottom"/>
            <w:shd w:val="clear" w:color="auto" w:fill="FCE9E8"/>
          </w:tcPr>
          <w:p>
            <w:pPr>
              <w:ind w:left="640"/>
              <w:spacing w:after="0"/>
              <w:rPr>
                <w:sz w:val="20"/>
                <w:szCs w:val="20"/>
                <w:color w:val="auto"/>
              </w:rPr>
            </w:pPr>
            <w:r>
              <w:rPr>
                <w:rFonts w:ascii="Arial" w:cs="Arial" w:eastAsia="Arial" w:hAnsi="Arial"/>
                <w:sz w:val="16"/>
                <w:szCs w:val="16"/>
                <w:color w:val="auto"/>
              </w:rPr>
              <w:t>were able to resume producing at pre-pandemic levels, we revised the 2020 AIP goals and award opportunities</w:t>
            </w:r>
          </w:p>
        </w:tc>
      </w:tr>
      <w:tr>
        <w:trPr>
          <w:trHeight w:val="189"/>
        </w:trPr>
        <w:tc>
          <w:tcPr>
            <w:tcW w:w="1280" w:type="dxa"/>
            <w:vAlign w:val="bottom"/>
            <w:shd w:val="clear" w:color="auto" w:fill="FCE9E8"/>
          </w:tcPr>
          <w:p>
            <w:pPr>
              <w:spacing w:after="0"/>
              <w:rPr>
                <w:sz w:val="16"/>
                <w:szCs w:val="16"/>
                <w:color w:val="auto"/>
              </w:rPr>
            </w:pPr>
          </w:p>
        </w:tc>
        <w:tc>
          <w:tcPr>
            <w:tcW w:w="8640" w:type="dxa"/>
            <w:vAlign w:val="bottom"/>
            <w:shd w:val="clear" w:color="auto" w:fill="FCE9E8"/>
          </w:tcPr>
          <w:p>
            <w:pPr>
              <w:ind w:left="640"/>
              <w:spacing w:after="0"/>
              <w:rPr>
                <w:sz w:val="20"/>
                <w:szCs w:val="20"/>
                <w:color w:val="auto"/>
              </w:rPr>
            </w:pPr>
            <w:r>
              <w:rPr>
                <w:rFonts w:ascii="Arial" w:cs="Arial" w:eastAsia="Arial" w:hAnsi="Arial"/>
                <w:sz w:val="16"/>
                <w:szCs w:val="16"/>
                <w:color w:val="auto"/>
              </w:rPr>
              <w:t>(applicable to approximately 7,000 employees), based upon the principles summarized below. We did not</w:t>
            </w:r>
          </w:p>
        </w:tc>
      </w:tr>
      <w:tr>
        <w:trPr>
          <w:trHeight w:val="235"/>
        </w:trPr>
        <w:tc>
          <w:tcPr>
            <w:tcW w:w="1280" w:type="dxa"/>
            <w:vAlign w:val="bottom"/>
            <w:tcBorders>
              <w:bottom w:val="single" w:sz="8" w:color="FCE9E8"/>
            </w:tcBorders>
            <w:shd w:val="clear" w:color="auto" w:fill="FCE9E8"/>
          </w:tcPr>
          <w:p>
            <w:pPr>
              <w:spacing w:after="0"/>
              <w:rPr>
                <w:sz w:val="20"/>
                <w:szCs w:val="20"/>
                <w:color w:val="auto"/>
              </w:rPr>
            </w:pPr>
          </w:p>
        </w:tc>
        <w:tc>
          <w:tcPr>
            <w:tcW w:w="8640" w:type="dxa"/>
            <w:vAlign w:val="bottom"/>
            <w:tcBorders>
              <w:bottom w:val="single" w:sz="8" w:color="FCE9E8"/>
            </w:tcBorders>
            <w:shd w:val="clear" w:color="auto" w:fill="FCE9E8"/>
          </w:tcPr>
          <w:p>
            <w:pPr>
              <w:ind w:left="640"/>
              <w:spacing w:after="0"/>
              <w:rPr>
                <w:sz w:val="20"/>
                <w:szCs w:val="20"/>
                <w:color w:val="auto"/>
              </w:rPr>
            </w:pPr>
            <w:r>
              <w:rPr>
                <w:rFonts w:ascii="Arial" w:cs="Arial" w:eastAsia="Arial" w:hAnsi="Arial"/>
                <w:sz w:val="16"/>
                <w:szCs w:val="16"/>
                <w:color w:val="auto"/>
              </w:rPr>
              <w:t>revise outstanding performance share cycles.</w:t>
            </w:r>
          </w:p>
        </w:tc>
      </w:tr>
      <w:tr>
        <w:trPr>
          <w:trHeight w:val="258"/>
        </w:trPr>
        <w:tc>
          <w:tcPr>
            <w:tcW w:w="1280" w:type="dxa"/>
            <w:vAlign w:val="bottom"/>
          </w:tcPr>
          <w:p>
            <w:pPr>
              <w:ind w:left="100"/>
              <w:spacing w:after="0"/>
              <w:rPr>
                <w:sz w:val="20"/>
                <w:szCs w:val="20"/>
                <w:color w:val="auto"/>
              </w:rPr>
            </w:pPr>
            <w:r>
              <w:rPr>
                <w:rFonts w:ascii="Arial" w:cs="Arial" w:eastAsia="Arial" w:hAnsi="Arial"/>
                <w:sz w:val="16"/>
                <w:szCs w:val="16"/>
                <w:color w:val="auto"/>
              </w:rPr>
              <w:t>Q4 2020</w:t>
            </w:r>
          </w:p>
        </w:tc>
        <w:tc>
          <w:tcPr>
            <w:tcW w:w="8640" w:type="dxa"/>
            <w:vAlign w:val="bottom"/>
          </w:tcPr>
          <w:p>
            <w:pPr>
              <w:ind w:left="640"/>
              <w:spacing w:after="0"/>
              <w:rPr>
                <w:sz w:val="20"/>
                <w:szCs w:val="20"/>
                <w:color w:val="auto"/>
              </w:rPr>
            </w:pPr>
            <w:r>
              <w:rPr>
                <w:rFonts w:ascii="Arial" w:cs="Arial" w:eastAsia="Arial" w:hAnsi="Arial"/>
                <w:sz w:val="16"/>
                <w:szCs w:val="16"/>
                <w:color w:val="auto"/>
              </w:rPr>
              <w:t>We granted Career Shares, which have annually been awarded in November since 2012 and generally must be</w:t>
            </w:r>
          </w:p>
        </w:tc>
      </w:tr>
      <w:tr>
        <w:trPr>
          <w:trHeight w:val="189"/>
        </w:trPr>
        <w:tc>
          <w:tcPr>
            <w:tcW w:w="1280" w:type="dxa"/>
            <w:vAlign w:val="bottom"/>
          </w:tcPr>
          <w:p>
            <w:pPr>
              <w:spacing w:after="0"/>
              <w:rPr>
                <w:sz w:val="16"/>
                <w:szCs w:val="16"/>
                <w:color w:val="auto"/>
              </w:rPr>
            </w:pPr>
          </w:p>
        </w:tc>
        <w:tc>
          <w:tcPr>
            <w:tcW w:w="8640" w:type="dxa"/>
            <w:vAlign w:val="bottom"/>
          </w:tcPr>
          <w:p>
            <w:pPr>
              <w:ind w:left="640"/>
              <w:spacing w:after="0"/>
              <w:rPr>
                <w:sz w:val="20"/>
                <w:szCs w:val="20"/>
                <w:color w:val="auto"/>
              </w:rPr>
            </w:pPr>
            <w:r>
              <w:rPr>
                <w:rFonts w:ascii="Arial" w:cs="Arial" w:eastAsia="Arial" w:hAnsi="Arial"/>
                <w:sz w:val="16"/>
                <w:szCs w:val="16"/>
                <w:color w:val="auto"/>
              </w:rPr>
              <w:t>held until retirement. The 2020 grants were also subject to three performance metrics in order to align to</w:t>
            </w:r>
          </w:p>
        </w:tc>
      </w:tr>
    </w:tbl>
    <w:p>
      <w:pPr>
        <w:ind w:left="2580" w:right="220"/>
        <w:spacing w:after="0" w:line="260" w:lineRule="auto"/>
        <w:rPr>
          <w:sz w:val="20"/>
          <w:szCs w:val="20"/>
          <w:color w:val="auto"/>
        </w:rPr>
      </w:pPr>
      <w:r>
        <w:rPr>
          <w:rFonts w:ascii="Arial" w:cs="Arial" w:eastAsia="Arial" w:hAnsi="Arial"/>
          <w:sz w:val="16"/>
          <w:szCs w:val="16"/>
          <w:color w:val="auto"/>
        </w:rPr>
        <w:t>strategic drivers and multi-year shareholder value creation. In prior years, these grants were solely subject to time-based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28575</wp:posOffset>
            </wp:positionV>
            <wp:extent cx="62922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57" w:lineRule="exact"/>
        <w:rPr>
          <w:sz w:val="20"/>
          <w:szCs w:val="20"/>
          <w:color w:val="auto"/>
        </w:rPr>
      </w:pPr>
    </w:p>
    <w:p>
      <w:pPr>
        <w:ind w:left="660" w:right="60"/>
        <w:spacing w:after="0" w:line="249" w:lineRule="auto"/>
        <w:rPr>
          <w:sz w:val="20"/>
          <w:szCs w:val="20"/>
          <w:color w:val="auto"/>
        </w:rPr>
      </w:pPr>
      <w:r>
        <w:rPr>
          <w:rFonts w:ascii="Arial" w:cs="Arial" w:eastAsia="Arial" w:hAnsi="Arial"/>
          <w:sz w:val="16"/>
          <w:szCs w:val="16"/>
          <w:color w:val="auto"/>
        </w:rPr>
        <w:t>Despite our resiliency in meeting the challenges presented by the COVID-19 pandemic, our business operations were severely impacted by the pandemic. This, in turn impacted our executive compensation programs and resulted in incentive payouts that were well-below initial target levels for the AIP and performance share payouts for the periods ending in December 2020.</w:t>
      </w:r>
    </w:p>
    <w:p>
      <w:pPr>
        <w:spacing w:after="0" w:line="97"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Prior to the onset of the COVID-19 pandemic, our 2020 AIP financial measures were on-track for performance expected to be above or well above target and our long-term incentive awards had the potential to provide meaningful value to our executives and other eligible employees. However, as a result of the pandemic, our business operations ceased in most regions of the world by March 2020. We took decisive actions to preserve long-term shareholder value, which included actions to preserve our financial flexibility by reducing expenses and cash outflow. In particular, in light of the severity of the global pandemic and the shutdown of our operations for several weeks, the 2020 AIP goals that were set at the start of the year were deemed to be unachievable. In June, the Compensation Committee began formally discussing our incentive compensation programs in light of the pandemic and whether changes should be made in order to incentivize performance during the remainder of the year to support our long-term strategy. The Compensation Committee considered the following key principles as it evaluated alternatives with respect to our incentive compensation programs:</w:t>
      </w:r>
    </w:p>
    <w:p>
      <w:pPr>
        <w:spacing w:after="0" w:line="99" w:lineRule="exact"/>
        <w:rPr>
          <w:sz w:val="20"/>
          <w:szCs w:val="20"/>
          <w:color w:val="auto"/>
        </w:rPr>
      </w:pPr>
    </w:p>
    <w:p>
      <w:pPr>
        <w:ind w:left="1000" w:right="300" w:hanging="331"/>
        <w:spacing w:after="0" w:line="281" w:lineRule="auto"/>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Drive Stakeholder Value. </w:t>
      </w:r>
      <w:r>
        <w:rPr>
          <w:rFonts w:ascii="Arial" w:cs="Arial" w:eastAsia="Arial" w:hAnsi="Arial"/>
          <w:sz w:val="16"/>
          <w:szCs w:val="16"/>
          <w:color w:val="auto"/>
        </w:rPr>
        <w:t>Our commitment to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stakeholder value creation necessitates critical actions by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317" w:right="20"/>
        <w:spacing w:after="0" w:line="260" w:lineRule="auto"/>
        <w:rPr>
          <w:sz w:val="20"/>
          <w:szCs w:val="20"/>
          <w:color w:val="auto"/>
        </w:rPr>
      </w:pPr>
      <w:r>
        <w:rPr>
          <w:rFonts w:ascii="Arial" w:cs="Arial" w:eastAsia="Arial" w:hAnsi="Arial"/>
          <w:sz w:val="16"/>
          <w:szCs w:val="16"/>
          <w:color w:val="auto"/>
        </w:rPr>
        <w:t>employees to preserve relationships with our customers, safely open facilities and partner with our communities.</w:t>
      </w:r>
    </w:p>
    <w:p>
      <w:pPr>
        <w:spacing w:after="0" w:line="85" w:lineRule="exact"/>
        <w:rPr>
          <w:sz w:val="20"/>
          <w:szCs w:val="20"/>
          <w:color w:val="auto"/>
        </w:rPr>
      </w:pPr>
    </w:p>
    <w:p>
      <w:pPr>
        <w:ind w:left="317" w:right="40" w:hanging="317"/>
        <w:spacing w:after="0" w:line="253" w:lineRule="auto"/>
        <w:tabs>
          <w:tab w:leader="none" w:pos="31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Support Talent Needs. </w:t>
      </w:r>
      <w:r>
        <w:rPr>
          <w:rFonts w:ascii="Arial" w:cs="Arial" w:eastAsia="Arial" w:hAnsi="Arial"/>
          <w:sz w:val="16"/>
          <w:szCs w:val="16"/>
          <w:color w:val="auto"/>
        </w:rPr>
        <w:t>Our long-term success is largely</w:t>
      </w:r>
      <w:r>
        <w:rPr>
          <w:rFonts w:ascii="Arial" w:cs="Arial" w:eastAsia="Arial" w:hAnsi="Arial"/>
          <w:sz w:val="16"/>
          <w:szCs w:val="16"/>
          <w:i w:val="1"/>
          <w:iCs w:val="1"/>
          <w:color w:val="auto"/>
        </w:rPr>
        <w:t xml:space="preserve"> </w:t>
      </w:r>
      <w:r>
        <w:rPr>
          <w:rFonts w:ascii="Arial" w:cs="Arial" w:eastAsia="Arial" w:hAnsi="Arial"/>
          <w:sz w:val="16"/>
          <w:szCs w:val="16"/>
          <w:color w:val="auto"/>
        </w:rPr>
        <w:t>dependent upon our ability to attract, retain and motivate a highly qualified team that is focused on our customers, operational excellence, innovation and other critical areas. The AIP is a foundational element of our pay program with approximately 7,000 global participants, including the NEOs.</w:t>
      </w:r>
    </w:p>
    <w:p>
      <w:pPr>
        <w:spacing w:after="0" w:line="91" w:lineRule="exact"/>
        <w:rPr>
          <w:rFonts w:ascii="Arial" w:cs="Arial" w:eastAsia="Arial" w:hAnsi="Arial"/>
          <w:sz w:val="16"/>
          <w:szCs w:val="16"/>
          <w:color w:val="auto"/>
        </w:rPr>
      </w:pPr>
    </w:p>
    <w:p>
      <w:pPr>
        <w:ind w:left="317" w:right="20" w:hanging="317"/>
        <w:spacing w:after="0" w:line="258" w:lineRule="auto"/>
        <w:tabs>
          <w:tab w:leader="none" w:pos="31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Be Affordable. </w:t>
      </w:r>
      <w:r>
        <w:rPr>
          <w:rFonts w:ascii="Arial" w:cs="Arial" w:eastAsia="Arial" w:hAnsi="Arial"/>
          <w:sz w:val="16"/>
          <w:szCs w:val="16"/>
          <w:color w:val="auto"/>
        </w:rPr>
        <w:t>Any changes to our incentive programs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the priorities of driving stakeholder value, retaining talent and incentivizing our executives to stabilize our company in a year in which our earnings are lower.</w:t>
      </w:r>
    </w:p>
    <w:p>
      <w:pPr>
        <w:spacing w:after="0" w:line="86" w:lineRule="exact"/>
        <w:rPr>
          <w:rFonts w:ascii="Arial" w:cs="Arial" w:eastAsia="Arial" w:hAnsi="Arial"/>
          <w:sz w:val="16"/>
          <w:szCs w:val="16"/>
          <w:color w:val="auto"/>
        </w:rPr>
      </w:pPr>
    </w:p>
    <w:p>
      <w:pPr>
        <w:ind w:left="317" w:right="40" w:hanging="317"/>
        <w:spacing w:after="0" w:line="255" w:lineRule="auto"/>
        <w:tabs>
          <w:tab w:leader="none" w:pos="31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Align Pay-Performance Outcomes. </w:t>
      </w:r>
      <w:r>
        <w:rPr>
          <w:rFonts w:ascii="Arial" w:cs="Arial" w:eastAsia="Arial" w:hAnsi="Arial"/>
          <w:sz w:val="16"/>
          <w:szCs w:val="16"/>
          <w:color w:val="auto"/>
        </w:rPr>
        <w:t>In this unprecedented year,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that the AIP goals are revised, both the performance goals and award opportunities should be reduced to ensure payouts are directionally aligned with our performance.</w:t>
      </w:r>
    </w:p>
    <w:p>
      <w:pPr>
        <w:spacing w:after="0" w:line="89" w:lineRule="exact"/>
        <w:rPr>
          <w:rFonts w:ascii="Arial" w:cs="Arial" w:eastAsia="Arial" w:hAnsi="Arial"/>
          <w:sz w:val="16"/>
          <w:szCs w:val="16"/>
          <w:color w:val="auto"/>
        </w:rPr>
      </w:pPr>
    </w:p>
    <w:p>
      <w:pPr>
        <w:ind w:left="317" w:right="80" w:hanging="317"/>
        <w:spacing w:after="0" w:line="252" w:lineRule="auto"/>
        <w:tabs>
          <w:tab w:leader="none" w:pos="31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Retain Flexibility. </w:t>
      </w:r>
      <w:r>
        <w:rPr>
          <w:rFonts w:ascii="Arial" w:cs="Arial" w:eastAsia="Arial" w:hAnsi="Arial"/>
          <w:sz w:val="16"/>
          <w:szCs w:val="16"/>
          <w:color w:val="auto"/>
        </w:rPr>
        <w:t>In setting revised AIP goals,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retained its discretion to determine payouts based on consideration of performance for the full year, the Company’s response to the pandemic in the first part of the year, updated 2020 financial forecasts and navigation of challenges/opportunities for the remainder of the year, among other factors.</w:t>
      </w:r>
    </w:p>
    <w:p>
      <w:pPr>
        <w:spacing w:after="0" w:line="534" w:lineRule="exact"/>
        <w:rPr>
          <w:sz w:val="20"/>
          <w:szCs w:val="20"/>
          <w:color w:val="auto"/>
        </w:rPr>
      </w:pPr>
    </w:p>
    <w:p>
      <w:pPr>
        <w:sectPr>
          <w:pgSz w:w="11900" w:h="16838" w:orient="portrait"/>
          <w:cols w:equalWidth="0" w:num="2">
            <w:col w:w="5400" w:space="323"/>
            <w:col w:w="4857"/>
          </w:cols>
          <w:pgMar w:left="320" w:top="459" w:right="999" w:bottom="1440" w:gutter="0" w:footer="0" w:header="0"/>
          <w:type w:val="continuous"/>
        </w:sectPr>
      </w:pPr>
    </w:p>
    <w:p>
      <w:pPr>
        <w:spacing w:after="0" w:line="332" w:lineRule="exact"/>
        <w:rPr>
          <w:sz w:val="20"/>
          <w:szCs w:val="20"/>
          <w:color w:val="auto"/>
        </w:rPr>
      </w:pPr>
    </w:p>
    <w:p>
      <w:pPr>
        <w:ind w:left="780" w:hanging="393"/>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After a series of discussions with senior management, in August 2020, our Compensation Committee implemented revised AIP goals based solely on Adjusted Operating Income. These revised goals took into consideration the unprecedented macro challenges and resulting implications on our businesses during 2020, as further described below</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under “— 2020 Incentive Programs – Annual Incentives.” This action considered both the then-known results for the first six months of the year as well as the latest forecast then-available for the second six months of the year. At the time of this change, there was substantial uncertainty whether the revised AIP goals would be achieved.</w:t>
      </w:r>
    </w:p>
    <w:p>
      <w:pPr>
        <w:spacing w:after="0" w:line="200" w:lineRule="exact"/>
        <w:rPr>
          <w:sz w:val="20"/>
          <w:szCs w:val="20"/>
          <w:color w:val="auto"/>
        </w:rPr>
      </w:pPr>
    </w:p>
    <w:p>
      <w:pPr>
        <w:sectPr>
          <w:pgSz w:w="11900" w:h="16838" w:orient="portrait"/>
          <w:cols w:equalWidth="0" w:num="2">
            <w:col w:w="5340" w:space="380"/>
            <w:col w:w="5140"/>
          </w:cols>
          <w:pgMar w:left="320" w:top="459"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Pay-Performance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executive compensation program is designed to drive execution of our business strategy by strongly aligning pay opportunities with performance outcomes. The Compensation Committee considers multiple perspectives in assessing the achievement of this critical objective, including a multi-year history of incentive payouts as a percentage of target, financial and total stockholder return (TSR) results, and the NEOs’ pay relative to the Comparator Group (as defined below). These analyses found that relative to the Comparator Group:</w:t>
      </w:r>
    </w:p>
    <w:p>
      <w:pPr>
        <w:spacing w:after="0" w:line="111" w:lineRule="exact"/>
        <w:rPr>
          <w:sz w:val="20"/>
          <w:szCs w:val="20"/>
          <w:color w:val="auto"/>
        </w:rPr>
      </w:pPr>
    </w:p>
    <w:p>
      <w:pPr>
        <w:ind w:left="1000" w:right="240" w:hanging="331"/>
        <w:spacing w:after="0" w:line="253"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Named Executive Officers’ target pay levels are in the competitive range of market median, on average, with an emphasis on performance-based pay opportunities.</w:t>
      </w:r>
    </w:p>
    <w:p>
      <w:pPr>
        <w:spacing w:after="0" w:line="106" w:lineRule="exact"/>
        <w:rPr>
          <w:rFonts w:ascii="Arial" w:cs="Arial" w:eastAsia="Arial" w:hAnsi="Arial"/>
          <w:sz w:val="16"/>
          <w:szCs w:val="16"/>
          <w:color w:val="auto"/>
        </w:rPr>
      </w:pPr>
    </w:p>
    <w:p>
      <w:pPr>
        <w:jc w:val="both"/>
        <w:ind w:left="1000" w:right="40" w:hanging="331"/>
        <w:spacing w:after="0" w:line="251"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 are generally consistent with the measures used by the Comparator Group (and the broader industrial market).</w:t>
      </w:r>
    </w:p>
    <w:p>
      <w:pPr>
        <w:spacing w:after="0" w:line="107" w:lineRule="exact"/>
        <w:rPr>
          <w:rFonts w:ascii="Arial" w:cs="Arial" w:eastAsia="Arial" w:hAnsi="Arial"/>
          <w:sz w:val="16"/>
          <w:szCs w:val="16"/>
          <w:color w:val="auto"/>
        </w:rPr>
      </w:pPr>
    </w:p>
    <w:p>
      <w:pPr>
        <w:jc w:val="both"/>
        <w:ind w:left="1000" w:right="140" w:hanging="331"/>
        <w:spacing w:after="0" w:line="260" w:lineRule="auto"/>
        <w:tabs>
          <w:tab w:leader="none" w:pos="10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aligned with performance relative to the Comparator Group.</w:t>
      </w:r>
    </w:p>
    <w:p>
      <w:pPr>
        <w:spacing w:after="0" w:line="87" w:lineRule="exact"/>
        <w:rPr>
          <w:sz w:val="20"/>
          <w:szCs w:val="20"/>
          <w:color w:val="auto"/>
        </w:rPr>
      </w:pPr>
    </w:p>
    <w:p>
      <w:pPr>
        <w:ind w:left="660" w:right="140"/>
        <w:spacing w:after="0" w:line="260" w:lineRule="auto"/>
        <w:rPr>
          <w:sz w:val="20"/>
          <w:szCs w:val="20"/>
          <w:color w:val="auto"/>
        </w:rPr>
      </w:pPr>
      <w:r>
        <w:rPr>
          <w:rFonts w:ascii="Arial" w:cs="Arial" w:eastAsia="Arial" w:hAnsi="Arial"/>
          <w:sz w:val="16"/>
          <w:szCs w:val="16"/>
          <w:color w:val="auto"/>
        </w:rPr>
        <w:t>Consistent with the Company’s pay-for-performance philosophy, challenging goals are set for the annual incentive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and performance share award opportunities. As such, in some years, payouts will be above target (when our results exceed the target for the performance period), and in other years, payouts will be below target (when our results are below the target for the performance period).</w:t>
      </w:r>
    </w:p>
    <w:p>
      <w:pPr>
        <w:spacing w:after="0" w:line="95" w:lineRule="exact"/>
        <w:rPr>
          <w:sz w:val="20"/>
          <w:szCs w:val="20"/>
          <w:color w:val="auto"/>
        </w:rPr>
      </w:pPr>
    </w:p>
    <w:p>
      <w:pPr>
        <w:ind w:right="320"/>
        <w:spacing w:after="0" w:line="247" w:lineRule="auto"/>
        <w:rPr>
          <w:sz w:val="20"/>
          <w:szCs w:val="20"/>
          <w:color w:val="auto"/>
        </w:rPr>
      </w:pPr>
      <w:r>
        <w:rPr>
          <w:rFonts w:ascii="Arial" w:cs="Arial" w:eastAsia="Arial" w:hAnsi="Arial"/>
          <w:sz w:val="16"/>
          <w:szCs w:val="16"/>
          <w:color w:val="auto"/>
        </w:rPr>
        <w:t>Our typical pay administration approach for promoted executives is to move target pay levels to market median over several years while emphasizing at-risk, performance-based incentive award opportunities. For example, relative to 2019 target pay, the CFO’s 2020 target pay (his first full year as CFO) was increased to move closer to market median. The vast majority of the increased target pay opportunity was provided in at-risk performance share award opportunities which can be earned for results over the three-year period 2020 to 2022, and stock options. The actual values realized, if any, from performance share award opportunities and stock options can vary significantly (due to performance and the Company’s stock price) from the grant amounts shown in the Summary Compensation Table (Stock Awards and Option Awards columns).</w:t>
      </w:r>
    </w:p>
    <w:p>
      <w:pPr>
        <w:spacing w:after="0" w:line="769"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4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2020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Compensation Committee reviewed the results of the 2020 stockholder advisory vote on NEO compensation and incorporated the results as one of the many factors considered in connection with the discharge of its responsibilities. Since a substantial majority (97%) of our stockholders voting at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20"/>
        <w:spacing w:after="0" w:line="251" w:lineRule="auto"/>
        <w:rPr>
          <w:sz w:val="20"/>
          <w:szCs w:val="20"/>
          <w:color w:val="auto"/>
        </w:rPr>
      </w:pPr>
      <w:r>
        <w:rPr>
          <w:rFonts w:ascii="Arial" w:cs="Arial" w:eastAsia="Arial" w:hAnsi="Arial"/>
          <w:sz w:val="16"/>
          <w:szCs w:val="16"/>
          <w:color w:val="auto"/>
        </w:rPr>
        <w:t>annual meeting approved the compensation program described in our 2020 Proxy Statement, the Compensation Committee did not implement changes to our executive compensation program as a direct result of the stockholders’ advisory vote.</w:t>
      </w:r>
    </w:p>
    <w:p>
      <w:pPr>
        <w:spacing w:after="0" w:line="388" w:lineRule="exact"/>
        <w:rPr>
          <w:sz w:val="20"/>
          <w:szCs w:val="20"/>
          <w:color w:val="auto"/>
        </w:rPr>
      </w:pPr>
    </w:p>
    <w:p>
      <w:pPr>
        <w:sectPr>
          <w:pgSz w:w="11900" w:h="16838" w:orient="portrait"/>
          <w:cols w:equalWidth="0" w:num="2">
            <w:col w:w="5320" w:space="400"/>
            <w:col w:w="5140"/>
          </w:cols>
          <w:pgMar w:left="320" w:top="459" w:right="719" w:bottom="1440" w:gutter="0" w:footer="0" w:header="0"/>
          <w:type w:val="continuous"/>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Compensation Committee targets base salaries, annual incentive awards, long-term incentive awards and total direct compensation of our NEOs and other executive officers on average to be within a competitive range (i.e., +/- 10%) of the median of the Company’s comparator group (the “Comparator Group”) and other comparably-sized companies in the same general industry. In addition to reviewing annual pay benchmarking, other factors (including our business strategy, talent needs, executives’ experience levels and cost) are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considered in setting target pay. Actual compensation relative to target pay opportunities will vary based on performance and, for long-term incentive awards, the value of common stock at payment.</w:t>
      </w:r>
    </w:p>
    <w:p>
      <w:pPr>
        <w:spacing w:after="0" w:line="93" w:lineRule="exact"/>
        <w:rPr>
          <w:sz w:val="20"/>
          <w:szCs w:val="20"/>
          <w:color w:val="auto"/>
        </w:rPr>
      </w:pPr>
    </w:p>
    <w:p>
      <w:pPr>
        <w:ind w:right="540"/>
        <w:spacing w:after="0" w:line="251" w:lineRule="auto"/>
        <w:rPr>
          <w:sz w:val="20"/>
          <w:szCs w:val="20"/>
          <w:color w:val="auto"/>
        </w:rPr>
      </w:pPr>
      <w:r>
        <w:rPr>
          <w:rFonts w:ascii="Arial" w:cs="Arial" w:eastAsia="Arial" w:hAnsi="Arial"/>
          <w:sz w:val="16"/>
          <w:szCs w:val="16"/>
          <w:color w:val="auto"/>
        </w:rPr>
        <w:t>The criteria used to select the 19 peer companies in our Comparator Group focused on automotive parts and equipment, industrial machinery, heavy trucks and other durable goods manufacturing companies, generally with the</w:t>
      </w:r>
    </w:p>
    <w:p>
      <w:pPr>
        <w:spacing w:after="0" w:line="466" w:lineRule="exact"/>
        <w:rPr>
          <w:sz w:val="20"/>
          <w:szCs w:val="20"/>
          <w:color w:val="auto"/>
        </w:rPr>
      </w:pPr>
    </w:p>
    <w:p>
      <w:pPr>
        <w:sectPr>
          <w:pgSz w:w="11900" w:h="16838" w:orient="portrait"/>
          <w:cols w:equalWidth="0" w:num="2">
            <w:col w:w="5100" w:space="620"/>
            <w:col w:w="5140"/>
          </w:cols>
          <w:pgMar w:left="320" w:top="459" w:right="719" w:bottom="1440" w:gutter="0" w:footer="0" w:header="0"/>
          <w:type w:val="continuous"/>
        </w:sectPr>
      </w:pPr>
    </w:p>
    <w:p>
      <w:pPr>
        <w:spacing w:after="0" w:line="359"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37</w:t>
      </w:r>
    </w:p>
    <w:p>
      <w:pPr>
        <w:sectPr>
          <w:pgSz w:w="11900" w:h="16838" w:orient="portrait"/>
          <w:cols w:equalWidth="0" w:num="1">
            <w:col w:w="10860"/>
          </w:cols>
          <w:pgMar w:left="320" w:top="459" w:right="7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72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67"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following specifics: (i) annual revenues typically ranging from 0.5 times to 2.0 times the Company’s revenues; (ii) global companies typically with U.S. headquarters; (iii) market capitalization typically ranging from 0.2 times to 5.0 times the Company’s market capitalization; and (iv) companies that are considered by independent proxy advisors to be the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387" w:lineRule="exact"/>
        <w:rPr>
          <w:sz w:val="20"/>
          <w:szCs w:val="20"/>
          <w:color w:val="auto"/>
        </w:rPr>
      </w:pPr>
    </w:p>
    <w:p>
      <w:pPr>
        <w:sectPr>
          <w:pgSz w:w="11900" w:h="16838" w:orient="portrait"/>
          <w:cols w:equalWidth="0" w:num="2">
            <w:col w:w="5380" w:space="340"/>
            <w:col w:w="4860"/>
          </w:cols>
          <w:pgMar w:left="320" w:top="459" w:right="999" w:bottom="1440" w:gutter="0" w:footer="0" w:header="0"/>
          <w:type w:val="continuous"/>
        </w:sectPr>
      </w:pPr>
    </w:p>
    <w:p>
      <w:pPr>
        <w:spacing w:after="0" w:line="59" w:lineRule="exact"/>
        <w:rPr>
          <w:sz w:val="20"/>
          <w:szCs w:val="20"/>
          <w:color w:val="auto"/>
        </w:rPr>
      </w:pPr>
    </w:p>
    <w:p>
      <w:pPr>
        <w:ind w:left="660" w:right="40"/>
        <w:spacing w:after="0" w:line="260" w:lineRule="auto"/>
        <w:rPr>
          <w:sz w:val="20"/>
          <w:szCs w:val="20"/>
          <w:color w:val="auto"/>
        </w:rPr>
      </w:pPr>
      <w:r>
        <w:rPr>
          <w:rFonts w:ascii="Arial" w:cs="Arial" w:eastAsia="Arial" w:hAnsi="Arial"/>
          <w:sz w:val="16"/>
          <w:szCs w:val="16"/>
          <w:color w:val="auto"/>
        </w:rPr>
        <w:t>The companies in the Comparator Group for 2020 are shown below. The revenues for this group in their most recently reported fiscal year ranged from $4.9 billion to $35.5 billion, with a median of $13.7 billion. Lear’s revenues for 2020 were $17.0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139700</wp:posOffset>
            </wp:positionV>
            <wp:extent cx="6292215"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24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FFFFFF"/>
        </w:rPr>
        <w:t>2020 Comparator Group</w:t>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8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Adient plc</w:t>
            </w:r>
          </w:p>
        </w:tc>
        <w:tc>
          <w:tcPr>
            <w:tcW w:w="3000" w:type="dxa"/>
            <w:vAlign w:val="bottom"/>
            <w:tcBorders>
              <w:bottom w:val="single" w:sz="8" w:color="FCE9E8"/>
            </w:tcBorders>
            <w:shd w:val="clear" w:color="auto" w:fill="FCE9E8"/>
          </w:tcPr>
          <w:p>
            <w:pPr>
              <w:ind w:left="560"/>
              <w:spacing w:after="0"/>
              <w:rPr>
                <w:sz w:val="20"/>
                <w:szCs w:val="20"/>
                <w:color w:val="auto"/>
              </w:rPr>
            </w:pPr>
            <w:r>
              <w:rPr>
                <w:rFonts w:ascii="Arial" w:cs="Arial" w:eastAsia="Arial" w:hAnsi="Arial"/>
                <w:sz w:val="14"/>
                <w:szCs w:val="14"/>
                <w:color w:val="auto"/>
              </w:rPr>
              <w:t>Eaton Corporation plc</w:t>
            </w:r>
          </w:p>
        </w:tc>
        <w:tc>
          <w:tcPr>
            <w:tcW w:w="2600" w:type="dxa"/>
            <w:vAlign w:val="bottom"/>
            <w:tcBorders>
              <w:bottom w:val="single" w:sz="8" w:color="FCE9E8"/>
            </w:tcBorders>
            <w:shd w:val="clear" w:color="auto" w:fill="FCE9E8"/>
          </w:tcPr>
          <w:p>
            <w:pPr>
              <w:ind w:left="240"/>
              <w:spacing w:after="0"/>
              <w:rPr>
                <w:sz w:val="20"/>
                <w:szCs w:val="20"/>
                <w:color w:val="auto"/>
              </w:rPr>
            </w:pPr>
            <w:r>
              <w:rPr>
                <w:rFonts w:ascii="Arial" w:cs="Arial" w:eastAsia="Arial" w:hAnsi="Arial"/>
                <w:sz w:val="14"/>
                <w:szCs w:val="14"/>
                <w:color w:val="auto"/>
              </w:rPr>
              <w:t>L3Harris Technologies, Inc.</w:t>
            </w:r>
          </w:p>
        </w:tc>
        <w:tc>
          <w:tcPr>
            <w:tcW w:w="2480" w:type="dxa"/>
            <w:vAlign w:val="bottom"/>
            <w:tcBorders>
              <w:bottom w:val="single" w:sz="8" w:color="FCE9E8"/>
            </w:tcBorders>
            <w:shd w:val="clear" w:color="auto" w:fill="FCE9E8"/>
          </w:tcPr>
          <w:p>
            <w:pPr>
              <w:ind w:left="220"/>
              <w:spacing w:after="0"/>
              <w:rPr>
                <w:sz w:val="20"/>
                <w:szCs w:val="20"/>
                <w:color w:val="auto"/>
              </w:rPr>
            </w:pPr>
            <w:r>
              <w:rPr>
                <w:rFonts w:ascii="Arial" w:cs="Arial" w:eastAsia="Arial" w:hAnsi="Arial"/>
                <w:sz w:val="14"/>
                <w:szCs w:val="14"/>
                <w:color w:val="auto"/>
              </w:rPr>
              <w:t>TE Connectivity Ltd.</w:t>
            </w:r>
          </w:p>
        </w:tc>
      </w:tr>
      <w:tr>
        <w:trPr>
          <w:trHeight w:val="204"/>
        </w:trPr>
        <w:tc>
          <w:tcPr>
            <w:tcW w:w="1840" w:type="dxa"/>
            <w:vAlign w:val="bottom"/>
          </w:tcPr>
          <w:p>
            <w:pPr>
              <w:ind w:left="80"/>
              <w:spacing w:after="0"/>
              <w:rPr>
                <w:sz w:val="20"/>
                <w:szCs w:val="20"/>
                <w:color w:val="auto"/>
              </w:rPr>
            </w:pPr>
            <w:r>
              <w:rPr>
                <w:rFonts w:ascii="Arial" w:cs="Arial" w:eastAsia="Arial" w:hAnsi="Arial"/>
                <w:sz w:val="14"/>
                <w:szCs w:val="14"/>
                <w:color w:val="auto"/>
              </w:rPr>
              <w:t>Aptiv PLC</w:t>
            </w:r>
          </w:p>
        </w:tc>
        <w:tc>
          <w:tcPr>
            <w:tcW w:w="3000" w:type="dxa"/>
            <w:vAlign w:val="bottom"/>
          </w:tcPr>
          <w:p>
            <w:pPr>
              <w:ind w:left="560"/>
              <w:spacing w:after="0"/>
              <w:rPr>
                <w:sz w:val="20"/>
                <w:szCs w:val="20"/>
                <w:color w:val="auto"/>
              </w:rPr>
            </w:pPr>
            <w:r>
              <w:rPr>
                <w:rFonts w:ascii="Arial" w:cs="Arial" w:eastAsia="Arial" w:hAnsi="Arial"/>
                <w:sz w:val="14"/>
                <w:szCs w:val="14"/>
                <w:color w:val="auto"/>
              </w:rPr>
              <w:t>Emerson Electric Co.</w:t>
            </w:r>
          </w:p>
        </w:tc>
        <w:tc>
          <w:tcPr>
            <w:tcW w:w="2600" w:type="dxa"/>
            <w:vAlign w:val="bottom"/>
          </w:tcPr>
          <w:p>
            <w:pPr>
              <w:ind w:left="240"/>
              <w:spacing w:after="0"/>
              <w:rPr>
                <w:sz w:val="20"/>
                <w:szCs w:val="20"/>
                <w:color w:val="auto"/>
              </w:rPr>
            </w:pPr>
            <w:r>
              <w:rPr>
                <w:rFonts w:ascii="Arial" w:cs="Arial" w:eastAsia="Arial" w:hAnsi="Arial"/>
                <w:sz w:val="14"/>
                <w:szCs w:val="14"/>
                <w:color w:val="auto"/>
              </w:rPr>
              <w:t>Magna International Inc.</w:t>
            </w:r>
          </w:p>
        </w:tc>
        <w:tc>
          <w:tcPr>
            <w:tcW w:w="2480" w:type="dxa"/>
            <w:vAlign w:val="bottom"/>
          </w:tcPr>
          <w:p>
            <w:pPr>
              <w:ind w:left="220"/>
              <w:spacing w:after="0"/>
              <w:rPr>
                <w:sz w:val="20"/>
                <w:szCs w:val="20"/>
                <w:color w:val="auto"/>
              </w:rPr>
            </w:pPr>
            <w:r>
              <w:rPr>
                <w:rFonts w:ascii="Arial" w:cs="Arial" w:eastAsia="Arial" w:hAnsi="Arial"/>
                <w:sz w:val="14"/>
                <w:szCs w:val="14"/>
                <w:color w:val="auto"/>
              </w:rPr>
              <w:t>Tenneco Inc.</w:t>
            </w:r>
          </w:p>
        </w:tc>
      </w:tr>
      <w:tr>
        <w:trPr>
          <w:trHeight w:val="26"/>
        </w:trPr>
        <w:tc>
          <w:tcPr>
            <w:tcW w:w="1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09"/>
        </w:trPr>
        <w:tc>
          <w:tcPr>
            <w:tcW w:w="18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BorgWarner Inc.</w:t>
            </w:r>
          </w:p>
        </w:tc>
        <w:tc>
          <w:tcPr>
            <w:tcW w:w="3000" w:type="dxa"/>
            <w:vAlign w:val="bottom"/>
            <w:tcBorders>
              <w:bottom w:val="single" w:sz="8" w:color="FCE9E8"/>
            </w:tcBorders>
            <w:shd w:val="clear" w:color="auto" w:fill="FCE9E8"/>
          </w:tcPr>
          <w:p>
            <w:pPr>
              <w:ind w:left="560"/>
              <w:spacing w:after="0"/>
              <w:rPr>
                <w:sz w:val="20"/>
                <w:szCs w:val="20"/>
                <w:color w:val="auto"/>
              </w:rPr>
            </w:pPr>
            <w:r>
              <w:rPr>
                <w:rFonts w:ascii="Arial" w:cs="Arial" w:eastAsia="Arial" w:hAnsi="Arial"/>
                <w:sz w:val="14"/>
                <w:szCs w:val="14"/>
                <w:color w:val="auto"/>
              </w:rPr>
              <w:t>Goodyear Tire &amp; Rubber Company</w:t>
            </w:r>
          </w:p>
        </w:tc>
        <w:tc>
          <w:tcPr>
            <w:tcW w:w="2600" w:type="dxa"/>
            <w:vAlign w:val="bottom"/>
            <w:tcBorders>
              <w:bottom w:val="single" w:sz="8" w:color="FCE9E8"/>
            </w:tcBorders>
            <w:shd w:val="clear" w:color="auto" w:fill="FCE9E8"/>
          </w:tcPr>
          <w:p>
            <w:pPr>
              <w:ind w:left="240"/>
              <w:spacing w:after="0"/>
              <w:rPr>
                <w:sz w:val="20"/>
                <w:szCs w:val="20"/>
                <w:color w:val="auto"/>
              </w:rPr>
            </w:pPr>
            <w:r>
              <w:rPr>
                <w:rFonts w:ascii="Arial" w:cs="Arial" w:eastAsia="Arial" w:hAnsi="Arial"/>
                <w:sz w:val="14"/>
                <w:szCs w:val="14"/>
                <w:color w:val="auto"/>
              </w:rPr>
              <w:t>Navistar International Corporation</w:t>
            </w:r>
          </w:p>
        </w:tc>
        <w:tc>
          <w:tcPr>
            <w:tcW w:w="2480" w:type="dxa"/>
            <w:vAlign w:val="bottom"/>
            <w:tcBorders>
              <w:bottom w:val="single" w:sz="8" w:color="FCE9E8"/>
            </w:tcBorders>
            <w:shd w:val="clear" w:color="auto" w:fill="FCE9E8"/>
          </w:tcPr>
          <w:p>
            <w:pPr>
              <w:ind w:left="220"/>
              <w:spacing w:after="0"/>
              <w:rPr>
                <w:sz w:val="20"/>
                <w:szCs w:val="20"/>
                <w:color w:val="auto"/>
              </w:rPr>
            </w:pPr>
            <w:r>
              <w:rPr>
                <w:rFonts w:ascii="Arial" w:cs="Arial" w:eastAsia="Arial" w:hAnsi="Arial"/>
                <w:sz w:val="14"/>
                <w:szCs w:val="14"/>
                <w:color w:val="auto"/>
              </w:rPr>
              <w:t>Textron Inc.</w:t>
            </w:r>
          </w:p>
        </w:tc>
      </w:tr>
      <w:tr>
        <w:trPr>
          <w:trHeight w:val="204"/>
        </w:trPr>
        <w:tc>
          <w:tcPr>
            <w:tcW w:w="1840" w:type="dxa"/>
            <w:vAlign w:val="bottom"/>
          </w:tcPr>
          <w:p>
            <w:pPr>
              <w:ind w:left="80"/>
              <w:spacing w:after="0"/>
              <w:rPr>
                <w:sz w:val="20"/>
                <w:szCs w:val="20"/>
                <w:color w:val="auto"/>
              </w:rPr>
            </w:pPr>
            <w:r>
              <w:rPr>
                <w:rFonts w:ascii="Arial" w:cs="Arial" w:eastAsia="Arial" w:hAnsi="Arial"/>
                <w:sz w:val="14"/>
                <w:szCs w:val="14"/>
                <w:color w:val="auto"/>
              </w:rPr>
              <w:t>Cummins Inc.</w:t>
            </w:r>
          </w:p>
        </w:tc>
        <w:tc>
          <w:tcPr>
            <w:tcW w:w="3000" w:type="dxa"/>
            <w:vAlign w:val="bottom"/>
          </w:tcPr>
          <w:p>
            <w:pPr>
              <w:ind w:left="560"/>
              <w:spacing w:after="0"/>
              <w:rPr>
                <w:sz w:val="20"/>
                <w:szCs w:val="20"/>
                <w:color w:val="auto"/>
              </w:rPr>
            </w:pPr>
            <w:r>
              <w:rPr>
                <w:rFonts w:ascii="Arial" w:cs="Arial" w:eastAsia="Arial" w:hAnsi="Arial"/>
                <w:sz w:val="14"/>
                <w:szCs w:val="14"/>
                <w:color w:val="auto"/>
              </w:rPr>
              <w:t>Illinois Tool Works Inc.</w:t>
            </w:r>
          </w:p>
        </w:tc>
        <w:tc>
          <w:tcPr>
            <w:tcW w:w="2600" w:type="dxa"/>
            <w:vAlign w:val="bottom"/>
          </w:tcPr>
          <w:p>
            <w:pPr>
              <w:ind w:left="240"/>
              <w:spacing w:after="0"/>
              <w:rPr>
                <w:sz w:val="20"/>
                <w:szCs w:val="20"/>
                <w:color w:val="auto"/>
              </w:rPr>
            </w:pPr>
            <w:r>
              <w:rPr>
                <w:rFonts w:ascii="Arial" w:cs="Arial" w:eastAsia="Arial" w:hAnsi="Arial"/>
                <w:sz w:val="14"/>
                <w:szCs w:val="14"/>
                <w:color w:val="auto"/>
              </w:rPr>
              <w:t>PACCAR Inc.</w:t>
            </w:r>
          </w:p>
        </w:tc>
        <w:tc>
          <w:tcPr>
            <w:tcW w:w="2480" w:type="dxa"/>
            <w:vAlign w:val="bottom"/>
          </w:tcPr>
          <w:p>
            <w:pPr>
              <w:ind w:left="220"/>
              <w:spacing w:after="0"/>
              <w:rPr>
                <w:sz w:val="20"/>
                <w:szCs w:val="20"/>
                <w:color w:val="auto"/>
              </w:rPr>
            </w:pPr>
            <w:r>
              <w:rPr>
                <w:rFonts w:ascii="Arial" w:cs="Arial" w:eastAsia="Arial" w:hAnsi="Arial"/>
                <w:sz w:val="14"/>
                <w:szCs w:val="14"/>
                <w:color w:val="auto"/>
              </w:rPr>
              <w:t>Whirlpool Corporation</w:t>
            </w:r>
          </w:p>
        </w:tc>
      </w:tr>
      <w:tr>
        <w:trPr>
          <w:trHeight w:val="26"/>
        </w:trPr>
        <w:tc>
          <w:tcPr>
            <w:tcW w:w="1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09"/>
        </w:trPr>
        <w:tc>
          <w:tcPr>
            <w:tcW w:w="18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Deere &amp; Company</w:t>
            </w:r>
          </w:p>
        </w:tc>
        <w:tc>
          <w:tcPr>
            <w:tcW w:w="3000" w:type="dxa"/>
            <w:vAlign w:val="bottom"/>
            <w:tcBorders>
              <w:bottom w:val="single" w:sz="8" w:color="FCE9E8"/>
            </w:tcBorders>
            <w:shd w:val="clear" w:color="auto" w:fill="FCE9E8"/>
          </w:tcPr>
          <w:p>
            <w:pPr>
              <w:ind w:left="560"/>
              <w:spacing w:after="0"/>
              <w:rPr>
                <w:sz w:val="20"/>
                <w:szCs w:val="20"/>
                <w:color w:val="auto"/>
              </w:rPr>
            </w:pPr>
            <w:r>
              <w:rPr>
                <w:rFonts w:ascii="Arial" w:cs="Arial" w:eastAsia="Arial" w:hAnsi="Arial"/>
                <w:sz w:val="14"/>
                <w:szCs w:val="14"/>
                <w:color w:val="auto"/>
              </w:rPr>
              <w:t>Ingersoll-Rand Plc</w:t>
            </w:r>
          </w:p>
        </w:tc>
        <w:tc>
          <w:tcPr>
            <w:tcW w:w="2600" w:type="dxa"/>
            <w:vAlign w:val="bottom"/>
            <w:tcBorders>
              <w:bottom w:val="single" w:sz="8" w:color="FCE9E8"/>
            </w:tcBorders>
            <w:shd w:val="clear" w:color="auto" w:fill="FCE9E8"/>
          </w:tcPr>
          <w:p>
            <w:pPr>
              <w:ind w:left="240"/>
              <w:spacing w:after="0"/>
              <w:rPr>
                <w:sz w:val="20"/>
                <w:szCs w:val="20"/>
                <w:color w:val="auto"/>
              </w:rPr>
            </w:pPr>
            <w:r>
              <w:rPr>
                <w:rFonts w:ascii="Arial" w:cs="Arial" w:eastAsia="Arial" w:hAnsi="Arial"/>
                <w:sz w:val="14"/>
                <w:szCs w:val="14"/>
                <w:color w:val="auto"/>
              </w:rPr>
              <w:t>Parker-Hannifin Corporation</w:t>
            </w:r>
          </w:p>
        </w:tc>
        <w:tc>
          <w:tcPr>
            <w:tcW w:w="2480" w:type="dxa"/>
            <w:vAlign w:val="bottom"/>
            <w:tcBorders>
              <w:bottom w:val="single" w:sz="8" w:color="FCE9E8"/>
            </w:tcBorders>
            <w:shd w:val="clear" w:color="auto" w:fill="FCE9E8"/>
          </w:tcPr>
          <w:p>
            <w:pPr>
              <w:spacing w:after="0"/>
              <w:rPr>
                <w:sz w:val="18"/>
                <w:szCs w:val="18"/>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320" w:top="459" w:right="999" w:bottom="1440" w:gutter="0" w:footer="0" w:header="0"/>
          <w:type w:val="continuous"/>
        </w:sectPr>
      </w:pP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a review of the Comparator Group at its meeting in May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2020, the Compensation Committee approved the removal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Ingersoll-Rand Plc (which had recently completed a spin-off of</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its industrial segment) from the peer group, effective for subsequent peer benchmarking.</w:t>
      </w:r>
    </w:p>
    <w:p>
      <w:pPr>
        <w:spacing w:after="0" w:line="363" w:lineRule="exact"/>
        <w:rPr>
          <w:sz w:val="20"/>
          <w:szCs w:val="20"/>
          <w:color w:val="auto"/>
        </w:rPr>
      </w:pPr>
    </w:p>
    <w:p>
      <w:pPr>
        <w:sectPr>
          <w:pgSz w:w="11900" w:h="16838" w:orient="portrait"/>
          <w:cols w:equalWidth="0" w:num="2">
            <w:col w:w="5120" w:space="600"/>
            <w:col w:w="4860"/>
          </w:cols>
          <w:pgMar w:left="320" w:top="459" w:right="999" w:bottom="1440" w:gutter="0" w:footer="0" w:header="0"/>
          <w:type w:val="continuous"/>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Total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Compensation Committee reviews total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compensation 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381"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Role of Management in Setting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Our human resources staff supports the Compensation Committee in its work. They also work with compensation consultants, whose engagements have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prevailing market practices. For most compensation topics for which the Compensation Committee is responsible, it has directed Pay Governance to work with management to develop recommendations that reflect the Compensation Committee’s objectives for the compensation program. Pay Governance performs no other services for the Company. The Compensation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Compensation Committee affecting the compensation of our executive officers. While our CFO,</w:t>
      </w:r>
    </w:p>
    <w:p>
      <w:pPr>
        <w:spacing w:after="0" w:line="200" w:lineRule="exact"/>
        <w:rPr>
          <w:sz w:val="20"/>
          <w:szCs w:val="20"/>
          <w:color w:val="auto"/>
        </w:rPr>
      </w:pPr>
    </w:p>
    <w:p>
      <w:pPr>
        <w:sectPr>
          <w:pgSz w:w="11900" w:h="16838" w:orient="portrait"/>
          <w:cols w:equalWidth="0" w:num="2">
            <w:col w:w="5400" w:space="320"/>
            <w:col w:w="4860"/>
          </w:cols>
          <w:pgMar w:left="320" w:top="459" w:right="999" w:bottom="1440" w:gutter="0" w:footer="0" w:header="0"/>
          <w:type w:val="continuous"/>
        </w:sectPr>
      </w:pPr>
    </w:p>
    <w:p>
      <w:pPr>
        <w:spacing w:after="0" w:line="365" w:lineRule="exact"/>
        <w:rPr>
          <w:sz w:val="20"/>
          <w:szCs w:val="20"/>
          <w:color w:val="auto"/>
        </w:rPr>
      </w:pPr>
    </w:p>
    <w:p>
      <w:pPr>
        <w:ind w:left="780" w:hanging="393"/>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General Counsel, Senior Vice President and Chief Administrative Officer and other members of our human resources management attend such meetings to provide information, present materials to the Compensation Committee and answer related questions, they are not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involved in decisions of the Compensation Committee affecting the compensation of our executive officers. The Compensation Committee typically meets in executive session after each of its regularly scheduled meetings to discuss executive compensation and make decisions.</w:t>
      </w:r>
    </w:p>
    <w:p>
      <w:pPr>
        <w:spacing w:after="0" w:line="200" w:lineRule="exact"/>
        <w:rPr>
          <w:sz w:val="20"/>
          <w:szCs w:val="20"/>
          <w:color w:val="auto"/>
        </w:rPr>
      </w:pPr>
    </w:p>
    <w:p>
      <w:pPr>
        <w:sectPr>
          <w:pgSz w:w="11900" w:h="16838" w:orient="portrait"/>
          <w:cols w:equalWidth="0" w:num="2">
            <w:col w:w="5360" w:space="360"/>
            <w:col w:w="5140"/>
          </w:cols>
          <w:pgMar w:left="320" w:top="459" w:right="719" w:bottom="1440" w:gutter="0" w:footer="0" w:header="0"/>
          <w:type w:val="continuous"/>
        </w:sectPr>
      </w:pPr>
    </w:p>
    <w:p>
      <w:pPr>
        <w:spacing w:after="0" w:line="15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Discretion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Compensation Committee generally has the discretion to make awards under the Annual Incentive Plan (“AIP”) and the 2019 Long-Term Stock Incentive Plan (and, prior to our 2019 Annual Meeting, our 2009 Long-Term Stock Incentive Plan) (the “LTSIP”) to our executive officers, including the NEOs. In addition, under the AIP and the LTSIP, the Compensation Committee retains the authority to provide for adjustments to the financial measures utilized for annual and long-term incentive awards, such as excluding the impact of gains or losses on the sale of assets, the effects of changes in accounting principles or the application thereof, or unusual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non-recurring items, including the impact of significant differences from the assumptions contained in the financial budget upon which the applicable performance targets were established. Any such adjustments to financial measures would be intended to better reflect an NEOs’ actual performance, align award payments with decisions that support the Company’s long-term financial plan and strategies, avoid unintended inflation or deflation of awards due to unusual or non-recurring items during the performance period, and emphasize the Company’s preference for long-term, sustainable growth.</w:t>
      </w:r>
    </w:p>
    <w:p>
      <w:pPr>
        <w:spacing w:after="0" w:line="381"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Compensation Objectives and Core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objectives of our compensation program are to:</w:t>
      </w:r>
    </w:p>
    <w:p>
      <w:pPr>
        <w:spacing w:after="0" w:line="127" w:lineRule="exact"/>
        <w:rPr>
          <w:sz w:val="20"/>
          <w:szCs w:val="20"/>
          <w:color w:val="auto"/>
        </w:rPr>
      </w:pPr>
    </w:p>
    <w:p>
      <w:pPr>
        <w:ind w:left="860" w:hanging="191"/>
        <w:spacing w:after="0"/>
        <w:tabs>
          <w:tab w:leader="none" w:pos="8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860" w:hanging="191"/>
        <w:spacing w:after="0" w:line="260" w:lineRule="auto"/>
        <w:tabs>
          <w:tab w:leader="none" w:pos="8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as well as return on investment;</w:t>
      </w:r>
    </w:p>
    <w:p>
      <w:pPr>
        <w:spacing w:after="0" w:line="100" w:lineRule="exact"/>
        <w:rPr>
          <w:rFonts w:ascii="Arial" w:cs="Arial" w:eastAsia="Arial" w:hAnsi="Arial"/>
          <w:sz w:val="16"/>
          <w:szCs w:val="16"/>
          <w:color w:val="auto"/>
        </w:rPr>
      </w:pPr>
    </w:p>
    <w:p>
      <w:pPr>
        <w:ind w:left="860" w:hanging="191"/>
        <w:spacing w:after="0"/>
        <w:tabs>
          <w:tab w:leader="none" w:pos="8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link the interests of management with those of stockholders;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97" w:right="520" w:hanging="197"/>
        <w:spacing w:after="0" w:line="260" w:lineRule="auto"/>
        <w:tabs>
          <w:tab w:leader="none" w:pos="1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compensation philosophy;</w:t>
      </w:r>
    </w:p>
    <w:p>
      <w:pPr>
        <w:spacing w:after="0" w:line="100" w:lineRule="exact"/>
        <w:rPr>
          <w:rFonts w:ascii="Arial" w:cs="Arial" w:eastAsia="Arial" w:hAnsi="Arial"/>
          <w:sz w:val="16"/>
          <w:szCs w:val="16"/>
          <w:color w:val="auto"/>
        </w:rPr>
      </w:pPr>
    </w:p>
    <w:p>
      <w:pPr>
        <w:ind w:left="197" w:right="640" w:hanging="197"/>
        <w:spacing w:after="0" w:line="260" w:lineRule="auto"/>
        <w:tabs>
          <w:tab w:leader="none" w:pos="1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100" w:lineRule="exact"/>
        <w:rPr>
          <w:rFonts w:ascii="Arial" w:cs="Arial" w:eastAsia="Arial" w:hAnsi="Arial"/>
          <w:sz w:val="16"/>
          <w:szCs w:val="16"/>
          <w:color w:val="auto"/>
        </w:rPr>
      </w:pPr>
    </w:p>
    <w:p>
      <w:pPr>
        <w:ind w:left="197" w:hanging="197"/>
        <w:spacing w:after="0"/>
        <w:tabs>
          <w:tab w:leader="none" w:pos="1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attract, reward and retain the best executive talent.</w:t>
      </w:r>
    </w:p>
    <w:p>
      <w:pPr>
        <w:spacing w:after="0" w:line="321" w:lineRule="exact"/>
        <w:rPr>
          <w:sz w:val="20"/>
          <w:szCs w:val="20"/>
          <w:color w:val="auto"/>
        </w:rPr>
      </w:pPr>
    </w:p>
    <w:p>
      <w:pPr>
        <w:sectPr>
          <w:pgSz w:w="11900" w:h="16838" w:orient="portrait"/>
          <w:cols w:equalWidth="0" w:num="2">
            <w:col w:w="5320" w:space="403"/>
            <w:col w:w="5137"/>
          </w:cols>
          <w:pgMar w:left="320" w:top="459" w:right="719" w:bottom="1440" w:gutter="0" w:footer="0" w:header="0"/>
          <w:type w:val="continuous"/>
        </w:sectPr>
      </w:pPr>
    </w:p>
    <w:p>
      <w:pPr>
        <w:spacing w:after="0" w:line="305" w:lineRule="exact"/>
        <w:rPr>
          <w:sz w:val="20"/>
          <w:szCs w:val="20"/>
          <w:color w:val="auto"/>
        </w:rPr>
      </w:pPr>
    </w:p>
    <w:p>
      <w:pPr>
        <w:ind w:left="660" w:right="340"/>
        <w:spacing w:after="0" w:line="260" w:lineRule="auto"/>
        <w:rPr>
          <w:sz w:val="20"/>
          <w:szCs w:val="20"/>
          <w:color w:val="auto"/>
        </w:rPr>
      </w:pPr>
      <w:r>
        <w:rPr>
          <w:rFonts w:ascii="Arial" w:cs="Arial" w:eastAsia="Arial" w:hAnsi="Arial"/>
          <w:sz w:val="16"/>
          <w:szCs w:val="16"/>
          <w:color w:val="auto"/>
        </w:rPr>
        <w:t>To achieve these objectives, we provide a total compensation program for executive officers that consists of base salary, annual and long-term incentive award opportunities, which are summarized below, as well as certain benefits (covered later).</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E2231A"/>
              </w:rPr>
              <w:t>Fixed vs.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E2231A"/>
              </w:rPr>
              <w:t>Cash vs.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E2231A"/>
              </w:rPr>
              <w:t>Payout</w:t>
            </w:r>
          </w:p>
        </w:tc>
      </w:tr>
      <w:tr>
        <w:trPr>
          <w:trHeight w:val="189"/>
        </w:trPr>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Element</w:t>
            </w:r>
          </w:p>
        </w:tc>
        <w:tc>
          <w:tcPr>
            <w:tcW w:w="34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E2231A"/>
              </w:rPr>
              <w:t>Purpose</w:t>
            </w:r>
          </w:p>
        </w:tc>
        <w:tc>
          <w:tcPr>
            <w:tcW w:w="2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E2231A"/>
              </w:rPr>
              <w:t>Performance 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Variable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Equity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Range</w:t>
            </w:r>
          </w:p>
        </w:tc>
      </w:tr>
      <w:tr>
        <w:trPr>
          <w:trHeight w:val="238"/>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Base Salary</w:t>
            </w: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 a competitive rate of pay to attract,</w:t>
            </w:r>
          </w:p>
        </w:tc>
        <w:tc>
          <w:tcPr>
            <w:tcW w:w="21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Individual performance,</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Fixed</w:t>
            </w: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Cash</w:t>
            </w: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n/a</w:t>
            </w:r>
          </w:p>
        </w:tc>
      </w:tr>
      <w:tr>
        <w:trPr>
          <w:trHeight w:val="189"/>
        </w:trPr>
        <w:tc>
          <w:tcPr>
            <w:tcW w:w="1300" w:type="dxa"/>
            <w:vAlign w:val="bottom"/>
            <w:shd w:val="clear" w:color="auto" w:fill="FCE9E8"/>
          </w:tcPr>
          <w:p>
            <w:pPr>
              <w:spacing w:after="0"/>
              <w:rPr>
                <w:sz w:val="16"/>
                <w:szCs w:val="16"/>
                <w:color w:val="auto"/>
              </w:rPr>
            </w:pP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motivate and retain executive officers of the</w:t>
            </w:r>
          </w:p>
        </w:tc>
        <w:tc>
          <w:tcPr>
            <w:tcW w:w="21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responsibilities, experience,</w:t>
            </w: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spacing w:after="0"/>
              <w:rPr>
                <w:sz w:val="16"/>
                <w:szCs w:val="16"/>
                <w:color w:val="auto"/>
              </w:rPr>
            </w:pPr>
          </w:p>
        </w:tc>
      </w:tr>
      <w:tr>
        <w:trPr>
          <w:trHeight w:val="189"/>
        </w:trPr>
        <w:tc>
          <w:tcPr>
            <w:tcW w:w="1300" w:type="dxa"/>
            <w:vAlign w:val="bottom"/>
            <w:shd w:val="clear" w:color="auto" w:fill="FCE9E8"/>
          </w:tcPr>
          <w:p>
            <w:pPr>
              <w:spacing w:after="0"/>
              <w:rPr>
                <w:sz w:val="16"/>
                <w:szCs w:val="16"/>
                <w:color w:val="auto"/>
              </w:rPr>
            </w:pP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Company</w:t>
            </w:r>
          </w:p>
        </w:tc>
        <w:tc>
          <w:tcPr>
            <w:tcW w:w="21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time in position and critical</w:t>
            </w: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spacing w:after="0"/>
              <w:rPr>
                <w:sz w:val="16"/>
                <w:szCs w:val="16"/>
                <w:color w:val="auto"/>
              </w:rPr>
            </w:pPr>
          </w:p>
        </w:tc>
      </w:tr>
      <w:tr>
        <w:trPr>
          <w:trHeight w:val="235"/>
        </w:trPr>
        <w:tc>
          <w:tcPr>
            <w:tcW w:w="1300" w:type="dxa"/>
            <w:vAlign w:val="bottom"/>
            <w:tcBorders>
              <w:bottom w:val="single" w:sz="8" w:color="FCE9E8"/>
            </w:tcBorders>
            <w:shd w:val="clear" w:color="auto" w:fill="FCE9E8"/>
          </w:tcPr>
          <w:p>
            <w:pPr>
              <w:spacing w:after="0"/>
              <w:rPr>
                <w:sz w:val="20"/>
                <w:szCs w:val="20"/>
                <w:color w:val="auto"/>
              </w:rPr>
            </w:pPr>
          </w:p>
        </w:tc>
        <w:tc>
          <w:tcPr>
            <w:tcW w:w="3460" w:type="dxa"/>
            <w:vAlign w:val="bottom"/>
            <w:tcBorders>
              <w:bottom w:val="single" w:sz="8" w:color="FCE9E8"/>
            </w:tcBorders>
            <w:shd w:val="clear" w:color="auto" w:fill="FCE9E8"/>
          </w:tcPr>
          <w:p>
            <w:pPr>
              <w:spacing w:after="0"/>
              <w:rPr>
                <w:sz w:val="20"/>
                <w:szCs w:val="20"/>
                <w:color w:val="auto"/>
              </w:rPr>
            </w:pPr>
          </w:p>
        </w:tc>
        <w:tc>
          <w:tcPr>
            <w:tcW w:w="2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rPr>
              <w:t>skills</w:t>
            </w:r>
          </w:p>
        </w:tc>
        <w:tc>
          <w:tcPr>
            <w:tcW w:w="800" w:type="dxa"/>
            <w:vAlign w:val="bottom"/>
            <w:tcBorders>
              <w:bottom w:val="single" w:sz="8" w:color="FCE9E8"/>
            </w:tcBorders>
            <w:shd w:val="clear" w:color="auto" w:fill="FCE9E8"/>
          </w:tcPr>
          <w:p>
            <w:pPr>
              <w:spacing w:after="0"/>
              <w:rPr>
                <w:sz w:val="20"/>
                <w:szCs w:val="20"/>
                <w:color w:val="auto"/>
              </w:rPr>
            </w:pPr>
          </w:p>
        </w:tc>
        <w:tc>
          <w:tcPr>
            <w:tcW w:w="760" w:type="dxa"/>
            <w:vAlign w:val="bottom"/>
            <w:tcBorders>
              <w:bottom w:val="single" w:sz="8" w:color="FCE9E8"/>
            </w:tcBorders>
            <w:shd w:val="clear" w:color="auto" w:fill="FCE9E8"/>
          </w:tcPr>
          <w:p>
            <w:pPr>
              <w:spacing w:after="0"/>
              <w:rPr>
                <w:sz w:val="20"/>
                <w:szCs w:val="20"/>
                <w:color w:val="auto"/>
              </w:rPr>
            </w:pPr>
          </w:p>
        </w:tc>
        <w:tc>
          <w:tcPr>
            <w:tcW w:w="1420" w:type="dxa"/>
            <w:vAlign w:val="bottom"/>
            <w:tcBorders>
              <w:bottom w:val="single" w:sz="8" w:color="FCE9E8"/>
            </w:tcBorders>
            <w:shd w:val="clear" w:color="auto" w:fill="FCE9E8"/>
          </w:tcPr>
          <w:p>
            <w:pPr>
              <w:spacing w:after="0"/>
              <w:rPr>
                <w:sz w:val="20"/>
                <w:szCs w:val="20"/>
                <w:color w:val="auto"/>
              </w:rPr>
            </w:pP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AIP</w:t>
            </w:r>
          </w:p>
        </w:tc>
        <w:tc>
          <w:tcPr>
            <w:tcW w:w="3460" w:type="dxa"/>
            <w:vAlign w:val="bottom"/>
          </w:tcPr>
          <w:p>
            <w:pPr>
              <w:ind w:left="40"/>
              <w:spacing w:after="0"/>
              <w:rPr>
                <w:sz w:val="20"/>
                <w:szCs w:val="20"/>
                <w:color w:val="auto"/>
              </w:rPr>
            </w:pPr>
            <w:r>
              <w:rPr>
                <w:rFonts w:ascii="Arial" w:cs="Arial" w:eastAsia="Arial" w:hAnsi="Arial"/>
                <w:sz w:val="16"/>
                <w:szCs w:val="16"/>
                <w:color w:val="auto"/>
              </w:rPr>
              <w:t>Align a portion of annual pay to performance</w:t>
            </w:r>
          </w:p>
        </w:tc>
        <w:tc>
          <w:tcPr>
            <w:tcW w:w="2180" w:type="dxa"/>
            <w:vAlign w:val="bottom"/>
          </w:tcPr>
          <w:p>
            <w:pPr>
              <w:ind w:left="100"/>
              <w:spacing w:after="0"/>
              <w:rPr>
                <w:sz w:val="20"/>
                <w:szCs w:val="20"/>
                <w:color w:val="auto"/>
              </w:rPr>
            </w:pPr>
            <w:r>
              <w:rPr>
                <w:rFonts w:ascii="Arial" w:cs="Arial" w:eastAsia="Arial" w:hAnsi="Arial"/>
                <w:sz w:val="16"/>
                <w:szCs w:val="16"/>
                <w:color w:val="auto"/>
              </w:rPr>
              <w:t>Adjusted Operating Income</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tcPr>
          <w:p>
            <w:pPr>
              <w:jc w:val="center"/>
              <w:spacing w:after="0"/>
              <w:rPr>
                <w:sz w:val="20"/>
                <w:szCs w:val="20"/>
                <w:color w:val="auto"/>
              </w:rPr>
            </w:pPr>
            <w:r>
              <w:rPr>
                <w:rFonts w:ascii="Arial" w:cs="Arial" w:eastAsia="Arial" w:hAnsi="Arial"/>
                <w:sz w:val="16"/>
                <w:szCs w:val="16"/>
                <w:color w:val="auto"/>
              </w:rPr>
              <w:t>Cash</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0-200% of target</w:t>
            </w:r>
          </w:p>
        </w:tc>
      </w:tr>
      <w:tr>
        <w:trPr>
          <w:trHeight w:val="189"/>
        </w:trPr>
        <w:tc>
          <w:tcPr>
            <w:tcW w:w="1300" w:type="dxa"/>
            <w:vAlign w:val="bottom"/>
          </w:tcPr>
          <w:p>
            <w:pPr>
              <w:spacing w:after="0"/>
              <w:rPr>
                <w:sz w:val="16"/>
                <w:szCs w:val="16"/>
                <w:color w:val="auto"/>
              </w:rPr>
            </w:pPr>
          </w:p>
        </w:tc>
        <w:tc>
          <w:tcPr>
            <w:tcW w:w="3460" w:type="dxa"/>
            <w:vAlign w:val="bottom"/>
          </w:tcPr>
          <w:p>
            <w:pPr>
              <w:ind w:left="40"/>
              <w:spacing w:after="0"/>
              <w:rPr>
                <w:sz w:val="20"/>
                <w:szCs w:val="20"/>
                <w:color w:val="auto"/>
              </w:rPr>
            </w:pPr>
            <w:r>
              <w:rPr>
                <w:rFonts w:ascii="Arial" w:cs="Arial" w:eastAsia="Arial" w:hAnsi="Arial"/>
                <w:sz w:val="16"/>
                <w:szCs w:val="16"/>
                <w:color w:val="auto"/>
              </w:rPr>
              <w:t>against key goals and objectives for the year</w:t>
            </w:r>
          </w:p>
        </w:tc>
        <w:tc>
          <w:tcPr>
            <w:tcW w:w="2180" w:type="dxa"/>
            <w:vAlign w:val="bottom"/>
          </w:tcPr>
          <w:p>
            <w:pPr>
              <w:ind w:left="100"/>
              <w:spacing w:after="0"/>
              <w:rPr>
                <w:sz w:val="20"/>
                <w:szCs w:val="20"/>
                <w:color w:val="auto"/>
              </w:rPr>
            </w:pPr>
            <w:r>
              <w:rPr>
                <w:rFonts w:ascii="Arial" w:cs="Arial" w:eastAsia="Arial" w:hAnsi="Arial"/>
                <w:sz w:val="16"/>
                <w:szCs w:val="16"/>
                <w:color w:val="auto"/>
              </w:rPr>
              <w:t>(50%)</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5"/>
        </w:trPr>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180" w:type="dxa"/>
            <w:vAlign w:val="bottom"/>
          </w:tcPr>
          <w:p>
            <w:pPr>
              <w:ind w:left="100"/>
              <w:spacing w:after="0"/>
              <w:rPr>
                <w:sz w:val="20"/>
                <w:szCs w:val="20"/>
                <w:color w:val="auto"/>
              </w:rPr>
            </w:pPr>
            <w:r>
              <w:rPr>
                <w:rFonts w:ascii="Arial" w:cs="Arial" w:eastAsia="Arial" w:hAnsi="Arial"/>
                <w:sz w:val="16"/>
                <w:szCs w:val="16"/>
                <w:color w:val="auto"/>
              </w:rPr>
              <w:t>Free Cash Flow (50%)</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73"/>
        </w:trPr>
        <w:tc>
          <w:tcPr>
            <w:tcW w:w="1300" w:type="dxa"/>
            <w:vAlign w:val="bottom"/>
          </w:tcPr>
          <w:p>
            <w:pPr>
              <w:spacing w:after="0"/>
              <w:rPr>
                <w:sz w:val="6"/>
                <w:szCs w:val="6"/>
                <w:color w:val="auto"/>
              </w:rPr>
            </w:pPr>
          </w:p>
        </w:tc>
        <w:tc>
          <w:tcPr>
            <w:tcW w:w="34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58"/>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Performance</w:t>
            </w: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Align executive pay with long-term stockholder</w:t>
            </w:r>
          </w:p>
        </w:tc>
        <w:tc>
          <w:tcPr>
            <w:tcW w:w="21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Cumulative Adjusted</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Equity</w:t>
            </w: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0-200% of target</w:t>
            </w:r>
          </w:p>
        </w:tc>
      </w:tr>
      <w:tr>
        <w:trPr>
          <w:trHeight w:val="189"/>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Shares under</w:t>
            </w: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interests through equity-based compensation</w:t>
            </w:r>
          </w:p>
        </w:tc>
        <w:tc>
          <w:tcPr>
            <w:tcW w:w="21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Pre-Tax Income (66 2/3%)</w:t>
            </w: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number of shares;</w:t>
            </w:r>
          </w:p>
        </w:tc>
      </w:tr>
      <w:tr>
        <w:trPr>
          <w:trHeight w:val="189"/>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LTSIP (2020-</w:t>
            </w:r>
          </w:p>
        </w:tc>
        <w:tc>
          <w:tcPr>
            <w:tcW w:w="5640" w:type="dxa"/>
            <w:vAlign w:val="bottom"/>
            <w:gridSpan w:val="2"/>
            <w:shd w:val="clear" w:color="auto" w:fill="FCE9E8"/>
          </w:tcPr>
          <w:p>
            <w:pPr>
              <w:ind w:left="40"/>
              <w:spacing w:after="0"/>
              <w:rPr>
                <w:sz w:val="20"/>
                <w:szCs w:val="20"/>
                <w:color w:val="auto"/>
              </w:rPr>
            </w:pPr>
            <w:r>
              <w:rPr>
                <w:rFonts w:ascii="Arial" w:cs="Arial" w:eastAsia="Arial" w:hAnsi="Arial"/>
                <w:sz w:val="16"/>
                <w:szCs w:val="16"/>
                <w:color w:val="auto"/>
              </w:rPr>
              <w:t>tied to key performance metrics of the Company Relative TSR (33 1/3%)</w:t>
            </w: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w:t>
            </w:r>
          </w:p>
        </w:tc>
      </w:tr>
      <w:tr>
        <w:trPr>
          <w:trHeight w:val="189"/>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2022)</w:t>
            </w: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over a three-year period</w:t>
            </w:r>
          </w:p>
        </w:tc>
        <w:tc>
          <w:tcPr>
            <w:tcW w:w="2180" w:type="dxa"/>
            <w:vAlign w:val="bottom"/>
            <w:shd w:val="clear" w:color="auto" w:fill="FCE9E8"/>
          </w:tcPr>
          <w:p>
            <w:pPr>
              <w:spacing w:after="0"/>
              <w:rPr>
                <w:sz w:val="16"/>
                <w:szCs w:val="16"/>
                <w:color w:val="auto"/>
              </w:rPr>
            </w:pP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Share value</w:t>
            </w:r>
          </w:p>
        </w:tc>
      </w:tr>
      <w:tr>
        <w:trPr>
          <w:trHeight w:val="189"/>
        </w:trPr>
        <w:tc>
          <w:tcPr>
            <w:tcW w:w="1300" w:type="dxa"/>
            <w:vAlign w:val="bottom"/>
            <w:shd w:val="clear" w:color="auto" w:fill="FCE9E8"/>
          </w:tcPr>
          <w:p>
            <w:pPr>
              <w:spacing w:after="0"/>
              <w:rPr>
                <w:sz w:val="16"/>
                <w:szCs w:val="16"/>
                <w:color w:val="auto"/>
              </w:rPr>
            </w:pPr>
          </w:p>
        </w:tc>
        <w:tc>
          <w:tcPr>
            <w:tcW w:w="3460" w:type="dxa"/>
            <w:vAlign w:val="bottom"/>
            <w:shd w:val="clear" w:color="auto" w:fill="FCE9E8"/>
          </w:tcPr>
          <w:p>
            <w:pPr>
              <w:spacing w:after="0"/>
              <w:rPr>
                <w:sz w:val="16"/>
                <w:szCs w:val="16"/>
                <w:color w:val="auto"/>
              </w:rPr>
            </w:pPr>
          </w:p>
        </w:tc>
        <w:tc>
          <w:tcPr>
            <w:tcW w:w="2180" w:type="dxa"/>
            <w:vAlign w:val="bottom"/>
            <w:shd w:val="clear" w:color="auto" w:fill="FCE9E8"/>
          </w:tcPr>
          <w:p>
            <w:pPr>
              <w:spacing w:after="0"/>
              <w:rPr>
                <w:sz w:val="16"/>
                <w:szCs w:val="16"/>
                <w:color w:val="auto"/>
              </w:rPr>
            </w:pP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fluctuates with</w:t>
            </w:r>
          </w:p>
        </w:tc>
      </w:tr>
      <w:tr>
        <w:trPr>
          <w:trHeight w:val="189"/>
        </w:trPr>
        <w:tc>
          <w:tcPr>
            <w:tcW w:w="1300" w:type="dxa"/>
            <w:vAlign w:val="bottom"/>
            <w:shd w:val="clear" w:color="auto" w:fill="FCE9E8"/>
          </w:tcPr>
          <w:p>
            <w:pPr>
              <w:spacing w:after="0"/>
              <w:rPr>
                <w:sz w:val="16"/>
                <w:szCs w:val="16"/>
                <w:color w:val="auto"/>
              </w:rPr>
            </w:pPr>
          </w:p>
        </w:tc>
        <w:tc>
          <w:tcPr>
            <w:tcW w:w="3460" w:type="dxa"/>
            <w:vAlign w:val="bottom"/>
            <w:shd w:val="clear" w:color="auto" w:fill="FCE9E8"/>
          </w:tcPr>
          <w:p>
            <w:pPr>
              <w:spacing w:after="0"/>
              <w:rPr>
                <w:sz w:val="16"/>
                <w:szCs w:val="16"/>
                <w:color w:val="auto"/>
              </w:rPr>
            </w:pPr>
          </w:p>
        </w:tc>
        <w:tc>
          <w:tcPr>
            <w:tcW w:w="2180" w:type="dxa"/>
            <w:vAlign w:val="bottom"/>
            <w:shd w:val="clear" w:color="auto" w:fill="FCE9E8"/>
          </w:tcPr>
          <w:p>
            <w:pPr>
              <w:spacing w:after="0"/>
              <w:rPr>
                <w:sz w:val="16"/>
                <w:szCs w:val="16"/>
                <w:color w:val="auto"/>
              </w:rPr>
            </w:pP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stock price</w:t>
            </w:r>
          </w:p>
        </w:tc>
      </w:tr>
      <w:tr>
        <w:trPr>
          <w:trHeight w:val="235"/>
        </w:trPr>
        <w:tc>
          <w:tcPr>
            <w:tcW w:w="1300" w:type="dxa"/>
            <w:vAlign w:val="bottom"/>
            <w:tcBorders>
              <w:bottom w:val="single" w:sz="8" w:color="FCE9E8"/>
            </w:tcBorders>
            <w:shd w:val="clear" w:color="auto" w:fill="FCE9E8"/>
          </w:tcPr>
          <w:p>
            <w:pPr>
              <w:spacing w:after="0"/>
              <w:rPr>
                <w:sz w:val="20"/>
                <w:szCs w:val="20"/>
                <w:color w:val="auto"/>
              </w:rPr>
            </w:pPr>
          </w:p>
        </w:tc>
        <w:tc>
          <w:tcPr>
            <w:tcW w:w="3460" w:type="dxa"/>
            <w:vAlign w:val="bottom"/>
            <w:tcBorders>
              <w:bottom w:val="single" w:sz="8" w:color="FCE9E8"/>
            </w:tcBorders>
            <w:shd w:val="clear" w:color="auto" w:fill="FCE9E8"/>
          </w:tcPr>
          <w:p>
            <w:pPr>
              <w:spacing w:after="0"/>
              <w:rPr>
                <w:sz w:val="20"/>
                <w:szCs w:val="20"/>
                <w:color w:val="auto"/>
              </w:rPr>
            </w:pPr>
          </w:p>
        </w:tc>
        <w:tc>
          <w:tcPr>
            <w:tcW w:w="2180" w:type="dxa"/>
            <w:vAlign w:val="bottom"/>
            <w:tcBorders>
              <w:bottom w:val="single" w:sz="8" w:color="FCE9E8"/>
            </w:tcBorders>
            <w:shd w:val="clear" w:color="auto" w:fill="FCE9E8"/>
          </w:tcPr>
          <w:p>
            <w:pPr>
              <w:spacing w:after="0"/>
              <w:rPr>
                <w:sz w:val="20"/>
                <w:szCs w:val="20"/>
                <w:color w:val="auto"/>
              </w:rPr>
            </w:pPr>
          </w:p>
        </w:tc>
        <w:tc>
          <w:tcPr>
            <w:tcW w:w="800" w:type="dxa"/>
            <w:vAlign w:val="bottom"/>
            <w:tcBorders>
              <w:bottom w:val="single" w:sz="8" w:color="FCE9E8"/>
            </w:tcBorders>
            <w:shd w:val="clear" w:color="auto" w:fill="FCE9E8"/>
          </w:tcPr>
          <w:p>
            <w:pPr>
              <w:spacing w:after="0"/>
              <w:rPr>
                <w:sz w:val="20"/>
                <w:szCs w:val="20"/>
                <w:color w:val="auto"/>
              </w:rPr>
            </w:pPr>
          </w:p>
        </w:tc>
        <w:tc>
          <w:tcPr>
            <w:tcW w:w="760" w:type="dxa"/>
            <w:vAlign w:val="bottom"/>
            <w:tcBorders>
              <w:bottom w:val="single" w:sz="8" w:color="FCE9E8"/>
            </w:tcBorders>
            <w:shd w:val="clear" w:color="auto" w:fill="FCE9E8"/>
          </w:tcPr>
          <w:p>
            <w:pPr>
              <w:spacing w:after="0"/>
              <w:rPr>
                <w:sz w:val="20"/>
                <w:szCs w:val="20"/>
                <w:color w:val="auto"/>
              </w:rPr>
            </w:pPr>
          </w:p>
        </w:tc>
        <w:tc>
          <w:tcPr>
            <w:tcW w:w="14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9"/>
              </w:rPr>
              <w:t>movement</w:t>
            </w:r>
          </w:p>
        </w:tc>
      </w:tr>
      <w:tr>
        <w:trPr>
          <w:trHeight w:val="258"/>
        </w:trPr>
        <w:tc>
          <w:tcPr>
            <w:tcW w:w="1300" w:type="dxa"/>
            <w:vAlign w:val="bottom"/>
          </w:tcPr>
          <w:p>
            <w:pPr>
              <w:ind w:left="80"/>
              <w:spacing w:after="0"/>
              <w:rPr>
                <w:sz w:val="20"/>
                <w:szCs w:val="20"/>
                <w:color w:val="auto"/>
              </w:rPr>
            </w:pPr>
            <w:r>
              <w:rPr>
                <w:rFonts w:ascii="Arial" w:cs="Arial" w:eastAsia="Arial" w:hAnsi="Arial"/>
                <w:sz w:val="16"/>
                <w:szCs w:val="16"/>
                <w:color w:val="auto"/>
              </w:rPr>
              <w:t>RSUs under</w:t>
            </w:r>
          </w:p>
        </w:tc>
        <w:tc>
          <w:tcPr>
            <w:tcW w:w="3460" w:type="dxa"/>
            <w:vAlign w:val="bottom"/>
          </w:tcPr>
          <w:p>
            <w:pPr>
              <w:ind w:left="40"/>
              <w:spacing w:after="0"/>
              <w:rPr>
                <w:sz w:val="20"/>
                <w:szCs w:val="20"/>
                <w:color w:val="auto"/>
              </w:rPr>
            </w:pPr>
            <w:r>
              <w:rPr>
                <w:rFonts w:ascii="Arial" w:cs="Arial" w:eastAsia="Arial" w:hAnsi="Arial"/>
                <w:sz w:val="16"/>
                <w:szCs w:val="16"/>
                <w:color w:val="auto"/>
              </w:rPr>
              <w:t>Align executive pay with long-term stockholder</w:t>
            </w:r>
          </w:p>
        </w:tc>
        <w:tc>
          <w:tcPr>
            <w:tcW w:w="2180" w:type="dxa"/>
            <w:vAlign w:val="bottom"/>
          </w:tcPr>
          <w:p>
            <w:pPr>
              <w:ind w:left="100"/>
              <w:spacing w:after="0"/>
              <w:rPr>
                <w:sz w:val="20"/>
                <w:szCs w:val="20"/>
                <w:color w:val="auto"/>
              </w:rPr>
            </w:pPr>
            <w:r>
              <w:rPr>
                <w:rFonts w:ascii="Arial" w:cs="Arial" w:eastAsia="Arial" w:hAnsi="Arial"/>
                <w:sz w:val="16"/>
                <w:szCs w:val="16"/>
                <w:color w:val="auto"/>
              </w:rPr>
              <w:t>Stock price alignment</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420" w:type="dxa"/>
            <w:vAlign w:val="bottom"/>
          </w:tcPr>
          <w:p>
            <w:pPr>
              <w:jc w:val="center"/>
              <w:spacing w:after="0"/>
              <w:rPr>
                <w:sz w:val="20"/>
                <w:szCs w:val="20"/>
                <w:color w:val="auto"/>
              </w:rPr>
            </w:pPr>
            <w:r>
              <w:rPr>
                <w:rFonts w:ascii="Arial" w:cs="Arial" w:eastAsia="Arial" w:hAnsi="Arial"/>
                <w:sz w:val="16"/>
                <w:szCs w:val="16"/>
                <w:color w:val="auto"/>
              </w:rPr>
              <w:t>Fluctuates with</w:t>
            </w:r>
          </w:p>
        </w:tc>
      </w:tr>
      <w:tr>
        <w:trPr>
          <w:trHeight w:val="189"/>
        </w:trPr>
        <w:tc>
          <w:tcPr>
            <w:tcW w:w="1300" w:type="dxa"/>
            <w:vAlign w:val="bottom"/>
          </w:tcPr>
          <w:p>
            <w:pPr>
              <w:ind w:left="80"/>
              <w:spacing w:after="0"/>
              <w:rPr>
                <w:sz w:val="20"/>
                <w:szCs w:val="20"/>
                <w:color w:val="auto"/>
              </w:rPr>
            </w:pPr>
            <w:r>
              <w:rPr>
                <w:rFonts w:ascii="Arial" w:cs="Arial" w:eastAsia="Arial" w:hAnsi="Arial"/>
                <w:sz w:val="16"/>
                <w:szCs w:val="16"/>
                <w:color w:val="auto"/>
              </w:rPr>
              <w:t>LTSIP</w:t>
            </w:r>
          </w:p>
        </w:tc>
        <w:tc>
          <w:tcPr>
            <w:tcW w:w="3460" w:type="dxa"/>
            <w:vAlign w:val="bottom"/>
          </w:tcPr>
          <w:p>
            <w:pPr>
              <w:ind w:left="40"/>
              <w:spacing w:after="0"/>
              <w:rPr>
                <w:sz w:val="20"/>
                <w:szCs w:val="20"/>
                <w:color w:val="auto"/>
              </w:rPr>
            </w:pPr>
            <w:r>
              <w:rPr>
                <w:rFonts w:ascii="Arial" w:cs="Arial" w:eastAsia="Arial" w:hAnsi="Arial"/>
                <w:sz w:val="16"/>
                <w:szCs w:val="16"/>
                <w:color w:val="auto"/>
              </w:rPr>
              <w:t>interests through equity-based compensation</w:t>
            </w:r>
          </w:p>
        </w:tc>
        <w:tc>
          <w:tcPr>
            <w:tcW w:w="2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stock price</w:t>
            </w:r>
          </w:p>
        </w:tc>
      </w:tr>
      <w:tr>
        <w:trPr>
          <w:trHeight w:val="195"/>
        </w:trPr>
        <w:tc>
          <w:tcPr>
            <w:tcW w:w="1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movement</w:t>
            </w:r>
          </w:p>
        </w:tc>
      </w:tr>
      <w:tr>
        <w:trPr>
          <w:trHeight w:val="60"/>
        </w:trPr>
        <w:tc>
          <w:tcPr>
            <w:tcW w:w="13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58"/>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Stock Options</w:t>
            </w: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Align executive pay with long-term stockholder</w:t>
            </w:r>
          </w:p>
        </w:tc>
        <w:tc>
          <w:tcPr>
            <w:tcW w:w="21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Stock price alignment</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Variable</w:t>
            </w:r>
          </w:p>
        </w:tc>
        <w:tc>
          <w:tcPr>
            <w:tcW w:w="7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Equity</w:t>
            </w: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100% of grant</w:t>
            </w:r>
          </w:p>
        </w:tc>
      </w:tr>
      <w:tr>
        <w:trPr>
          <w:trHeight w:val="189"/>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under LTSIP</w:t>
            </w:r>
          </w:p>
        </w:tc>
        <w:tc>
          <w:tcPr>
            <w:tcW w:w="3460" w:type="dxa"/>
            <w:vAlign w:val="bottom"/>
            <w:shd w:val="clear" w:color="auto" w:fill="FCE9E8"/>
          </w:tcPr>
          <w:p>
            <w:pPr>
              <w:ind w:left="40"/>
              <w:spacing w:after="0"/>
              <w:rPr>
                <w:sz w:val="20"/>
                <w:szCs w:val="20"/>
                <w:color w:val="auto"/>
              </w:rPr>
            </w:pPr>
            <w:r>
              <w:rPr>
                <w:rFonts w:ascii="Arial" w:cs="Arial" w:eastAsia="Arial" w:hAnsi="Arial"/>
                <w:sz w:val="16"/>
                <w:szCs w:val="16"/>
                <w:color w:val="auto"/>
              </w:rPr>
              <w:t>interests through equity-based compensation</w:t>
            </w:r>
          </w:p>
        </w:tc>
        <w:tc>
          <w:tcPr>
            <w:tcW w:w="2180" w:type="dxa"/>
            <w:vAlign w:val="bottom"/>
            <w:shd w:val="clear" w:color="auto" w:fill="FCE9E8"/>
          </w:tcPr>
          <w:p>
            <w:pPr>
              <w:spacing w:after="0"/>
              <w:rPr>
                <w:sz w:val="16"/>
                <w:szCs w:val="16"/>
                <w:color w:val="auto"/>
              </w:rPr>
            </w:pP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value fluctuates</w:t>
            </w:r>
          </w:p>
        </w:tc>
      </w:tr>
      <w:tr>
        <w:trPr>
          <w:trHeight w:val="189"/>
        </w:trPr>
        <w:tc>
          <w:tcPr>
            <w:tcW w:w="1300" w:type="dxa"/>
            <w:vAlign w:val="bottom"/>
            <w:shd w:val="clear" w:color="auto" w:fill="FCE9E8"/>
          </w:tcPr>
          <w:p>
            <w:pPr>
              <w:spacing w:after="0"/>
              <w:rPr>
                <w:sz w:val="16"/>
                <w:szCs w:val="16"/>
                <w:color w:val="auto"/>
              </w:rPr>
            </w:pPr>
          </w:p>
        </w:tc>
        <w:tc>
          <w:tcPr>
            <w:tcW w:w="3460" w:type="dxa"/>
            <w:vAlign w:val="bottom"/>
            <w:shd w:val="clear" w:color="auto" w:fill="FCE9E8"/>
          </w:tcPr>
          <w:p>
            <w:pPr>
              <w:spacing w:after="0"/>
              <w:rPr>
                <w:sz w:val="16"/>
                <w:szCs w:val="16"/>
                <w:color w:val="auto"/>
              </w:rPr>
            </w:pPr>
          </w:p>
        </w:tc>
        <w:tc>
          <w:tcPr>
            <w:tcW w:w="2180" w:type="dxa"/>
            <w:vAlign w:val="bottom"/>
            <w:shd w:val="clear" w:color="auto" w:fill="FCE9E8"/>
          </w:tcPr>
          <w:p>
            <w:pPr>
              <w:spacing w:after="0"/>
              <w:rPr>
                <w:sz w:val="16"/>
                <w:szCs w:val="16"/>
                <w:color w:val="auto"/>
              </w:rPr>
            </w:pPr>
          </w:p>
        </w:tc>
        <w:tc>
          <w:tcPr>
            <w:tcW w:w="80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14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with stock price</w:t>
            </w:r>
          </w:p>
        </w:tc>
      </w:tr>
      <w:tr>
        <w:trPr>
          <w:trHeight w:val="235"/>
        </w:trPr>
        <w:tc>
          <w:tcPr>
            <w:tcW w:w="1300" w:type="dxa"/>
            <w:vAlign w:val="bottom"/>
            <w:tcBorders>
              <w:bottom w:val="single" w:sz="8" w:color="FCE9E8"/>
            </w:tcBorders>
            <w:shd w:val="clear" w:color="auto" w:fill="FCE9E8"/>
          </w:tcPr>
          <w:p>
            <w:pPr>
              <w:spacing w:after="0"/>
              <w:rPr>
                <w:sz w:val="20"/>
                <w:szCs w:val="20"/>
                <w:color w:val="auto"/>
              </w:rPr>
            </w:pPr>
          </w:p>
        </w:tc>
        <w:tc>
          <w:tcPr>
            <w:tcW w:w="3460" w:type="dxa"/>
            <w:vAlign w:val="bottom"/>
            <w:tcBorders>
              <w:bottom w:val="single" w:sz="8" w:color="FCE9E8"/>
            </w:tcBorders>
            <w:shd w:val="clear" w:color="auto" w:fill="FCE9E8"/>
          </w:tcPr>
          <w:p>
            <w:pPr>
              <w:spacing w:after="0"/>
              <w:rPr>
                <w:sz w:val="20"/>
                <w:szCs w:val="20"/>
                <w:color w:val="auto"/>
              </w:rPr>
            </w:pPr>
          </w:p>
        </w:tc>
        <w:tc>
          <w:tcPr>
            <w:tcW w:w="2180" w:type="dxa"/>
            <w:vAlign w:val="bottom"/>
            <w:tcBorders>
              <w:bottom w:val="single" w:sz="8" w:color="FCE9E8"/>
            </w:tcBorders>
            <w:shd w:val="clear" w:color="auto" w:fill="FCE9E8"/>
          </w:tcPr>
          <w:p>
            <w:pPr>
              <w:spacing w:after="0"/>
              <w:rPr>
                <w:sz w:val="20"/>
                <w:szCs w:val="20"/>
                <w:color w:val="auto"/>
              </w:rPr>
            </w:pPr>
          </w:p>
        </w:tc>
        <w:tc>
          <w:tcPr>
            <w:tcW w:w="800" w:type="dxa"/>
            <w:vAlign w:val="bottom"/>
            <w:tcBorders>
              <w:bottom w:val="single" w:sz="8" w:color="FCE9E8"/>
            </w:tcBorders>
            <w:shd w:val="clear" w:color="auto" w:fill="FCE9E8"/>
          </w:tcPr>
          <w:p>
            <w:pPr>
              <w:spacing w:after="0"/>
              <w:rPr>
                <w:sz w:val="20"/>
                <w:szCs w:val="20"/>
                <w:color w:val="auto"/>
              </w:rPr>
            </w:pPr>
          </w:p>
        </w:tc>
        <w:tc>
          <w:tcPr>
            <w:tcW w:w="760" w:type="dxa"/>
            <w:vAlign w:val="bottom"/>
            <w:tcBorders>
              <w:bottom w:val="single" w:sz="8" w:color="FCE9E8"/>
            </w:tcBorders>
            <w:shd w:val="clear" w:color="auto" w:fill="FCE9E8"/>
          </w:tcPr>
          <w:p>
            <w:pPr>
              <w:spacing w:after="0"/>
              <w:rPr>
                <w:sz w:val="20"/>
                <w:szCs w:val="20"/>
                <w:color w:val="auto"/>
              </w:rPr>
            </w:pPr>
          </w:p>
        </w:tc>
        <w:tc>
          <w:tcPr>
            <w:tcW w:w="14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9"/>
              </w:rPr>
              <w:t>movement</w:t>
            </w:r>
          </w:p>
        </w:tc>
      </w:tr>
      <w:tr>
        <w:trPr>
          <w:trHeight w:val="20"/>
        </w:trPr>
        <w:tc>
          <w:tcPr>
            <w:tcW w:w="130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39</w:t>
      </w:r>
    </w:p>
    <w:p>
      <w:pPr>
        <w:sectPr>
          <w:pgSz w:w="11900" w:h="16838" w:orient="portrait"/>
          <w:cols w:equalWidth="0" w:num="1">
            <w:col w:w="10860"/>
          </w:cols>
          <w:pgMar w:left="320" w:top="459" w:right="71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47"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Compensation Committee routinely reviews the elements noted above. In general, the Compensation Committee monitors compensation levels to ensure that a higher proportion of an executive’s total compensation is awarded in the form of variable and performance-based components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(dependent on Company performance) as the executive’s responsibilities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-1119505</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Narrative descriptions of the individual elements of compensation are included below.</w:t>
      </w:r>
    </w:p>
    <w:p>
      <w:pPr>
        <w:spacing w:after="0" w:line="273" w:lineRule="exact"/>
        <w:rPr>
          <w:sz w:val="20"/>
          <w:szCs w:val="20"/>
          <w:color w:val="auto"/>
        </w:rPr>
      </w:pPr>
    </w:p>
    <w:p>
      <w:pPr>
        <w:sectPr>
          <w:pgSz w:w="11900" w:h="16838" w:orient="portrait"/>
          <w:cols w:equalWidth="0" w:num="2">
            <w:col w:w="5300" w:space="420"/>
            <w:col w:w="4860"/>
          </w:cols>
          <w:pgMar w:left="320" w:top="459" w:right="999" w:bottom="1440" w:gutter="0" w:footer="0" w:header="0"/>
        </w:sectPr>
      </w:pP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128"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Base salaries for our NEOs are targeted, on average, around the median level for comparable positions based on market benchmarking, as well as a review of scope, duties and responsibilities, along with performance, experience and internal equity.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and Compensation Committee reach agreement on his goals and objectives for the upcoming year, and the Compensation Committee evaluates his performance for the prior year against the prior year’s agreed goals and objectives. Our CEO has traditionally received a lower percentage of his total compensation in the form of fixed amounts like base salary relative to our other executives in order to link more closely his compensation to the performance of the Company. The 2019 and 2020 base salaries of our NEOs are summarized in the table below:</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331"/>
        </w:trPr>
        <w:tc>
          <w:tcPr>
            <w:tcW w:w="2920" w:type="dxa"/>
            <w:vAlign w:val="bottom"/>
            <w:tcBorders>
              <w:bottom w:val="single" w:sz="8" w:color="E2231A"/>
            </w:tcBorders>
            <w:shd w:val="clear" w:color="auto" w:fill="E2231A"/>
          </w:tcPr>
          <w:p>
            <w:pPr>
              <w:spacing w:after="0"/>
              <w:rPr>
                <w:sz w:val="24"/>
                <w:szCs w:val="24"/>
                <w:color w:val="auto"/>
              </w:rPr>
            </w:pPr>
          </w:p>
        </w:tc>
        <w:tc>
          <w:tcPr>
            <w:tcW w:w="5140" w:type="dxa"/>
            <w:vAlign w:val="bottom"/>
            <w:tcBorders>
              <w:bottom w:val="single" w:sz="8" w:color="E2231A"/>
            </w:tcBorders>
            <w:shd w:val="clear" w:color="auto" w:fill="E2231A"/>
          </w:tcPr>
          <w:p>
            <w:pPr>
              <w:jc w:val="right"/>
              <w:ind w:right="2319"/>
              <w:spacing w:after="0"/>
              <w:rPr>
                <w:sz w:val="20"/>
                <w:szCs w:val="20"/>
                <w:color w:val="auto"/>
              </w:rPr>
            </w:pPr>
            <w:r>
              <w:rPr>
                <w:rFonts w:ascii="Arial" w:cs="Arial" w:eastAsia="Arial" w:hAnsi="Arial"/>
                <w:sz w:val="22"/>
                <w:szCs w:val="22"/>
                <w:b w:val="1"/>
                <w:bCs w:val="1"/>
                <w:color w:val="FFFFFF"/>
              </w:rPr>
              <w:t>Base Salaries</w:t>
            </w:r>
          </w:p>
        </w:tc>
        <w:tc>
          <w:tcPr>
            <w:tcW w:w="1860" w:type="dxa"/>
            <w:vAlign w:val="bottom"/>
            <w:tcBorders>
              <w:bottom w:val="single" w:sz="8" w:color="E2231A"/>
            </w:tcBorders>
            <w:shd w:val="clear" w:color="auto" w:fill="E2231A"/>
          </w:tcPr>
          <w:p>
            <w:pPr>
              <w:spacing w:after="0"/>
              <w:rPr>
                <w:sz w:val="24"/>
                <w:szCs w:val="24"/>
                <w:color w:val="auto"/>
              </w:rPr>
            </w:pPr>
          </w:p>
        </w:tc>
      </w:tr>
      <w:tr>
        <w:trPr>
          <w:trHeight w:val="162"/>
        </w:trPr>
        <w:tc>
          <w:tcPr>
            <w:tcW w:w="292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gridSpan w:val="2"/>
          </w:tcPr>
          <w:p>
            <w:pPr>
              <w:jc w:val="right"/>
              <w:ind w:right="279"/>
              <w:spacing w:after="0" w:line="162" w:lineRule="exact"/>
              <w:rPr>
                <w:sz w:val="20"/>
                <w:szCs w:val="20"/>
                <w:color w:val="auto"/>
              </w:rPr>
            </w:pPr>
            <w:r>
              <w:rPr>
                <w:rFonts w:ascii="Arial" w:cs="Arial" w:eastAsia="Arial" w:hAnsi="Arial"/>
                <w:sz w:val="11"/>
                <w:szCs w:val="11"/>
                <w:b w:val="1"/>
                <w:bCs w:val="1"/>
                <w:color w:val="E2231A"/>
              </w:rPr>
              <w:t>2019 and 2020 Base Salary Rate</w:t>
            </w:r>
            <w:r>
              <w:rPr>
                <w:rFonts w:ascii="Arial" w:cs="Arial" w:eastAsia="Arial" w:hAnsi="Arial"/>
                <w:sz w:val="18"/>
                <w:szCs w:val="18"/>
                <w:b w:val="1"/>
                <w:bCs w:val="1"/>
                <w:color w:val="E2231A"/>
                <w:vertAlign w:val="superscript"/>
              </w:rPr>
              <w:t>(1)</w:t>
            </w:r>
          </w:p>
        </w:tc>
      </w:tr>
      <w:tr>
        <w:trPr>
          <w:trHeight w:val="237"/>
        </w:trPr>
        <w:tc>
          <w:tcPr>
            <w:tcW w:w="292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51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FCE9E8"/>
          </w:tcPr>
          <w:p>
            <w:pPr>
              <w:jc w:val="right"/>
              <w:ind w:right="1059"/>
              <w:spacing w:after="0"/>
              <w:rPr>
                <w:sz w:val="20"/>
                <w:szCs w:val="20"/>
                <w:color w:val="auto"/>
              </w:rPr>
            </w:pPr>
            <w:r>
              <w:rPr>
                <w:rFonts w:ascii="Arial" w:cs="Arial" w:eastAsia="Arial" w:hAnsi="Arial"/>
                <w:sz w:val="16"/>
                <w:szCs w:val="16"/>
                <w:color w:val="auto"/>
                <w:w w:val="98"/>
              </w:rPr>
              <w:t>1,200,000</w:t>
            </w:r>
          </w:p>
        </w:tc>
      </w:tr>
      <w:tr>
        <w:trPr>
          <w:trHeight w:val="233"/>
        </w:trPr>
        <w:tc>
          <w:tcPr>
            <w:tcW w:w="292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51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059"/>
              <w:spacing w:after="0"/>
              <w:rPr>
                <w:sz w:val="20"/>
                <w:szCs w:val="20"/>
                <w:color w:val="auto"/>
              </w:rPr>
            </w:pPr>
            <w:r>
              <w:rPr>
                <w:rFonts w:ascii="Arial" w:cs="Arial" w:eastAsia="Arial" w:hAnsi="Arial"/>
                <w:sz w:val="16"/>
                <w:szCs w:val="16"/>
                <w:color w:val="auto"/>
              </w:rPr>
              <w:t>700,000</w:t>
            </w:r>
          </w:p>
        </w:tc>
      </w:tr>
      <w:tr>
        <w:trPr>
          <w:trHeight w:val="253"/>
        </w:trPr>
        <w:tc>
          <w:tcPr>
            <w:tcW w:w="292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51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FCE9E8"/>
          </w:tcPr>
          <w:p>
            <w:pPr>
              <w:jc w:val="right"/>
              <w:ind w:right="1059"/>
              <w:spacing w:after="0"/>
              <w:rPr>
                <w:sz w:val="20"/>
                <w:szCs w:val="20"/>
                <w:color w:val="auto"/>
              </w:rPr>
            </w:pPr>
            <w:r>
              <w:rPr>
                <w:rFonts w:ascii="Arial" w:cs="Arial" w:eastAsia="Arial" w:hAnsi="Arial"/>
                <w:sz w:val="16"/>
                <w:szCs w:val="16"/>
                <w:color w:val="auto"/>
              </w:rPr>
              <w:t>800,000</w:t>
            </w:r>
          </w:p>
        </w:tc>
      </w:tr>
      <w:tr>
        <w:trPr>
          <w:trHeight w:val="233"/>
        </w:trPr>
        <w:tc>
          <w:tcPr>
            <w:tcW w:w="292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51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059"/>
              <w:spacing w:after="0"/>
              <w:rPr>
                <w:sz w:val="20"/>
                <w:szCs w:val="20"/>
                <w:color w:val="auto"/>
              </w:rPr>
            </w:pPr>
            <w:r>
              <w:rPr>
                <w:rFonts w:ascii="Arial" w:cs="Arial" w:eastAsia="Arial" w:hAnsi="Arial"/>
                <w:sz w:val="16"/>
                <w:szCs w:val="16"/>
                <w:color w:val="auto"/>
              </w:rPr>
              <w:t>700,000</w:t>
            </w:r>
          </w:p>
        </w:tc>
      </w:tr>
      <w:tr>
        <w:trPr>
          <w:trHeight w:val="253"/>
        </w:trPr>
        <w:tc>
          <w:tcPr>
            <w:tcW w:w="292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51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FCE9E8"/>
          </w:tcPr>
          <w:p>
            <w:pPr>
              <w:jc w:val="right"/>
              <w:ind w:right="1059"/>
              <w:spacing w:after="0"/>
              <w:rPr>
                <w:sz w:val="20"/>
                <w:szCs w:val="20"/>
                <w:color w:val="auto"/>
              </w:rPr>
            </w:pPr>
            <w:r>
              <w:rPr>
                <w:rFonts w:ascii="Arial" w:cs="Arial" w:eastAsia="Arial" w:hAnsi="Arial"/>
                <w:sz w:val="16"/>
                <w:szCs w:val="16"/>
                <w:color w:val="auto"/>
              </w:rPr>
              <w:t>650,000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right="20" w:hanging="291"/>
        <w:spacing w:after="0" w:line="218" w:lineRule="auto"/>
        <w:tabs>
          <w:tab w:leader="none" w:pos="96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Effective April 16, 2020, in response to industry conditions created by the COVID-19 pandemic, the Company implemented a 20% deferral of base salary for each of our NEOs. In addition, Mr. Scott’s base salary was reduced by 10%, and each of our other NEOs’ base salaries were reduced by 5%, for the remainder of 2020. The salary deferrals and salary reductions were discontinued for our NEOs, effective as of November 16, 2020 based on the Compensation Committee’s assessment that business conditions had improved and that the salary deferrals enacted for the Company’s global salaried employees could be repaid prior to December 31, 2020. The repayment of salary deferrals for the Company’s global salaried employees was a condition to the repayment of salary deferrals for the NEOs.</w:t>
      </w:r>
    </w:p>
    <w:p>
      <w:pPr>
        <w:spacing w:after="0" w:line="203" w:lineRule="exact"/>
        <w:rPr>
          <w:sz w:val="20"/>
          <w:szCs w:val="20"/>
          <w:color w:val="auto"/>
        </w:rPr>
      </w:pPr>
    </w:p>
    <w:p>
      <w:pPr>
        <w:ind w:left="660" w:right="240"/>
        <w:spacing w:after="0" w:line="260" w:lineRule="auto"/>
        <w:rPr>
          <w:sz w:val="20"/>
          <w:szCs w:val="20"/>
          <w:color w:val="auto"/>
        </w:rPr>
      </w:pPr>
      <w:r>
        <w:rPr>
          <w:rFonts w:ascii="Arial" w:cs="Arial" w:eastAsia="Arial" w:hAnsi="Arial"/>
          <w:sz w:val="16"/>
          <w:szCs w:val="16"/>
          <w:color w:val="auto"/>
        </w:rPr>
        <w:t>For 2021, as of March 1, the annual base salaries for our NEOs remain unchanged from the 2020 annual base salary rates (prior to the COVID-19-related deferrals and reductions).</w:t>
      </w:r>
    </w:p>
    <w:p>
      <w:pPr>
        <w:spacing w:after="0" w:line="400" w:lineRule="exact"/>
        <w:rPr>
          <w:sz w:val="20"/>
          <w:szCs w:val="20"/>
          <w:color w:val="auto"/>
        </w:rPr>
      </w:pPr>
    </w:p>
    <w:p>
      <w:pPr>
        <w:ind w:left="780" w:hanging="393"/>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Incentive Programs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 for Performance</w:t>
      </w:r>
    </w:p>
    <w:p>
      <w:pPr>
        <w:spacing w:after="0" w:line="124" w:lineRule="exact"/>
        <w:rPr>
          <w:sz w:val="20"/>
          <w:szCs w:val="20"/>
          <w:color w:val="auto"/>
        </w:rPr>
      </w:pPr>
    </w:p>
    <w:p>
      <w:pPr>
        <w:ind w:left="660" w:right="560"/>
        <w:spacing w:after="0" w:line="249" w:lineRule="auto"/>
        <w:rPr>
          <w:sz w:val="20"/>
          <w:szCs w:val="20"/>
          <w:color w:val="auto"/>
        </w:rPr>
      </w:pPr>
      <w:r>
        <w:rPr>
          <w:rFonts w:ascii="Arial" w:cs="Arial" w:eastAsia="Arial" w:hAnsi="Arial"/>
          <w:sz w:val="16"/>
          <w:szCs w:val="16"/>
          <w:color w:val="auto"/>
        </w:rPr>
        <w:t>All of the annual incentive opportunity and the majority (80%) of the long-term incentive opportunity are determined based on specific performance measures that drive achievement of our business strategy while ensuring sharp focus on critical results or that only have value if our stock price appreciates. In addition, as part of the Company’s long-term strategy for providing retirement benefits, the Company has historically granted time-based Career Shares; however, for 2020, this award opportunity was also subject to three performance conditions. In order to drive profitable growth with efficient capital management, we selected complementary performance measures (which assess earnings and capital management over annual or three-year periods) to use in our incentive plans for 2020:</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Measure</w:t>
            </w:r>
          </w:p>
        </w:tc>
        <w:tc>
          <w:tcPr>
            <w:tcW w:w="7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E2231A"/>
              </w:rPr>
              <w:t>Plan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Weighting</w:t>
            </w:r>
          </w:p>
        </w:tc>
        <w:tc>
          <w:tcPr>
            <w:tcW w:w="16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E2231A"/>
              </w:rPr>
              <w:t>Background</w:t>
            </w:r>
          </w:p>
        </w:tc>
        <w:tc>
          <w:tcPr>
            <w:tcW w:w="0" w:type="dxa"/>
            <w:vAlign w:val="bottom"/>
          </w:tcPr>
          <w:p>
            <w:pPr>
              <w:spacing w:after="0"/>
              <w:rPr>
                <w:sz w:val="1"/>
                <w:szCs w:val="1"/>
                <w:color w:val="auto"/>
              </w:rPr>
            </w:pPr>
          </w:p>
        </w:tc>
      </w:tr>
      <w:tr>
        <w:trPr>
          <w:trHeight w:val="238"/>
        </w:trPr>
        <w:tc>
          <w:tcPr>
            <w:tcW w:w="2220" w:type="dxa"/>
            <w:vAlign w:val="bottom"/>
            <w:shd w:val="clear" w:color="auto" w:fill="FCE9E8"/>
          </w:tcPr>
          <w:p>
            <w:pPr>
              <w:ind w:left="80"/>
              <w:spacing w:after="0" w:line="239" w:lineRule="exact"/>
              <w:rPr>
                <w:sz w:val="20"/>
                <w:szCs w:val="20"/>
                <w:color w:val="auto"/>
              </w:rPr>
            </w:pPr>
            <w:r>
              <w:rPr>
                <w:rFonts w:ascii="Arial" w:cs="Arial" w:eastAsia="Arial" w:hAnsi="Arial"/>
                <w:sz w:val="16"/>
                <w:szCs w:val="16"/>
                <w:color w:val="auto"/>
                <w:w w:val="98"/>
              </w:rPr>
              <w:t>Adjusted Operating Income</w:t>
            </w:r>
            <w:r>
              <w:rPr>
                <w:rFonts w:ascii="Arial" w:cs="Arial" w:eastAsia="Arial" w:hAnsi="Arial"/>
                <w:sz w:val="27"/>
                <w:szCs w:val="27"/>
                <w:color w:val="auto"/>
                <w:w w:val="98"/>
                <w:vertAlign w:val="superscript"/>
              </w:rPr>
              <w:t>(1)</w:t>
            </w:r>
          </w:p>
        </w:tc>
        <w:tc>
          <w:tcPr>
            <w:tcW w:w="720" w:type="dxa"/>
            <w:vAlign w:val="bottom"/>
            <w:shd w:val="clear" w:color="auto" w:fill="FCE9E8"/>
          </w:tcPr>
          <w:p>
            <w:pPr>
              <w:jc w:val="center"/>
              <w:ind w:left="21"/>
              <w:spacing w:after="0"/>
              <w:rPr>
                <w:sz w:val="20"/>
                <w:szCs w:val="20"/>
                <w:color w:val="auto"/>
              </w:rPr>
            </w:pPr>
            <w:r>
              <w:rPr>
                <w:rFonts w:ascii="Arial" w:cs="Arial" w:eastAsia="Arial" w:hAnsi="Arial"/>
                <w:sz w:val="16"/>
                <w:szCs w:val="16"/>
                <w:color w:val="auto"/>
              </w:rPr>
              <w:t>AIP</w:t>
            </w:r>
          </w:p>
        </w:tc>
        <w:tc>
          <w:tcPr>
            <w:tcW w:w="12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w:t>
            </w:r>
          </w:p>
        </w:tc>
        <w:tc>
          <w:tcPr>
            <w:tcW w:w="562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Pre-tax income before equity income, interest, other expense, restructuring</w:t>
            </w:r>
          </w:p>
        </w:tc>
        <w:tc>
          <w:tcPr>
            <w:tcW w:w="0" w:type="dxa"/>
            <w:vAlign w:val="bottom"/>
          </w:tcPr>
          <w:p>
            <w:pPr>
              <w:spacing w:after="0"/>
              <w:rPr>
                <w:sz w:val="1"/>
                <w:szCs w:val="1"/>
                <w:color w:val="auto"/>
              </w:rPr>
            </w:pPr>
          </w:p>
        </w:tc>
      </w:tr>
      <w:tr>
        <w:trPr>
          <w:trHeight w:val="195"/>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costs and other special items.</w:t>
            </w:r>
          </w:p>
        </w:tc>
        <w:tc>
          <w:tcPr>
            <w:tcW w:w="0" w:type="dxa"/>
            <w:vAlign w:val="bottom"/>
          </w:tcPr>
          <w:p>
            <w:pPr>
              <w:spacing w:after="0"/>
              <w:rPr>
                <w:sz w:val="1"/>
                <w:szCs w:val="1"/>
                <w:color w:val="auto"/>
              </w:rPr>
            </w:pPr>
          </w:p>
        </w:tc>
      </w:tr>
      <w:tr>
        <w:trPr>
          <w:trHeight w:val="305"/>
        </w:trPr>
        <w:tc>
          <w:tcPr>
            <w:tcW w:w="2220" w:type="dxa"/>
            <w:vAlign w:val="bottom"/>
            <w:shd w:val="clear" w:color="auto" w:fill="FCE9E8"/>
          </w:tcPr>
          <w:p>
            <w:pPr>
              <w:spacing w:after="0"/>
              <w:rPr>
                <w:sz w:val="24"/>
                <w:szCs w:val="24"/>
                <w:color w:val="auto"/>
              </w:rPr>
            </w:pPr>
          </w:p>
        </w:tc>
        <w:tc>
          <w:tcPr>
            <w:tcW w:w="720" w:type="dxa"/>
            <w:vAlign w:val="bottom"/>
            <w:shd w:val="clear" w:color="auto" w:fill="FCE9E8"/>
          </w:tcPr>
          <w:p>
            <w:pPr>
              <w:spacing w:after="0"/>
              <w:rPr>
                <w:sz w:val="24"/>
                <w:szCs w:val="24"/>
                <w:color w:val="auto"/>
              </w:rPr>
            </w:pPr>
          </w:p>
        </w:tc>
        <w:tc>
          <w:tcPr>
            <w:tcW w:w="1200" w:type="dxa"/>
            <w:vAlign w:val="bottom"/>
            <w:shd w:val="clear" w:color="auto" w:fill="FCE9E8"/>
          </w:tcPr>
          <w:p>
            <w:pPr>
              <w:spacing w:after="0"/>
              <w:rPr>
                <w:sz w:val="24"/>
                <w:szCs w:val="24"/>
                <w:color w:val="auto"/>
              </w:rPr>
            </w:pPr>
          </w:p>
        </w:tc>
        <w:tc>
          <w:tcPr>
            <w:tcW w:w="5780" w:type="dxa"/>
            <w:vAlign w:val="bottom"/>
            <w:gridSpan w:val="2"/>
            <w:shd w:val="clear" w:color="auto" w:fill="FCE9E8"/>
          </w:tcPr>
          <w:p>
            <w:pPr>
              <w:ind w:left="60"/>
              <w:spacing w:after="0"/>
              <w:rPr>
                <w:sz w:val="20"/>
                <w:szCs w:val="20"/>
                <w:color w:val="auto"/>
              </w:rPr>
            </w:pPr>
            <w:r>
              <w:rPr>
                <w:rFonts w:ascii="Arial" w:cs="Arial" w:eastAsia="Arial" w:hAnsi="Arial"/>
                <w:sz w:val="16"/>
                <w:szCs w:val="16"/>
                <w:color w:val="auto"/>
              </w:rPr>
              <w:t>• Adjusted Operating Income is a well understood operating metric that can be</w:t>
            </w:r>
          </w:p>
        </w:tc>
        <w:tc>
          <w:tcPr>
            <w:tcW w:w="0" w:type="dxa"/>
            <w:vAlign w:val="bottom"/>
          </w:tcPr>
          <w:p>
            <w:pPr>
              <w:spacing w:after="0"/>
              <w:rPr>
                <w:sz w:val="1"/>
                <w:szCs w:val="1"/>
                <w:color w:val="auto"/>
              </w:rPr>
            </w:pPr>
          </w:p>
        </w:tc>
      </w:tr>
      <w:tr>
        <w:trPr>
          <w:trHeight w:val="195"/>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influenced by all levels of employees of the Company.</w:t>
            </w:r>
          </w:p>
        </w:tc>
        <w:tc>
          <w:tcPr>
            <w:tcW w:w="0" w:type="dxa"/>
            <w:vAlign w:val="bottom"/>
          </w:tcPr>
          <w:p>
            <w:pPr>
              <w:spacing w:after="0"/>
              <w:rPr>
                <w:sz w:val="1"/>
                <w:szCs w:val="1"/>
                <w:color w:val="auto"/>
              </w:rPr>
            </w:pPr>
          </w:p>
        </w:tc>
      </w:tr>
      <w:tr>
        <w:trPr>
          <w:trHeight w:val="311"/>
        </w:trPr>
        <w:tc>
          <w:tcPr>
            <w:tcW w:w="2220" w:type="dxa"/>
            <w:vAlign w:val="bottom"/>
            <w:shd w:val="clear" w:color="auto" w:fill="FCE9E8"/>
          </w:tcPr>
          <w:p>
            <w:pPr>
              <w:spacing w:after="0"/>
              <w:rPr>
                <w:sz w:val="24"/>
                <w:szCs w:val="24"/>
                <w:color w:val="auto"/>
              </w:rPr>
            </w:pPr>
          </w:p>
        </w:tc>
        <w:tc>
          <w:tcPr>
            <w:tcW w:w="720" w:type="dxa"/>
            <w:vAlign w:val="bottom"/>
            <w:shd w:val="clear" w:color="auto" w:fill="FCE9E8"/>
          </w:tcPr>
          <w:p>
            <w:pPr>
              <w:spacing w:after="0"/>
              <w:rPr>
                <w:sz w:val="24"/>
                <w:szCs w:val="24"/>
                <w:color w:val="auto"/>
              </w:rPr>
            </w:pPr>
          </w:p>
        </w:tc>
        <w:tc>
          <w:tcPr>
            <w:tcW w:w="1200" w:type="dxa"/>
            <w:vAlign w:val="bottom"/>
            <w:shd w:val="clear" w:color="auto" w:fill="FCE9E8"/>
          </w:tcPr>
          <w:p>
            <w:pPr>
              <w:spacing w:after="0"/>
              <w:rPr>
                <w:sz w:val="24"/>
                <w:szCs w:val="24"/>
                <w:color w:val="auto"/>
              </w:rPr>
            </w:pP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w:t>
            </w:r>
          </w:p>
        </w:tc>
        <w:tc>
          <w:tcPr>
            <w:tcW w:w="5620" w:type="dxa"/>
            <w:vAlign w:val="bottom"/>
            <w:shd w:val="clear" w:color="auto" w:fill="FCE9E8"/>
          </w:tcPr>
          <w:p>
            <w:pPr>
              <w:ind w:left="40"/>
              <w:spacing w:after="0"/>
              <w:rPr>
                <w:sz w:val="20"/>
                <w:szCs w:val="20"/>
                <w:color w:val="auto"/>
              </w:rPr>
            </w:pPr>
            <w:r>
              <w:rPr>
                <w:rFonts w:ascii="Arial" w:cs="Arial" w:eastAsia="Arial" w:hAnsi="Arial"/>
                <w:sz w:val="16"/>
                <w:szCs w:val="16"/>
                <w:color w:val="auto"/>
              </w:rPr>
              <w:t>Provides motivation to maximize earnings from current operations.</w:t>
            </w:r>
          </w:p>
        </w:tc>
        <w:tc>
          <w:tcPr>
            <w:tcW w:w="0" w:type="dxa"/>
            <w:vAlign w:val="bottom"/>
          </w:tcPr>
          <w:p>
            <w:pPr>
              <w:spacing w:after="0"/>
              <w:rPr>
                <w:sz w:val="1"/>
                <w:szCs w:val="1"/>
                <w:color w:val="auto"/>
              </w:rPr>
            </w:pPr>
          </w:p>
        </w:tc>
      </w:tr>
      <w:tr>
        <w:trPr>
          <w:trHeight w:val="73"/>
        </w:trPr>
        <w:tc>
          <w:tcPr>
            <w:tcW w:w="2220" w:type="dxa"/>
            <w:vAlign w:val="bottom"/>
            <w:shd w:val="clear" w:color="auto" w:fill="FCE9E8"/>
          </w:tcPr>
          <w:p>
            <w:pPr>
              <w:spacing w:after="0"/>
              <w:rPr>
                <w:sz w:val="6"/>
                <w:szCs w:val="6"/>
                <w:color w:val="auto"/>
              </w:rPr>
            </w:pPr>
          </w:p>
        </w:tc>
        <w:tc>
          <w:tcPr>
            <w:tcW w:w="720" w:type="dxa"/>
            <w:vAlign w:val="bottom"/>
            <w:shd w:val="clear" w:color="auto" w:fill="FCE9E8"/>
          </w:tcPr>
          <w:p>
            <w:pPr>
              <w:spacing w:after="0"/>
              <w:rPr>
                <w:sz w:val="6"/>
                <w:szCs w:val="6"/>
                <w:color w:val="auto"/>
              </w:rPr>
            </w:pPr>
          </w:p>
        </w:tc>
        <w:tc>
          <w:tcPr>
            <w:tcW w:w="1200" w:type="dxa"/>
            <w:vAlign w:val="bottom"/>
            <w:shd w:val="clear" w:color="auto" w:fill="FCE9E8"/>
          </w:tcPr>
          <w:p>
            <w:pPr>
              <w:spacing w:after="0"/>
              <w:rPr>
                <w:sz w:val="6"/>
                <w:szCs w:val="6"/>
                <w:color w:val="auto"/>
              </w:rPr>
            </w:pPr>
          </w:p>
        </w:tc>
        <w:tc>
          <w:tcPr>
            <w:tcW w:w="160" w:type="dxa"/>
            <w:vAlign w:val="bottom"/>
            <w:shd w:val="clear" w:color="auto" w:fill="FCE9E8"/>
          </w:tcPr>
          <w:p>
            <w:pPr>
              <w:spacing w:after="0"/>
              <w:rPr>
                <w:sz w:val="6"/>
                <w:szCs w:val="6"/>
                <w:color w:val="auto"/>
              </w:rPr>
            </w:pPr>
          </w:p>
        </w:tc>
        <w:tc>
          <w:tcPr>
            <w:tcW w:w="5620" w:type="dxa"/>
            <w:vAlign w:val="bottom"/>
            <w:shd w:val="clear" w:color="auto" w:fill="FCE9E8"/>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220" w:type="dxa"/>
            <w:vAlign w:val="bottom"/>
          </w:tcPr>
          <w:p>
            <w:pPr>
              <w:ind w:left="80"/>
              <w:spacing w:after="0"/>
              <w:rPr>
                <w:sz w:val="20"/>
                <w:szCs w:val="20"/>
                <w:color w:val="auto"/>
              </w:rPr>
            </w:pPr>
            <w:r>
              <w:rPr>
                <w:rFonts w:ascii="Arial" w:cs="Arial" w:eastAsia="Arial" w:hAnsi="Arial"/>
                <w:sz w:val="16"/>
                <w:szCs w:val="16"/>
                <w:color w:val="auto"/>
              </w:rPr>
              <w:t>Cumulative Adjusted</w:t>
            </w:r>
          </w:p>
        </w:tc>
        <w:tc>
          <w:tcPr>
            <w:tcW w:w="720" w:type="dxa"/>
            <w:vAlign w:val="bottom"/>
          </w:tcPr>
          <w:p>
            <w:pPr>
              <w:jc w:val="center"/>
              <w:ind w:left="1"/>
              <w:spacing w:after="0"/>
              <w:rPr>
                <w:sz w:val="20"/>
                <w:szCs w:val="20"/>
                <w:color w:val="auto"/>
              </w:rPr>
            </w:pPr>
            <w:r>
              <w:rPr>
                <w:rFonts w:ascii="Arial" w:cs="Arial" w:eastAsia="Arial" w:hAnsi="Arial"/>
                <w:sz w:val="16"/>
                <w:szCs w:val="16"/>
                <w:color w:val="auto"/>
                <w:w w:val="98"/>
              </w:rPr>
              <w:t>LTSIP</w:t>
            </w:r>
          </w:p>
        </w:tc>
        <w:tc>
          <w:tcPr>
            <w:tcW w:w="1200" w:type="dxa"/>
            <w:vAlign w:val="bottom"/>
          </w:tcPr>
          <w:p>
            <w:pPr>
              <w:jc w:val="center"/>
              <w:spacing w:after="0"/>
              <w:rPr>
                <w:sz w:val="20"/>
                <w:szCs w:val="20"/>
                <w:color w:val="auto"/>
              </w:rPr>
            </w:pPr>
            <w:r>
              <w:rPr>
                <w:rFonts w:ascii="Arial" w:cs="Arial" w:eastAsia="Arial" w:hAnsi="Arial"/>
                <w:sz w:val="16"/>
                <w:szCs w:val="16"/>
                <w:color w:val="auto"/>
              </w:rPr>
              <w:t>66 2/3% for</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5620" w:type="dxa"/>
            <w:vAlign w:val="bottom"/>
          </w:tcPr>
          <w:p>
            <w:pPr>
              <w:ind w:left="40"/>
              <w:spacing w:after="0"/>
              <w:rPr>
                <w:sz w:val="20"/>
                <w:szCs w:val="20"/>
                <w:color w:val="auto"/>
              </w:rPr>
            </w:pPr>
            <w:r>
              <w:rPr>
                <w:rFonts w:ascii="Arial" w:cs="Arial" w:eastAsia="Arial" w:hAnsi="Arial"/>
                <w:sz w:val="16"/>
                <w:szCs w:val="16"/>
                <w:color w:val="auto"/>
              </w:rPr>
              <w:t>Cumulative consolidated adjusted net income for the three-year performance</w:t>
            </w:r>
          </w:p>
        </w:tc>
        <w:tc>
          <w:tcPr>
            <w:tcW w:w="0" w:type="dxa"/>
            <w:vAlign w:val="bottom"/>
          </w:tcPr>
          <w:p>
            <w:pPr>
              <w:spacing w:after="0"/>
              <w:rPr>
                <w:sz w:val="1"/>
                <w:szCs w:val="1"/>
                <w:color w:val="auto"/>
              </w:rPr>
            </w:pPr>
          </w:p>
        </w:tc>
      </w:tr>
      <w:tr>
        <w:trPr>
          <w:trHeight w:val="189"/>
        </w:trPr>
        <w:tc>
          <w:tcPr>
            <w:tcW w:w="2220" w:type="dxa"/>
            <w:vAlign w:val="bottom"/>
          </w:tcPr>
          <w:p>
            <w:pPr>
              <w:ind w:left="80"/>
              <w:spacing w:after="0"/>
              <w:rPr>
                <w:sz w:val="20"/>
                <w:szCs w:val="20"/>
                <w:color w:val="auto"/>
              </w:rPr>
            </w:pPr>
            <w:r>
              <w:rPr>
                <w:rFonts w:ascii="Arial" w:cs="Arial" w:eastAsia="Arial" w:hAnsi="Arial"/>
                <w:sz w:val="16"/>
                <w:szCs w:val="16"/>
                <w:color w:val="auto"/>
              </w:rPr>
              <w:t>Pre-Tax Income</w:t>
            </w:r>
          </w:p>
        </w:tc>
        <w:tc>
          <w:tcPr>
            <w:tcW w:w="7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Performance</w:t>
            </w: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period (2020-2022) before a provision for income taxes, excluding certain</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transactions.</w:t>
            </w:r>
          </w:p>
        </w:tc>
        <w:tc>
          <w:tcPr>
            <w:tcW w:w="0" w:type="dxa"/>
            <w:vAlign w:val="bottom"/>
          </w:tcPr>
          <w:p>
            <w:pPr>
              <w:spacing w:after="0"/>
              <w:rPr>
                <w:sz w:val="1"/>
                <w:szCs w:val="1"/>
                <w:color w:val="auto"/>
              </w:rPr>
            </w:pPr>
          </w:p>
        </w:tc>
      </w:tr>
      <w:tr>
        <w:trPr>
          <w:trHeight w:val="305"/>
        </w:trPr>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5620" w:type="dxa"/>
            <w:vAlign w:val="bottom"/>
          </w:tcPr>
          <w:p>
            <w:pPr>
              <w:ind w:left="40"/>
              <w:spacing w:after="0"/>
              <w:rPr>
                <w:sz w:val="20"/>
                <w:szCs w:val="20"/>
                <w:color w:val="auto"/>
              </w:rPr>
            </w:pPr>
            <w:r>
              <w:rPr>
                <w:rFonts w:ascii="Arial" w:cs="Arial" w:eastAsia="Arial" w:hAnsi="Arial"/>
                <w:sz w:val="16"/>
                <w:szCs w:val="16"/>
                <w:color w:val="auto"/>
              </w:rPr>
              <w:t>Focuses on earnings generated from products sold, encouraging profitable</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revenue growth and efficient management of costs over time.</w:t>
            </w:r>
          </w:p>
        </w:tc>
        <w:tc>
          <w:tcPr>
            <w:tcW w:w="0" w:type="dxa"/>
            <w:vAlign w:val="bottom"/>
          </w:tcPr>
          <w:p>
            <w:pPr>
              <w:spacing w:after="0"/>
              <w:rPr>
                <w:sz w:val="1"/>
                <w:szCs w:val="1"/>
                <w:color w:val="auto"/>
              </w:rPr>
            </w:pPr>
          </w:p>
        </w:tc>
      </w:tr>
      <w:tr>
        <w:trPr>
          <w:trHeight w:val="73"/>
        </w:trPr>
        <w:tc>
          <w:tcPr>
            <w:tcW w:w="2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220" w:type="dxa"/>
            <w:vAlign w:val="bottom"/>
            <w:shd w:val="clear" w:color="auto" w:fill="FCE9E8"/>
          </w:tcPr>
          <w:p>
            <w:pPr>
              <w:ind w:left="80"/>
              <w:spacing w:after="0"/>
              <w:rPr>
                <w:sz w:val="20"/>
                <w:szCs w:val="20"/>
                <w:color w:val="auto"/>
              </w:rPr>
            </w:pPr>
            <w:r>
              <w:rPr>
                <w:rFonts w:ascii="Arial" w:cs="Arial" w:eastAsia="Arial" w:hAnsi="Arial"/>
                <w:sz w:val="16"/>
                <w:szCs w:val="16"/>
                <w:color w:val="auto"/>
              </w:rPr>
              <w:t>Relative TSR</w:t>
            </w:r>
          </w:p>
        </w:tc>
        <w:tc>
          <w:tcPr>
            <w:tcW w:w="720" w:type="dxa"/>
            <w:vAlign w:val="bottom"/>
            <w:shd w:val="clear" w:color="auto" w:fill="FCE9E8"/>
          </w:tcPr>
          <w:p>
            <w:pPr>
              <w:jc w:val="center"/>
              <w:ind w:left="1"/>
              <w:spacing w:after="0"/>
              <w:rPr>
                <w:sz w:val="20"/>
                <w:szCs w:val="20"/>
                <w:color w:val="auto"/>
              </w:rPr>
            </w:pPr>
            <w:r>
              <w:rPr>
                <w:rFonts w:ascii="Arial" w:cs="Arial" w:eastAsia="Arial" w:hAnsi="Arial"/>
                <w:sz w:val="16"/>
                <w:szCs w:val="16"/>
                <w:color w:val="auto"/>
                <w:w w:val="98"/>
              </w:rPr>
              <w:t>LTSIP</w:t>
            </w:r>
          </w:p>
        </w:tc>
        <w:tc>
          <w:tcPr>
            <w:tcW w:w="12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33 1/3% for</w:t>
            </w: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w:t>
            </w:r>
          </w:p>
        </w:tc>
        <w:tc>
          <w:tcPr>
            <w:tcW w:w="5620" w:type="dxa"/>
            <w:vAlign w:val="bottom"/>
            <w:shd w:val="clear" w:color="auto" w:fill="FCE9E8"/>
          </w:tcPr>
          <w:p>
            <w:pPr>
              <w:ind w:left="40"/>
              <w:spacing w:after="0"/>
              <w:rPr>
                <w:sz w:val="20"/>
                <w:szCs w:val="20"/>
                <w:color w:val="auto"/>
              </w:rPr>
            </w:pPr>
            <w:r>
              <w:rPr>
                <w:rFonts w:ascii="Arial" w:cs="Arial" w:eastAsia="Arial" w:hAnsi="Arial"/>
                <w:sz w:val="16"/>
                <w:szCs w:val="16"/>
                <w:color w:val="auto"/>
              </w:rPr>
              <w:t>Relative TSR for the 2020 Performance Share awards for the three-year</w:t>
            </w:r>
          </w:p>
        </w:tc>
        <w:tc>
          <w:tcPr>
            <w:tcW w:w="0" w:type="dxa"/>
            <w:vAlign w:val="bottom"/>
          </w:tcPr>
          <w:p>
            <w:pPr>
              <w:spacing w:after="0"/>
              <w:rPr>
                <w:sz w:val="1"/>
                <w:szCs w:val="1"/>
                <w:color w:val="auto"/>
              </w:rPr>
            </w:pPr>
          </w:p>
        </w:tc>
      </w:tr>
      <w:tr>
        <w:trPr>
          <w:trHeight w:val="189"/>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w:t>
            </w: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performance period (2020-2022) based on the TSR achieved by the</w:t>
            </w:r>
          </w:p>
        </w:tc>
        <w:tc>
          <w:tcPr>
            <w:tcW w:w="0" w:type="dxa"/>
            <w:vAlign w:val="bottom"/>
          </w:tcPr>
          <w:p>
            <w:pPr>
              <w:spacing w:after="0"/>
              <w:rPr>
                <w:sz w:val="1"/>
                <w:szCs w:val="1"/>
                <w:color w:val="auto"/>
              </w:rPr>
            </w:pPr>
          </w:p>
        </w:tc>
      </w:tr>
      <w:tr>
        <w:trPr>
          <w:trHeight w:val="189"/>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Shares and</w:t>
            </w: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Company relative to the TSR of a group of auto suppliers and industrial</w:t>
            </w:r>
          </w:p>
        </w:tc>
        <w:tc>
          <w:tcPr>
            <w:tcW w:w="0" w:type="dxa"/>
            <w:vAlign w:val="bottom"/>
          </w:tcPr>
          <w:p>
            <w:pPr>
              <w:spacing w:after="0"/>
              <w:rPr>
                <w:sz w:val="1"/>
                <w:szCs w:val="1"/>
                <w:color w:val="auto"/>
              </w:rPr>
            </w:pPr>
          </w:p>
        </w:tc>
      </w:tr>
      <w:tr>
        <w:trPr>
          <w:trHeight w:val="195"/>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Career Shares</w:t>
            </w: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companies over the performance period.</w:t>
            </w:r>
          </w:p>
        </w:tc>
        <w:tc>
          <w:tcPr>
            <w:tcW w:w="0" w:type="dxa"/>
            <w:vAlign w:val="bottom"/>
          </w:tcPr>
          <w:p>
            <w:pPr>
              <w:spacing w:after="0"/>
              <w:rPr>
                <w:sz w:val="1"/>
                <w:szCs w:val="1"/>
                <w:color w:val="auto"/>
              </w:rPr>
            </w:pPr>
          </w:p>
        </w:tc>
      </w:tr>
      <w:tr>
        <w:trPr>
          <w:trHeight w:val="305"/>
        </w:trPr>
        <w:tc>
          <w:tcPr>
            <w:tcW w:w="2220" w:type="dxa"/>
            <w:vAlign w:val="bottom"/>
            <w:shd w:val="clear" w:color="auto" w:fill="FCE9E8"/>
          </w:tcPr>
          <w:p>
            <w:pPr>
              <w:spacing w:after="0"/>
              <w:rPr>
                <w:sz w:val="24"/>
                <w:szCs w:val="24"/>
                <w:color w:val="auto"/>
              </w:rPr>
            </w:pPr>
          </w:p>
        </w:tc>
        <w:tc>
          <w:tcPr>
            <w:tcW w:w="720" w:type="dxa"/>
            <w:vAlign w:val="bottom"/>
            <w:shd w:val="clear" w:color="auto" w:fill="FCE9E8"/>
          </w:tcPr>
          <w:p>
            <w:pPr>
              <w:spacing w:after="0"/>
              <w:rPr>
                <w:sz w:val="24"/>
                <w:szCs w:val="24"/>
                <w:color w:val="auto"/>
              </w:rPr>
            </w:pPr>
          </w:p>
        </w:tc>
        <w:tc>
          <w:tcPr>
            <w:tcW w:w="1200" w:type="dxa"/>
            <w:vAlign w:val="bottom"/>
            <w:shd w:val="clear" w:color="auto" w:fill="FCE9E8"/>
          </w:tcPr>
          <w:p>
            <w:pPr>
              <w:spacing w:after="0"/>
              <w:rPr>
                <w:sz w:val="24"/>
                <w:szCs w:val="24"/>
                <w:color w:val="auto"/>
              </w:rPr>
            </w:pPr>
          </w:p>
        </w:tc>
        <w:tc>
          <w:tcPr>
            <w:tcW w:w="5780" w:type="dxa"/>
            <w:vAlign w:val="bottom"/>
            <w:gridSpan w:val="2"/>
            <w:shd w:val="clear" w:color="auto" w:fill="FCE9E8"/>
          </w:tcPr>
          <w:p>
            <w:pPr>
              <w:ind w:left="60"/>
              <w:spacing w:after="0"/>
              <w:rPr>
                <w:sz w:val="20"/>
                <w:szCs w:val="20"/>
                <w:color w:val="auto"/>
              </w:rPr>
            </w:pPr>
            <w:r>
              <w:rPr>
                <w:rFonts w:ascii="Arial" w:cs="Arial" w:eastAsia="Arial" w:hAnsi="Arial"/>
                <w:sz w:val="16"/>
                <w:szCs w:val="16"/>
                <w:color w:val="auto"/>
              </w:rPr>
              <w:t>• 2020 Career Share awards earned in part based on the TSR achieved by the</w:t>
            </w:r>
          </w:p>
        </w:tc>
        <w:tc>
          <w:tcPr>
            <w:tcW w:w="0" w:type="dxa"/>
            <w:vAlign w:val="bottom"/>
          </w:tcPr>
          <w:p>
            <w:pPr>
              <w:spacing w:after="0"/>
              <w:rPr>
                <w:sz w:val="1"/>
                <w:szCs w:val="1"/>
                <w:color w:val="auto"/>
              </w:rPr>
            </w:pPr>
          </w:p>
        </w:tc>
      </w:tr>
      <w:tr>
        <w:trPr>
          <w:trHeight w:val="189"/>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Company relative to the TSR of a group of auto suppliers and industrial</w:t>
            </w:r>
          </w:p>
        </w:tc>
        <w:tc>
          <w:tcPr>
            <w:tcW w:w="0" w:type="dxa"/>
            <w:vAlign w:val="bottom"/>
          </w:tcPr>
          <w:p>
            <w:pPr>
              <w:spacing w:after="0"/>
              <w:rPr>
                <w:sz w:val="1"/>
                <w:szCs w:val="1"/>
                <w:color w:val="auto"/>
              </w:rPr>
            </w:pPr>
          </w:p>
        </w:tc>
      </w:tr>
      <w:tr>
        <w:trPr>
          <w:trHeight w:val="189"/>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companies over the performance period (November 1, 2020 through the end</w:t>
            </w:r>
          </w:p>
        </w:tc>
        <w:tc>
          <w:tcPr>
            <w:tcW w:w="0" w:type="dxa"/>
            <w:vAlign w:val="bottom"/>
          </w:tcPr>
          <w:p>
            <w:pPr>
              <w:spacing w:after="0"/>
              <w:rPr>
                <w:sz w:val="1"/>
                <w:szCs w:val="1"/>
                <w:color w:val="auto"/>
              </w:rPr>
            </w:pPr>
          </w:p>
        </w:tc>
      </w:tr>
      <w:tr>
        <w:trPr>
          <w:trHeight w:val="195"/>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of the 2021 calendar year).</w:t>
            </w:r>
          </w:p>
        </w:tc>
        <w:tc>
          <w:tcPr>
            <w:tcW w:w="0" w:type="dxa"/>
            <w:vAlign w:val="bottom"/>
          </w:tcPr>
          <w:p>
            <w:pPr>
              <w:spacing w:after="0"/>
              <w:rPr>
                <w:sz w:val="1"/>
                <w:szCs w:val="1"/>
                <w:color w:val="auto"/>
              </w:rPr>
            </w:pPr>
          </w:p>
        </w:tc>
      </w:tr>
      <w:tr>
        <w:trPr>
          <w:trHeight w:val="305"/>
        </w:trPr>
        <w:tc>
          <w:tcPr>
            <w:tcW w:w="2220" w:type="dxa"/>
            <w:vAlign w:val="bottom"/>
            <w:shd w:val="clear" w:color="auto" w:fill="FCE9E8"/>
          </w:tcPr>
          <w:p>
            <w:pPr>
              <w:spacing w:after="0"/>
              <w:rPr>
                <w:sz w:val="24"/>
                <w:szCs w:val="24"/>
                <w:color w:val="auto"/>
              </w:rPr>
            </w:pPr>
          </w:p>
        </w:tc>
        <w:tc>
          <w:tcPr>
            <w:tcW w:w="720" w:type="dxa"/>
            <w:vAlign w:val="bottom"/>
            <w:shd w:val="clear" w:color="auto" w:fill="FCE9E8"/>
          </w:tcPr>
          <w:p>
            <w:pPr>
              <w:spacing w:after="0"/>
              <w:rPr>
                <w:sz w:val="24"/>
                <w:szCs w:val="24"/>
                <w:color w:val="auto"/>
              </w:rPr>
            </w:pPr>
          </w:p>
        </w:tc>
        <w:tc>
          <w:tcPr>
            <w:tcW w:w="1200" w:type="dxa"/>
            <w:vAlign w:val="bottom"/>
            <w:shd w:val="clear" w:color="auto" w:fill="FCE9E8"/>
          </w:tcPr>
          <w:p>
            <w:pPr>
              <w:spacing w:after="0"/>
              <w:rPr>
                <w:sz w:val="24"/>
                <w:szCs w:val="24"/>
                <w:color w:val="auto"/>
              </w:rPr>
            </w:pP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rPr>
              <w:t>•</w:t>
            </w:r>
          </w:p>
        </w:tc>
        <w:tc>
          <w:tcPr>
            <w:tcW w:w="5620" w:type="dxa"/>
            <w:vAlign w:val="bottom"/>
            <w:shd w:val="clear" w:color="auto" w:fill="FCE9E8"/>
          </w:tcPr>
          <w:p>
            <w:pPr>
              <w:ind w:left="40"/>
              <w:spacing w:after="0"/>
              <w:rPr>
                <w:sz w:val="20"/>
                <w:szCs w:val="20"/>
                <w:color w:val="auto"/>
              </w:rPr>
            </w:pPr>
            <w:r>
              <w:rPr>
                <w:rFonts w:ascii="Arial" w:cs="Arial" w:eastAsia="Arial" w:hAnsi="Arial"/>
                <w:sz w:val="16"/>
                <w:szCs w:val="16"/>
                <w:color w:val="auto"/>
              </w:rPr>
              <w:t>Focuses on alignment of executive pay with value creation for our</w:t>
            </w:r>
          </w:p>
        </w:tc>
        <w:tc>
          <w:tcPr>
            <w:tcW w:w="0" w:type="dxa"/>
            <w:vAlign w:val="bottom"/>
          </w:tcPr>
          <w:p>
            <w:pPr>
              <w:spacing w:after="0"/>
              <w:rPr>
                <w:sz w:val="1"/>
                <w:szCs w:val="1"/>
                <w:color w:val="auto"/>
              </w:rPr>
            </w:pPr>
          </w:p>
        </w:tc>
      </w:tr>
      <w:tr>
        <w:trPr>
          <w:trHeight w:val="195"/>
        </w:trPr>
        <w:tc>
          <w:tcPr>
            <w:tcW w:w="222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1200" w:type="dxa"/>
            <w:vAlign w:val="bottom"/>
            <w:shd w:val="clear" w:color="auto" w:fill="FCE9E8"/>
          </w:tcPr>
          <w:p>
            <w:pPr>
              <w:spacing w:after="0"/>
              <w:rPr>
                <w:sz w:val="16"/>
                <w:szCs w:val="16"/>
                <w:color w:val="auto"/>
              </w:rPr>
            </w:pPr>
          </w:p>
        </w:tc>
        <w:tc>
          <w:tcPr>
            <w:tcW w:w="160" w:type="dxa"/>
            <w:vAlign w:val="bottom"/>
            <w:shd w:val="clear" w:color="auto" w:fill="FCE9E8"/>
          </w:tcPr>
          <w:p>
            <w:pPr>
              <w:spacing w:after="0"/>
              <w:rPr>
                <w:sz w:val="16"/>
                <w:szCs w:val="16"/>
                <w:color w:val="auto"/>
              </w:rPr>
            </w:pPr>
          </w:p>
        </w:tc>
        <w:tc>
          <w:tcPr>
            <w:tcW w:w="5620" w:type="dxa"/>
            <w:vAlign w:val="bottom"/>
            <w:shd w:val="clear" w:color="auto" w:fill="FCE9E8"/>
          </w:tcPr>
          <w:p>
            <w:pPr>
              <w:ind w:left="60"/>
              <w:spacing w:after="0"/>
              <w:rPr>
                <w:sz w:val="20"/>
                <w:szCs w:val="20"/>
                <w:color w:val="auto"/>
              </w:rPr>
            </w:pPr>
            <w:r>
              <w:rPr>
                <w:rFonts w:ascii="Arial" w:cs="Arial" w:eastAsia="Arial" w:hAnsi="Arial"/>
                <w:sz w:val="16"/>
                <w:szCs w:val="16"/>
                <w:color w:val="auto"/>
              </w:rPr>
              <w:t>shareholders relative to our peers.</w:t>
            </w:r>
          </w:p>
        </w:tc>
        <w:tc>
          <w:tcPr>
            <w:tcW w:w="0" w:type="dxa"/>
            <w:vAlign w:val="bottom"/>
          </w:tcPr>
          <w:p>
            <w:pPr>
              <w:spacing w:after="0"/>
              <w:rPr>
                <w:sz w:val="1"/>
                <w:szCs w:val="1"/>
                <w:color w:val="auto"/>
              </w:rPr>
            </w:pPr>
          </w:p>
        </w:tc>
      </w:tr>
      <w:tr>
        <w:trPr>
          <w:trHeight w:val="74"/>
        </w:trPr>
        <w:tc>
          <w:tcPr>
            <w:tcW w:w="2220" w:type="dxa"/>
            <w:vAlign w:val="bottom"/>
            <w:shd w:val="clear" w:color="auto" w:fill="FCE9E8"/>
          </w:tcPr>
          <w:p>
            <w:pPr>
              <w:spacing w:after="0"/>
              <w:rPr>
                <w:sz w:val="6"/>
                <w:szCs w:val="6"/>
                <w:color w:val="auto"/>
              </w:rPr>
            </w:pPr>
          </w:p>
        </w:tc>
        <w:tc>
          <w:tcPr>
            <w:tcW w:w="720" w:type="dxa"/>
            <w:vAlign w:val="bottom"/>
            <w:shd w:val="clear" w:color="auto" w:fill="FCE9E8"/>
          </w:tcPr>
          <w:p>
            <w:pPr>
              <w:spacing w:after="0"/>
              <w:rPr>
                <w:sz w:val="6"/>
                <w:szCs w:val="6"/>
                <w:color w:val="auto"/>
              </w:rPr>
            </w:pPr>
          </w:p>
        </w:tc>
        <w:tc>
          <w:tcPr>
            <w:tcW w:w="1200" w:type="dxa"/>
            <w:vAlign w:val="bottom"/>
            <w:shd w:val="clear" w:color="auto" w:fill="FCE9E8"/>
          </w:tcPr>
          <w:p>
            <w:pPr>
              <w:spacing w:after="0"/>
              <w:rPr>
                <w:sz w:val="6"/>
                <w:szCs w:val="6"/>
                <w:color w:val="auto"/>
              </w:rPr>
            </w:pPr>
          </w:p>
        </w:tc>
        <w:tc>
          <w:tcPr>
            <w:tcW w:w="160" w:type="dxa"/>
            <w:vAlign w:val="bottom"/>
            <w:shd w:val="clear" w:color="auto" w:fill="FCE9E8"/>
          </w:tcPr>
          <w:p>
            <w:pPr>
              <w:spacing w:after="0"/>
              <w:rPr>
                <w:sz w:val="6"/>
                <w:szCs w:val="6"/>
                <w:color w:val="auto"/>
              </w:rPr>
            </w:pPr>
          </w:p>
        </w:tc>
        <w:tc>
          <w:tcPr>
            <w:tcW w:w="5620" w:type="dxa"/>
            <w:vAlign w:val="bottom"/>
            <w:shd w:val="clear" w:color="auto" w:fill="FCE9E8"/>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220" w:type="dxa"/>
            <w:vAlign w:val="bottom"/>
          </w:tcPr>
          <w:p>
            <w:pPr>
              <w:ind w:left="80"/>
              <w:spacing w:after="0"/>
              <w:rPr>
                <w:sz w:val="20"/>
                <w:szCs w:val="20"/>
                <w:color w:val="auto"/>
              </w:rPr>
            </w:pPr>
            <w:r>
              <w:rPr>
                <w:rFonts w:ascii="Arial" w:cs="Arial" w:eastAsia="Arial" w:hAnsi="Arial"/>
                <w:sz w:val="16"/>
                <w:szCs w:val="16"/>
                <w:color w:val="auto"/>
              </w:rPr>
              <w:t>Total Liquidity</w:t>
            </w:r>
          </w:p>
        </w:tc>
        <w:tc>
          <w:tcPr>
            <w:tcW w:w="720" w:type="dxa"/>
            <w:vAlign w:val="bottom"/>
          </w:tcPr>
          <w:p>
            <w:pPr>
              <w:jc w:val="center"/>
              <w:ind w:left="1"/>
              <w:spacing w:after="0"/>
              <w:rPr>
                <w:sz w:val="20"/>
                <w:szCs w:val="20"/>
                <w:color w:val="auto"/>
              </w:rPr>
            </w:pPr>
            <w:r>
              <w:rPr>
                <w:rFonts w:ascii="Arial" w:cs="Arial" w:eastAsia="Arial" w:hAnsi="Arial"/>
                <w:sz w:val="16"/>
                <w:szCs w:val="16"/>
                <w:color w:val="auto"/>
                <w:w w:val="98"/>
              </w:rPr>
              <w:t>LTSIP</w:t>
            </w:r>
          </w:p>
        </w:tc>
        <w:tc>
          <w:tcPr>
            <w:tcW w:w="1200" w:type="dxa"/>
            <w:vAlign w:val="bottom"/>
          </w:tcPr>
          <w:p>
            <w:pPr>
              <w:jc w:val="center"/>
              <w:spacing w:after="0"/>
              <w:rPr>
                <w:sz w:val="20"/>
                <w:szCs w:val="20"/>
                <w:color w:val="auto"/>
              </w:rPr>
            </w:pPr>
            <w:r>
              <w:rPr>
                <w:rFonts w:ascii="Arial" w:cs="Arial" w:eastAsia="Arial" w:hAnsi="Arial"/>
                <w:sz w:val="16"/>
                <w:szCs w:val="16"/>
                <w:color w:val="auto"/>
              </w:rPr>
              <w:t>33 1/3% for</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5620" w:type="dxa"/>
            <w:vAlign w:val="bottom"/>
          </w:tcPr>
          <w:p>
            <w:pPr>
              <w:ind w:left="40"/>
              <w:spacing w:after="0"/>
              <w:rPr>
                <w:sz w:val="20"/>
                <w:szCs w:val="20"/>
                <w:color w:val="auto"/>
              </w:rPr>
            </w:pPr>
            <w:r>
              <w:rPr>
                <w:rFonts w:ascii="Arial" w:cs="Arial" w:eastAsia="Arial" w:hAnsi="Arial"/>
                <w:sz w:val="16"/>
                <w:szCs w:val="16"/>
                <w:color w:val="auto"/>
              </w:rPr>
              <w:t>Based on the Company’s cash and cash equivalents on hand, plus available</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Career Shares</w:t>
            </w: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borrowing capacity under the Company’s committed revolving credit facility,</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measured as of December 31, 2021.</w:t>
            </w:r>
          </w:p>
        </w:tc>
        <w:tc>
          <w:tcPr>
            <w:tcW w:w="0" w:type="dxa"/>
            <w:vAlign w:val="bottom"/>
          </w:tcPr>
          <w:p>
            <w:pPr>
              <w:spacing w:after="0"/>
              <w:rPr>
                <w:sz w:val="1"/>
                <w:szCs w:val="1"/>
                <w:color w:val="auto"/>
              </w:rPr>
            </w:pPr>
          </w:p>
        </w:tc>
      </w:tr>
      <w:tr>
        <w:trPr>
          <w:trHeight w:val="195"/>
        </w:trPr>
        <w:tc>
          <w:tcPr>
            <w:tcW w:w="2220" w:type="dxa"/>
            <w:vAlign w:val="bottom"/>
            <w:vMerge w:val="restart"/>
          </w:tcPr>
          <w:p>
            <w:pPr>
              <w:ind w:left="80"/>
              <w:spacing w:after="0"/>
              <w:rPr>
                <w:sz w:val="20"/>
                <w:szCs w:val="20"/>
                <w:color w:val="auto"/>
              </w:rPr>
            </w:pPr>
            <w:r>
              <w:rPr>
                <w:rFonts w:ascii="Arial" w:cs="Arial" w:eastAsia="Arial" w:hAnsi="Arial"/>
                <w:sz w:val="16"/>
                <w:szCs w:val="16"/>
                <w:color w:val="auto"/>
              </w:rPr>
              <w:t>Backlog</w:t>
            </w: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220" w:type="dxa"/>
            <w:vAlign w:val="bottom"/>
            <w:vMerge w:val="continue"/>
          </w:tcPr>
          <w:p>
            <w:pPr>
              <w:spacing w:after="0"/>
              <w:rPr>
                <w:sz w:val="5"/>
                <w:szCs w:val="5"/>
                <w:color w:val="auto"/>
              </w:rPr>
            </w:pPr>
          </w:p>
        </w:tc>
        <w:tc>
          <w:tcPr>
            <w:tcW w:w="720" w:type="dxa"/>
            <w:vAlign w:val="bottom"/>
            <w:shd w:val="clear" w:color="auto" w:fill="FCE9E8"/>
          </w:tcPr>
          <w:p>
            <w:pPr>
              <w:spacing w:after="0"/>
              <w:rPr>
                <w:sz w:val="5"/>
                <w:szCs w:val="5"/>
                <w:color w:val="auto"/>
              </w:rPr>
            </w:pPr>
          </w:p>
        </w:tc>
        <w:tc>
          <w:tcPr>
            <w:tcW w:w="1200" w:type="dxa"/>
            <w:vAlign w:val="bottom"/>
            <w:shd w:val="clear" w:color="auto" w:fill="FCE9E8"/>
          </w:tcPr>
          <w:p>
            <w:pPr>
              <w:spacing w:after="0"/>
              <w:rPr>
                <w:sz w:val="5"/>
                <w:szCs w:val="5"/>
                <w:color w:val="auto"/>
              </w:rPr>
            </w:pPr>
          </w:p>
        </w:tc>
        <w:tc>
          <w:tcPr>
            <w:tcW w:w="160" w:type="dxa"/>
            <w:vAlign w:val="bottom"/>
            <w:shd w:val="clear" w:color="auto" w:fill="FCE9E8"/>
          </w:tcPr>
          <w:p>
            <w:pPr>
              <w:spacing w:after="0"/>
              <w:rPr>
                <w:sz w:val="5"/>
                <w:szCs w:val="5"/>
                <w:color w:val="auto"/>
              </w:rPr>
            </w:pPr>
          </w:p>
        </w:tc>
        <w:tc>
          <w:tcPr>
            <w:tcW w:w="5620" w:type="dxa"/>
            <w:vAlign w:val="bottom"/>
            <w:shd w:val="clear" w:color="auto" w:fill="FCE9E8"/>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220" w:type="dxa"/>
            <w:vAlign w:val="bottom"/>
            <w:vMerge w:val="continue"/>
          </w:tcPr>
          <w:p>
            <w:pPr>
              <w:spacing w:after="0"/>
              <w:rPr>
                <w:sz w:val="16"/>
                <w:szCs w:val="16"/>
                <w:color w:val="auto"/>
              </w:rPr>
            </w:pPr>
          </w:p>
        </w:tc>
        <w:tc>
          <w:tcPr>
            <w:tcW w:w="720" w:type="dxa"/>
            <w:vAlign w:val="bottom"/>
          </w:tcPr>
          <w:p>
            <w:pPr>
              <w:jc w:val="center"/>
              <w:ind w:left="1"/>
              <w:spacing w:after="0"/>
              <w:rPr>
                <w:sz w:val="20"/>
                <w:szCs w:val="20"/>
                <w:color w:val="auto"/>
              </w:rPr>
            </w:pPr>
            <w:r>
              <w:rPr>
                <w:rFonts w:ascii="Arial" w:cs="Arial" w:eastAsia="Arial" w:hAnsi="Arial"/>
                <w:sz w:val="16"/>
                <w:szCs w:val="16"/>
                <w:color w:val="auto"/>
                <w:w w:val="98"/>
              </w:rPr>
              <w:t>LTSIP</w:t>
            </w:r>
          </w:p>
        </w:tc>
        <w:tc>
          <w:tcPr>
            <w:tcW w:w="1200" w:type="dxa"/>
            <w:vAlign w:val="bottom"/>
          </w:tcPr>
          <w:p>
            <w:pPr>
              <w:jc w:val="center"/>
              <w:spacing w:after="0"/>
              <w:rPr>
                <w:sz w:val="20"/>
                <w:szCs w:val="20"/>
                <w:color w:val="auto"/>
              </w:rPr>
            </w:pPr>
            <w:r>
              <w:rPr>
                <w:rFonts w:ascii="Arial" w:cs="Arial" w:eastAsia="Arial" w:hAnsi="Arial"/>
                <w:sz w:val="16"/>
                <w:szCs w:val="16"/>
                <w:color w:val="auto"/>
              </w:rPr>
              <w:t>33 1/3% for</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5620" w:type="dxa"/>
            <w:vAlign w:val="bottom"/>
          </w:tcPr>
          <w:p>
            <w:pPr>
              <w:ind w:left="40"/>
              <w:spacing w:after="0"/>
              <w:rPr>
                <w:sz w:val="20"/>
                <w:szCs w:val="20"/>
                <w:color w:val="auto"/>
              </w:rPr>
            </w:pPr>
            <w:r>
              <w:rPr>
                <w:rFonts w:ascii="Arial" w:cs="Arial" w:eastAsia="Arial" w:hAnsi="Arial"/>
                <w:sz w:val="16"/>
                <w:szCs w:val="16"/>
                <w:color w:val="auto"/>
              </w:rPr>
              <w:t>Based on the Company’s estimated net sales over the next three years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Career Shares</w:t>
            </w: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following the measurement date (December 31, 2021) from formally awarded</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new programs, less lost and discontinued programs. This measure excludes</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ind w:left="60"/>
              <w:spacing w:after="0"/>
              <w:rPr>
                <w:sz w:val="20"/>
                <w:szCs w:val="20"/>
                <w:color w:val="auto"/>
              </w:rPr>
            </w:pPr>
            <w:r>
              <w:rPr>
                <w:rFonts w:ascii="Arial" w:cs="Arial" w:eastAsia="Arial" w:hAnsi="Arial"/>
                <w:sz w:val="16"/>
                <w:szCs w:val="16"/>
                <w:color w:val="auto"/>
              </w:rPr>
              <w:t>the sales backlog at the Company’s nonconsolidated joint ventures.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-527050</wp:posOffset>
            </wp:positionV>
            <wp:extent cx="6292215" cy="8915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891540"/>
                    </a:xfrm>
                    <a:prstGeom prst="rect">
                      <a:avLst/>
                    </a:prstGeom>
                    <a:noFill/>
                  </pic:spPr>
                </pic:pic>
              </a:graphicData>
            </a:graphic>
          </wp:anchor>
        </w:drawing>
      </w:r>
    </w:p>
    <w:p>
      <w:pPr>
        <w:spacing w:after="0" w:line="96" w:lineRule="exact"/>
        <w:rPr>
          <w:sz w:val="20"/>
          <w:szCs w:val="20"/>
          <w:color w:val="auto"/>
        </w:rPr>
      </w:pPr>
    </w:p>
    <w:p>
      <w:pPr>
        <w:ind w:left="5020" w:right="480" w:hanging="166"/>
        <w:spacing w:after="0" w:line="260" w:lineRule="auto"/>
        <w:tabs>
          <w:tab w:leader="none" w:pos="5003"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Company’s current sales backlog assumes volumes based on the independent industry projections of IHS Automotive and internal estimates.</w:t>
      </w:r>
    </w:p>
    <w:p>
      <w:pPr>
        <w:spacing w:after="0" w:line="76" w:lineRule="exact"/>
        <w:rPr>
          <w:rFonts w:ascii="Arial" w:cs="Arial" w:eastAsia="Arial" w:hAnsi="Arial"/>
          <w:sz w:val="16"/>
          <w:szCs w:val="16"/>
          <w:color w:val="auto"/>
        </w:rPr>
      </w:pPr>
    </w:p>
    <w:p>
      <w:pPr>
        <w:ind w:left="960" w:right="440" w:hanging="291"/>
        <w:spacing w:after="0" w:line="199" w:lineRule="auto"/>
        <w:tabs>
          <w:tab w:leader="none" w:pos="96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Compensation Committee originally provided that the 2020 AIP would be earned 50% based on Adjusted Operating Income and 50% based on Free Cash Flow. However, as described in more detail below, as a result of COVID-19, the Compensation Committee decided to implement a revised AIP performance goals for 2020 to be based solely Adjusted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-325755</wp:posOffset>
            </wp:positionV>
            <wp:extent cx="6292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88"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41</w:t>
      </w:r>
    </w:p>
    <w:p>
      <w:pPr>
        <w:sectPr>
          <w:pgSz w:w="11900" w:h="16838" w:orient="portrait"/>
          <w:cols w:equalWidth="0" w:num="1">
            <w:col w:w="10860"/>
          </w:cols>
          <w:pgMar w:left="320" w:top="459" w:right="7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72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Incentives</w:t>
      </w:r>
    </w:p>
    <w:p>
      <w:pPr>
        <w:spacing w:after="0" w:line="192"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Our NEOs and nearly 7,000 other employees are eligible to participate in the AIP, which. provides annual cash incentive award opportunities based upon the achievement of financial performance goals important to the Company’s success. Awards, if earned, are typically paid early in the following year based on our performance achieved in the prior fiscal year.</w:t>
      </w:r>
    </w:p>
    <w:p>
      <w:pPr>
        <w:spacing w:after="0" w:line="81"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NEO is assigned an annual target</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under the AIP expressed as a percentage of such officer’s base salary. An executive’s target annual incentive percentage generally increases as his or her ability to affect the Company’s performance increases. Consequently, as an executive’s responsibilities increase, his or her variable compensation in the form of an annual incentive, which is dependent on Company performance, generally makes up a larger portion of the executive’s total compensation.</w:t>
      </w:r>
    </w:p>
    <w:p>
      <w:pPr>
        <w:spacing w:after="0" w:line="100"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For 2020, the target annual incentive opportunity for each of Messrs. Scott, Orsini, DiDonato, Cardew and Esposito was 150%, 100%, 100%, 90% and 80%, respectively, of their pre-COVID-19-reduction base salaries. For 2021, Mr. Cardew’s target annual incentive opportunity has been increased to 100% of his base salary, and, as of March 1, 2021 the target annual incentive opportunities for the other NEOs remain unchanged from 2020.</w:t>
      </w:r>
    </w:p>
    <w:p>
      <w:pPr>
        <w:spacing w:after="0" w:line="273" w:lineRule="exact"/>
        <w:rPr>
          <w:sz w:val="20"/>
          <w:szCs w:val="20"/>
          <w:color w:val="auto"/>
        </w:rPr>
      </w:pPr>
    </w:p>
    <w:p>
      <w:pPr>
        <w:ind w:left="660" w:right="20"/>
        <w:spacing w:after="0" w:line="255"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Our initial 2020 AIP, which was approved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2020, utilized Adjusted Operating Income and Free Cash Flow because they are highly visible and important measures of operating performance that are relied upon by investors. The goals applicable to the 2020 AIP were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initially set based on the Board-approved budget, with the target goals reflecting a level of performance which at the time was anticipated to be challenging but achievable; the threshold goals reflecting a level of performance at which the Compensation Committee believed a portion of the award should be earned; and the maximum goals being set well above target, requiring significant achievements and reflecting performance at which the Compensation Committee believed a 200% target award was warranted.</w:t>
      </w:r>
    </w:p>
    <w:p>
      <w:pPr>
        <w:spacing w:after="0" w:line="9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As previously discussed, in August 2020, our Compensation Committee approved revised AIP goals based solely on Adjusted Operating Income as a result of the impact of the COVID-19 pandemic on our business. The revised full-year AIP goals were lower than those set in January 2020 with commensurately reduced potential payouts. Specifically, the revised 2020 AIP provided for a target payout of 50%, and a maximum payment of 60%, of the original opportunities set at the start of the year, reflecting a 50% reduction in the target opportunity and a 140% reduction in the maximum opportunity set at the start of the year. Accordingly, payouts, as a percentage of target, to our NEOs would not exceed the payouts earned under the AIP for 2019 performance (which were 61% of target). The Compensation Committee felt that these revised AIP goals were challenging and that correspondingly smaller award opportunities were appropriate in the current environment. The Compensation Committee also felt that these revised AIP goals would support value creation while also motivating and rewarding thousands of our employees during this tumultuous year.</w:t>
      </w:r>
    </w:p>
    <w:p>
      <w:pPr>
        <w:spacing w:after="0" w:line="425"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8" w:lineRule="exact"/>
        <w:rPr>
          <w:sz w:val="20"/>
          <w:szCs w:val="20"/>
          <w:color w:val="auto"/>
        </w:rPr>
      </w:pPr>
    </w:p>
    <w:p>
      <w:pPr>
        <w:ind w:left="660" w:right="440"/>
        <w:spacing w:after="0" w:line="263" w:lineRule="auto"/>
        <w:rPr>
          <w:sz w:val="20"/>
          <w:szCs w:val="20"/>
          <w:color w:val="auto"/>
        </w:rPr>
      </w:pPr>
      <w:r>
        <w:rPr>
          <w:rFonts w:ascii="Arial" w:cs="Arial" w:eastAsia="Arial" w:hAnsi="Arial"/>
          <w:sz w:val="16"/>
          <w:szCs w:val="16"/>
          <w:i w:val="1"/>
          <w:iCs w:val="1"/>
          <w:color w:val="auto"/>
        </w:rPr>
        <w:t xml:space="preserve">Payouts. </w:t>
      </w:r>
      <w:r>
        <w:rPr>
          <w:rFonts w:ascii="Arial" w:cs="Arial" w:eastAsia="Arial" w:hAnsi="Arial"/>
          <w:sz w:val="16"/>
          <w:szCs w:val="16"/>
          <w:color w:val="auto"/>
        </w:rPr>
        <w:t>Our actual 2020 Adjusted Operating Income (as reflected in the chart above under the heading, “Executive Summary —</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Highlights — 2020 Annual Incentive Program”) resulted in annual incentive awards being earned at 60% of target, as shown below for each NEO.</w:t>
      </w:r>
    </w:p>
    <w:p>
      <w:pPr>
        <w:spacing w:after="0" w:line="214"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FFFFFF"/>
        </w:rPr>
        <w:t>2020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29221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040" w:type="dxa"/>
            <w:vAlign w:val="bottom"/>
          </w:tcPr>
          <w:p>
            <w:pPr>
              <w:jc w:val="right"/>
              <w:ind w:right="382"/>
              <w:spacing w:after="0"/>
              <w:rPr>
                <w:sz w:val="20"/>
                <w:szCs w:val="20"/>
                <w:color w:val="auto"/>
              </w:rPr>
            </w:pPr>
            <w:r>
              <w:rPr>
                <w:rFonts w:ascii="Arial" w:cs="Arial" w:eastAsia="Arial" w:hAnsi="Arial"/>
                <w:sz w:val="14"/>
                <w:szCs w:val="14"/>
                <w:b w:val="1"/>
                <w:bCs w:val="1"/>
                <w:color w:val="E2231A"/>
              </w:rPr>
              <w:t>Target Opportunity</w:t>
            </w: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E2231A"/>
              </w:rPr>
              <w:t>2020 Incentive</w:t>
            </w:r>
          </w:p>
        </w:tc>
      </w:tr>
      <w:tr>
        <w:trPr>
          <w:trHeight w:val="192"/>
        </w:trPr>
        <w:tc>
          <w:tcPr>
            <w:tcW w:w="1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E2231A"/>
              </w:rPr>
              <w:t>(as % of Base)</w:t>
            </w:r>
          </w:p>
        </w:tc>
        <w:tc>
          <w:tcPr>
            <w:tcW w:w="2100" w:type="dxa"/>
            <w:vAlign w:val="bottom"/>
            <w:tcBorders>
              <w:bottom w:val="single" w:sz="8" w:color="auto"/>
            </w:tcBorders>
            <w:gridSpan w:val="2"/>
          </w:tcPr>
          <w:p>
            <w:pPr>
              <w:jc w:val="right"/>
              <w:ind w:right="379"/>
              <w:spacing w:after="0" w:line="192" w:lineRule="exact"/>
              <w:rPr>
                <w:sz w:val="20"/>
                <w:szCs w:val="20"/>
                <w:color w:val="auto"/>
              </w:rPr>
            </w:pPr>
            <w:r>
              <w:rPr>
                <w:rFonts w:ascii="Arial" w:cs="Arial" w:eastAsia="Arial" w:hAnsi="Arial"/>
                <w:sz w:val="13"/>
                <w:szCs w:val="13"/>
                <w:b w:val="1"/>
                <w:bCs w:val="1"/>
                <w:color w:val="E2231A"/>
              </w:rPr>
              <w:t>Target Amount</w:t>
            </w:r>
            <w:r>
              <w:rPr>
                <w:rFonts w:ascii="Arial" w:cs="Arial" w:eastAsia="Arial" w:hAnsi="Arial"/>
                <w:sz w:val="22"/>
                <w:szCs w:val="22"/>
                <w:b w:val="1"/>
                <w:bCs w:val="1"/>
                <w:color w:val="E2231A"/>
                <w:vertAlign w:val="superscript"/>
              </w:rPr>
              <w:t>(1)</w:t>
            </w:r>
          </w:p>
        </w:tc>
        <w:tc>
          <w:tcPr>
            <w:tcW w:w="22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E2231A"/>
              </w:rPr>
              <w:t>Actual Performance</w:t>
            </w:r>
          </w:p>
        </w:tc>
        <w:tc>
          <w:tcPr>
            <w:tcW w:w="1840" w:type="dxa"/>
            <w:vAlign w:val="bottom"/>
            <w:tcBorders>
              <w:bottom w:val="single" w:sz="8" w:color="auto"/>
            </w:tcBorders>
            <w:gridSpan w:val="2"/>
          </w:tcPr>
          <w:p>
            <w:pPr>
              <w:jc w:val="right"/>
              <w:ind w:right="479"/>
              <w:spacing w:after="0" w:line="192" w:lineRule="exact"/>
              <w:rPr>
                <w:sz w:val="20"/>
                <w:szCs w:val="20"/>
                <w:color w:val="auto"/>
              </w:rPr>
            </w:pPr>
            <w:r>
              <w:rPr>
                <w:rFonts w:ascii="Arial" w:cs="Arial" w:eastAsia="Arial" w:hAnsi="Arial"/>
                <w:sz w:val="13"/>
                <w:szCs w:val="13"/>
                <w:b w:val="1"/>
                <w:bCs w:val="1"/>
                <w:color w:val="E2231A"/>
              </w:rPr>
              <w:t>Amount</w:t>
            </w:r>
            <w:r>
              <w:rPr>
                <w:rFonts w:ascii="Arial" w:cs="Arial" w:eastAsia="Arial" w:hAnsi="Arial"/>
                <w:sz w:val="22"/>
                <w:szCs w:val="22"/>
                <w:b w:val="1"/>
                <w:bCs w:val="1"/>
                <w:color w:val="E2231A"/>
                <w:vertAlign w:val="superscript"/>
              </w:rPr>
              <w:t>(2)</w:t>
            </w:r>
          </w:p>
        </w:tc>
      </w:tr>
      <w:tr>
        <w:trPr>
          <w:trHeight w:val="236"/>
        </w:trPr>
        <w:tc>
          <w:tcPr>
            <w:tcW w:w="168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2040" w:type="dxa"/>
            <w:vAlign w:val="bottom"/>
            <w:shd w:val="clear" w:color="auto" w:fill="FCE9E8"/>
          </w:tcPr>
          <w:p>
            <w:pPr>
              <w:jc w:val="right"/>
              <w:ind w:right="722"/>
              <w:spacing w:after="0"/>
              <w:rPr>
                <w:sz w:val="20"/>
                <w:szCs w:val="20"/>
                <w:color w:val="auto"/>
              </w:rPr>
            </w:pPr>
            <w:r>
              <w:rPr>
                <w:rFonts w:ascii="Arial" w:cs="Arial" w:eastAsia="Arial" w:hAnsi="Arial"/>
                <w:sz w:val="16"/>
                <w:szCs w:val="16"/>
                <w:color w:val="auto"/>
              </w:rPr>
              <w:t>150%</w:t>
            </w:r>
          </w:p>
        </w:tc>
        <w:tc>
          <w:tcPr>
            <w:tcW w:w="7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539"/>
              <w:spacing w:after="0"/>
              <w:rPr>
                <w:sz w:val="20"/>
                <w:szCs w:val="20"/>
                <w:color w:val="auto"/>
              </w:rPr>
            </w:pPr>
            <w:r>
              <w:rPr>
                <w:rFonts w:ascii="Arial" w:cs="Arial" w:eastAsia="Arial" w:hAnsi="Arial"/>
                <w:sz w:val="16"/>
                <w:szCs w:val="16"/>
                <w:color w:val="auto"/>
              </w:rPr>
              <w:t>1,800,000</w:t>
            </w:r>
          </w:p>
        </w:tc>
        <w:tc>
          <w:tcPr>
            <w:tcW w:w="2260" w:type="dxa"/>
            <w:vAlign w:val="bottom"/>
            <w:shd w:val="clear" w:color="auto" w:fill="FCE9E8"/>
          </w:tcPr>
          <w:p>
            <w:pPr>
              <w:jc w:val="right"/>
              <w:ind w:right="781"/>
              <w:spacing w:after="0"/>
              <w:rPr>
                <w:sz w:val="20"/>
                <w:szCs w:val="20"/>
                <w:color w:val="auto"/>
              </w:rPr>
            </w:pPr>
            <w:r>
              <w:rPr>
                <w:rFonts w:ascii="Arial" w:cs="Arial" w:eastAsia="Arial" w:hAnsi="Arial"/>
                <w:sz w:val="16"/>
                <w:szCs w:val="16"/>
                <w:color w:val="auto"/>
              </w:rPr>
              <w:t>60%</w:t>
            </w:r>
          </w:p>
        </w:tc>
        <w:tc>
          <w:tcPr>
            <w:tcW w:w="6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99"/>
              <w:spacing w:after="0"/>
              <w:rPr>
                <w:sz w:val="20"/>
                <w:szCs w:val="20"/>
                <w:color w:val="auto"/>
              </w:rPr>
            </w:pPr>
            <w:r>
              <w:rPr>
                <w:rFonts w:ascii="Arial" w:cs="Arial" w:eastAsia="Arial" w:hAnsi="Arial"/>
                <w:sz w:val="16"/>
                <w:szCs w:val="16"/>
                <w:color w:val="auto"/>
              </w:rPr>
              <w:t>1,080,000</w:t>
            </w:r>
          </w:p>
        </w:tc>
      </w:tr>
      <w:tr>
        <w:trPr>
          <w:trHeight w:val="233"/>
        </w:trPr>
        <w:tc>
          <w:tcPr>
            <w:tcW w:w="168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2040" w:type="dxa"/>
            <w:vAlign w:val="bottom"/>
          </w:tcPr>
          <w:p>
            <w:pPr>
              <w:jc w:val="right"/>
              <w:ind w:right="722"/>
              <w:spacing w:after="0"/>
              <w:rPr>
                <w:sz w:val="20"/>
                <w:szCs w:val="20"/>
                <w:color w:val="auto"/>
              </w:rPr>
            </w:pPr>
            <w:r>
              <w:rPr>
                <w:rFonts w:ascii="Arial" w:cs="Arial" w:eastAsia="Arial" w:hAnsi="Arial"/>
                <w:sz w:val="16"/>
                <w:szCs w:val="16"/>
                <w:color w:val="auto"/>
              </w:rPr>
              <w:t>90%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630,000</w:t>
            </w:r>
          </w:p>
        </w:tc>
        <w:tc>
          <w:tcPr>
            <w:tcW w:w="2260" w:type="dxa"/>
            <w:vAlign w:val="bottom"/>
          </w:tcPr>
          <w:p>
            <w:pPr>
              <w:jc w:val="right"/>
              <w:ind w:right="781"/>
              <w:spacing w:after="0"/>
              <w:rPr>
                <w:sz w:val="20"/>
                <w:szCs w:val="20"/>
                <w:color w:val="auto"/>
              </w:rPr>
            </w:pPr>
            <w:r>
              <w:rPr>
                <w:rFonts w:ascii="Arial" w:cs="Arial" w:eastAsia="Arial" w:hAnsi="Arial"/>
                <w:sz w:val="16"/>
                <w:szCs w:val="16"/>
                <w:color w:val="auto"/>
              </w:rPr>
              <w:t>60%</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378,000</w:t>
            </w:r>
          </w:p>
        </w:tc>
      </w:tr>
      <w:tr>
        <w:trPr>
          <w:trHeight w:val="253"/>
        </w:trPr>
        <w:tc>
          <w:tcPr>
            <w:tcW w:w="16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2040" w:type="dxa"/>
            <w:vAlign w:val="bottom"/>
            <w:shd w:val="clear" w:color="auto" w:fill="FCE9E8"/>
          </w:tcPr>
          <w:p>
            <w:pPr>
              <w:jc w:val="right"/>
              <w:ind w:right="722"/>
              <w:spacing w:after="0"/>
              <w:rPr>
                <w:sz w:val="20"/>
                <w:szCs w:val="20"/>
                <w:color w:val="auto"/>
              </w:rPr>
            </w:pPr>
            <w:r>
              <w:rPr>
                <w:rFonts w:ascii="Arial" w:cs="Arial" w:eastAsia="Arial" w:hAnsi="Arial"/>
                <w:sz w:val="16"/>
                <w:szCs w:val="16"/>
                <w:color w:val="auto"/>
              </w:rPr>
              <w:t>100%</w:t>
            </w:r>
          </w:p>
        </w:tc>
        <w:tc>
          <w:tcPr>
            <w:tcW w:w="7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539"/>
              <w:spacing w:after="0"/>
              <w:rPr>
                <w:sz w:val="20"/>
                <w:szCs w:val="20"/>
                <w:color w:val="auto"/>
              </w:rPr>
            </w:pPr>
            <w:r>
              <w:rPr>
                <w:rFonts w:ascii="Arial" w:cs="Arial" w:eastAsia="Arial" w:hAnsi="Arial"/>
                <w:sz w:val="16"/>
                <w:szCs w:val="16"/>
                <w:color w:val="auto"/>
              </w:rPr>
              <w:t>800,000</w:t>
            </w:r>
          </w:p>
        </w:tc>
        <w:tc>
          <w:tcPr>
            <w:tcW w:w="2260" w:type="dxa"/>
            <w:vAlign w:val="bottom"/>
            <w:shd w:val="clear" w:color="auto" w:fill="FCE9E8"/>
          </w:tcPr>
          <w:p>
            <w:pPr>
              <w:jc w:val="right"/>
              <w:ind w:right="781"/>
              <w:spacing w:after="0"/>
              <w:rPr>
                <w:sz w:val="20"/>
                <w:szCs w:val="20"/>
                <w:color w:val="auto"/>
              </w:rPr>
            </w:pPr>
            <w:r>
              <w:rPr>
                <w:rFonts w:ascii="Arial" w:cs="Arial" w:eastAsia="Arial" w:hAnsi="Arial"/>
                <w:sz w:val="16"/>
                <w:szCs w:val="16"/>
                <w:color w:val="auto"/>
              </w:rPr>
              <w:t>60%</w:t>
            </w:r>
          </w:p>
        </w:tc>
        <w:tc>
          <w:tcPr>
            <w:tcW w:w="6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99"/>
              <w:spacing w:after="0"/>
              <w:rPr>
                <w:sz w:val="20"/>
                <w:szCs w:val="20"/>
                <w:color w:val="auto"/>
              </w:rPr>
            </w:pPr>
            <w:r>
              <w:rPr>
                <w:rFonts w:ascii="Arial" w:cs="Arial" w:eastAsia="Arial" w:hAnsi="Arial"/>
                <w:sz w:val="16"/>
                <w:szCs w:val="16"/>
                <w:color w:val="auto"/>
              </w:rPr>
              <w:t>480,000</w:t>
            </w:r>
          </w:p>
        </w:tc>
      </w:tr>
      <w:tr>
        <w:trPr>
          <w:trHeight w:val="223"/>
        </w:trPr>
        <w:tc>
          <w:tcPr>
            <w:tcW w:w="1680" w:type="dxa"/>
            <w:vAlign w:val="bottom"/>
          </w:tcPr>
          <w:p>
            <w:pPr>
              <w:ind w:left="80"/>
              <w:spacing w:after="0"/>
              <w:rPr>
                <w:sz w:val="20"/>
                <w:szCs w:val="20"/>
                <w:color w:val="auto"/>
              </w:rPr>
            </w:pPr>
            <w:r>
              <w:rPr>
                <w:rFonts w:ascii="Arial" w:cs="Arial" w:eastAsia="Arial" w:hAnsi="Arial"/>
                <w:sz w:val="16"/>
                <w:szCs w:val="16"/>
                <w:color w:val="auto"/>
              </w:rPr>
              <w:t>Thomas A.</w:t>
            </w: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3"/>
        </w:trPr>
        <w:tc>
          <w:tcPr>
            <w:tcW w:w="1680" w:type="dxa"/>
            <w:vAlign w:val="bottom"/>
          </w:tcPr>
          <w:p>
            <w:pPr>
              <w:ind w:left="80"/>
              <w:spacing w:after="0"/>
              <w:rPr>
                <w:sz w:val="20"/>
                <w:szCs w:val="20"/>
                <w:color w:val="auto"/>
              </w:rPr>
            </w:pPr>
            <w:r>
              <w:rPr>
                <w:rFonts w:ascii="Arial" w:cs="Arial" w:eastAsia="Arial" w:hAnsi="Arial"/>
                <w:sz w:val="16"/>
                <w:szCs w:val="16"/>
                <w:color w:val="auto"/>
              </w:rPr>
              <w:t>DiDonato</w:t>
            </w:r>
          </w:p>
        </w:tc>
        <w:tc>
          <w:tcPr>
            <w:tcW w:w="2040" w:type="dxa"/>
            <w:vAlign w:val="bottom"/>
          </w:tcPr>
          <w:p>
            <w:pPr>
              <w:jc w:val="right"/>
              <w:ind w:right="722"/>
              <w:spacing w:after="0"/>
              <w:rPr>
                <w:sz w:val="20"/>
                <w:szCs w:val="20"/>
                <w:color w:val="auto"/>
              </w:rPr>
            </w:pPr>
            <w:r>
              <w:rPr>
                <w:rFonts w:ascii="Arial" w:cs="Arial" w:eastAsia="Arial" w:hAnsi="Arial"/>
                <w:sz w:val="16"/>
                <w:szCs w:val="16"/>
                <w:color w:val="auto"/>
              </w:rPr>
              <w:t>100%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700,000</w:t>
            </w:r>
          </w:p>
        </w:tc>
        <w:tc>
          <w:tcPr>
            <w:tcW w:w="2260" w:type="dxa"/>
            <w:vAlign w:val="bottom"/>
          </w:tcPr>
          <w:p>
            <w:pPr>
              <w:jc w:val="right"/>
              <w:ind w:right="781"/>
              <w:spacing w:after="0"/>
              <w:rPr>
                <w:sz w:val="20"/>
                <w:szCs w:val="20"/>
                <w:color w:val="auto"/>
              </w:rPr>
            </w:pPr>
            <w:r>
              <w:rPr>
                <w:rFonts w:ascii="Arial" w:cs="Arial" w:eastAsia="Arial" w:hAnsi="Arial"/>
                <w:sz w:val="16"/>
                <w:szCs w:val="16"/>
                <w:color w:val="auto"/>
              </w:rPr>
              <w:t>60%</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420,000</w:t>
            </w:r>
          </w:p>
        </w:tc>
      </w:tr>
      <w:tr>
        <w:trPr>
          <w:trHeight w:val="253"/>
        </w:trPr>
        <w:tc>
          <w:tcPr>
            <w:tcW w:w="168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2040" w:type="dxa"/>
            <w:vAlign w:val="bottom"/>
            <w:shd w:val="clear" w:color="auto" w:fill="FCE9E8"/>
          </w:tcPr>
          <w:p>
            <w:pPr>
              <w:jc w:val="right"/>
              <w:ind w:right="722"/>
              <w:spacing w:after="0"/>
              <w:rPr>
                <w:sz w:val="20"/>
                <w:szCs w:val="20"/>
                <w:color w:val="auto"/>
              </w:rPr>
            </w:pPr>
            <w:r>
              <w:rPr>
                <w:rFonts w:ascii="Arial" w:cs="Arial" w:eastAsia="Arial" w:hAnsi="Arial"/>
                <w:sz w:val="16"/>
                <w:szCs w:val="16"/>
                <w:color w:val="auto"/>
              </w:rPr>
              <w:t>80%</w:t>
            </w:r>
          </w:p>
        </w:tc>
        <w:tc>
          <w:tcPr>
            <w:tcW w:w="7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539"/>
              <w:spacing w:after="0"/>
              <w:rPr>
                <w:sz w:val="20"/>
                <w:szCs w:val="20"/>
                <w:color w:val="auto"/>
              </w:rPr>
            </w:pPr>
            <w:r>
              <w:rPr>
                <w:rFonts w:ascii="Arial" w:cs="Arial" w:eastAsia="Arial" w:hAnsi="Arial"/>
                <w:sz w:val="16"/>
                <w:szCs w:val="16"/>
                <w:color w:val="auto"/>
              </w:rPr>
              <w:t>520,000</w:t>
            </w:r>
          </w:p>
        </w:tc>
        <w:tc>
          <w:tcPr>
            <w:tcW w:w="2260" w:type="dxa"/>
            <w:vAlign w:val="bottom"/>
            <w:shd w:val="clear" w:color="auto" w:fill="FCE9E8"/>
          </w:tcPr>
          <w:p>
            <w:pPr>
              <w:jc w:val="right"/>
              <w:ind w:right="781"/>
              <w:spacing w:after="0"/>
              <w:rPr>
                <w:sz w:val="20"/>
                <w:szCs w:val="20"/>
                <w:color w:val="auto"/>
              </w:rPr>
            </w:pPr>
            <w:r>
              <w:rPr>
                <w:rFonts w:ascii="Arial" w:cs="Arial" w:eastAsia="Arial" w:hAnsi="Arial"/>
                <w:sz w:val="16"/>
                <w:szCs w:val="16"/>
                <w:color w:val="auto"/>
              </w:rPr>
              <w:t>60%</w:t>
            </w:r>
          </w:p>
        </w:tc>
        <w:tc>
          <w:tcPr>
            <w:tcW w:w="6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399"/>
              <w:spacing w:after="0"/>
              <w:rPr>
                <w:sz w:val="20"/>
                <w:szCs w:val="20"/>
                <w:color w:val="auto"/>
              </w:rPr>
            </w:pPr>
            <w:r>
              <w:rPr>
                <w:rFonts w:ascii="Arial" w:cs="Arial" w:eastAsia="Arial" w:hAnsi="Arial"/>
                <w:sz w:val="16"/>
                <w:szCs w:val="16"/>
                <w:color w:val="auto"/>
              </w:rPr>
              <w:t>312,000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960" w:hanging="291"/>
        <w:spacing w:after="0" w:line="180" w:lineRule="auto"/>
        <w:tabs>
          <w:tab w:leader="none" w:pos="960" w:val="left"/>
        </w:tabs>
        <w:numPr>
          <w:ilvl w:val="0"/>
          <w:numId w:val="89"/>
        </w:numPr>
        <w:rPr>
          <w:rFonts w:ascii="Arial" w:cs="Arial" w:eastAsia="Arial" w:hAnsi="Arial"/>
          <w:sz w:val="22"/>
          <w:szCs w:val="22"/>
          <w:color w:val="auto"/>
          <w:vertAlign w:val="superscript"/>
        </w:rPr>
      </w:pPr>
      <w:r>
        <w:rPr>
          <w:rFonts w:ascii="Arial" w:cs="Arial" w:eastAsia="Arial" w:hAnsi="Arial"/>
          <w:sz w:val="13"/>
          <w:szCs w:val="13"/>
          <w:color w:val="auto"/>
        </w:rPr>
        <w:t>Reflects target opportunity as a percentage of full 2020 base salary, not adjusted for COVID-19 salary deferrals and reductions.</w:t>
      </w:r>
    </w:p>
    <w:p>
      <w:pPr>
        <w:spacing w:after="0" w:line="112" w:lineRule="exact"/>
        <w:rPr>
          <w:rFonts w:ascii="Arial" w:cs="Arial" w:eastAsia="Arial" w:hAnsi="Arial"/>
          <w:sz w:val="22"/>
          <w:szCs w:val="22"/>
          <w:color w:val="auto"/>
          <w:vertAlign w:val="superscript"/>
        </w:rPr>
      </w:pPr>
    </w:p>
    <w:p>
      <w:pPr>
        <w:ind w:left="960" w:right="320" w:hanging="291"/>
        <w:spacing w:after="0" w:line="183" w:lineRule="auto"/>
        <w:tabs>
          <w:tab w:leader="none" w:pos="96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The 2020 Incentive amount represents the amount actually earned, which is calculated as the Target Amount multiplied by the Actual Performance (60%).</w:t>
      </w:r>
    </w:p>
    <w:p>
      <w:pPr>
        <w:spacing w:after="0" w:line="200" w:lineRule="exact"/>
        <w:rPr>
          <w:sz w:val="20"/>
          <w:szCs w:val="20"/>
          <w:color w:val="auto"/>
        </w:rPr>
      </w:pPr>
    </w:p>
    <w:p>
      <w:pPr>
        <w:spacing w:after="0" w:line="209" w:lineRule="exact"/>
        <w:rPr>
          <w:sz w:val="20"/>
          <w:szCs w:val="20"/>
          <w:color w:val="auto"/>
        </w:rPr>
      </w:pPr>
    </w:p>
    <w:p>
      <w:pPr>
        <w:ind w:left="780" w:hanging="393"/>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Incentives</w:t>
      </w:r>
    </w:p>
    <w:p>
      <w:pPr>
        <w:sectPr>
          <w:pgSz w:w="11900" w:h="16838" w:orient="portrait"/>
          <w:cols w:equalWidth="0" w:num="1">
            <w:col w:w="10860"/>
          </w:cols>
          <w:pgMar w:left="320" w:top="459" w:right="719" w:bottom="1440" w:gutter="0" w:footer="0" w:header="0"/>
        </w:sectPr>
      </w:pPr>
    </w:p>
    <w:p>
      <w:pPr>
        <w:spacing w:after="0" w:line="192" w:lineRule="exact"/>
        <w:rPr>
          <w:sz w:val="20"/>
          <w:szCs w:val="20"/>
          <w:color w:val="auto"/>
        </w:rPr>
      </w:pPr>
    </w:p>
    <w:p>
      <w:pPr>
        <w:ind w:left="660" w:right="100"/>
        <w:spacing w:after="0" w:line="248"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8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i w:val="1"/>
          <w:iCs w:val="1"/>
          <w:color w:val="auto"/>
        </w:rPr>
        <w:t xml:space="preserve">2020 Awards. </w:t>
      </w:r>
      <w:r>
        <w:rPr>
          <w:rFonts w:ascii="Arial" w:cs="Arial" w:eastAsia="Arial" w:hAnsi="Arial"/>
          <w:sz w:val="16"/>
          <w:szCs w:val="16"/>
          <w:color w:val="auto"/>
        </w:rPr>
        <w:t>In the later part of 2019,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approved certain changes to the long-term equity incentive compensation program for the January 2020 awards. The Performance Shares granted in 2020 are earned based on three-year results for two performance measures, Adjusted Cumulative Pretax Income (two-thirds of the award) and, in lieu of Adjusted ROIC (which had been used in prior years), Relative TSR (one-third of the award). In addition, the Compensation Committee decided in the latter part of 2019 to grant stock options as part of the January 2020 award opportunity resulting in a grant mix consisting approximately 60% of Performance Shares, 20% of time-based RSUs, and 20% of non-qualified stock options. The addition of a Relative TSR performance metric and stock option awards to the long-term incentive compensation program is intended to further align the interests of our NEO with creating value for our shareholders as these components’ potential realizable value</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Relative TSR peer group for these awards is as follows: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040"/>
        <w:spacing w:after="0" w:line="260" w:lineRule="auto"/>
        <w:rPr>
          <w:sz w:val="20"/>
          <w:szCs w:val="20"/>
          <w:color w:val="auto"/>
        </w:rPr>
      </w:pPr>
      <w:r>
        <w:rPr>
          <w:rFonts w:ascii="Arial" w:cs="Arial" w:eastAsia="Arial" w:hAnsi="Arial"/>
          <w:sz w:val="16"/>
          <w:szCs w:val="16"/>
          <w:color w:val="auto"/>
        </w:rPr>
        <w:t>is tied directly to shareholders’ relative and absolute TSR experience.</w:t>
      </w:r>
    </w:p>
    <w:p>
      <w:pPr>
        <w:spacing w:after="0" w:line="8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Effective as of January 1, 2020, the target value of the 2020 long-term incentive opportunities for Messrs. Scott and Cardew were increased, respectively, from 680% to 700% of his annual base salary, and from 200% to 270% of his annual base salary. For 2020, the target value of Mr. Esposito’s 2020 long-term incentive opportunity was 270% of his annual base salary.</w:t>
      </w:r>
    </w:p>
    <w:p>
      <w:pPr>
        <w:spacing w:after="0" w:line="97" w:lineRule="exact"/>
        <w:rPr>
          <w:sz w:val="20"/>
          <w:szCs w:val="20"/>
          <w:color w:val="auto"/>
        </w:rPr>
      </w:pPr>
    </w:p>
    <w:p>
      <w:pPr>
        <w:ind w:right="320"/>
        <w:spacing w:after="0" w:line="247" w:lineRule="auto"/>
        <w:rPr>
          <w:sz w:val="20"/>
          <w:szCs w:val="20"/>
          <w:color w:val="auto"/>
        </w:rPr>
      </w:pPr>
      <w:r>
        <w:rPr>
          <w:rFonts w:ascii="Arial" w:cs="Arial" w:eastAsia="Arial" w:hAnsi="Arial"/>
          <w:sz w:val="16"/>
          <w:szCs w:val="16"/>
          <w:color w:val="auto"/>
        </w:rPr>
        <w:t>The specific amounts and terms of the 2020 long-term incentive awards are shown in and following the “2020 Grants of Plan-Based Awards” table below. The target levels of Cumulative Adjusted Pre-Tax Income and Relative TSR performance for the Performance Shares were set by reference to the Board-approved budget in November 2019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732790</wp:posOffset>
            </wp:positionV>
            <wp:extent cx="629221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87"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FFFFFF"/>
        </w:rPr>
        <w:t>2020-2022 Performance Shares – Relative TSR Peer Group</w:t>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60" w:type="dxa"/>
            <w:vAlign w:val="bottom"/>
            <w:shd w:val="clear" w:color="auto" w:fill="FCE9E8"/>
          </w:tcPr>
          <w:p>
            <w:pPr>
              <w:ind w:left="80"/>
              <w:spacing w:after="0"/>
              <w:rPr>
                <w:sz w:val="20"/>
                <w:szCs w:val="20"/>
                <w:color w:val="auto"/>
              </w:rPr>
            </w:pPr>
            <w:r>
              <w:rPr>
                <w:rFonts w:ascii="Arial" w:cs="Arial" w:eastAsia="Arial" w:hAnsi="Arial"/>
                <w:sz w:val="14"/>
                <w:szCs w:val="14"/>
                <w:color w:val="auto"/>
              </w:rPr>
              <w:t>Adient plc</w:t>
            </w:r>
          </w:p>
        </w:tc>
        <w:tc>
          <w:tcPr>
            <w:tcW w:w="2320" w:type="dxa"/>
            <w:vAlign w:val="bottom"/>
            <w:shd w:val="clear" w:color="auto" w:fill="FCE9E8"/>
          </w:tcPr>
          <w:p>
            <w:pPr>
              <w:ind w:left="140"/>
              <w:spacing w:after="0"/>
              <w:rPr>
                <w:sz w:val="20"/>
                <w:szCs w:val="20"/>
                <w:color w:val="auto"/>
              </w:rPr>
            </w:pPr>
            <w:r>
              <w:rPr>
                <w:rFonts w:ascii="Arial" w:cs="Arial" w:eastAsia="Arial" w:hAnsi="Arial"/>
                <w:sz w:val="14"/>
                <w:szCs w:val="14"/>
                <w:color w:val="auto"/>
              </w:rPr>
              <w:t>Cooper-Standard Holdings Inc.</w:t>
            </w:r>
          </w:p>
        </w:tc>
        <w:tc>
          <w:tcPr>
            <w:tcW w:w="25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Gentherm Incorporated</w:t>
            </w:r>
          </w:p>
        </w:tc>
        <w:tc>
          <w:tcPr>
            <w:tcW w:w="26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Standard Motor Products, Inc.</w:t>
            </w:r>
          </w:p>
        </w:tc>
      </w:tr>
      <w:tr>
        <w:trPr>
          <w:trHeight w:val="210"/>
        </w:trPr>
        <w:tc>
          <w:tcPr>
            <w:tcW w:w="2460" w:type="dxa"/>
            <w:vAlign w:val="bottom"/>
          </w:tcPr>
          <w:p>
            <w:pPr>
              <w:ind w:left="80"/>
              <w:spacing w:after="0"/>
              <w:rPr>
                <w:sz w:val="20"/>
                <w:szCs w:val="20"/>
                <w:color w:val="auto"/>
              </w:rPr>
            </w:pPr>
            <w:r>
              <w:rPr>
                <w:rFonts w:ascii="Arial" w:cs="Arial" w:eastAsia="Arial" w:hAnsi="Arial"/>
                <w:sz w:val="14"/>
                <w:szCs w:val="14"/>
                <w:color w:val="auto"/>
              </w:rPr>
              <w:t>Allison Transmission Holdings, Inc.</w:t>
            </w:r>
          </w:p>
        </w:tc>
        <w:tc>
          <w:tcPr>
            <w:tcW w:w="2320" w:type="dxa"/>
            <w:vAlign w:val="bottom"/>
          </w:tcPr>
          <w:p>
            <w:pPr>
              <w:ind w:left="140"/>
              <w:spacing w:after="0"/>
              <w:rPr>
                <w:sz w:val="20"/>
                <w:szCs w:val="20"/>
                <w:color w:val="auto"/>
              </w:rPr>
            </w:pPr>
            <w:r>
              <w:rPr>
                <w:rFonts w:ascii="Arial" w:cs="Arial" w:eastAsia="Arial" w:hAnsi="Arial"/>
                <w:sz w:val="14"/>
                <w:szCs w:val="14"/>
                <w:color w:val="auto"/>
              </w:rPr>
              <w:t>Cummins Inc.</w:t>
            </w:r>
          </w:p>
        </w:tc>
        <w:tc>
          <w:tcPr>
            <w:tcW w:w="2540" w:type="dxa"/>
            <w:vAlign w:val="bottom"/>
          </w:tcPr>
          <w:p>
            <w:pPr>
              <w:ind w:left="200"/>
              <w:spacing w:after="0"/>
              <w:rPr>
                <w:sz w:val="20"/>
                <w:szCs w:val="20"/>
                <w:color w:val="auto"/>
              </w:rPr>
            </w:pPr>
            <w:r>
              <w:rPr>
                <w:rFonts w:ascii="Arial" w:cs="Arial" w:eastAsia="Arial" w:hAnsi="Arial"/>
                <w:sz w:val="14"/>
                <w:szCs w:val="14"/>
                <w:color w:val="auto"/>
              </w:rPr>
              <w:t>Goodyear Tire &amp; Rubber Co.</w:t>
            </w:r>
          </w:p>
        </w:tc>
        <w:tc>
          <w:tcPr>
            <w:tcW w:w="2600" w:type="dxa"/>
            <w:vAlign w:val="bottom"/>
          </w:tcPr>
          <w:p>
            <w:pPr>
              <w:ind w:left="200"/>
              <w:spacing w:after="0"/>
              <w:rPr>
                <w:sz w:val="20"/>
                <w:szCs w:val="20"/>
                <w:color w:val="auto"/>
              </w:rPr>
            </w:pPr>
            <w:r>
              <w:rPr>
                <w:rFonts w:ascii="Arial" w:cs="Arial" w:eastAsia="Arial" w:hAnsi="Arial"/>
                <w:sz w:val="14"/>
                <w:szCs w:val="14"/>
                <w:color w:val="auto"/>
              </w:rPr>
              <w:t>Tenneco Inc.</w:t>
            </w:r>
          </w:p>
        </w:tc>
      </w:tr>
      <w:tr>
        <w:trPr>
          <w:trHeight w:val="222"/>
        </w:trPr>
        <w:tc>
          <w:tcPr>
            <w:tcW w:w="2460" w:type="dxa"/>
            <w:vAlign w:val="bottom"/>
            <w:shd w:val="clear" w:color="auto" w:fill="FCE9E8"/>
          </w:tcPr>
          <w:p>
            <w:pPr>
              <w:ind w:left="80"/>
              <w:spacing w:after="0"/>
              <w:rPr>
                <w:sz w:val="20"/>
                <w:szCs w:val="20"/>
                <w:color w:val="auto"/>
              </w:rPr>
            </w:pPr>
            <w:r>
              <w:rPr>
                <w:rFonts w:ascii="Arial" w:cs="Arial" w:eastAsia="Arial" w:hAnsi="Arial"/>
                <w:sz w:val="14"/>
                <w:szCs w:val="14"/>
                <w:color w:val="auto"/>
              </w:rPr>
              <w:t>American Axle &amp; Mfg Holdings, Inc.</w:t>
            </w:r>
          </w:p>
        </w:tc>
        <w:tc>
          <w:tcPr>
            <w:tcW w:w="2320" w:type="dxa"/>
            <w:vAlign w:val="bottom"/>
            <w:shd w:val="clear" w:color="auto" w:fill="FCE9E8"/>
          </w:tcPr>
          <w:p>
            <w:pPr>
              <w:ind w:left="140"/>
              <w:spacing w:after="0"/>
              <w:rPr>
                <w:sz w:val="20"/>
                <w:szCs w:val="20"/>
                <w:color w:val="auto"/>
              </w:rPr>
            </w:pPr>
            <w:r>
              <w:rPr>
                <w:rFonts w:ascii="Arial" w:cs="Arial" w:eastAsia="Arial" w:hAnsi="Arial"/>
                <w:sz w:val="14"/>
                <w:szCs w:val="14"/>
                <w:color w:val="auto"/>
              </w:rPr>
              <w:t>Dana Incorporated</w:t>
            </w:r>
          </w:p>
        </w:tc>
        <w:tc>
          <w:tcPr>
            <w:tcW w:w="25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LCI Industries</w:t>
            </w:r>
          </w:p>
        </w:tc>
        <w:tc>
          <w:tcPr>
            <w:tcW w:w="26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Valeo SA</w:t>
            </w:r>
          </w:p>
        </w:tc>
      </w:tr>
      <w:tr>
        <w:trPr>
          <w:trHeight w:val="210"/>
        </w:trPr>
        <w:tc>
          <w:tcPr>
            <w:tcW w:w="2460" w:type="dxa"/>
            <w:vAlign w:val="bottom"/>
          </w:tcPr>
          <w:p>
            <w:pPr>
              <w:ind w:left="80"/>
              <w:spacing w:after="0"/>
              <w:rPr>
                <w:sz w:val="20"/>
                <w:szCs w:val="20"/>
                <w:color w:val="auto"/>
              </w:rPr>
            </w:pPr>
            <w:r>
              <w:rPr>
                <w:rFonts w:ascii="Arial" w:cs="Arial" w:eastAsia="Arial" w:hAnsi="Arial"/>
                <w:sz w:val="14"/>
                <w:szCs w:val="14"/>
                <w:color w:val="auto"/>
              </w:rPr>
              <w:t>Aptiv PLC</w:t>
            </w:r>
          </w:p>
        </w:tc>
        <w:tc>
          <w:tcPr>
            <w:tcW w:w="2320" w:type="dxa"/>
            <w:vAlign w:val="bottom"/>
          </w:tcPr>
          <w:p>
            <w:pPr>
              <w:ind w:left="140"/>
              <w:spacing w:after="0"/>
              <w:rPr>
                <w:sz w:val="20"/>
                <w:szCs w:val="20"/>
                <w:color w:val="auto"/>
              </w:rPr>
            </w:pPr>
            <w:r>
              <w:rPr>
                <w:rFonts w:ascii="Arial" w:cs="Arial" w:eastAsia="Arial" w:hAnsi="Arial"/>
                <w:sz w:val="14"/>
                <w:szCs w:val="14"/>
                <w:color w:val="auto"/>
              </w:rPr>
              <w:t>Delphi Technologies PLC</w:t>
            </w:r>
          </w:p>
        </w:tc>
        <w:tc>
          <w:tcPr>
            <w:tcW w:w="2540" w:type="dxa"/>
            <w:vAlign w:val="bottom"/>
          </w:tcPr>
          <w:p>
            <w:pPr>
              <w:ind w:left="200"/>
              <w:spacing w:after="0"/>
              <w:rPr>
                <w:sz w:val="20"/>
                <w:szCs w:val="20"/>
                <w:color w:val="auto"/>
              </w:rPr>
            </w:pPr>
            <w:r>
              <w:rPr>
                <w:rFonts w:ascii="Arial" w:cs="Arial" w:eastAsia="Arial" w:hAnsi="Arial"/>
                <w:sz w:val="14"/>
                <w:szCs w:val="14"/>
                <w:color w:val="auto"/>
              </w:rPr>
              <w:t>Magna International Inc.</w:t>
            </w:r>
          </w:p>
        </w:tc>
        <w:tc>
          <w:tcPr>
            <w:tcW w:w="2600" w:type="dxa"/>
            <w:vAlign w:val="bottom"/>
          </w:tcPr>
          <w:p>
            <w:pPr>
              <w:ind w:left="200"/>
              <w:spacing w:after="0"/>
              <w:rPr>
                <w:sz w:val="20"/>
                <w:szCs w:val="20"/>
                <w:color w:val="auto"/>
              </w:rPr>
            </w:pPr>
            <w:r>
              <w:rPr>
                <w:rFonts w:ascii="Arial" w:cs="Arial" w:eastAsia="Arial" w:hAnsi="Arial"/>
                <w:sz w:val="14"/>
                <w:szCs w:val="14"/>
                <w:color w:val="auto"/>
              </w:rPr>
              <w:t>Visteon Corporation</w:t>
            </w:r>
          </w:p>
        </w:tc>
      </w:tr>
      <w:tr>
        <w:trPr>
          <w:trHeight w:val="222"/>
        </w:trPr>
        <w:tc>
          <w:tcPr>
            <w:tcW w:w="2460" w:type="dxa"/>
            <w:vAlign w:val="bottom"/>
            <w:shd w:val="clear" w:color="auto" w:fill="FCE9E8"/>
          </w:tcPr>
          <w:p>
            <w:pPr>
              <w:ind w:left="80"/>
              <w:spacing w:after="0"/>
              <w:rPr>
                <w:sz w:val="20"/>
                <w:szCs w:val="20"/>
                <w:color w:val="auto"/>
              </w:rPr>
            </w:pPr>
            <w:r>
              <w:rPr>
                <w:rFonts w:ascii="Arial" w:cs="Arial" w:eastAsia="Arial" w:hAnsi="Arial"/>
                <w:sz w:val="14"/>
                <w:szCs w:val="14"/>
                <w:color w:val="auto"/>
              </w:rPr>
              <w:t>Autoliv, Inc.</w:t>
            </w:r>
          </w:p>
        </w:tc>
        <w:tc>
          <w:tcPr>
            <w:tcW w:w="2320" w:type="dxa"/>
            <w:vAlign w:val="bottom"/>
            <w:shd w:val="clear" w:color="auto" w:fill="FCE9E8"/>
          </w:tcPr>
          <w:p>
            <w:pPr>
              <w:ind w:left="140"/>
              <w:spacing w:after="0"/>
              <w:rPr>
                <w:sz w:val="20"/>
                <w:szCs w:val="20"/>
                <w:color w:val="auto"/>
              </w:rPr>
            </w:pPr>
            <w:r>
              <w:rPr>
                <w:rFonts w:ascii="Arial" w:cs="Arial" w:eastAsia="Arial" w:hAnsi="Arial"/>
                <w:sz w:val="14"/>
                <w:szCs w:val="14"/>
                <w:color w:val="auto"/>
              </w:rPr>
              <w:t>Dorman Products, Inc.</w:t>
            </w:r>
          </w:p>
        </w:tc>
        <w:tc>
          <w:tcPr>
            <w:tcW w:w="25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Meritor, Inc.</w:t>
            </w:r>
          </w:p>
        </w:tc>
        <w:tc>
          <w:tcPr>
            <w:tcW w:w="2600" w:type="dxa"/>
            <w:vAlign w:val="bottom"/>
            <w:shd w:val="clear" w:color="auto" w:fill="FCE9E8"/>
          </w:tcPr>
          <w:p>
            <w:pPr>
              <w:spacing w:after="0"/>
              <w:rPr>
                <w:sz w:val="19"/>
                <w:szCs w:val="19"/>
                <w:color w:val="auto"/>
              </w:rPr>
            </w:pPr>
          </w:p>
        </w:tc>
      </w:tr>
      <w:tr>
        <w:trPr>
          <w:trHeight w:val="210"/>
        </w:trPr>
        <w:tc>
          <w:tcPr>
            <w:tcW w:w="2460" w:type="dxa"/>
            <w:vAlign w:val="bottom"/>
          </w:tcPr>
          <w:p>
            <w:pPr>
              <w:ind w:left="80"/>
              <w:spacing w:after="0"/>
              <w:rPr>
                <w:sz w:val="20"/>
                <w:szCs w:val="20"/>
                <w:color w:val="auto"/>
              </w:rPr>
            </w:pPr>
            <w:r>
              <w:rPr>
                <w:rFonts w:ascii="Arial" w:cs="Arial" w:eastAsia="Arial" w:hAnsi="Arial"/>
                <w:sz w:val="14"/>
                <w:szCs w:val="14"/>
                <w:color w:val="auto"/>
              </w:rPr>
              <w:t>BorgWarner Inc.</w:t>
            </w:r>
          </w:p>
        </w:tc>
        <w:tc>
          <w:tcPr>
            <w:tcW w:w="2320" w:type="dxa"/>
            <w:vAlign w:val="bottom"/>
          </w:tcPr>
          <w:p>
            <w:pPr>
              <w:ind w:left="140"/>
              <w:spacing w:after="0"/>
              <w:rPr>
                <w:sz w:val="20"/>
                <w:szCs w:val="20"/>
                <w:color w:val="auto"/>
              </w:rPr>
            </w:pPr>
            <w:r>
              <w:rPr>
                <w:rFonts w:ascii="Arial" w:cs="Arial" w:eastAsia="Arial" w:hAnsi="Arial"/>
                <w:sz w:val="14"/>
                <w:szCs w:val="14"/>
                <w:color w:val="auto"/>
              </w:rPr>
              <w:t>Eaton Corporation plc</w:t>
            </w:r>
          </w:p>
        </w:tc>
        <w:tc>
          <w:tcPr>
            <w:tcW w:w="2540" w:type="dxa"/>
            <w:vAlign w:val="bottom"/>
          </w:tcPr>
          <w:p>
            <w:pPr>
              <w:ind w:left="200"/>
              <w:spacing w:after="0"/>
              <w:rPr>
                <w:sz w:val="20"/>
                <w:szCs w:val="20"/>
                <w:color w:val="auto"/>
              </w:rPr>
            </w:pPr>
            <w:r>
              <w:rPr>
                <w:rFonts w:ascii="Arial" w:cs="Arial" w:eastAsia="Arial" w:hAnsi="Arial"/>
                <w:sz w:val="14"/>
                <w:szCs w:val="14"/>
                <w:color w:val="auto"/>
              </w:rPr>
              <w:t>Modine Manufacturing Company</w:t>
            </w:r>
          </w:p>
        </w:tc>
        <w:tc>
          <w:tcPr>
            <w:tcW w:w="2600" w:type="dxa"/>
            <w:vAlign w:val="bottom"/>
          </w:tcPr>
          <w:p>
            <w:pPr>
              <w:spacing w:after="0"/>
              <w:rPr>
                <w:sz w:val="18"/>
                <w:szCs w:val="18"/>
                <w:color w:val="auto"/>
              </w:rPr>
            </w:pPr>
          </w:p>
        </w:tc>
      </w:tr>
      <w:tr>
        <w:trPr>
          <w:trHeight w:val="222"/>
        </w:trPr>
        <w:tc>
          <w:tcPr>
            <w:tcW w:w="2460" w:type="dxa"/>
            <w:vAlign w:val="bottom"/>
            <w:shd w:val="clear" w:color="auto" w:fill="FCE9E8"/>
          </w:tcPr>
          <w:p>
            <w:pPr>
              <w:ind w:left="80"/>
              <w:spacing w:after="0"/>
              <w:rPr>
                <w:sz w:val="20"/>
                <w:szCs w:val="20"/>
                <w:color w:val="auto"/>
              </w:rPr>
            </w:pPr>
            <w:r>
              <w:rPr>
                <w:rFonts w:ascii="Arial" w:cs="Arial" w:eastAsia="Arial" w:hAnsi="Arial"/>
                <w:sz w:val="14"/>
                <w:szCs w:val="14"/>
                <w:color w:val="auto"/>
              </w:rPr>
              <w:t>Continental Aktiengesellschaft</w:t>
            </w:r>
          </w:p>
        </w:tc>
        <w:tc>
          <w:tcPr>
            <w:tcW w:w="2320" w:type="dxa"/>
            <w:vAlign w:val="bottom"/>
            <w:shd w:val="clear" w:color="auto" w:fill="FCE9E8"/>
          </w:tcPr>
          <w:p>
            <w:pPr>
              <w:ind w:left="140"/>
              <w:spacing w:after="0"/>
              <w:rPr>
                <w:sz w:val="20"/>
                <w:szCs w:val="20"/>
                <w:color w:val="auto"/>
              </w:rPr>
            </w:pPr>
            <w:r>
              <w:rPr>
                <w:rFonts w:ascii="Arial" w:cs="Arial" w:eastAsia="Arial" w:hAnsi="Arial"/>
                <w:sz w:val="14"/>
                <w:szCs w:val="14"/>
                <w:color w:val="auto"/>
              </w:rPr>
              <w:t>Faurecia S.A.</w:t>
            </w:r>
          </w:p>
        </w:tc>
        <w:tc>
          <w:tcPr>
            <w:tcW w:w="25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Navistar International Corporation</w:t>
            </w:r>
          </w:p>
        </w:tc>
        <w:tc>
          <w:tcPr>
            <w:tcW w:w="2600" w:type="dxa"/>
            <w:vAlign w:val="bottom"/>
            <w:shd w:val="clear" w:color="auto" w:fill="FCE9E8"/>
          </w:tcPr>
          <w:p>
            <w:pPr>
              <w:spacing w:after="0"/>
              <w:rPr>
                <w:sz w:val="19"/>
                <w:szCs w:val="19"/>
                <w:color w:val="auto"/>
              </w:rPr>
            </w:pPr>
          </w:p>
        </w:tc>
      </w:tr>
      <w:tr>
        <w:trPr>
          <w:trHeight w:val="210"/>
        </w:trPr>
        <w:tc>
          <w:tcPr>
            <w:tcW w:w="24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Cooper Tire &amp; Rubber Company</w:t>
            </w:r>
          </w:p>
        </w:tc>
        <w:tc>
          <w:tcPr>
            <w:tcW w:w="2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Gentex Corporation</w:t>
            </w:r>
          </w:p>
        </w:tc>
        <w:tc>
          <w:tcPr>
            <w:tcW w:w="25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PACCAR Inc.</w:t>
            </w:r>
          </w:p>
        </w:tc>
        <w:tc>
          <w:tcPr>
            <w:tcW w:w="260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sectPr>
          <w:pgSz w:w="11900" w:h="16838" w:orient="portrait"/>
          <w:cols w:equalWidth="0" w:num="1">
            <w:col w:w="10860"/>
          </w:cols>
          <w:pgMar w:left="320" w:top="459" w:right="719" w:bottom="1440" w:gutter="0" w:footer="0" w:header="0"/>
          <w:type w:val="continuous"/>
        </w:sectPr>
      </w:pPr>
    </w:p>
    <w:p>
      <w:pPr>
        <w:ind w:left="660"/>
        <w:spacing w:after="0" w:line="250" w:lineRule="auto"/>
        <w:rPr>
          <w:sz w:val="20"/>
          <w:szCs w:val="20"/>
          <w:color w:val="auto"/>
        </w:rPr>
      </w:pPr>
      <w:r>
        <w:rPr>
          <w:rFonts w:ascii="Arial" w:cs="Arial" w:eastAsia="Arial" w:hAnsi="Arial"/>
          <w:sz w:val="16"/>
          <w:szCs w:val="16"/>
          <w:i w:val="1"/>
          <w:iCs w:val="1"/>
          <w:color w:val="auto"/>
        </w:rPr>
        <w:t>Vesting of 2018 Performance Share Awards</w:t>
      </w:r>
      <w:r>
        <w:rPr>
          <w:rFonts w:ascii="Arial" w:cs="Arial" w:eastAsia="Arial" w:hAnsi="Arial"/>
          <w:sz w:val="16"/>
          <w:szCs w:val="16"/>
          <w:color w:val="auto"/>
        </w:rPr>
        <w:t>. In 2018,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(other than Mr. Esposito, who did not commence employment with the Company until 2019) received grants of Performance Shares for the 2018-2020 performance period, with performance vesting terms based on Adjusted ROIC and Cumulative Adjusted Pre-Tax Income, which are assessed separately. The RSUs that were granted at the same time as the 2018 Performance Shares (which represented 25% of the total equity award value at target) vested in January 2021.</w:t>
      </w:r>
    </w:p>
    <w:p>
      <w:pPr>
        <w:spacing w:after="0" w:line="20" w:lineRule="exact"/>
        <w:rPr>
          <w:sz w:val="20"/>
          <w:szCs w:val="20"/>
          <w:color w:val="auto"/>
        </w:rPr>
      </w:pPr>
      <w:r>
        <w:rPr>
          <w:sz w:val="20"/>
          <w:szCs w:val="20"/>
          <w:color w:val="auto"/>
        </w:rPr>
        <w:br w:type="column"/>
      </w:r>
    </w:p>
    <w:p>
      <w:pPr>
        <w:ind w:right="320"/>
        <w:spacing w:after="0" w:line="248" w:lineRule="auto"/>
        <w:rPr>
          <w:sz w:val="20"/>
          <w:szCs w:val="20"/>
          <w:color w:val="auto"/>
        </w:rPr>
      </w:pPr>
      <w:r>
        <w:rPr>
          <w:rFonts w:ascii="Arial" w:cs="Arial" w:eastAsia="Arial" w:hAnsi="Arial"/>
          <w:sz w:val="16"/>
          <w:szCs w:val="16"/>
          <w:color w:val="auto"/>
        </w:rPr>
        <w:t>The threshold, target, maximum and actual Adjusted ROIC and Cumulative Adjusted Pre-Tax Income levels for the 2018-2020 performance period are shown above under the heading “Compensation Discussion and Analysis — Executive Summary — 2018-2020 Performance Shares” and exclude the impact of the COVID-19 pandemic as further described in the next paragraph. If the threshold, target or maximum goals for these measures were attained during the performance period, 50%, 100% or 200% of the target performance shares for each executive, respectively, would be earned.</w:t>
      </w:r>
    </w:p>
    <w:p>
      <w:pPr>
        <w:spacing w:after="0" w:line="200" w:lineRule="exact"/>
        <w:rPr>
          <w:sz w:val="20"/>
          <w:szCs w:val="20"/>
          <w:color w:val="auto"/>
        </w:rPr>
      </w:pPr>
    </w:p>
    <w:p>
      <w:pPr>
        <w:sectPr>
          <w:pgSz w:w="11900" w:h="16838" w:orient="portrait"/>
          <w:cols w:equalWidth="0" w:num="2">
            <w:col w:w="5280" w:space="440"/>
            <w:col w:w="5140"/>
          </w:cols>
          <w:pgMar w:left="320" w:top="459" w:right="719" w:bottom="1440" w:gutter="0" w:footer="0" w:header="0"/>
          <w:type w:val="continuous"/>
        </w:sectPr>
      </w:pPr>
    </w:p>
    <w:p>
      <w:pPr>
        <w:spacing w:after="0" w:line="59" w:lineRule="exact"/>
        <w:rPr>
          <w:sz w:val="20"/>
          <w:szCs w:val="20"/>
          <w:color w:val="auto"/>
        </w:rPr>
      </w:pPr>
    </w:p>
    <w:p>
      <w:pPr>
        <w:ind w:left="660" w:right="560"/>
        <w:spacing w:after="0" w:line="260" w:lineRule="auto"/>
        <w:rPr>
          <w:sz w:val="20"/>
          <w:szCs w:val="20"/>
          <w:color w:val="auto"/>
        </w:rPr>
      </w:pPr>
      <w:r>
        <w:rPr>
          <w:rFonts w:ascii="Arial" w:cs="Arial" w:eastAsia="Arial" w:hAnsi="Arial"/>
          <w:sz w:val="16"/>
          <w:szCs w:val="16"/>
          <w:color w:val="auto"/>
        </w:rPr>
        <w:t>In determining the payouts of the 2018 Performance Shares, consistent with our pay-for-performance philosophy of providing incentive payouts for delivering operating results, the Compensation Committee deemed it appropriate to exclude the estimated</w:t>
      </w:r>
    </w:p>
    <w:p>
      <w:pPr>
        <w:spacing w:after="0" w:line="387"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43</w:t>
      </w:r>
    </w:p>
    <w:p>
      <w:pPr>
        <w:sectPr>
          <w:pgSz w:w="11900" w:h="16838" w:orient="portrait"/>
          <w:cols w:equalWidth="0" w:num="1">
            <w:col w:w="10860"/>
          </w:cols>
          <w:pgMar w:left="320" w:top="459" w:right="7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93"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impact of the COVID-19 pandemic from our financial performance results as a significant unplanned, unbudgeted item. Factoring in such exclusions, Adjusted ROIC was achieved below the threshold level of performance, and accordingly, no Performance Shares were earned based on that performance goal. However, Cumulative Adjusted Pre-Tax Income was achieved between the threshold and target levels of performance, and given the overall weighting of the performance metrics, the overall award was earned at 22% of target (see the charts above under the heading “Executive Summary — Executive Compensation Highlights — 2018-2020 Performance Shares” for our Adjusted ROIC and Cumulative Adjusted Pre-Tax Income results). The resulting share amounts earned by the participating NEOs are shown in the table below:</w:t>
      </w:r>
    </w:p>
    <w:p>
      <w:pPr>
        <w:spacing w:after="0" w:line="22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FFFFFF"/>
        </w:rPr>
        <w:t>2018-2020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29221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88595"/>
                    </a:xfrm>
                    <a:prstGeom prst="rect">
                      <a:avLst/>
                    </a:prstGeom>
                    <a:noFill/>
                  </pic:spPr>
                </pic:pic>
              </a:graphicData>
            </a:graphic>
          </wp:anchor>
        </w:drawing>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80" w:type="dxa"/>
            <w:vAlign w:val="bottom"/>
          </w:tcPr>
          <w:p>
            <w:pPr>
              <w:jc w:val="center"/>
              <w:ind w:left="142"/>
              <w:spacing w:after="0"/>
              <w:rPr>
                <w:sz w:val="20"/>
                <w:szCs w:val="20"/>
                <w:color w:val="auto"/>
              </w:rPr>
            </w:pPr>
            <w:r>
              <w:rPr>
                <w:rFonts w:ascii="Arial" w:cs="Arial" w:eastAsia="Arial" w:hAnsi="Arial"/>
                <w:sz w:val="14"/>
                <w:szCs w:val="14"/>
                <w:b w:val="1"/>
                <w:bCs w:val="1"/>
                <w:color w:val="E2231A"/>
              </w:rPr>
              <w:t>Actual</w:t>
            </w:r>
          </w:p>
        </w:tc>
      </w:tr>
      <w:tr>
        <w:trPr>
          <w:trHeight w:val="162"/>
        </w:trPr>
        <w:tc>
          <w:tcPr>
            <w:tcW w:w="3500" w:type="dxa"/>
            <w:vAlign w:val="bottom"/>
          </w:tcPr>
          <w:p>
            <w:pPr>
              <w:spacing w:after="0"/>
              <w:rPr>
                <w:sz w:val="14"/>
                <w:szCs w:val="14"/>
                <w:color w:val="auto"/>
              </w:rPr>
            </w:pPr>
          </w:p>
        </w:tc>
        <w:tc>
          <w:tcPr>
            <w:tcW w:w="3160" w:type="dxa"/>
            <w:vAlign w:val="bottom"/>
          </w:tcPr>
          <w:p>
            <w:pPr>
              <w:jc w:val="right"/>
              <w:ind w:right="602"/>
              <w:spacing w:after="0"/>
              <w:rPr>
                <w:sz w:val="20"/>
                <w:szCs w:val="20"/>
                <w:color w:val="auto"/>
              </w:rPr>
            </w:pPr>
            <w:r>
              <w:rPr>
                <w:rFonts w:ascii="Arial" w:cs="Arial" w:eastAsia="Arial" w:hAnsi="Arial"/>
                <w:sz w:val="14"/>
                <w:szCs w:val="14"/>
                <w:b w:val="1"/>
                <w:bCs w:val="1"/>
                <w:color w:val="E2231A"/>
              </w:rPr>
              <w:t>Target</w:t>
            </w:r>
          </w:p>
        </w:tc>
        <w:tc>
          <w:tcPr>
            <w:tcW w:w="1880" w:type="dxa"/>
            <w:vAlign w:val="bottom"/>
          </w:tcPr>
          <w:p>
            <w:pPr>
              <w:jc w:val="right"/>
              <w:ind w:right="582"/>
              <w:spacing w:after="0"/>
              <w:rPr>
                <w:sz w:val="20"/>
                <w:szCs w:val="20"/>
                <w:color w:val="auto"/>
              </w:rPr>
            </w:pPr>
            <w:r>
              <w:rPr>
                <w:rFonts w:ascii="Arial" w:cs="Arial" w:eastAsia="Arial" w:hAnsi="Arial"/>
                <w:sz w:val="14"/>
                <w:szCs w:val="14"/>
                <w:b w:val="1"/>
                <w:bCs w:val="1"/>
                <w:color w:val="E2231A"/>
              </w:rPr>
              <w:t>Actual</w:t>
            </w:r>
          </w:p>
        </w:tc>
        <w:tc>
          <w:tcPr>
            <w:tcW w:w="1380" w:type="dxa"/>
            <w:vAlign w:val="bottom"/>
          </w:tcPr>
          <w:p>
            <w:pPr>
              <w:jc w:val="center"/>
              <w:ind w:left="142"/>
              <w:spacing w:after="0"/>
              <w:rPr>
                <w:sz w:val="20"/>
                <w:szCs w:val="20"/>
                <w:color w:val="auto"/>
              </w:rPr>
            </w:pPr>
            <w:r>
              <w:rPr>
                <w:rFonts w:ascii="Arial" w:cs="Arial" w:eastAsia="Arial" w:hAnsi="Arial"/>
                <w:sz w:val="14"/>
                <w:szCs w:val="14"/>
                <w:b w:val="1"/>
                <w:bCs w:val="1"/>
                <w:color w:val="E2231A"/>
              </w:rPr>
              <w:t>Shares</w:t>
            </w:r>
          </w:p>
        </w:tc>
      </w:tr>
      <w:tr>
        <w:trPr>
          <w:trHeight w:val="189"/>
        </w:trPr>
        <w:tc>
          <w:tcPr>
            <w:tcW w:w="35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E2231A"/>
              </w:rPr>
              <w:t>Shares (#)</w:t>
            </w:r>
          </w:p>
        </w:tc>
        <w:tc>
          <w:tcPr>
            <w:tcW w:w="1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E2231A"/>
              </w:rPr>
              <w:t>Performance</w:t>
            </w:r>
          </w:p>
        </w:tc>
        <w:tc>
          <w:tcPr>
            <w:tcW w:w="138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E2231A"/>
              </w:rPr>
              <w:t>Earned (#)</w:t>
            </w:r>
          </w:p>
        </w:tc>
      </w:tr>
      <w:tr>
        <w:trPr>
          <w:trHeight w:val="223"/>
        </w:trPr>
        <w:tc>
          <w:tcPr>
            <w:tcW w:w="350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160" w:type="dxa"/>
            <w:vAlign w:val="bottom"/>
            <w:shd w:val="clear" w:color="auto" w:fill="FCE9E8"/>
          </w:tcPr>
          <w:p>
            <w:pPr>
              <w:jc w:val="right"/>
              <w:ind w:right="542"/>
              <w:spacing w:after="0"/>
              <w:rPr>
                <w:sz w:val="20"/>
                <w:szCs w:val="20"/>
                <w:color w:val="auto"/>
              </w:rPr>
            </w:pPr>
            <w:r>
              <w:rPr>
                <w:rFonts w:ascii="Arial" w:cs="Arial" w:eastAsia="Arial" w:hAnsi="Arial"/>
                <w:sz w:val="16"/>
                <w:szCs w:val="16"/>
                <w:color w:val="auto"/>
              </w:rPr>
              <w:t>26,912</w:t>
            </w:r>
          </w:p>
        </w:tc>
        <w:tc>
          <w:tcPr>
            <w:tcW w:w="1880" w:type="dxa"/>
            <w:vAlign w:val="bottom"/>
            <w:shd w:val="clear" w:color="auto" w:fill="FCE9E8"/>
          </w:tcPr>
          <w:p>
            <w:pPr>
              <w:jc w:val="right"/>
              <w:ind w:right="542"/>
              <w:spacing w:after="0"/>
              <w:rPr>
                <w:sz w:val="20"/>
                <w:szCs w:val="20"/>
                <w:color w:val="auto"/>
              </w:rPr>
            </w:pPr>
            <w:r>
              <w:rPr>
                <w:rFonts w:ascii="Arial" w:cs="Arial" w:eastAsia="Arial" w:hAnsi="Arial"/>
                <w:sz w:val="16"/>
                <w:szCs w:val="16"/>
                <w:color w:val="auto"/>
              </w:rPr>
              <w:t>22%</w:t>
            </w:r>
          </w:p>
        </w:tc>
        <w:tc>
          <w:tcPr>
            <w:tcW w:w="138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5,920</w:t>
            </w:r>
          </w:p>
        </w:tc>
      </w:tr>
      <w:tr>
        <w:trPr>
          <w:trHeight w:val="220"/>
        </w:trPr>
        <w:tc>
          <w:tcPr>
            <w:tcW w:w="350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3160" w:type="dxa"/>
            <w:vAlign w:val="bottom"/>
          </w:tcPr>
          <w:p>
            <w:pPr>
              <w:jc w:val="right"/>
              <w:ind w:right="542"/>
              <w:spacing w:after="0"/>
              <w:rPr>
                <w:sz w:val="20"/>
                <w:szCs w:val="20"/>
                <w:color w:val="auto"/>
              </w:rPr>
            </w:pPr>
            <w:r>
              <w:rPr>
                <w:rFonts w:ascii="Arial" w:cs="Arial" w:eastAsia="Arial" w:hAnsi="Arial"/>
                <w:sz w:val="16"/>
                <w:szCs w:val="16"/>
                <w:color w:val="auto"/>
              </w:rPr>
              <w:t>2,507</w:t>
            </w:r>
          </w:p>
        </w:tc>
        <w:tc>
          <w:tcPr>
            <w:tcW w:w="1880" w:type="dxa"/>
            <w:vAlign w:val="bottom"/>
          </w:tcPr>
          <w:p>
            <w:pPr>
              <w:jc w:val="right"/>
              <w:ind w:right="542"/>
              <w:spacing w:after="0"/>
              <w:rPr>
                <w:sz w:val="20"/>
                <w:szCs w:val="20"/>
                <w:color w:val="auto"/>
              </w:rPr>
            </w:pPr>
            <w:r>
              <w:rPr>
                <w:rFonts w:ascii="Arial" w:cs="Arial" w:eastAsia="Arial" w:hAnsi="Arial"/>
                <w:sz w:val="16"/>
                <w:szCs w:val="16"/>
                <w:color w:val="auto"/>
              </w:rPr>
              <w:t>22%</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551</w:t>
            </w:r>
          </w:p>
        </w:tc>
      </w:tr>
      <w:tr>
        <w:trPr>
          <w:trHeight w:val="239"/>
        </w:trPr>
        <w:tc>
          <w:tcPr>
            <w:tcW w:w="350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160" w:type="dxa"/>
            <w:vAlign w:val="bottom"/>
            <w:shd w:val="clear" w:color="auto" w:fill="FCE9E8"/>
          </w:tcPr>
          <w:p>
            <w:pPr>
              <w:jc w:val="right"/>
              <w:ind w:right="542"/>
              <w:spacing w:after="0"/>
              <w:rPr>
                <w:sz w:val="20"/>
                <w:szCs w:val="20"/>
                <w:color w:val="auto"/>
              </w:rPr>
            </w:pPr>
            <w:r>
              <w:rPr>
                <w:rFonts w:ascii="Arial" w:cs="Arial" w:eastAsia="Arial" w:hAnsi="Arial"/>
                <w:sz w:val="16"/>
                <w:szCs w:val="16"/>
                <w:color w:val="auto"/>
              </w:rPr>
              <w:t>9,531</w:t>
            </w:r>
          </w:p>
        </w:tc>
        <w:tc>
          <w:tcPr>
            <w:tcW w:w="1880" w:type="dxa"/>
            <w:vAlign w:val="bottom"/>
            <w:shd w:val="clear" w:color="auto" w:fill="FCE9E8"/>
          </w:tcPr>
          <w:p>
            <w:pPr>
              <w:jc w:val="right"/>
              <w:ind w:right="542"/>
              <w:spacing w:after="0"/>
              <w:rPr>
                <w:sz w:val="20"/>
                <w:szCs w:val="20"/>
                <w:color w:val="auto"/>
              </w:rPr>
            </w:pPr>
            <w:r>
              <w:rPr>
                <w:rFonts w:ascii="Arial" w:cs="Arial" w:eastAsia="Arial" w:hAnsi="Arial"/>
                <w:sz w:val="16"/>
                <w:szCs w:val="16"/>
                <w:color w:val="auto"/>
              </w:rPr>
              <w:t>22%</w:t>
            </w:r>
          </w:p>
        </w:tc>
        <w:tc>
          <w:tcPr>
            <w:tcW w:w="138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2,096</w:t>
            </w:r>
          </w:p>
        </w:tc>
      </w:tr>
      <w:tr>
        <w:trPr>
          <w:trHeight w:val="220"/>
        </w:trPr>
        <w:tc>
          <w:tcPr>
            <w:tcW w:w="350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3160" w:type="dxa"/>
            <w:vAlign w:val="bottom"/>
          </w:tcPr>
          <w:p>
            <w:pPr>
              <w:jc w:val="right"/>
              <w:ind w:right="542"/>
              <w:spacing w:after="0"/>
              <w:rPr>
                <w:sz w:val="20"/>
                <w:szCs w:val="20"/>
                <w:color w:val="auto"/>
              </w:rPr>
            </w:pPr>
            <w:r>
              <w:rPr>
                <w:rFonts w:ascii="Arial" w:cs="Arial" w:eastAsia="Arial" w:hAnsi="Arial"/>
                <w:sz w:val="16"/>
                <w:szCs w:val="16"/>
                <w:color w:val="auto"/>
              </w:rPr>
              <w:t>7,609</w:t>
            </w:r>
          </w:p>
        </w:tc>
        <w:tc>
          <w:tcPr>
            <w:tcW w:w="1880" w:type="dxa"/>
            <w:vAlign w:val="bottom"/>
          </w:tcPr>
          <w:p>
            <w:pPr>
              <w:jc w:val="right"/>
              <w:ind w:right="542"/>
              <w:spacing w:after="0"/>
              <w:rPr>
                <w:sz w:val="20"/>
                <w:szCs w:val="20"/>
                <w:color w:val="auto"/>
              </w:rPr>
            </w:pPr>
            <w:r>
              <w:rPr>
                <w:rFonts w:ascii="Arial" w:cs="Arial" w:eastAsia="Arial" w:hAnsi="Arial"/>
                <w:sz w:val="16"/>
                <w:szCs w:val="16"/>
                <w:color w:val="auto"/>
              </w:rPr>
              <w:t>22%</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1,673</w:t>
            </w:r>
          </w:p>
        </w:tc>
      </w:tr>
      <w:tr>
        <w:trPr>
          <w:trHeight w:val="233"/>
        </w:trPr>
        <w:tc>
          <w:tcPr>
            <w:tcW w:w="35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3160" w:type="dxa"/>
            <w:vAlign w:val="bottom"/>
            <w:tcBorders>
              <w:bottom w:val="single" w:sz="8" w:color="auto"/>
            </w:tcBorders>
            <w:shd w:val="clear" w:color="auto" w:fill="FCE9E8"/>
          </w:tcPr>
          <w:p>
            <w:pPr>
              <w:jc w:val="right"/>
              <w:ind w:right="542"/>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FCE9E8"/>
          </w:tcPr>
          <w:p>
            <w:pPr>
              <w:jc w:val="right"/>
              <w:ind w:right="68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FCE9E8"/>
          </w:tcPr>
          <w:p>
            <w:pPr>
              <w:jc w:val="right"/>
              <w:ind w:right="262"/>
              <w:spacing w:after="0"/>
              <w:rPr>
                <w:sz w:val="20"/>
                <w:szCs w:val="20"/>
                <w:color w:val="auto"/>
              </w:rPr>
            </w:pPr>
            <w:r>
              <w:rPr>
                <w:rFonts w:ascii="Arial" w:cs="Arial" w:eastAsia="Arial" w:hAnsi="Arial"/>
                <w:sz w:val="16"/>
                <w:szCs w:val="16"/>
                <w:color w:val="auto"/>
              </w:rPr>
              <w:t>—</w:t>
            </w:r>
          </w:p>
        </w:tc>
      </w:tr>
    </w:tbl>
    <w:p>
      <w:pPr>
        <w:spacing w:after="0" w:line="161" w:lineRule="exact"/>
        <w:rPr>
          <w:sz w:val="20"/>
          <w:szCs w:val="20"/>
          <w:color w:val="auto"/>
        </w:rPr>
      </w:pPr>
    </w:p>
    <w:p>
      <w:pPr>
        <w:sectPr>
          <w:pgSz w:w="11900" w:h="16838" w:orient="portrait"/>
          <w:cols w:equalWidth="0" w:num="1">
            <w:col w:w="10580"/>
          </w:cols>
          <w:pgMar w:left="320" w:top="459" w:right="999" w:bottom="1440" w:gutter="0" w:footer="0" w:header="0"/>
        </w:sectPr>
      </w:pPr>
    </w:p>
    <w:p>
      <w:pPr>
        <w:ind w:left="660"/>
        <w:spacing w:after="0" w:line="281" w:lineRule="auto"/>
        <w:rPr>
          <w:sz w:val="20"/>
          <w:szCs w:val="20"/>
          <w:color w:val="auto"/>
        </w:rPr>
      </w:pPr>
      <w:r>
        <w:rPr>
          <w:rFonts w:ascii="Arial" w:cs="Arial" w:eastAsia="Arial" w:hAnsi="Arial"/>
          <w:sz w:val="16"/>
          <w:szCs w:val="16"/>
          <w:i w:val="1"/>
          <w:iCs w:val="1"/>
          <w:color w:val="auto"/>
        </w:rPr>
        <w:t xml:space="preserve">Changes for 2021 Equity Award Opportunities. </w:t>
      </w:r>
      <w:r>
        <w:rPr>
          <w:rFonts w:ascii="Arial" w:cs="Arial" w:eastAsia="Arial" w:hAnsi="Arial"/>
          <w:sz w:val="16"/>
          <w:szCs w:val="16"/>
          <w:color w:val="auto"/>
        </w:rPr>
        <w:t>In late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approved an increased 2021</w:t>
      </w:r>
    </w:p>
    <w:p>
      <w:pPr>
        <w:spacing w:after="0" w:line="20" w:lineRule="exact"/>
        <w:rPr>
          <w:sz w:val="20"/>
          <w:szCs w:val="20"/>
          <w:color w:val="auto"/>
        </w:rPr>
      </w:pPr>
      <w:r>
        <w:rPr>
          <w:sz w:val="20"/>
          <w:szCs w:val="20"/>
          <w:color w:val="auto"/>
        </w:rPr>
        <w:br w:type="column"/>
      </w:r>
    </w:p>
    <w:p>
      <w:pPr>
        <w:ind w:right="40"/>
        <w:spacing w:after="0" w:line="260" w:lineRule="auto"/>
        <w:rPr>
          <w:sz w:val="20"/>
          <w:szCs w:val="20"/>
          <w:color w:val="auto"/>
        </w:rPr>
      </w:pPr>
      <w:r>
        <w:rPr>
          <w:rFonts w:ascii="Arial" w:cs="Arial" w:eastAsia="Arial" w:hAnsi="Arial"/>
          <w:sz w:val="16"/>
          <w:szCs w:val="16"/>
          <w:color w:val="auto"/>
        </w:rPr>
        <w:t>target long-term incentive opportunity for Mr. Cardew, from 270% to 300% of his annual base salary.</w:t>
      </w:r>
    </w:p>
    <w:p>
      <w:pPr>
        <w:spacing w:after="0" w:line="216" w:lineRule="exact"/>
        <w:rPr>
          <w:sz w:val="20"/>
          <w:szCs w:val="20"/>
          <w:color w:val="auto"/>
        </w:rPr>
      </w:pPr>
    </w:p>
    <w:p>
      <w:pPr>
        <w:sectPr>
          <w:pgSz w:w="11900" w:h="16838" w:orient="portrait"/>
          <w:cols w:equalWidth="0" w:num="2">
            <w:col w:w="5340" w:space="380"/>
            <w:col w:w="4860"/>
          </w:cols>
          <w:pgMar w:left="320" w:top="459" w:right="999" w:bottom="1440" w:gutter="0" w:footer="0" w:header="0"/>
          <w:type w:val="continuous"/>
        </w:sectPr>
      </w:pP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Retirement Benefits</w:t>
      </w:r>
    </w:p>
    <w:p>
      <w:pPr>
        <w:spacing w:after="0" w:line="124" w:lineRule="exact"/>
        <w:rPr>
          <w:sz w:val="20"/>
          <w:szCs w:val="20"/>
          <w:color w:val="auto"/>
        </w:rPr>
      </w:pPr>
    </w:p>
    <w:p>
      <w:pPr>
        <w:ind w:left="660" w:right="100"/>
        <w:spacing w:after="0" w:line="249" w:lineRule="auto"/>
        <w:rPr>
          <w:sz w:val="20"/>
          <w:szCs w:val="20"/>
          <w:color w:val="auto"/>
        </w:rPr>
      </w:pPr>
      <w:r>
        <w:rPr>
          <w:rFonts w:ascii="Arial" w:cs="Arial" w:eastAsia="Arial" w:hAnsi="Arial"/>
          <w:sz w:val="16"/>
          <w:szCs w:val="16"/>
          <w:color w:val="auto"/>
        </w:rPr>
        <w:t>Our NEOs participate in our retirement savings plan, qualified pension plan, pension equalization plan and supplemental savings plan, as eligible.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 The general terms of these plans and formulas for calculating benefits are summarized following the 2020 Summary Compensation Table, 2020 Pension Benefits table and 2020 Nonqualified Deferred Compensation table, respectively, in “Executive Compensation.”</w:t>
      </w:r>
    </w:p>
    <w:p>
      <w:pPr>
        <w:spacing w:after="0" w:line="224"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-156210</wp:posOffset>
            </wp:positionV>
            <wp:extent cx="6292215" cy="2940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940050"/>
                    </a:xfrm>
                    <a:prstGeom prst="rect">
                      <a:avLst/>
                    </a:prstGeom>
                    <a:noFill/>
                  </pic:spPr>
                </pic:pic>
              </a:graphicData>
            </a:graphic>
          </wp:anchor>
        </w:drawing>
      </w: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6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E2231A"/>
              </w:rPr>
              <w:t>Pages for</w:t>
            </w:r>
          </w:p>
        </w:tc>
        <w:tc>
          <w:tcPr>
            <w:tcW w:w="0" w:type="dxa"/>
            <w:vAlign w:val="bottom"/>
          </w:tcPr>
          <w:p>
            <w:pPr>
              <w:spacing w:after="0"/>
              <w:rPr>
                <w:sz w:val="1"/>
                <w:szCs w:val="1"/>
                <w:color w:val="auto"/>
              </w:rPr>
            </w:pPr>
          </w:p>
        </w:tc>
      </w:tr>
      <w:tr>
        <w:trPr>
          <w:trHeight w:val="162"/>
        </w:trPr>
        <w:tc>
          <w:tcPr>
            <w:tcW w:w="16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E2231A"/>
              </w:rPr>
              <w:t>Further</w:t>
            </w:r>
          </w:p>
        </w:tc>
        <w:tc>
          <w:tcPr>
            <w:tcW w:w="0" w:type="dxa"/>
            <w:vAlign w:val="bottom"/>
          </w:tcPr>
          <w:p>
            <w:pPr>
              <w:spacing w:after="0"/>
              <w:rPr>
                <w:sz w:val="1"/>
                <w:szCs w:val="1"/>
                <w:color w:val="auto"/>
              </w:rPr>
            </w:pPr>
          </w:p>
        </w:tc>
      </w:tr>
      <w:tr>
        <w:trPr>
          <w:trHeight w:val="189"/>
        </w:trPr>
        <w:tc>
          <w:tcPr>
            <w:tcW w:w="16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E2231A"/>
              </w:rPr>
              <w:t>Type</w:t>
            </w:r>
          </w:p>
        </w:tc>
        <w:tc>
          <w:tcPr>
            <w:tcW w:w="8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4"/>
                <w:szCs w:val="14"/>
                <w:b w:val="1"/>
                <w:bCs w:val="1"/>
                <w:color w:val="E2231A"/>
              </w:rPr>
              <w:t>Plan/Program</w:t>
            </w:r>
          </w:p>
        </w:tc>
        <w:tc>
          <w:tcPr>
            <w:tcW w:w="60" w:type="dxa"/>
            <w:vAlign w:val="bottom"/>
            <w:tcBorders>
              <w:bottom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E2231A"/>
              </w:rPr>
              <w:t>Component/Feature</w:t>
            </w: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Purpose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0" w:type="dxa"/>
            <w:vAlign w:val="bottom"/>
          </w:tcPr>
          <w:p>
            <w:pPr>
              <w:spacing w:after="0"/>
              <w:rPr>
                <w:sz w:val="1"/>
                <w:szCs w:val="1"/>
                <w:color w:val="auto"/>
              </w:rPr>
            </w:pPr>
          </w:p>
        </w:tc>
      </w:tr>
      <w:tr>
        <w:trPr>
          <w:trHeight w:val="282"/>
        </w:trPr>
        <w:tc>
          <w:tcPr>
            <w:tcW w:w="1600" w:type="dxa"/>
            <w:vAlign w:val="bottom"/>
            <w:tcBorders>
              <w:bottom w:val="single" w:sz="8" w:color="FCE9E8"/>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Defined</w:t>
            </w:r>
          </w:p>
        </w:tc>
        <w:tc>
          <w:tcPr>
            <w:tcW w:w="80" w:type="dxa"/>
            <w:vAlign w:val="bottom"/>
            <w:tcBorders>
              <w:bottom w:val="single" w:sz="8" w:color="FCE9E8"/>
            </w:tcBorders>
            <w:shd w:val="clear" w:color="auto" w:fill="FCE9E8"/>
          </w:tcPr>
          <w:p>
            <w:pPr>
              <w:spacing w:after="0"/>
              <w:rPr>
                <w:sz w:val="24"/>
                <w:szCs w:val="24"/>
                <w:color w:val="auto"/>
              </w:rPr>
            </w:pPr>
          </w:p>
        </w:tc>
        <w:tc>
          <w:tcPr>
            <w:tcW w:w="30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Salaried Retirement</w:t>
            </w:r>
          </w:p>
        </w:tc>
        <w:tc>
          <w:tcPr>
            <w:tcW w:w="60" w:type="dxa"/>
            <w:vAlign w:val="bottom"/>
            <w:tcBorders>
              <w:bottom w:val="single" w:sz="8" w:color="FCE9E8"/>
            </w:tcBorders>
            <w:shd w:val="clear" w:color="auto" w:fill="FCE9E8"/>
          </w:tcPr>
          <w:p>
            <w:pPr>
              <w:spacing w:after="0"/>
              <w:rPr>
                <w:sz w:val="24"/>
                <w:szCs w:val="24"/>
                <w:color w:val="auto"/>
              </w:rPr>
            </w:pPr>
          </w:p>
        </w:tc>
        <w:tc>
          <w:tcPr>
            <w:tcW w:w="19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24"/>
                <w:szCs w:val="24"/>
                <w:color w:val="auto"/>
              </w:rPr>
            </w:pPr>
          </w:p>
        </w:tc>
        <w:tc>
          <w:tcPr>
            <w:tcW w:w="238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Standard 401(k) plan and</w:t>
            </w:r>
          </w:p>
        </w:tc>
        <w:tc>
          <w:tcPr>
            <w:tcW w:w="800" w:type="dxa"/>
            <w:vAlign w:val="bottom"/>
            <w:tcBorders>
              <w:bottom w:val="single" w:sz="8" w:color="FCE9E8"/>
            </w:tcBorders>
            <w:shd w:val="clear" w:color="auto" w:fill="FCE9E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00" w:type="dxa"/>
            <w:vAlign w:val="bottom"/>
            <w:tcBorders>
              <w:top w:val="single" w:sz="8" w:color="FCE9E8"/>
              <w:right w:val="single" w:sz="8" w:color="auto"/>
            </w:tcBorders>
            <w:shd w:val="clear" w:color="auto" w:fill="FCE9E8"/>
          </w:tcPr>
          <w:p>
            <w:pPr>
              <w:ind w:left="240"/>
              <w:spacing w:after="0" w:line="136" w:lineRule="exact"/>
              <w:rPr>
                <w:sz w:val="20"/>
                <w:szCs w:val="20"/>
                <w:color w:val="auto"/>
              </w:rPr>
            </w:pPr>
            <w:r>
              <w:rPr>
                <w:rFonts w:ascii="Arial" w:cs="Arial" w:eastAsia="Arial" w:hAnsi="Arial"/>
                <w:sz w:val="15"/>
                <w:szCs w:val="15"/>
                <w:b w:val="1"/>
                <w:bCs w:val="1"/>
                <w:color w:val="auto"/>
              </w:rPr>
              <w:t>Contribution</w:t>
            </w:r>
          </w:p>
        </w:tc>
        <w:tc>
          <w:tcPr>
            <w:tcW w:w="80" w:type="dxa"/>
            <w:vAlign w:val="bottom"/>
            <w:tcBorders>
              <w:top w:val="single" w:sz="8" w:color="FCE9E8"/>
            </w:tcBorders>
            <w:shd w:val="clear" w:color="auto" w:fill="FCE9E8"/>
          </w:tcPr>
          <w:p>
            <w:pPr>
              <w:spacing w:after="0"/>
              <w:rPr>
                <w:sz w:val="11"/>
                <w:szCs w:val="11"/>
                <w:color w:val="auto"/>
              </w:rPr>
            </w:pPr>
          </w:p>
        </w:tc>
        <w:tc>
          <w:tcPr>
            <w:tcW w:w="3000" w:type="dxa"/>
            <w:vAlign w:val="bottom"/>
            <w:tcBorders>
              <w:top w:val="single" w:sz="8" w:color="FCE9E8"/>
              <w:right w:val="single" w:sz="8" w:color="auto"/>
            </w:tcBorders>
            <w:shd w:val="clear" w:color="auto" w:fill="FCE9E8"/>
          </w:tcPr>
          <w:p>
            <w:pPr>
              <w:spacing w:after="0" w:line="136" w:lineRule="exact"/>
              <w:rPr>
                <w:sz w:val="20"/>
                <w:szCs w:val="20"/>
                <w:color w:val="auto"/>
              </w:rPr>
            </w:pPr>
            <w:r>
              <w:rPr>
                <w:rFonts w:ascii="Arial" w:cs="Arial" w:eastAsia="Arial" w:hAnsi="Arial"/>
                <w:sz w:val="15"/>
                <w:szCs w:val="15"/>
                <w:color w:val="auto"/>
              </w:rPr>
              <w:t>Program (Qualified)</w:t>
            </w:r>
          </w:p>
        </w:tc>
        <w:tc>
          <w:tcPr>
            <w:tcW w:w="60" w:type="dxa"/>
            <w:vAlign w:val="bottom"/>
            <w:tcBorders>
              <w:top w:val="single" w:sz="8" w:color="auto"/>
            </w:tcBorders>
            <w:shd w:val="clear" w:color="auto" w:fill="FCE9E8"/>
          </w:tcPr>
          <w:p>
            <w:pPr>
              <w:spacing w:after="0"/>
              <w:rPr>
                <w:sz w:val="11"/>
                <w:szCs w:val="11"/>
                <w:color w:val="auto"/>
              </w:rPr>
            </w:pPr>
          </w:p>
        </w:tc>
        <w:tc>
          <w:tcPr>
            <w:tcW w:w="1900" w:type="dxa"/>
            <w:vAlign w:val="bottom"/>
            <w:tcBorders>
              <w:top w:val="single" w:sz="8" w:color="auto"/>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Company Match</w:t>
            </w:r>
          </w:p>
        </w:tc>
        <w:tc>
          <w:tcPr>
            <w:tcW w:w="100" w:type="dxa"/>
            <w:vAlign w:val="bottom"/>
            <w:tcBorders>
              <w:top w:val="single" w:sz="8" w:color="FCE9E8"/>
            </w:tcBorders>
            <w:shd w:val="clear" w:color="auto" w:fill="FCE9E8"/>
          </w:tcPr>
          <w:p>
            <w:pPr>
              <w:spacing w:after="0"/>
              <w:rPr>
                <w:sz w:val="11"/>
                <w:szCs w:val="11"/>
                <w:color w:val="auto"/>
              </w:rPr>
            </w:pPr>
          </w:p>
        </w:tc>
        <w:tc>
          <w:tcPr>
            <w:tcW w:w="2380" w:type="dxa"/>
            <w:vAlign w:val="bottom"/>
            <w:tcBorders>
              <w:top w:val="single" w:sz="8" w:color="FCE9E8"/>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w w:val="99"/>
              </w:rPr>
              <w:t>matching contribution</w:t>
            </w:r>
          </w:p>
        </w:tc>
        <w:tc>
          <w:tcPr>
            <w:tcW w:w="800" w:type="dxa"/>
            <w:vAlign w:val="bottom"/>
            <w:tcBorders>
              <w:top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84"/>
        </w:trPr>
        <w:tc>
          <w:tcPr>
            <w:tcW w:w="1600" w:type="dxa"/>
            <w:vAlign w:val="bottom"/>
            <w:tcBorders>
              <w:bottom w:val="single" w:sz="8" w:color="FCE9E8"/>
              <w:right w:val="single" w:sz="8" w:color="auto"/>
            </w:tcBorders>
            <w:shd w:val="clear" w:color="auto" w:fill="FCE9E8"/>
          </w:tcPr>
          <w:p>
            <w:pPr>
              <w:spacing w:after="0"/>
              <w:rPr>
                <w:sz w:val="7"/>
                <w:szCs w:val="7"/>
                <w:color w:val="auto"/>
              </w:rPr>
            </w:pPr>
          </w:p>
        </w:tc>
        <w:tc>
          <w:tcPr>
            <w:tcW w:w="80" w:type="dxa"/>
            <w:vAlign w:val="bottom"/>
            <w:tcBorders>
              <w:bottom w:val="single" w:sz="8" w:color="FCE9E8"/>
            </w:tcBorders>
            <w:shd w:val="clear" w:color="auto" w:fill="FCE9E8"/>
          </w:tcPr>
          <w:p>
            <w:pPr>
              <w:spacing w:after="0"/>
              <w:rPr>
                <w:sz w:val="7"/>
                <w:szCs w:val="7"/>
                <w:color w:val="auto"/>
              </w:rPr>
            </w:pPr>
          </w:p>
        </w:tc>
        <w:tc>
          <w:tcPr>
            <w:tcW w:w="3000" w:type="dxa"/>
            <w:vAlign w:val="bottom"/>
            <w:tcBorders>
              <w:bottom w:val="single" w:sz="8" w:color="FCE9E8"/>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auto"/>
            </w:tcBorders>
            <w:shd w:val="clear" w:color="auto" w:fill="FCE9E8"/>
          </w:tcPr>
          <w:p>
            <w:pPr>
              <w:spacing w:after="0"/>
              <w:rPr>
                <w:sz w:val="7"/>
                <w:szCs w:val="7"/>
                <w:color w:val="auto"/>
              </w:rPr>
            </w:pPr>
          </w:p>
        </w:tc>
        <w:tc>
          <w:tcPr>
            <w:tcW w:w="238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800" w:type="dxa"/>
            <w:vAlign w:val="bottom"/>
            <w:tcBorders>
              <w:bottom w:val="single" w:sz="8" w:color="FCE9E8"/>
            </w:tcBorders>
            <w:vMerge w:val="continue"/>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600" w:type="dxa"/>
            <w:vAlign w:val="bottom"/>
            <w:tcBorders>
              <w:bottom w:val="single" w:sz="8" w:color="FCE9E8"/>
              <w:right w:val="single" w:sz="8" w:color="auto"/>
            </w:tcBorders>
            <w:shd w:val="clear" w:color="auto" w:fill="FCE9E8"/>
          </w:tcPr>
          <w:p>
            <w:pPr>
              <w:spacing w:after="0"/>
              <w:rPr>
                <w:sz w:val="19"/>
                <w:szCs w:val="19"/>
                <w:color w:val="auto"/>
              </w:rPr>
            </w:pPr>
          </w:p>
        </w:tc>
        <w:tc>
          <w:tcPr>
            <w:tcW w:w="80" w:type="dxa"/>
            <w:vAlign w:val="bottom"/>
            <w:tcBorders>
              <w:bottom w:val="single" w:sz="8" w:color="auto"/>
            </w:tcBorders>
            <w:shd w:val="clear" w:color="auto" w:fill="FCE9E8"/>
          </w:tcPr>
          <w:p>
            <w:pPr>
              <w:spacing w:after="0"/>
              <w:rPr>
                <w:sz w:val="19"/>
                <w:szCs w:val="19"/>
                <w:color w:val="auto"/>
              </w:rPr>
            </w:pPr>
          </w:p>
        </w:tc>
        <w:tc>
          <w:tcPr>
            <w:tcW w:w="3000" w:type="dxa"/>
            <w:vAlign w:val="bottom"/>
            <w:tcBorders>
              <w:bottom w:val="single" w:sz="8" w:color="auto"/>
              <w:right w:val="single" w:sz="8" w:color="auto"/>
            </w:tcBorders>
            <w:shd w:val="clear" w:color="auto" w:fill="FCE9E8"/>
          </w:tcPr>
          <w:p>
            <w:pPr>
              <w:spacing w:after="0"/>
              <w:rPr>
                <w:sz w:val="19"/>
                <w:szCs w:val="19"/>
                <w:color w:val="auto"/>
              </w:rPr>
            </w:pPr>
          </w:p>
        </w:tc>
        <w:tc>
          <w:tcPr>
            <w:tcW w:w="60" w:type="dxa"/>
            <w:vAlign w:val="bottom"/>
            <w:tcBorders>
              <w:bottom w:val="single" w:sz="8" w:color="auto"/>
            </w:tcBorders>
            <w:shd w:val="clear" w:color="auto" w:fill="FCE9E8"/>
          </w:tcPr>
          <w:p>
            <w:pPr>
              <w:spacing w:after="0"/>
              <w:rPr>
                <w:sz w:val="19"/>
                <w:szCs w:val="19"/>
                <w:color w:val="auto"/>
              </w:rPr>
            </w:pPr>
          </w:p>
        </w:tc>
        <w:tc>
          <w:tcPr>
            <w:tcW w:w="1900" w:type="dxa"/>
            <w:vAlign w:val="bottom"/>
            <w:tcBorders>
              <w:bottom w:val="single" w:sz="8" w:color="auto"/>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100" w:type="dxa"/>
            <w:vAlign w:val="bottom"/>
            <w:tcBorders>
              <w:bottom w:val="single" w:sz="8" w:color="auto"/>
            </w:tcBorders>
            <w:shd w:val="clear" w:color="auto" w:fill="FCE9E8"/>
          </w:tcPr>
          <w:p>
            <w:pPr>
              <w:spacing w:after="0"/>
              <w:rPr>
                <w:sz w:val="19"/>
                <w:szCs w:val="19"/>
                <w:color w:val="auto"/>
              </w:rPr>
            </w:pPr>
          </w:p>
        </w:tc>
        <w:tc>
          <w:tcPr>
            <w:tcW w:w="238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Company contribution</w:t>
            </w:r>
          </w:p>
        </w:tc>
        <w:tc>
          <w:tcPr>
            <w:tcW w:w="8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1600" w:type="dxa"/>
            <w:vAlign w:val="bottom"/>
            <w:tcBorders>
              <w:bottom w:val="single" w:sz="8" w:color="FCE9E8"/>
              <w:right w:val="single" w:sz="8" w:color="auto"/>
            </w:tcBorders>
            <w:shd w:val="clear" w:color="auto" w:fill="FCE9E8"/>
          </w:tcPr>
          <w:p>
            <w:pPr>
              <w:spacing w:after="0"/>
              <w:rPr>
                <w:sz w:val="24"/>
                <w:szCs w:val="24"/>
                <w:color w:val="auto"/>
              </w:rPr>
            </w:pPr>
          </w:p>
        </w:tc>
        <w:tc>
          <w:tcPr>
            <w:tcW w:w="80" w:type="dxa"/>
            <w:vAlign w:val="bottom"/>
            <w:tcBorders>
              <w:bottom w:val="single" w:sz="8" w:color="FCE9E8"/>
            </w:tcBorders>
            <w:shd w:val="clear" w:color="auto" w:fill="FCE9E8"/>
          </w:tcPr>
          <w:p>
            <w:pPr>
              <w:spacing w:after="0"/>
              <w:rPr>
                <w:sz w:val="24"/>
                <w:szCs w:val="24"/>
                <w:color w:val="auto"/>
              </w:rPr>
            </w:pPr>
          </w:p>
        </w:tc>
        <w:tc>
          <w:tcPr>
            <w:tcW w:w="30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Salaried Retirement Restoration</w:t>
            </w:r>
          </w:p>
        </w:tc>
        <w:tc>
          <w:tcPr>
            <w:tcW w:w="60" w:type="dxa"/>
            <w:vAlign w:val="bottom"/>
            <w:tcBorders>
              <w:bottom w:val="single" w:sz="8" w:color="FCE9E8"/>
            </w:tcBorders>
            <w:shd w:val="clear" w:color="auto" w:fill="FCE9E8"/>
          </w:tcPr>
          <w:p>
            <w:pPr>
              <w:spacing w:after="0"/>
              <w:rPr>
                <w:sz w:val="24"/>
                <w:szCs w:val="24"/>
                <w:color w:val="auto"/>
              </w:rPr>
            </w:pPr>
          </w:p>
        </w:tc>
        <w:tc>
          <w:tcPr>
            <w:tcW w:w="19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Deferral</w:t>
            </w:r>
          </w:p>
        </w:tc>
        <w:tc>
          <w:tcPr>
            <w:tcW w:w="100" w:type="dxa"/>
            <w:vAlign w:val="bottom"/>
            <w:tcBorders>
              <w:bottom w:val="single" w:sz="8" w:color="FCE9E8"/>
            </w:tcBorders>
            <w:shd w:val="clear" w:color="auto" w:fill="FCE9E8"/>
          </w:tcPr>
          <w:p>
            <w:pPr>
              <w:spacing w:after="0"/>
              <w:rPr>
                <w:sz w:val="24"/>
                <w:szCs w:val="24"/>
                <w:color w:val="auto"/>
              </w:rPr>
            </w:pPr>
          </w:p>
        </w:tc>
        <w:tc>
          <w:tcPr>
            <w:tcW w:w="238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Excess programs for</w:t>
            </w:r>
          </w:p>
        </w:tc>
        <w:tc>
          <w:tcPr>
            <w:tcW w:w="800" w:type="dxa"/>
            <w:vAlign w:val="bottom"/>
            <w:tcBorders>
              <w:bottom w:val="single" w:sz="8" w:color="FCE9E8"/>
            </w:tcBorders>
            <w:shd w:val="clear" w:color="auto" w:fill="FCE9E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00" w:type="dxa"/>
            <w:vAlign w:val="bottom"/>
            <w:tcBorders>
              <w:top w:val="single" w:sz="8" w:color="FCE9E8"/>
              <w:right w:val="single" w:sz="8" w:color="auto"/>
            </w:tcBorders>
            <w:shd w:val="clear" w:color="auto" w:fill="FCE9E8"/>
          </w:tcPr>
          <w:p>
            <w:pPr>
              <w:spacing w:after="0"/>
              <w:rPr>
                <w:sz w:val="11"/>
                <w:szCs w:val="11"/>
                <w:color w:val="auto"/>
              </w:rPr>
            </w:pPr>
          </w:p>
        </w:tc>
        <w:tc>
          <w:tcPr>
            <w:tcW w:w="80" w:type="dxa"/>
            <w:vAlign w:val="bottom"/>
            <w:tcBorders>
              <w:top w:val="single" w:sz="8" w:color="FCE9E8"/>
            </w:tcBorders>
            <w:shd w:val="clear" w:color="auto" w:fill="FCE9E8"/>
          </w:tcPr>
          <w:p>
            <w:pPr>
              <w:spacing w:after="0"/>
              <w:rPr>
                <w:sz w:val="11"/>
                <w:szCs w:val="11"/>
                <w:color w:val="auto"/>
              </w:rPr>
            </w:pPr>
          </w:p>
        </w:tc>
        <w:tc>
          <w:tcPr>
            <w:tcW w:w="3000" w:type="dxa"/>
            <w:vAlign w:val="bottom"/>
            <w:tcBorders>
              <w:top w:val="single" w:sz="8" w:color="FCE9E8"/>
              <w:right w:val="single" w:sz="8" w:color="auto"/>
            </w:tcBorders>
            <w:shd w:val="clear" w:color="auto" w:fill="FCE9E8"/>
          </w:tcPr>
          <w:p>
            <w:pPr>
              <w:spacing w:after="0" w:line="136" w:lineRule="exact"/>
              <w:rPr>
                <w:sz w:val="20"/>
                <w:szCs w:val="20"/>
                <w:color w:val="auto"/>
              </w:rPr>
            </w:pPr>
            <w:r>
              <w:rPr>
                <w:rFonts w:ascii="Arial" w:cs="Arial" w:eastAsia="Arial" w:hAnsi="Arial"/>
                <w:sz w:val="15"/>
                <w:szCs w:val="15"/>
                <w:color w:val="auto"/>
              </w:rPr>
              <w:t>Program (Non-Qualified)</w:t>
            </w:r>
          </w:p>
        </w:tc>
        <w:tc>
          <w:tcPr>
            <w:tcW w:w="60" w:type="dxa"/>
            <w:vAlign w:val="bottom"/>
            <w:tcBorders>
              <w:top w:val="single" w:sz="8" w:color="auto"/>
            </w:tcBorders>
            <w:shd w:val="clear" w:color="auto" w:fill="FCE9E8"/>
          </w:tcPr>
          <w:p>
            <w:pPr>
              <w:spacing w:after="0"/>
              <w:rPr>
                <w:sz w:val="11"/>
                <w:szCs w:val="11"/>
                <w:color w:val="auto"/>
              </w:rPr>
            </w:pPr>
          </w:p>
        </w:tc>
        <w:tc>
          <w:tcPr>
            <w:tcW w:w="1900" w:type="dxa"/>
            <w:vAlign w:val="bottom"/>
            <w:tcBorders>
              <w:top w:val="single" w:sz="8" w:color="auto"/>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Company Match</w:t>
            </w:r>
          </w:p>
        </w:tc>
        <w:tc>
          <w:tcPr>
            <w:tcW w:w="100" w:type="dxa"/>
            <w:vAlign w:val="bottom"/>
            <w:tcBorders>
              <w:top w:val="single" w:sz="8" w:color="FCE9E8"/>
            </w:tcBorders>
            <w:shd w:val="clear" w:color="auto" w:fill="FCE9E8"/>
          </w:tcPr>
          <w:p>
            <w:pPr>
              <w:spacing w:after="0"/>
              <w:rPr>
                <w:sz w:val="11"/>
                <w:szCs w:val="11"/>
                <w:color w:val="auto"/>
              </w:rPr>
            </w:pPr>
          </w:p>
        </w:tc>
        <w:tc>
          <w:tcPr>
            <w:tcW w:w="2380" w:type="dxa"/>
            <w:vAlign w:val="bottom"/>
            <w:tcBorders>
              <w:top w:val="single" w:sz="8" w:color="FCE9E8"/>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amounts above</w:t>
            </w:r>
          </w:p>
        </w:tc>
        <w:tc>
          <w:tcPr>
            <w:tcW w:w="800" w:type="dxa"/>
            <w:vAlign w:val="bottom"/>
            <w:tcBorders>
              <w:top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56 to 59</w:t>
            </w:r>
          </w:p>
        </w:tc>
        <w:tc>
          <w:tcPr>
            <w:tcW w:w="0" w:type="dxa"/>
            <w:vAlign w:val="bottom"/>
          </w:tcPr>
          <w:p>
            <w:pPr>
              <w:spacing w:after="0"/>
              <w:rPr>
                <w:sz w:val="1"/>
                <w:szCs w:val="1"/>
                <w:color w:val="auto"/>
              </w:rPr>
            </w:pPr>
          </w:p>
        </w:tc>
      </w:tr>
      <w:tr>
        <w:trPr>
          <w:trHeight w:val="87"/>
        </w:trPr>
        <w:tc>
          <w:tcPr>
            <w:tcW w:w="1600" w:type="dxa"/>
            <w:vAlign w:val="bottom"/>
            <w:tcBorders>
              <w:bottom w:val="single" w:sz="8" w:color="FCE9E8"/>
              <w:right w:val="single" w:sz="8" w:color="auto"/>
            </w:tcBorders>
            <w:shd w:val="clear" w:color="auto" w:fill="FCE9E8"/>
          </w:tcPr>
          <w:p>
            <w:pPr>
              <w:spacing w:after="0"/>
              <w:rPr>
                <w:sz w:val="7"/>
                <w:szCs w:val="7"/>
                <w:color w:val="auto"/>
              </w:rPr>
            </w:pPr>
          </w:p>
        </w:tc>
        <w:tc>
          <w:tcPr>
            <w:tcW w:w="80" w:type="dxa"/>
            <w:vAlign w:val="bottom"/>
            <w:tcBorders>
              <w:bottom w:val="single" w:sz="8" w:color="FCE9E8"/>
            </w:tcBorders>
            <w:shd w:val="clear" w:color="auto" w:fill="FCE9E8"/>
          </w:tcPr>
          <w:p>
            <w:pPr>
              <w:spacing w:after="0"/>
              <w:rPr>
                <w:sz w:val="7"/>
                <w:szCs w:val="7"/>
                <w:color w:val="auto"/>
              </w:rPr>
            </w:pPr>
          </w:p>
        </w:tc>
        <w:tc>
          <w:tcPr>
            <w:tcW w:w="3000" w:type="dxa"/>
            <w:vAlign w:val="bottom"/>
            <w:tcBorders>
              <w:bottom w:val="single" w:sz="8" w:color="FCE9E8"/>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100" w:type="dxa"/>
            <w:vAlign w:val="bottom"/>
            <w:tcBorders>
              <w:bottom w:val="single" w:sz="8" w:color="FCE9E8"/>
            </w:tcBorders>
            <w:shd w:val="clear" w:color="auto" w:fill="FCE9E8"/>
          </w:tcPr>
          <w:p>
            <w:pPr>
              <w:spacing w:after="0"/>
              <w:rPr>
                <w:sz w:val="7"/>
                <w:szCs w:val="7"/>
                <w:color w:val="auto"/>
              </w:rPr>
            </w:pPr>
          </w:p>
        </w:tc>
        <w:tc>
          <w:tcPr>
            <w:tcW w:w="2380" w:type="dxa"/>
            <w:vAlign w:val="bottom"/>
            <w:tcBorders>
              <w:bottom w:val="single" w:sz="8" w:color="FCE9E8"/>
              <w:right w:val="single" w:sz="8" w:color="auto"/>
            </w:tcBorders>
            <w:vMerge w:val="continue"/>
            <w:shd w:val="clear" w:color="auto" w:fill="FCE9E8"/>
          </w:tcPr>
          <w:p>
            <w:pPr>
              <w:spacing w:after="0"/>
              <w:rPr>
                <w:sz w:val="7"/>
                <w:szCs w:val="7"/>
                <w:color w:val="auto"/>
              </w:rPr>
            </w:pPr>
          </w:p>
        </w:tc>
        <w:tc>
          <w:tcPr>
            <w:tcW w:w="800" w:type="dxa"/>
            <w:vAlign w:val="bottom"/>
            <w:tcBorders>
              <w:bottom w:val="single" w:sz="8" w:color="FCE9E8"/>
            </w:tcBorders>
            <w:vMerge w:val="continue"/>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00" w:type="dxa"/>
            <w:vAlign w:val="bottom"/>
            <w:tcBorders>
              <w:right w:val="single" w:sz="8" w:color="auto"/>
            </w:tcBorders>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3000" w:type="dxa"/>
            <w:vAlign w:val="bottom"/>
            <w:tcBorders>
              <w:right w:val="single" w:sz="8" w:color="auto"/>
            </w:tcBorders>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1900" w:type="dxa"/>
            <w:vAlign w:val="bottom"/>
            <w:tcBorders>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100" w:type="dxa"/>
            <w:vAlign w:val="bottom"/>
            <w:shd w:val="clear" w:color="auto" w:fill="FCE9E8"/>
          </w:tcPr>
          <w:p>
            <w:pPr>
              <w:spacing w:after="0"/>
              <w:rPr>
                <w:sz w:val="17"/>
                <w:szCs w:val="17"/>
                <w:color w:val="auto"/>
              </w:rPr>
            </w:pPr>
          </w:p>
        </w:tc>
        <w:tc>
          <w:tcPr>
            <w:tcW w:w="2380" w:type="dxa"/>
            <w:vAlign w:val="bottom"/>
            <w:tcBorders>
              <w:right w:val="single" w:sz="8" w:color="auto"/>
            </w:tcBorders>
            <w:shd w:val="clear" w:color="auto" w:fill="FCE9E8"/>
          </w:tcPr>
          <w:p>
            <w:pPr>
              <w:jc w:val="center"/>
              <w:spacing w:after="0" w:line="177" w:lineRule="exact"/>
              <w:rPr>
                <w:sz w:val="20"/>
                <w:szCs w:val="20"/>
                <w:color w:val="auto"/>
              </w:rPr>
            </w:pPr>
            <w:r>
              <w:rPr>
                <w:rFonts w:ascii="Arial" w:cs="Arial" w:eastAsia="Arial" w:hAnsi="Arial"/>
                <w:sz w:val="16"/>
                <w:szCs w:val="16"/>
                <w:color w:val="auto"/>
              </w:rPr>
              <w:t>qualified plan limits</w:t>
            </w:r>
          </w:p>
        </w:tc>
        <w:tc>
          <w:tcPr>
            <w:tcW w:w="80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right w:val="single" w:sz="8" w:color="auto"/>
            </w:tcBorders>
            <w:shd w:val="clear" w:color="auto" w:fill="FCE9E8"/>
          </w:tcPr>
          <w:p>
            <w:pPr>
              <w:spacing w:after="0"/>
              <w:rPr>
                <w:sz w:val="7"/>
                <w:szCs w:val="7"/>
                <w:color w:val="auto"/>
              </w:rPr>
            </w:pPr>
          </w:p>
        </w:tc>
        <w:tc>
          <w:tcPr>
            <w:tcW w:w="80" w:type="dxa"/>
            <w:vAlign w:val="bottom"/>
            <w:tcBorders>
              <w:bottom w:val="single" w:sz="8" w:color="auto"/>
            </w:tcBorders>
            <w:shd w:val="clear" w:color="auto" w:fill="FCE9E8"/>
          </w:tcPr>
          <w:p>
            <w:pPr>
              <w:spacing w:after="0"/>
              <w:rPr>
                <w:sz w:val="7"/>
                <w:szCs w:val="7"/>
                <w:color w:val="auto"/>
              </w:rPr>
            </w:pPr>
          </w:p>
        </w:tc>
        <w:tc>
          <w:tcPr>
            <w:tcW w:w="3000" w:type="dxa"/>
            <w:vAlign w:val="bottom"/>
            <w:tcBorders>
              <w:bottom w:val="single" w:sz="8" w:color="auto"/>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shd w:val="clear" w:color="auto" w:fill="FCE9E8"/>
          </w:tcPr>
          <w:p>
            <w:pPr>
              <w:spacing w:after="0"/>
              <w:rPr>
                <w:sz w:val="7"/>
                <w:szCs w:val="7"/>
                <w:color w:val="auto"/>
              </w:rPr>
            </w:pPr>
          </w:p>
        </w:tc>
        <w:tc>
          <w:tcPr>
            <w:tcW w:w="100" w:type="dxa"/>
            <w:vAlign w:val="bottom"/>
            <w:tcBorders>
              <w:bottom w:val="single" w:sz="8" w:color="auto"/>
            </w:tcBorders>
            <w:shd w:val="clear" w:color="auto" w:fill="FCE9E8"/>
          </w:tcPr>
          <w:p>
            <w:pPr>
              <w:spacing w:after="0"/>
              <w:rPr>
                <w:sz w:val="7"/>
                <w:szCs w:val="7"/>
                <w:color w:val="auto"/>
              </w:rPr>
            </w:pPr>
          </w:p>
        </w:tc>
        <w:tc>
          <w:tcPr>
            <w:tcW w:w="2380" w:type="dxa"/>
            <w:vAlign w:val="bottom"/>
            <w:tcBorders>
              <w:bottom w:val="single" w:sz="8" w:color="auto"/>
              <w:right w:val="single" w:sz="8" w:color="auto"/>
            </w:tcBorders>
            <w:shd w:val="clear" w:color="auto" w:fill="FCE9E8"/>
          </w:tcPr>
          <w:p>
            <w:pPr>
              <w:spacing w:after="0"/>
              <w:rPr>
                <w:sz w:val="7"/>
                <w:szCs w:val="7"/>
                <w:color w:val="auto"/>
              </w:rPr>
            </w:pPr>
          </w:p>
        </w:tc>
        <w:tc>
          <w:tcPr>
            <w:tcW w:w="800" w:type="dxa"/>
            <w:vAlign w:val="bottom"/>
            <w:tcBorders>
              <w:bottom w:val="single" w:sz="8" w:color="auto"/>
            </w:tcBorders>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60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rPr>
              <w:t>Defined Benefit</w:t>
            </w:r>
          </w:p>
        </w:tc>
        <w:tc>
          <w:tcPr>
            <w:tcW w:w="30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Lear Corporation Pension Plan</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Qualified Pension Plan</w:t>
            </w:r>
          </w:p>
        </w:tc>
        <w:tc>
          <w:tcPr>
            <w:tcW w:w="10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56 to 57</w:t>
            </w:r>
          </w:p>
        </w:tc>
        <w:tc>
          <w:tcPr>
            <w:tcW w:w="0" w:type="dxa"/>
            <w:vAlign w:val="bottom"/>
          </w:tcPr>
          <w:p>
            <w:pPr>
              <w:spacing w:after="0"/>
              <w:rPr>
                <w:sz w:val="1"/>
                <w:szCs w:val="1"/>
                <w:color w:val="auto"/>
              </w:rPr>
            </w:pPr>
          </w:p>
        </w:tc>
      </w:tr>
      <w:tr>
        <w:trPr>
          <w:trHeight w:val="189"/>
        </w:trPr>
        <w:tc>
          <w:tcPr>
            <w:tcW w:w="160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i w:val="1"/>
                <w:iCs w:val="1"/>
                <w:color w:val="auto"/>
              </w:rPr>
              <w:t>(frozen as</w:t>
            </w:r>
          </w:p>
        </w:tc>
        <w:tc>
          <w:tcPr>
            <w:tcW w:w="80" w:type="dxa"/>
            <w:vAlign w:val="bottom"/>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i w:val="1"/>
                <w:iCs w:val="1"/>
                <w:color w:val="auto"/>
              </w:rPr>
              <w:t>(frozen)</w:t>
            </w:r>
          </w:p>
        </w:tc>
        <w:tc>
          <w:tcPr>
            <w:tcW w:w="100" w:type="dxa"/>
            <w:vAlign w:val="bottom"/>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600" w:type="dxa"/>
            <w:vAlign w:val="bottom"/>
            <w:tcBorders>
              <w:right w:val="single" w:sz="8" w:color="auto"/>
            </w:tcBorders>
            <w:vMerge w:val="restart"/>
          </w:tcPr>
          <w:p>
            <w:pPr>
              <w:ind w:left="240"/>
              <w:spacing w:after="0" w:line="147" w:lineRule="exact"/>
              <w:rPr>
                <w:sz w:val="20"/>
                <w:szCs w:val="20"/>
                <w:color w:val="auto"/>
              </w:rPr>
            </w:pPr>
            <w:r>
              <w:rPr>
                <w:rFonts w:ascii="Arial" w:cs="Arial" w:eastAsia="Arial" w:hAnsi="Arial"/>
                <w:sz w:val="16"/>
                <w:szCs w:val="16"/>
                <w:b w:val="1"/>
                <w:bCs w:val="1"/>
                <w:i w:val="1"/>
                <w:iCs w:val="1"/>
                <w:color w:val="auto"/>
              </w:rPr>
              <w:t>of 12/31/06)</w:t>
            </w:r>
          </w:p>
        </w:tc>
        <w:tc>
          <w:tcPr>
            <w:tcW w:w="80" w:type="dxa"/>
            <w:vAlign w:val="bottom"/>
          </w:tcPr>
          <w:p>
            <w:pPr>
              <w:spacing w:after="0"/>
              <w:rPr>
                <w:sz w:val="6"/>
                <w:szCs w:val="6"/>
                <w:color w:val="auto"/>
              </w:rPr>
            </w:pPr>
          </w:p>
        </w:tc>
        <w:tc>
          <w:tcPr>
            <w:tcW w:w="300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600" w:type="dxa"/>
            <w:vAlign w:val="bottom"/>
            <w:tcBorders>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n/a</w:t>
            </w: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00" w:type="dxa"/>
            <w:vAlign w:val="bottom"/>
            <w:tcBorders>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Pension Equalization Program</w:t>
            </w:r>
          </w:p>
        </w:tc>
        <w:tc>
          <w:tcPr>
            <w:tcW w:w="196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380" w:type="dxa"/>
            <w:vAlign w:val="bottom"/>
            <w:tcBorders>
              <w:right w:val="single" w:sz="8" w:color="auto"/>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1"/>
        </w:trPr>
        <w:tc>
          <w:tcPr>
            <w:tcW w:w="160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Salaried Retirement Restoration</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00"/>
        </w:trPr>
        <w:tc>
          <w:tcPr>
            <w:tcW w:w="160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Program (Pension Makeup)</w:t>
            </w:r>
          </w:p>
        </w:tc>
        <w:tc>
          <w:tcPr>
            <w:tcW w:w="60" w:type="dxa"/>
            <w:vAlign w:val="bottom"/>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0" w:type="dxa"/>
            <w:vAlign w:val="bottom"/>
            <w:tcBorders>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00" w:type="dxa"/>
            <w:vAlign w:val="bottom"/>
            <w:tcBorders>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Additional</w:t>
            </w:r>
          </w:p>
        </w:tc>
        <w:tc>
          <w:tcPr>
            <w:tcW w:w="308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Career Shares (described below)</w:t>
            </w: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Shares not distributed</w:t>
            </w:r>
          </w:p>
        </w:tc>
        <w:tc>
          <w:tcPr>
            <w:tcW w:w="100" w:type="dxa"/>
            <w:vAlign w:val="bottom"/>
            <w:shd w:val="clear" w:color="auto" w:fill="FCE9E8"/>
          </w:tcPr>
          <w:p>
            <w:pPr>
              <w:spacing w:after="0"/>
              <w:rPr>
                <w:sz w:val="20"/>
                <w:szCs w:val="20"/>
                <w:color w:val="auto"/>
              </w:rPr>
            </w:pPr>
          </w:p>
        </w:tc>
        <w:tc>
          <w:tcPr>
            <w:tcW w:w="238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Intended to facilitate a very long-</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50 to 52;</w:t>
            </w:r>
          </w:p>
        </w:tc>
        <w:tc>
          <w:tcPr>
            <w:tcW w:w="0" w:type="dxa"/>
            <w:vAlign w:val="bottom"/>
          </w:tcPr>
          <w:p>
            <w:pPr>
              <w:spacing w:after="0"/>
              <w:rPr>
                <w:sz w:val="1"/>
                <w:szCs w:val="1"/>
                <w:color w:val="auto"/>
              </w:rPr>
            </w:pPr>
          </w:p>
        </w:tc>
      </w:tr>
      <w:tr>
        <w:trPr>
          <w:trHeight w:val="189"/>
        </w:trPr>
        <w:tc>
          <w:tcPr>
            <w:tcW w:w="160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000" w:type="dxa"/>
            <w:vAlign w:val="bottom"/>
            <w:tcBorders>
              <w:right w:val="single" w:sz="8" w:color="auto"/>
            </w:tcBorders>
            <w:shd w:val="clear" w:color="auto" w:fill="FCE9E8"/>
          </w:tcPr>
          <w:p>
            <w:pPr>
              <w:spacing w:after="0"/>
              <w:rPr>
                <w:sz w:val="16"/>
                <w:szCs w:val="16"/>
                <w:color w:val="auto"/>
              </w:rPr>
            </w:pP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until earlier of age 62 or 3</w:t>
            </w:r>
          </w:p>
        </w:tc>
        <w:tc>
          <w:tcPr>
            <w:tcW w:w="100" w:type="dxa"/>
            <w:vAlign w:val="bottom"/>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term shareholder perspective by</w:t>
            </w:r>
          </w:p>
        </w:tc>
        <w:tc>
          <w:tcPr>
            <w:tcW w:w="80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59; 62 to</w:t>
            </w:r>
          </w:p>
        </w:tc>
        <w:tc>
          <w:tcPr>
            <w:tcW w:w="0" w:type="dxa"/>
            <w:vAlign w:val="bottom"/>
          </w:tcPr>
          <w:p>
            <w:pPr>
              <w:spacing w:after="0"/>
              <w:rPr>
                <w:sz w:val="1"/>
                <w:szCs w:val="1"/>
                <w:color w:val="auto"/>
              </w:rPr>
            </w:pPr>
          </w:p>
        </w:tc>
      </w:tr>
      <w:tr>
        <w:trPr>
          <w:trHeight w:val="189"/>
        </w:trPr>
        <w:tc>
          <w:tcPr>
            <w:tcW w:w="160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000" w:type="dxa"/>
            <w:vAlign w:val="bottom"/>
            <w:tcBorders>
              <w:right w:val="single" w:sz="8" w:color="auto"/>
            </w:tcBorders>
            <w:shd w:val="clear" w:color="auto" w:fill="FCE9E8"/>
          </w:tcPr>
          <w:p>
            <w:pPr>
              <w:spacing w:after="0"/>
              <w:rPr>
                <w:sz w:val="16"/>
                <w:szCs w:val="16"/>
                <w:color w:val="auto"/>
              </w:rPr>
            </w:pP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years after retirement.</w:t>
            </w:r>
          </w:p>
        </w:tc>
        <w:tc>
          <w:tcPr>
            <w:tcW w:w="100" w:type="dxa"/>
            <w:vAlign w:val="bottom"/>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the NEOs and other senior</w:t>
            </w:r>
          </w:p>
        </w:tc>
        <w:tc>
          <w:tcPr>
            <w:tcW w:w="800" w:type="dxa"/>
            <w:vAlign w:val="bottom"/>
            <w:vMerge w:val="restart"/>
            <w:shd w:val="clear" w:color="auto" w:fill="FCE9E8"/>
          </w:tcPr>
          <w:p>
            <w:pPr>
              <w:jc w:val="center"/>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00"/>
        </w:trPr>
        <w:tc>
          <w:tcPr>
            <w:tcW w:w="160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000" w:type="dxa"/>
            <w:vAlign w:val="bottom"/>
            <w:tcBorders>
              <w:right w:val="single" w:sz="8" w:color="auto"/>
            </w:tcBorders>
            <w:shd w:val="clear" w:color="auto" w:fill="FCE9E8"/>
          </w:tcPr>
          <w:p>
            <w:pPr>
              <w:spacing w:after="0"/>
              <w:rPr>
                <w:sz w:val="8"/>
                <w:szCs w:val="8"/>
                <w:color w:val="auto"/>
              </w:rPr>
            </w:pPr>
          </w:p>
        </w:tc>
        <w:tc>
          <w:tcPr>
            <w:tcW w:w="60" w:type="dxa"/>
            <w:vAlign w:val="bottom"/>
            <w:shd w:val="clear" w:color="auto" w:fill="FCE9E8"/>
          </w:tcPr>
          <w:p>
            <w:pPr>
              <w:spacing w:after="0"/>
              <w:rPr>
                <w:sz w:val="8"/>
                <w:szCs w:val="8"/>
                <w:color w:val="auto"/>
              </w:rPr>
            </w:pPr>
          </w:p>
        </w:tc>
        <w:tc>
          <w:tcPr>
            <w:tcW w:w="1900" w:type="dxa"/>
            <w:vAlign w:val="bottom"/>
            <w:tcBorders>
              <w:right w:val="single" w:sz="8" w:color="auto"/>
            </w:tcBorders>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238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w w:val="99"/>
              </w:rPr>
              <w:t>executives.</w:t>
            </w:r>
          </w:p>
        </w:tc>
        <w:tc>
          <w:tcPr>
            <w:tcW w:w="800" w:type="dxa"/>
            <w:vAlign w:val="bottom"/>
            <w:vMerge w:val="continue"/>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60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000" w:type="dxa"/>
            <w:vAlign w:val="bottom"/>
            <w:tcBorders>
              <w:right w:val="single" w:sz="8" w:color="auto"/>
            </w:tcBorders>
            <w:shd w:val="clear" w:color="auto" w:fill="FCE9E8"/>
          </w:tcPr>
          <w:p>
            <w:pPr>
              <w:spacing w:after="0"/>
              <w:rPr>
                <w:sz w:val="8"/>
                <w:szCs w:val="8"/>
                <w:color w:val="auto"/>
              </w:rPr>
            </w:pPr>
          </w:p>
        </w:tc>
        <w:tc>
          <w:tcPr>
            <w:tcW w:w="60" w:type="dxa"/>
            <w:vAlign w:val="bottom"/>
            <w:shd w:val="clear" w:color="auto" w:fill="FCE9E8"/>
          </w:tcPr>
          <w:p>
            <w:pPr>
              <w:spacing w:after="0"/>
              <w:rPr>
                <w:sz w:val="8"/>
                <w:szCs w:val="8"/>
                <w:color w:val="auto"/>
              </w:rPr>
            </w:pPr>
          </w:p>
        </w:tc>
        <w:tc>
          <w:tcPr>
            <w:tcW w:w="1900" w:type="dxa"/>
            <w:vAlign w:val="bottom"/>
            <w:tcBorders>
              <w:right w:val="single" w:sz="8" w:color="auto"/>
            </w:tcBorders>
            <w:shd w:val="clear" w:color="auto" w:fill="FCE9E8"/>
          </w:tcPr>
          <w:p>
            <w:pPr>
              <w:spacing w:after="0"/>
              <w:rPr>
                <w:sz w:val="8"/>
                <w:szCs w:val="8"/>
                <w:color w:val="auto"/>
              </w:rPr>
            </w:pPr>
          </w:p>
        </w:tc>
        <w:tc>
          <w:tcPr>
            <w:tcW w:w="100" w:type="dxa"/>
            <w:vAlign w:val="bottom"/>
            <w:shd w:val="clear" w:color="auto" w:fill="FCE9E8"/>
          </w:tcPr>
          <w:p>
            <w:pPr>
              <w:spacing w:after="0"/>
              <w:rPr>
                <w:sz w:val="8"/>
                <w:szCs w:val="8"/>
                <w:color w:val="auto"/>
              </w:rPr>
            </w:pPr>
          </w:p>
        </w:tc>
        <w:tc>
          <w:tcPr>
            <w:tcW w:w="2380" w:type="dxa"/>
            <w:vAlign w:val="bottom"/>
            <w:tcBorders>
              <w:right w:val="single" w:sz="8" w:color="auto"/>
            </w:tcBorders>
            <w:vMerge w:val="continue"/>
            <w:shd w:val="clear" w:color="auto" w:fill="FCE9E8"/>
          </w:tcPr>
          <w:p>
            <w:pPr>
              <w:spacing w:after="0"/>
              <w:rPr>
                <w:sz w:val="8"/>
                <w:szCs w:val="8"/>
                <w:color w:val="auto"/>
              </w:rPr>
            </w:pPr>
          </w:p>
        </w:tc>
        <w:tc>
          <w:tcPr>
            <w:tcW w:w="800" w:type="dxa"/>
            <w:vAlign w:val="bottom"/>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600" w:type="dxa"/>
            <w:vAlign w:val="bottom"/>
            <w:tcBorders>
              <w:bottom w:val="single" w:sz="8" w:color="auto"/>
              <w:right w:val="single" w:sz="8" w:color="auto"/>
            </w:tcBorders>
            <w:shd w:val="clear" w:color="auto" w:fill="FCE9E8"/>
          </w:tcPr>
          <w:p>
            <w:pPr>
              <w:spacing w:after="0"/>
              <w:rPr>
                <w:sz w:val="5"/>
                <w:szCs w:val="5"/>
                <w:color w:val="auto"/>
              </w:rPr>
            </w:pPr>
          </w:p>
        </w:tc>
        <w:tc>
          <w:tcPr>
            <w:tcW w:w="80" w:type="dxa"/>
            <w:vAlign w:val="bottom"/>
            <w:tcBorders>
              <w:bottom w:val="single" w:sz="8" w:color="auto"/>
            </w:tcBorders>
            <w:shd w:val="clear" w:color="auto" w:fill="FCE9E8"/>
          </w:tcPr>
          <w:p>
            <w:pPr>
              <w:spacing w:after="0"/>
              <w:rPr>
                <w:sz w:val="5"/>
                <w:szCs w:val="5"/>
                <w:color w:val="auto"/>
              </w:rPr>
            </w:pPr>
          </w:p>
        </w:tc>
        <w:tc>
          <w:tcPr>
            <w:tcW w:w="3000" w:type="dxa"/>
            <w:vAlign w:val="bottom"/>
            <w:tcBorders>
              <w:bottom w:val="single" w:sz="8" w:color="auto"/>
              <w:right w:val="single" w:sz="8" w:color="auto"/>
            </w:tcBorders>
            <w:shd w:val="clear" w:color="auto" w:fill="FCE9E8"/>
          </w:tcPr>
          <w:p>
            <w:pPr>
              <w:spacing w:after="0"/>
              <w:rPr>
                <w:sz w:val="5"/>
                <w:szCs w:val="5"/>
                <w:color w:val="auto"/>
              </w:rPr>
            </w:pPr>
          </w:p>
        </w:tc>
        <w:tc>
          <w:tcPr>
            <w:tcW w:w="60" w:type="dxa"/>
            <w:vAlign w:val="bottom"/>
            <w:tcBorders>
              <w:bottom w:val="single" w:sz="8" w:color="auto"/>
            </w:tcBorders>
            <w:shd w:val="clear" w:color="auto" w:fill="FCE9E8"/>
          </w:tcPr>
          <w:p>
            <w:pPr>
              <w:spacing w:after="0"/>
              <w:rPr>
                <w:sz w:val="5"/>
                <w:szCs w:val="5"/>
                <w:color w:val="auto"/>
              </w:rPr>
            </w:pPr>
          </w:p>
        </w:tc>
        <w:tc>
          <w:tcPr>
            <w:tcW w:w="1900" w:type="dxa"/>
            <w:vAlign w:val="bottom"/>
            <w:tcBorders>
              <w:bottom w:val="single" w:sz="8" w:color="auto"/>
              <w:right w:val="single" w:sz="8" w:color="auto"/>
            </w:tcBorders>
            <w:shd w:val="clear" w:color="auto" w:fill="FCE9E8"/>
          </w:tcPr>
          <w:p>
            <w:pPr>
              <w:spacing w:after="0"/>
              <w:rPr>
                <w:sz w:val="5"/>
                <w:szCs w:val="5"/>
                <w:color w:val="auto"/>
              </w:rPr>
            </w:pPr>
          </w:p>
        </w:tc>
        <w:tc>
          <w:tcPr>
            <w:tcW w:w="100" w:type="dxa"/>
            <w:vAlign w:val="bottom"/>
            <w:tcBorders>
              <w:bottom w:val="single" w:sz="8" w:color="auto"/>
            </w:tcBorders>
            <w:shd w:val="clear" w:color="auto" w:fill="FCE9E8"/>
          </w:tcPr>
          <w:p>
            <w:pPr>
              <w:spacing w:after="0"/>
              <w:rPr>
                <w:sz w:val="5"/>
                <w:szCs w:val="5"/>
                <w:color w:val="auto"/>
              </w:rPr>
            </w:pPr>
          </w:p>
        </w:tc>
        <w:tc>
          <w:tcPr>
            <w:tcW w:w="2380" w:type="dxa"/>
            <w:vAlign w:val="bottom"/>
            <w:tcBorders>
              <w:bottom w:val="single" w:sz="8" w:color="auto"/>
              <w:right w:val="single" w:sz="8" w:color="auto"/>
            </w:tcBorders>
            <w:shd w:val="clear" w:color="auto" w:fill="FCE9E8"/>
          </w:tcPr>
          <w:p>
            <w:pPr>
              <w:spacing w:after="0"/>
              <w:rPr>
                <w:sz w:val="5"/>
                <w:szCs w:val="5"/>
                <w:color w:val="auto"/>
              </w:rPr>
            </w:pPr>
          </w:p>
        </w:tc>
        <w:tc>
          <w:tcPr>
            <w:tcW w:w="800" w:type="dxa"/>
            <w:vAlign w:val="bottom"/>
            <w:tcBorders>
              <w:bottom w:val="single" w:sz="8" w:color="auto"/>
            </w:tcBorders>
            <w:shd w:val="clear" w:color="auto" w:fill="FCE9E8"/>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80" w:hanging="393"/>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Career Shares</w:t>
      </w:r>
    </w:p>
    <w:p>
      <w:pPr>
        <w:spacing w:after="0" w:line="19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Since 2012, each November, the Compensation Committee grants awards of Career Shares, which are RSUs that generally must be held until after retirement. The annual granting of Career Shares, which is approaching 10 years of use by the Company, is an integral component of the Company’s strategy to facilitate a very long-term shareholder perspective by the Named Executive Officers and other senior executives. The grants are also intended to motivate and retain key talent during industry cycles and support long-term talent initiatives and succession planning. Individual awards are differentiated by position level, performance and other factors.</w:t>
      </w:r>
    </w:p>
    <w:p>
      <w:pPr>
        <w:spacing w:after="0" w:line="104" w:lineRule="exact"/>
        <w:rPr>
          <w:sz w:val="20"/>
          <w:szCs w:val="20"/>
          <w:color w:val="auto"/>
        </w:rPr>
      </w:pPr>
    </w:p>
    <w:p>
      <w:pPr>
        <w:ind w:left="660" w:right="40"/>
        <w:spacing w:after="0" w:line="247" w:lineRule="auto"/>
        <w:rPr>
          <w:sz w:val="20"/>
          <w:szCs w:val="20"/>
          <w:color w:val="auto"/>
        </w:rPr>
      </w:pPr>
      <w:r>
        <w:rPr>
          <w:rFonts w:ascii="Arial" w:cs="Arial" w:eastAsia="Arial" w:hAnsi="Arial"/>
          <w:sz w:val="16"/>
          <w:szCs w:val="16"/>
          <w:color w:val="auto"/>
        </w:rPr>
        <w:t>On November 18, 2020, the Compensation Committee approved grants of Career Shares pursuant to the LTSIP for the Named Executive Officers, in the amounts reported in “Executive Compensation — Summary Compensation Table” and “— Grants of Plan-Based Awards Table” below (the “Performance-Based Career Shares”), and other senior leaders. The 2020 grants are larger than in prior years to help the Company retain key talent in a very uncertain and highly competitive environment where competitors are aggressively recruiting our executives. Unlike prior awards, the 2020 grants are also subject to the achievement of relevant strategic and Relative TSR goals to focus our executives on near- and long-term organizational goals and align the value realized with our shareholders. Career Shares are generally required to be held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until retirement, since they are not distributed until the later of age 62 or the vesting date. For purposes of illustration, our Named Executive Officers are required to hold the earned Performance-Based Career Shares for an average of at least seven years from the grant date (based on number of years until the earliest distribution opportunity), during which time the Performance-Based Career Shares will remain subject to forfeiture in the event of a voluntary resignation before retirement eligibility has been achieved.</w:t>
      </w:r>
    </w:p>
    <w:p>
      <w:pPr>
        <w:spacing w:after="0" w:line="138" w:lineRule="exact"/>
        <w:rPr>
          <w:sz w:val="20"/>
          <w:szCs w:val="20"/>
          <w:color w:val="auto"/>
        </w:rPr>
      </w:pPr>
    </w:p>
    <w:p>
      <w:pPr>
        <w:ind w:right="320"/>
        <w:spacing w:after="0" w:line="247" w:lineRule="auto"/>
        <w:rPr>
          <w:sz w:val="20"/>
          <w:szCs w:val="20"/>
          <w:color w:val="auto"/>
        </w:rPr>
      </w:pPr>
      <w:r>
        <w:rPr>
          <w:rFonts w:ascii="Arial" w:cs="Arial" w:eastAsia="Arial" w:hAnsi="Arial"/>
          <w:sz w:val="16"/>
          <w:szCs w:val="16"/>
          <w:color w:val="auto"/>
        </w:rPr>
        <w:t>The award opportunity for the Named Executive Officers will only be earned if specific performance goals are achieved at the end of 2021, with earned shares continuing to be subject to the three-year time-vesting requirement (and delayed settlement, on average, at least seven years) thereafter: (i) liquidity (weighted 1/3), (ii) sales backlog (weighted 1/3), and (iii) Relative TSR (weighted 1/3), which must be at the median or higher relative to a group of auto suppliers and industrial companies (below median TSR performance would result in forfeiting this portion of the award opportunity). These measures were selected by the Compensation Committee because they are key indicators of the Company’s ability to maintain a strong balance sheet, to recover from the effects of the COVID-19 pandemic and to position itself for long-term profitable growth. Payouts for the awards cannot exceed the target number of shares.</w:t>
      </w:r>
    </w:p>
    <w:p>
      <w:pPr>
        <w:spacing w:after="0" w:line="537"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6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4" w:lineRule="exact"/>
        <w:rPr>
          <w:sz w:val="20"/>
          <w:szCs w:val="20"/>
          <w:color w:val="auto"/>
        </w:rPr>
      </w:pPr>
    </w:p>
    <w:p>
      <w:pPr>
        <w:ind w:left="660" w:right="380"/>
        <w:spacing w:after="0" w:line="248" w:lineRule="auto"/>
        <w:rPr>
          <w:sz w:val="20"/>
          <w:szCs w:val="20"/>
          <w:color w:val="auto"/>
        </w:rPr>
      </w:pPr>
      <w:r>
        <w:rPr>
          <w:rFonts w:ascii="Arial" w:cs="Arial" w:eastAsia="Arial" w:hAnsi="Arial"/>
          <w:sz w:val="16"/>
          <w:szCs w:val="16"/>
          <w:color w:val="auto"/>
        </w:rPr>
        <w:t>The management stock ownership guidelines create a strong link between our long-term success and the ultimate pay of our executive officers through specified stock ownership levels based on a multiple of base salary, as shown in the table below. Under the guidelines, unvested awards generally do not count towards the ownership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Share ownership targets for executives reaching age 60 are reduced by 10% annually up to a maximum reduction of 50%.</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5220" w:type="dxa"/>
            <w:vAlign w:val="bottom"/>
          </w:tcPr>
          <w:p>
            <w:pPr>
              <w:jc w:val="right"/>
              <w:ind w:right="122"/>
              <w:spacing w:after="0"/>
              <w:rPr>
                <w:sz w:val="20"/>
                <w:szCs w:val="20"/>
                <w:color w:val="auto"/>
              </w:rPr>
            </w:pPr>
            <w:r>
              <w:rPr>
                <w:rFonts w:ascii="Arial" w:cs="Arial" w:eastAsia="Arial" w:hAnsi="Arial"/>
                <w:sz w:val="14"/>
                <w:szCs w:val="14"/>
                <w:b w:val="1"/>
                <w:bCs w:val="1"/>
                <w:color w:val="E2231A"/>
              </w:rPr>
              <w:t>Required Share Ownership Level</w:t>
            </w:r>
          </w:p>
        </w:tc>
      </w:tr>
      <w:tr>
        <w:trPr>
          <w:trHeight w:val="189"/>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Position</w:t>
            </w:r>
          </w:p>
        </w:tc>
        <w:tc>
          <w:tcPr>
            <w:tcW w:w="52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E2231A"/>
              </w:rPr>
              <w:t>(multiple of base salary)</w:t>
            </w:r>
          </w:p>
        </w:tc>
      </w:tr>
      <w:tr>
        <w:trPr>
          <w:trHeight w:val="223"/>
        </w:trPr>
        <w:tc>
          <w:tcPr>
            <w:tcW w:w="4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CEO</w:t>
            </w:r>
          </w:p>
        </w:tc>
        <w:tc>
          <w:tcPr>
            <w:tcW w:w="5220" w:type="dxa"/>
            <w:vAlign w:val="bottom"/>
            <w:shd w:val="clear" w:color="auto" w:fill="FCE9E8"/>
          </w:tcPr>
          <w:p>
            <w:pPr>
              <w:jc w:val="right"/>
              <w:ind w:right="1022"/>
              <w:spacing w:after="0"/>
              <w:rPr>
                <w:sz w:val="20"/>
                <w:szCs w:val="20"/>
                <w:color w:val="auto"/>
              </w:rPr>
            </w:pPr>
            <w:r>
              <w:rPr>
                <w:rFonts w:ascii="Arial" w:cs="Arial" w:eastAsia="Arial" w:hAnsi="Arial"/>
                <w:sz w:val="16"/>
                <w:szCs w:val="16"/>
                <w:color w:val="auto"/>
              </w:rPr>
              <w:t>6X</w:t>
            </w:r>
          </w:p>
        </w:tc>
      </w:tr>
      <w:tr>
        <w:trPr>
          <w:trHeight w:val="220"/>
        </w:trPr>
        <w:tc>
          <w:tcPr>
            <w:tcW w:w="4700" w:type="dxa"/>
            <w:vAlign w:val="bottom"/>
          </w:tcPr>
          <w:p>
            <w:pPr>
              <w:ind w:left="80"/>
              <w:spacing w:after="0"/>
              <w:rPr>
                <w:sz w:val="20"/>
                <w:szCs w:val="20"/>
                <w:color w:val="auto"/>
              </w:rPr>
            </w:pPr>
            <w:r>
              <w:rPr>
                <w:rFonts w:ascii="Arial" w:cs="Arial" w:eastAsia="Arial" w:hAnsi="Arial"/>
                <w:sz w:val="16"/>
                <w:szCs w:val="16"/>
                <w:color w:val="auto"/>
              </w:rPr>
              <w:t>Executive Vice Presidents</w:t>
            </w:r>
          </w:p>
        </w:tc>
        <w:tc>
          <w:tcPr>
            <w:tcW w:w="5220" w:type="dxa"/>
            <w:vAlign w:val="bottom"/>
          </w:tcPr>
          <w:p>
            <w:pPr>
              <w:jc w:val="right"/>
              <w:ind w:right="1022"/>
              <w:spacing w:after="0"/>
              <w:rPr>
                <w:sz w:val="20"/>
                <w:szCs w:val="20"/>
                <w:color w:val="auto"/>
              </w:rPr>
            </w:pPr>
            <w:r>
              <w:rPr>
                <w:rFonts w:ascii="Arial" w:cs="Arial" w:eastAsia="Arial" w:hAnsi="Arial"/>
                <w:sz w:val="16"/>
                <w:szCs w:val="16"/>
                <w:color w:val="auto"/>
              </w:rPr>
              <w:t>3X</w:t>
            </w:r>
          </w:p>
        </w:tc>
      </w:tr>
      <w:tr>
        <w:trPr>
          <w:trHeight w:val="239"/>
        </w:trPr>
        <w:tc>
          <w:tcPr>
            <w:tcW w:w="4700" w:type="dxa"/>
            <w:vAlign w:val="bottom"/>
            <w:shd w:val="clear" w:color="auto" w:fill="FCE9E8"/>
          </w:tcPr>
          <w:p>
            <w:pPr>
              <w:ind w:left="80"/>
              <w:spacing w:after="0"/>
              <w:rPr>
                <w:sz w:val="20"/>
                <w:szCs w:val="20"/>
                <w:color w:val="auto"/>
              </w:rPr>
            </w:pPr>
            <w:r>
              <w:rPr>
                <w:rFonts w:ascii="Arial" w:cs="Arial" w:eastAsia="Arial" w:hAnsi="Arial"/>
                <w:sz w:val="16"/>
                <w:szCs w:val="16"/>
                <w:color w:val="auto"/>
              </w:rPr>
              <w:t>Senior Vice Presidents</w:t>
            </w:r>
          </w:p>
        </w:tc>
        <w:tc>
          <w:tcPr>
            <w:tcW w:w="5220" w:type="dxa"/>
            <w:vAlign w:val="bottom"/>
            <w:shd w:val="clear" w:color="auto" w:fill="FCE9E8"/>
          </w:tcPr>
          <w:p>
            <w:pPr>
              <w:jc w:val="right"/>
              <w:ind w:right="1022"/>
              <w:spacing w:after="0"/>
              <w:rPr>
                <w:sz w:val="20"/>
                <w:szCs w:val="20"/>
                <w:color w:val="auto"/>
              </w:rPr>
            </w:pPr>
            <w:r>
              <w:rPr>
                <w:rFonts w:ascii="Arial" w:cs="Arial" w:eastAsia="Arial" w:hAnsi="Arial"/>
                <w:sz w:val="16"/>
                <w:szCs w:val="16"/>
                <w:color w:val="auto"/>
              </w:rPr>
              <w:t>3X</w:t>
            </w:r>
          </w:p>
        </w:tc>
      </w:tr>
      <w:tr>
        <w:trPr>
          <w:trHeight w:val="223"/>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Executive Officers</w:t>
            </w:r>
          </w:p>
        </w:tc>
        <w:tc>
          <w:tcPr>
            <w:tcW w:w="522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rPr>
              <w:t>1.5X</w:t>
            </w:r>
          </w:p>
        </w:tc>
      </w:tr>
    </w:tbl>
    <w:p>
      <w:pPr>
        <w:spacing w:after="0" w:line="177" w:lineRule="exact"/>
        <w:rPr>
          <w:sz w:val="20"/>
          <w:szCs w:val="20"/>
          <w:color w:val="auto"/>
        </w:rPr>
      </w:pPr>
    </w:p>
    <w:p>
      <w:pPr>
        <w:sectPr>
          <w:pgSz w:w="11900" w:h="16838" w:orient="portrait"/>
          <w:cols w:equalWidth="0" w:num="1">
            <w:col w:w="10860"/>
          </w:cols>
          <w:pgMar w:left="320" w:top="459" w:right="719" w:bottom="1440" w:gutter="0" w:footer="0" w:header="0"/>
          <w:type w:val="continuous"/>
        </w:sectPr>
      </w:pPr>
    </w:p>
    <w:p>
      <w:pPr>
        <w:ind w:left="660"/>
        <w:spacing w:after="0" w:line="250" w:lineRule="auto"/>
        <w:rPr>
          <w:sz w:val="20"/>
          <w:szCs w:val="20"/>
          <w:color w:val="auto"/>
        </w:rPr>
      </w:pPr>
      <w:r>
        <w:rPr>
          <w:rFonts w:ascii="Arial" w:cs="Arial" w:eastAsia="Arial" w:hAnsi="Arial"/>
          <w:sz w:val="16"/>
          <w:szCs w:val="16"/>
          <w:color w:val="auto"/>
        </w:rPr>
        <w:t>Our stock ownership guidelines are reviewed periodically to ensure ongoing market competitiveness and reasonableness. As of our latest measurement date (December 31, 2020), all of our NEOs who were subject to the guidelines have met their respective required ownership levels, other than</w:t>
      </w:r>
    </w:p>
    <w:p>
      <w:pPr>
        <w:spacing w:after="0" w:line="20" w:lineRule="exact"/>
        <w:rPr>
          <w:sz w:val="20"/>
          <w:szCs w:val="20"/>
          <w:color w:val="auto"/>
        </w:rPr>
      </w:pPr>
      <w:r>
        <w:rPr>
          <w:sz w:val="20"/>
          <w:szCs w:val="20"/>
          <w:color w:val="auto"/>
        </w:rPr>
        <w:br w:type="column"/>
      </w:r>
    </w:p>
    <w:p>
      <w:pPr>
        <w:ind w:left="-3" w:right="280" w:firstLine="3"/>
        <w:spacing w:after="0" w:line="253" w:lineRule="auto"/>
        <w:tabs>
          <w:tab w:leader="none" w:pos="186" w:val="left"/>
        </w:tabs>
        <w:numPr>
          <w:ilvl w:val="0"/>
          <w:numId w:val="92"/>
        </w:numPr>
        <w:rPr>
          <w:rFonts w:ascii="Arial" w:cs="Arial" w:eastAsia="Arial" w:hAnsi="Arial"/>
          <w:sz w:val="16"/>
          <w:szCs w:val="16"/>
          <w:color w:val="auto"/>
        </w:rPr>
      </w:pPr>
      <w:r>
        <w:rPr>
          <w:rFonts w:ascii="Arial" w:cs="Arial" w:eastAsia="Arial" w:hAnsi="Arial"/>
          <w:sz w:val="16"/>
          <w:szCs w:val="16"/>
          <w:color w:val="auto"/>
        </w:rPr>
        <w:t>Mr. Cardew, who became subject to the guidelines upon his transition to the role of Senior Vice President and CFO during 2019, and (ii) Mr. Esposito, who joined the Company in September 2019.</w:t>
      </w:r>
    </w:p>
    <w:p>
      <w:pPr>
        <w:spacing w:after="0" w:line="576" w:lineRule="exact"/>
        <w:rPr>
          <w:sz w:val="20"/>
          <w:szCs w:val="20"/>
          <w:color w:val="auto"/>
        </w:rPr>
      </w:pPr>
    </w:p>
    <w:p>
      <w:pPr>
        <w:sectPr>
          <w:pgSz w:w="11900" w:h="16838" w:orient="portrait"/>
          <w:cols w:equalWidth="0" w:num="2">
            <w:col w:w="5320" w:space="403"/>
            <w:col w:w="5137"/>
          </w:cols>
          <w:pgMar w:left="320" w:top="459" w:right="719" w:bottom="1440" w:gutter="0" w:footer="0" w:header="0"/>
          <w:type w:val="continuous"/>
        </w:sectPr>
      </w:pPr>
    </w:p>
    <w:p>
      <w:pPr>
        <w:spacing w:after="0" w:line="35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45</w:t>
      </w:r>
    </w:p>
    <w:p>
      <w:pPr>
        <w:sectPr>
          <w:pgSz w:w="11900" w:h="16838" w:orient="portrait"/>
          <w:cols w:equalWidth="0" w:num="1">
            <w:col w:w="10860"/>
          </w:cols>
          <w:pgMar w:left="320" w:top="459" w:right="7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672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0313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Equity Award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Compensation Committee meetings and are effective as of such dates or specified prospective dates.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Stock Appreciation Rights shall be the closing market price of our common stock on the grant date. The Compensation Committee must approve all awards to our executive officers. The policy also allows the Compensation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Compensation Committee but may be allocated to individual employees by the CEO.</w:t>
      </w:r>
    </w:p>
    <w:p>
      <w:pPr>
        <w:spacing w:after="0" w:line="381" w:lineRule="exact"/>
        <w:rPr>
          <w:sz w:val="20"/>
          <w:szCs w:val="20"/>
          <w:color w:val="auto"/>
        </w:rPr>
      </w:pPr>
    </w:p>
    <w:p>
      <w:pPr>
        <w:sectPr>
          <w:pgSz w:w="11900" w:h="16838" w:orient="portrait"/>
          <w:cols w:equalWidth="0" w:num="2">
            <w:col w:w="5360" w:space="360"/>
            <w:col w:w="4860"/>
          </w:cols>
          <w:pgMar w:left="320" w:top="459" w:right="99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in detail and quantified in “Executive Compensation</w:t>
      </w:r>
    </w:p>
    <w:p>
      <w:pPr>
        <w:spacing w:after="0" w:line="5"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 Potential Payments Upon Termination or Change in Control,” our NEO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 These benefits are intended to ensure that members of senior management are not influenced by their personal situations and are able to be objective in evaluating a potential change in control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transaction. The Compensation Committee regularly reviews termination and change in control benefits and continues to believe that the severance benefits in connection with certain terminations of employment constitute reasonable levels of protection for our executives. The LTSIP provides all participants, including NEOs, double-trigger vesting (i.e., qualifying termination of employment following a change in control) of equity awards (that are not assumed or replaced by the successor company), which protects employees and supports and orderly transition of leadership.</w:t>
      </w:r>
    </w:p>
    <w:p>
      <w:pPr>
        <w:spacing w:after="0" w:line="9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264" w:lineRule="exact"/>
        <w:rPr>
          <w:sz w:val="20"/>
          <w:szCs w:val="20"/>
          <w:color w:val="auto"/>
        </w:rPr>
      </w:pPr>
    </w:p>
    <w:p>
      <w:pPr>
        <w:sectPr>
          <w:pgSz w:w="11900" w:h="16838" w:orient="portrait"/>
          <w:cols w:equalWidth="0" w:num="2">
            <w:col w:w="5400" w:space="320"/>
            <w:col w:w="4860"/>
          </w:cols>
          <w:pgMar w:left="320" w:top="459" w:right="99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 with approval of the Chairman of the Board or Chairman of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Compensation Committee. The Company does not provide tax gross-up payments for the imputed income associated with personal use of corporate aircraft. There was personal use of corporate aircraft in 2020 by our CEO on a limited basis.</w:t>
      </w:r>
    </w:p>
    <w:p>
      <w:pPr>
        <w:spacing w:after="0" w:line="575" w:lineRule="exact"/>
        <w:rPr>
          <w:sz w:val="20"/>
          <w:szCs w:val="20"/>
          <w:color w:val="auto"/>
        </w:rPr>
      </w:pPr>
    </w:p>
    <w:p>
      <w:pPr>
        <w:sectPr>
          <w:pgSz w:w="11900" w:h="16838" w:orient="portrait"/>
          <w:cols w:equalWidth="0" w:num="2">
            <w:col w:w="5320" w:space="400"/>
            <w:col w:w="4860"/>
          </w:cols>
          <w:pgMar w:left="320" w:top="459" w:right="999" w:bottom="1440" w:gutter="0" w:footer="0" w:header="0"/>
          <w:type w:val="continuous"/>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of the Covered Recipient, the Company will recover from such Covered Recipient who received Incentive Compensation 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100"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Clawback Policy is administered by the Compensation Committee, which has the sole discretion in making all determinations under the Clawback Policy. The Clawback Policy will be interpreted and administered (and, as</w:t>
      </w:r>
    </w:p>
    <w:p>
      <w:pPr>
        <w:spacing w:after="0" w:line="200" w:lineRule="exact"/>
        <w:rPr>
          <w:sz w:val="20"/>
          <w:szCs w:val="20"/>
          <w:color w:val="auto"/>
        </w:rPr>
      </w:pPr>
    </w:p>
    <w:p>
      <w:pPr>
        <w:sectPr>
          <w:pgSz w:w="11900" w:h="16838" w:orient="portrait"/>
          <w:cols w:equalWidth="0" w:num="2">
            <w:col w:w="5340" w:space="380"/>
            <w:col w:w="4860"/>
          </w:cols>
          <w:pgMar w:left="320" w:top="459" w:right="999" w:bottom="1440" w:gutter="0" w:footer="0" w:header="0"/>
          <w:type w:val="continuous"/>
        </w:sectPr>
      </w:pPr>
    </w:p>
    <w:p>
      <w:pPr>
        <w:spacing w:after="0" w:line="356" w:lineRule="exact"/>
        <w:rPr>
          <w:sz w:val="20"/>
          <w:szCs w:val="20"/>
          <w:color w:val="auto"/>
        </w:rPr>
      </w:pPr>
    </w:p>
    <w:p>
      <w:pPr>
        <w:ind w:left="780" w:hanging="393"/>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58420</wp:posOffset>
            </wp:positionV>
            <wp:extent cx="21945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necessary, amended to be) consistent with the applicable requirements of Section 10D of the Exchange Act, as added by Section 954 of the Dodd-Frank Wall Street Reform and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960"/>
        <w:spacing w:after="0" w:line="260" w:lineRule="auto"/>
        <w:rPr>
          <w:sz w:val="20"/>
          <w:szCs w:val="20"/>
          <w:color w:val="auto"/>
        </w:rPr>
      </w:pPr>
      <w:r>
        <w:rPr>
          <w:rFonts w:ascii="Arial" w:cs="Arial" w:eastAsia="Arial" w:hAnsi="Arial"/>
          <w:sz w:val="16"/>
          <w:szCs w:val="16"/>
          <w:color w:val="auto"/>
        </w:rPr>
        <w:t>Consumer Protection Act, and any official guidance issued thereunder.</w:t>
      </w:r>
    </w:p>
    <w:p>
      <w:pPr>
        <w:spacing w:after="0" w:line="383" w:lineRule="exact"/>
        <w:rPr>
          <w:sz w:val="20"/>
          <w:szCs w:val="20"/>
          <w:color w:val="auto"/>
        </w:rPr>
      </w:pPr>
    </w:p>
    <w:p>
      <w:pPr>
        <w:sectPr>
          <w:pgSz w:w="11900" w:h="16838" w:orient="portrait"/>
          <w:cols w:equalWidth="0" w:num="2">
            <w:col w:w="5180" w:space="540"/>
            <w:col w:w="5140"/>
          </w:cols>
          <w:pgMar w:left="320" w:top="459"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Hedging and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stock as collateral for a loan. The policy was most recently revised effective September 13, 2017 to eliminate the General Counsel’s discretion to grant exceptions to the pledging prohibition.</w:t>
      </w:r>
    </w:p>
    <w:p>
      <w:pPr>
        <w:spacing w:after="0" w:line="387" w:lineRule="exact"/>
        <w:rPr>
          <w:sz w:val="20"/>
          <w:szCs w:val="20"/>
          <w:color w:val="auto"/>
        </w:rPr>
      </w:pPr>
    </w:p>
    <w:p>
      <w:pPr>
        <w:sectPr>
          <w:pgSz w:w="11900" w:h="16838" w:orient="portrait"/>
          <w:cols w:equalWidth="0" w:num="2">
            <w:col w:w="5180" w:space="540"/>
            <w:col w:w="5140"/>
          </w:cols>
          <w:pgMar w:left="320" w:top="459" w:right="71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One of the factors the Compensation Committee considers when determining executive compensation is the anticipated tax treatment to the Company and to the executives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While the Compensation Committee generally considers this limit when determining compensation, there are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instances in which the Compensation Committee has concluded, and reserves the discretion to conclude in the future, that it is appropriate to exceed the limitation on deductibility under Section 162(m) to ensure that executive officers are compensated in a manner that it believes to be consistent with the Company’s best interests and those of its stockholders. Furthermore, interpretations of and changes in the tax laws, and other factors beyond the Compensation Committee’s control, may also affect the deductibility of compensation.</w:t>
      </w:r>
    </w:p>
    <w:p>
      <w:pPr>
        <w:spacing w:after="0" w:line="390" w:lineRule="exact"/>
        <w:rPr>
          <w:sz w:val="20"/>
          <w:szCs w:val="20"/>
          <w:color w:val="auto"/>
        </w:rPr>
      </w:pPr>
    </w:p>
    <w:p>
      <w:pPr>
        <w:sectPr>
          <w:pgSz w:w="11900" w:h="16838" w:orient="portrait"/>
          <w:cols w:equalWidth="0" w:num="2">
            <w:col w:w="5320" w:space="400"/>
            <w:col w:w="5140"/>
          </w:cols>
          <w:pgMar w:left="320" w:top="459" w:right="719" w:bottom="1440" w:gutter="0" w:footer="0" w:header="0"/>
          <w:type w:val="continuous"/>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7"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35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47</w:t>
      </w:r>
    </w:p>
    <w:p>
      <w:pPr>
        <w:sectPr>
          <w:pgSz w:w="11900" w:h="16838" w:orient="portrait"/>
          <w:cols w:equalWidth="0" w:num="1">
            <w:col w:w="10860"/>
          </w:cols>
          <w:pgMar w:left="320" w:top="459" w:right="7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EXECUTIVE COMPENSATION</w:t>
      </w:r>
    </w:p>
    <w:p>
      <w:pPr>
        <w:spacing w:after="0" w:line="153" w:lineRule="exact"/>
        <w:rPr>
          <w:sz w:val="20"/>
          <w:szCs w:val="20"/>
          <w:color w:val="auto"/>
        </w:rPr>
      </w:pPr>
    </w:p>
    <w:p>
      <w:pPr>
        <w:ind w:left="660" w:right="660"/>
        <w:spacing w:after="0" w:line="253"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Named Executive Officers during the last three completed fiscal years. The footnotes accompanying the 2020 Summary Compensation Table generally explain amounts reported for 2020,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143510</wp:posOffset>
            </wp:positionV>
            <wp:extent cx="629221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288"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FFFFFF"/>
        </w:rPr>
        <w:t>2020 Summary Compensation Table</w:t>
      </w:r>
    </w:p>
    <w:p>
      <w:pPr>
        <w:spacing w:after="0" w:line="32"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E2231A"/>
                <w:w w:val="96"/>
              </w:rPr>
              <w:t>Change in</w:t>
            </w: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4"/>
              </w:rPr>
              <w:t>Pension</w:t>
            </w: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8"/>
              </w:rPr>
              <w:t>Value and</w:t>
            </w: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2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E2231A"/>
                <w:w w:val="96"/>
              </w:rPr>
              <w:t>Non-Equity</w:t>
            </w:r>
          </w:p>
        </w:tc>
        <w:tc>
          <w:tcPr>
            <w:tcW w:w="138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9"/>
              </w:rPr>
              <w:t>Nonqualified</w:t>
            </w: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vMerge w:val="restart"/>
          </w:tcPr>
          <w:p>
            <w:pPr>
              <w:spacing w:after="0"/>
              <w:rPr>
                <w:sz w:val="20"/>
                <w:szCs w:val="20"/>
                <w:color w:val="auto"/>
              </w:rPr>
            </w:pPr>
            <w:r>
              <w:rPr>
                <w:rFonts w:ascii="Arial" w:cs="Arial" w:eastAsia="Arial" w:hAnsi="Arial"/>
                <w:sz w:val="12"/>
                <w:szCs w:val="12"/>
                <w:b w:val="1"/>
                <w:bCs w:val="1"/>
                <w:color w:val="E2231A"/>
              </w:rPr>
              <w:t>Name and</w:t>
            </w:r>
          </w:p>
        </w:tc>
        <w:tc>
          <w:tcPr>
            <w:tcW w:w="2120" w:type="dxa"/>
            <w:vAlign w:val="bottom"/>
            <w:vMerge w:val="restart"/>
          </w:tcPr>
          <w:p>
            <w:pPr>
              <w:ind w:left="1580"/>
              <w:spacing w:after="0"/>
              <w:rPr>
                <w:sz w:val="20"/>
                <w:szCs w:val="20"/>
                <w:color w:val="auto"/>
              </w:rPr>
            </w:pPr>
            <w:r>
              <w:rPr>
                <w:rFonts w:ascii="Arial" w:cs="Arial" w:eastAsia="Arial" w:hAnsi="Arial"/>
                <w:sz w:val="12"/>
                <w:szCs w:val="12"/>
                <w:b w:val="1"/>
                <w:bCs w:val="1"/>
                <w:color w:val="E2231A"/>
              </w:rPr>
              <w:t>Stock</w:t>
            </w:r>
          </w:p>
        </w:tc>
        <w:tc>
          <w:tcPr>
            <w:tcW w:w="860" w:type="dxa"/>
            <w:vAlign w:val="bottom"/>
          </w:tcPr>
          <w:p>
            <w:pPr>
              <w:spacing w:after="0"/>
              <w:rPr>
                <w:sz w:val="11"/>
                <w:szCs w:val="11"/>
                <w:color w:val="auto"/>
              </w:rPr>
            </w:pPr>
          </w:p>
        </w:tc>
        <w:tc>
          <w:tcPr>
            <w:tcW w:w="152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E2231A"/>
                <w:w w:val="96"/>
              </w:rPr>
              <w:t>Incentive</w:t>
            </w:r>
          </w:p>
        </w:tc>
        <w:tc>
          <w:tcPr>
            <w:tcW w:w="138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Deferred</w:t>
            </w: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860" w:type="dxa"/>
            <w:vAlign w:val="bottom"/>
          </w:tcPr>
          <w:p>
            <w:pPr>
              <w:jc w:val="center"/>
              <w:ind w:right="62"/>
              <w:spacing w:after="0" w:line="122" w:lineRule="exact"/>
              <w:rPr>
                <w:sz w:val="20"/>
                <w:szCs w:val="20"/>
                <w:color w:val="auto"/>
              </w:rPr>
            </w:pPr>
            <w:r>
              <w:rPr>
                <w:rFonts w:ascii="Arial" w:cs="Arial" w:eastAsia="Arial" w:hAnsi="Arial"/>
                <w:sz w:val="12"/>
                <w:szCs w:val="12"/>
                <w:b w:val="1"/>
                <w:bCs w:val="1"/>
                <w:color w:val="E2231A"/>
                <w:w w:val="98"/>
              </w:rPr>
              <w:t>Option</w:t>
            </w:r>
          </w:p>
        </w:tc>
        <w:tc>
          <w:tcPr>
            <w:tcW w:w="1520" w:type="dxa"/>
            <w:vAlign w:val="bottom"/>
          </w:tcPr>
          <w:p>
            <w:pPr>
              <w:jc w:val="center"/>
              <w:ind w:right="42"/>
              <w:spacing w:after="0" w:line="122" w:lineRule="exact"/>
              <w:rPr>
                <w:sz w:val="20"/>
                <w:szCs w:val="20"/>
                <w:color w:val="auto"/>
              </w:rPr>
            </w:pPr>
            <w:r>
              <w:rPr>
                <w:rFonts w:ascii="Arial" w:cs="Arial" w:eastAsia="Arial" w:hAnsi="Arial"/>
                <w:sz w:val="12"/>
                <w:szCs w:val="12"/>
                <w:b w:val="1"/>
                <w:bCs w:val="1"/>
                <w:color w:val="E2231A"/>
              </w:rPr>
              <w:t>Plan</w:t>
            </w:r>
          </w:p>
        </w:tc>
        <w:tc>
          <w:tcPr>
            <w:tcW w:w="1380" w:type="dxa"/>
            <w:vAlign w:val="bottom"/>
          </w:tcPr>
          <w:p>
            <w:pPr>
              <w:jc w:val="center"/>
              <w:spacing w:after="0" w:line="122" w:lineRule="exact"/>
              <w:rPr>
                <w:sz w:val="20"/>
                <w:szCs w:val="20"/>
                <w:color w:val="auto"/>
              </w:rPr>
            </w:pPr>
            <w:r>
              <w:rPr>
                <w:rFonts w:ascii="Arial" w:cs="Arial" w:eastAsia="Arial" w:hAnsi="Arial"/>
                <w:sz w:val="12"/>
                <w:szCs w:val="12"/>
                <w:b w:val="1"/>
                <w:bCs w:val="1"/>
                <w:color w:val="E2231A"/>
                <w:w w:val="95"/>
              </w:rPr>
              <w:t>Compensation</w:t>
            </w:r>
          </w:p>
        </w:tc>
        <w:tc>
          <w:tcPr>
            <w:tcW w:w="1600" w:type="dxa"/>
            <w:vAlign w:val="bottom"/>
          </w:tcPr>
          <w:p>
            <w:pPr>
              <w:jc w:val="center"/>
              <w:spacing w:after="0" w:line="122" w:lineRule="exact"/>
              <w:rPr>
                <w:sz w:val="20"/>
                <w:szCs w:val="20"/>
                <w:color w:val="auto"/>
              </w:rPr>
            </w:pPr>
            <w:r>
              <w:rPr>
                <w:rFonts w:ascii="Arial" w:cs="Arial" w:eastAsia="Arial" w:hAnsi="Arial"/>
                <w:sz w:val="12"/>
                <w:szCs w:val="12"/>
                <w:b w:val="1"/>
                <w:bCs w:val="1"/>
                <w:color w:val="E2231A"/>
                <w:w w:val="94"/>
              </w:rPr>
              <w:t>All Other</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2"/>
                <w:szCs w:val="12"/>
                <w:b w:val="1"/>
                <w:bCs w:val="1"/>
                <w:color w:val="E2231A"/>
              </w:rPr>
              <w:t>Principal Position</w:t>
            </w:r>
            <w:r>
              <w:rPr>
                <w:rFonts w:ascii="Arial" w:cs="Arial" w:eastAsia="Arial" w:hAnsi="Arial"/>
                <w:sz w:val="9"/>
                <w:szCs w:val="9"/>
                <w:b w:val="1"/>
                <w:bCs w:val="1"/>
                <w:color w:val="E2231A"/>
              </w:rPr>
              <w:t>(a)</w:t>
            </w:r>
            <w:r>
              <w:rPr>
                <w:rFonts w:ascii="Arial" w:cs="Arial" w:eastAsia="Arial" w:hAnsi="Arial"/>
                <w:sz w:val="12"/>
                <w:szCs w:val="12"/>
                <w:b w:val="1"/>
                <w:bCs w:val="1"/>
                <w:color w:val="E2231A"/>
              </w:rPr>
              <w:t xml:space="preserve">  Year</w:t>
            </w:r>
            <w:r>
              <w:rPr>
                <w:rFonts w:ascii="Arial" w:cs="Arial" w:eastAsia="Arial" w:hAnsi="Arial"/>
                <w:sz w:val="9"/>
                <w:szCs w:val="9"/>
                <w:b w:val="1"/>
                <w:bCs w:val="1"/>
                <w:color w:val="E2231A"/>
              </w:rPr>
              <w:t>(b)</w:t>
            </w:r>
          </w:p>
        </w:tc>
        <w:tc>
          <w:tcPr>
            <w:tcW w:w="2120" w:type="dxa"/>
            <w:vAlign w:val="bottom"/>
          </w:tcPr>
          <w:p>
            <w:pPr>
              <w:ind w:left="120"/>
              <w:spacing w:after="0"/>
              <w:rPr>
                <w:sz w:val="20"/>
                <w:szCs w:val="20"/>
                <w:color w:val="auto"/>
              </w:rPr>
            </w:pPr>
            <w:r>
              <w:rPr>
                <w:rFonts w:ascii="Arial" w:cs="Arial" w:eastAsia="Arial" w:hAnsi="Arial"/>
                <w:sz w:val="12"/>
                <w:szCs w:val="12"/>
                <w:b w:val="1"/>
                <w:bCs w:val="1"/>
                <w:color w:val="E2231A"/>
              </w:rPr>
              <w:t>Salary</w:t>
            </w:r>
            <w:r>
              <w:rPr>
                <w:rFonts w:ascii="Arial" w:cs="Arial" w:eastAsia="Arial" w:hAnsi="Arial"/>
                <w:sz w:val="9"/>
                <w:szCs w:val="9"/>
                <w:b w:val="1"/>
                <w:bCs w:val="1"/>
                <w:color w:val="E2231A"/>
              </w:rPr>
              <w:t>(c)</w:t>
            </w:r>
            <w:r>
              <w:rPr>
                <w:rFonts w:ascii="Arial" w:cs="Arial" w:eastAsia="Arial" w:hAnsi="Arial"/>
                <w:sz w:val="12"/>
                <w:szCs w:val="12"/>
                <w:b w:val="1"/>
                <w:bCs w:val="1"/>
                <w:color w:val="E2231A"/>
              </w:rPr>
              <w:t xml:space="preserve">    Bonus</w:t>
            </w:r>
            <w:r>
              <w:rPr>
                <w:rFonts w:ascii="Arial" w:cs="Arial" w:eastAsia="Arial" w:hAnsi="Arial"/>
                <w:sz w:val="9"/>
                <w:szCs w:val="9"/>
                <w:b w:val="1"/>
                <w:bCs w:val="1"/>
                <w:color w:val="E2231A"/>
              </w:rPr>
              <w:t>(d)</w:t>
            </w:r>
            <w:r>
              <w:rPr>
                <w:rFonts w:ascii="Arial" w:cs="Arial" w:eastAsia="Arial" w:hAnsi="Arial"/>
                <w:sz w:val="12"/>
                <w:szCs w:val="12"/>
                <w:b w:val="1"/>
                <w:bCs w:val="1"/>
                <w:color w:val="E2231A"/>
              </w:rPr>
              <w:t xml:space="preserve">   Awards</w:t>
            </w:r>
            <w:r>
              <w:rPr>
                <w:rFonts w:ascii="Arial" w:cs="Arial" w:eastAsia="Arial" w:hAnsi="Arial"/>
                <w:sz w:val="9"/>
                <w:szCs w:val="9"/>
                <w:b w:val="1"/>
                <w:bCs w:val="1"/>
                <w:color w:val="E2231A"/>
              </w:rPr>
              <w:t>(1)(e)</w:t>
            </w:r>
          </w:p>
        </w:tc>
        <w:tc>
          <w:tcPr>
            <w:tcW w:w="860" w:type="dxa"/>
            <w:vAlign w:val="bottom"/>
          </w:tcPr>
          <w:p>
            <w:pPr>
              <w:jc w:val="center"/>
              <w:ind w:right="42"/>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(2)(f)</w:t>
            </w:r>
          </w:p>
        </w:tc>
        <w:tc>
          <w:tcPr>
            <w:tcW w:w="1520" w:type="dxa"/>
            <w:vAlign w:val="bottom"/>
          </w:tcPr>
          <w:p>
            <w:pPr>
              <w:jc w:val="center"/>
              <w:ind w:right="42"/>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(3)(g)</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E2231A"/>
              </w:rPr>
              <w:t>Earnings</w:t>
            </w:r>
            <w:r>
              <w:rPr>
                <w:rFonts w:ascii="Arial" w:cs="Arial" w:eastAsia="Arial" w:hAnsi="Arial"/>
                <w:sz w:val="9"/>
                <w:szCs w:val="9"/>
                <w:b w:val="1"/>
                <w:bCs w:val="1"/>
                <w:color w:val="E2231A"/>
              </w:rPr>
              <w:t>(4)(h)</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(5)(i)</w:t>
            </w:r>
          </w:p>
        </w:tc>
        <w:tc>
          <w:tcPr>
            <w:tcW w:w="640" w:type="dxa"/>
            <w:vAlign w:val="bottom"/>
          </w:tcPr>
          <w:p>
            <w:pPr>
              <w:ind w:left="320"/>
              <w:spacing w:after="0"/>
              <w:rPr>
                <w:sz w:val="20"/>
                <w:szCs w:val="20"/>
                <w:color w:val="auto"/>
              </w:rPr>
            </w:pPr>
            <w:r>
              <w:rPr>
                <w:rFonts w:ascii="Arial" w:cs="Arial" w:eastAsia="Arial" w:hAnsi="Arial"/>
                <w:sz w:val="12"/>
                <w:szCs w:val="12"/>
                <w:b w:val="1"/>
                <w:bCs w:val="1"/>
                <w:color w:val="E2231A"/>
                <w:w w:val="88"/>
              </w:rPr>
              <w:t>Comp</w:t>
            </w: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200" w:type="dxa"/>
            <w:vAlign w:val="bottom"/>
            <w:tcBorders>
              <w:top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Raymond E. Scott,</w:t>
            </w:r>
          </w:p>
        </w:tc>
        <w:tc>
          <w:tcPr>
            <w:tcW w:w="40" w:type="dxa"/>
            <w:vAlign w:val="bottom"/>
            <w:tcBorders>
              <w:top w:val="single" w:sz="8" w:color="auto"/>
            </w:tcBorders>
            <w:shd w:val="clear" w:color="auto" w:fill="FCE9E8"/>
          </w:tcPr>
          <w:p>
            <w:pPr>
              <w:spacing w:after="0"/>
              <w:rPr>
                <w:sz w:val="15"/>
                <w:szCs w:val="15"/>
                <w:color w:val="auto"/>
              </w:rPr>
            </w:pPr>
          </w:p>
        </w:tc>
        <w:tc>
          <w:tcPr>
            <w:tcW w:w="500" w:type="dxa"/>
            <w:vAlign w:val="bottom"/>
            <w:tcBorders>
              <w:top w:val="single" w:sz="8" w:color="auto"/>
            </w:tcBorders>
            <w:gridSpan w:val="2"/>
            <w:shd w:val="clear" w:color="auto" w:fill="FCE9E8"/>
          </w:tcPr>
          <w:p>
            <w:pPr>
              <w:jc w:val="right"/>
              <w:ind w:right="57"/>
              <w:spacing w:after="0"/>
              <w:rPr>
                <w:sz w:val="20"/>
                <w:szCs w:val="20"/>
                <w:color w:val="auto"/>
              </w:rPr>
            </w:pPr>
            <w:r>
              <w:rPr>
                <w:rFonts w:ascii="Arial" w:cs="Arial" w:eastAsia="Arial" w:hAnsi="Arial"/>
                <w:sz w:val="13"/>
                <w:szCs w:val="13"/>
                <w:color w:val="auto"/>
              </w:rPr>
              <w:t>2020</w:t>
            </w:r>
          </w:p>
        </w:tc>
        <w:tc>
          <w:tcPr>
            <w:tcW w:w="18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w w:val="96"/>
              </w:rPr>
              <w:t>1,144,000</w:t>
            </w:r>
          </w:p>
        </w:tc>
        <w:tc>
          <w:tcPr>
            <w:tcW w:w="10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w w:val="92"/>
              </w:rPr>
              <w:t>10,020,830</w:t>
            </w:r>
          </w:p>
        </w:tc>
        <w:tc>
          <w:tcPr>
            <w:tcW w:w="12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FCE9E8"/>
          </w:tcPr>
          <w:p>
            <w:pPr>
              <w:jc w:val="right"/>
              <w:ind w:right="197"/>
              <w:spacing w:after="0"/>
              <w:rPr>
                <w:sz w:val="20"/>
                <w:szCs w:val="20"/>
                <w:color w:val="auto"/>
              </w:rPr>
            </w:pPr>
            <w:r>
              <w:rPr>
                <w:rFonts w:ascii="Arial" w:cs="Arial" w:eastAsia="Arial" w:hAnsi="Arial"/>
                <w:sz w:val="13"/>
                <w:szCs w:val="13"/>
                <w:color w:val="auto"/>
                <w:w w:val="96"/>
              </w:rPr>
              <w:t>1,680,001</w:t>
            </w:r>
          </w:p>
        </w:tc>
        <w:tc>
          <w:tcPr>
            <w:tcW w:w="34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FCE9E8"/>
          </w:tcPr>
          <w:p>
            <w:pPr>
              <w:jc w:val="right"/>
              <w:ind w:right="397"/>
              <w:spacing w:after="0"/>
              <w:rPr>
                <w:sz w:val="20"/>
                <w:szCs w:val="20"/>
                <w:color w:val="auto"/>
              </w:rPr>
            </w:pPr>
            <w:r>
              <w:rPr>
                <w:rFonts w:ascii="Arial" w:cs="Arial" w:eastAsia="Arial" w:hAnsi="Arial"/>
                <w:sz w:val="13"/>
                <w:szCs w:val="13"/>
                <w:color w:val="auto"/>
                <w:w w:val="96"/>
              </w:rPr>
              <w:t>1,080,000</w:t>
            </w:r>
          </w:p>
        </w:tc>
        <w:tc>
          <w:tcPr>
            <w:tcW w:w="52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FCE9E8"/>
          </w:tcPr>
          <w:p>
            <w:pPr>
              <w:jc w:val="right"/>
              <w:ind w:right="397"/>
              <w:spacing w:after="0"/>
              <w:rPr>
                <w:sz w:val="20"/>
                <w:szCs w:val="20"/>
                <w:color w:val="auto"/>
              </w:rPr>
            </w:pPr>
            <w:r>
              <w:rPr>
                <w:rFonts w:ascii="Arial" w:cs="Arial" w:eastAsia="Arial" w:hAnsi="Arial"/>
                <w:sz w:val="13"/>
                <w:szCs w:val="13"/>
                <w:color w:val="auto"/>
                <w:w w:val="93"/>
              </w:rPr>
              <w:t>366,594</w:t>
            </w:r>
          </w:p>
        </w:tc>
        <w:tc>
          <w:tcPr>
            <w:tcW w:w="54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FCE9E8"/>
          </w:tcPr>
          <w:p>
            <w:pPr>
              <w:jc w:val="right"/>
              <w:ind w:right="417"/>
              <w:spacing w:after="0"/>
              <w:rPr>
                <w:sz w:val="20"/>
                <w:szCs w:val="20"/>
                <w:color w:val="auto"/>
              </w:rPr>
            </w:pPr>
            <w:r>
              <w:rPr>
                <w:rFonts w:ascii="Arial" w:cs="Arial" w:eastAsia="Arial" w:hAnsi="Arial"/>
                <w:sz w:val="13"/>
                <w:szCs w:val="13"/>
                <w:color w:val="auto"/>
                <w:w w:val="93"/>
              </w:rPr>
              <w:t>423,344</w:t>
            </w:r>
          </w:p>
        </w:tc>
        <w:tc>
          <w:tcPr>
            <w:tcW w:w="56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w w:val="96"/>
              </w:rPr>
              <w:t>14</w:t>
            </w:r>
          </w:p>
        </w:tc>
        <w:tc>
          <w:tcPr>
            <w:tcW w:w="0" w:type="dxa"/>
            <w:vAlign w:val="bottom"/>
          </w:tcPr>
          <w:p>
            <w:pPr>
              <w:spacing w:after="0"/>
              <w:rPr>
                <w:sz w:val="1"/>
                <w:szCs w:val="1"/>
                <w:color w:val="auto"/>
              </w:rPr>
            </w:pPr>
          </w:p>
        </w:tc>
      </w:tr>
      <w:tr>
        <w:trPr>
          <w:trHeight w:val="172"/>
        </w:trPr>
        <w:tc>
          <w:tcPr>
            <w:tcW w:w="1200" w:type="dxa"/>
            <w:vAlign w:val="bottom"/>
            <w:shd w:val="clear" w:color="auto" w:fill="FCE9E8"/>
          </w:tcPr>
          <w:p>
            <w:pPr>
              <w:ind w:left="80"/>
              <w:spacing w:after="0"/>
              <w:rPr>
                <w:sz w:val="20"/>
                <w:szCs w:val="20"/>
                <w:color w:val="auto"/>
              </w:rPr>
            </w:pPr>
            <w:r>
              <w:rPr>
                <w:rFonts w:ascii="Arial" w:cs="Arial" w:eastAsia="Arial" w:hAnsi="Arial"/>
                <w:sz w:val="13"/>
                <w:szCs w:val="13"/>
                <w:color w:val="auto"/>
                <w:w w:val="96"/>
              </w:rPr>
              <w:t>President and Chief</w:t>
            </w:r>
          </w:p>
        </w:tc>
        <w:tc>
          <w:tcPr>
            <w:tcW w:w="40" w:type="dxa"/>
            <w:vAlign w:val="bottom"/>
            <w:shd w:val="clear" w:color="auto" w:fill="FCE9E8"/>
          </w:tcPr>
          <w:p>
            <w:pPr>
              <w:spacing w:after="0"/>
              <w:rPr>
                <w:sz w:val="14"/>
                <w:szCs w:val="14"/>
                <w:color w:val="auto"/>
              </w:rPr>
            </w:pPr>
          </w:p>
        </w:tc>
        <w:tc>
          <w:tcPr>
            <w:tcW w:w="40" w:type="dxa"/>
            <w:vAlign w:val="bottom"/>
            <w:shd w:val="clear" w:color="auto" w:fill="FCE9E8"/>
          </w:tcPr>
          <w:p>
            <w:pPr>
              <w:spacing w:after="0"/>
              <w:rPr>
                <w:sz w:val="14"/>
                <w:szCs w:val="14"/>
                <w:color w:val="auto"/>
              </w:rPr>
            </w:pPr>
          </w:p>
        </w:tc>
        <w:tc>
          <w:tcPr>
            <w:tcW w:w="460" w:type="dxa"/>
            <w:vAlign w:val="bottom"/>
            <w:shd w:val="clear" w:color="auto" w:fill="FCE9E8"/>
          </w:tcPr>
          <w:p>
            <w:pPr>
              <w:jc w:val="right"/>
              <w:ind w:right="57"/>
              <w:spacing w:after="0"/>
              <w:rPr>
                <w:sz w:val="20"/>
                <w:szCs w:val="20"/>
                <w:color w:val="auto"/>
              </w:rPr>
            </w:pPr>
            <w:r>
              <w:rPr>
                <w:rFonts w:ascii="Arial" w:cs="Arial" w:eastAsia="Arial" w:hAnsi="Arial"/>
                <w:sz w:val="13"/>
                <w:szCs w:val="13"/>
                <w:color w:val="auto"/>
              </w:rPr>
              <w:t>2019</w:t>
            </w:r>
          </w:p>
        </w:tc>
        <w:tc>
          <w:tcPr>
            <w:tcW w:w="1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6"/>
              </w:rPr>
              <w:t>1,200,000</w:t>
            </w:r>
          </w:p>
        </w:tc>
        <w:tc>
          <w:tcPr>
            <w:tcW w:w="1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2"/>
              </w:rPr>
              <w:t>10,596,388</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w w:val="96"/>
              </w:rPr>
              <w:t>1,098,000</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w w:val="93"/>
              </w:rPr>
              <w:t>381,416</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FCE9E8"/>
          </w:tcPr>
          <w:p>
            <w:pPr>
              <w:jc w:val="right"/>
              <w:ind w:right="417"/>
              <w:spacing w:after="0"/>
              <w:rPr>
                <w:sz w:val="20"/>
                <w:szCs w:val="20"/>
                <w:color w:val="auto"/>
              </w:rPr>
            </w:pPr>
            <w:r>
              <w:rPr>
                <w:rFonts w:ascii="Arial" w:cs="Arial" w:eastAsia="Arial" w:hAnsi="Arial"/>
                <w:sz w:val="13"/>
                <w:szCs w:val="13"/>
                <w:color w:val="auto"/>
                <w:w w:val="93"/>
              </w:rPr>
              <w:t>442,453</w:t>
            </w:r>
          </w:p>
        </w:tc>
        <w:tc>
          <w:tcPr>
            <w:tcW w:w="5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w w:val="96"/>
              </w:rPr>
              <w:t>13</w:t>
            </w:r>
          </w:p>
        </w:tc>
        <w:tc>
          <w:tcPr>
            <w:tcW w:w="0" w:type="dxa"/>
            <w:vAlign w:val="bottom"/>
          </w:tcPr>
          <w:p>
            <w:pPr>
              <w:spacing w:after="0"/>
              <w:rPr>
                <w:sz w:val="1"/>
                <w:szCs w:val="1"/>
                <w:color w:val="auto"/>
              </w:rPr>
            </w:pPr>
          </w:p>
        </w:tc>
      </w:tr>
      <w:tr>
        <w:trPr>
          <w:trHeight w:val="227"/>
        </w:trPr>
        <w:tc>
          <w:tcPr>
            <w:tcW w:w="12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Executive Officer</w:t>
            </w:r>
          </w:p>
        </w:tc>
        <w:tc>
          <w:tcPr>
            <w:tcW w:w="40" w:type="dxa"/>
            <w:vAlign w:val="bottom"/>
            <w:tcBorders>
              <w:bottom w:val="single" w:sz="8" w:color="FCE9E8"/>
            </w:tcBorders>
            <w:shd w:val="clear" w:color="auto" w:fill="FCE9E8"/>
          </w:tcPr>
          <w:p>
            <w:pPr>
              <w:spacing w:after="0"/>
              <w:rPr>
                <w:sz w:val="19"/>
                <w:szCs w:val="19"/>
                <w:color w:val="auto"/>
              </w:rPr>
            </w:pPr>
          </w:p>
        </w:tc>
        <w:tc>
          <w:tcPr>
            <w:tcW w:w="40" w:type="dxa"/>
            <w:vAlign w:val="bottom"/>
            <w:tcBorders>
              <w:bottom w:val="single" w:sz="8" w:color="FCE9E8"/>
            </w:tcBorders>
            <w:shd w:val="clear" w:color="auto" w:fill="FCE9E8"/>
          </w:tcPr>
          <w:p>
            <w:pPr>
              <w:spacing w:after="0"/>
              <w:rPr>
                <w:sz w:val="19"/>
                <w:szCs w:val="19"/>
                <w:color w:val="auto"/>
              </w:rPr>
            </w:pPr>
          </w:p>
        </w:tc>
        <w:tc>
          <w:tcPr>
            <w:tcW w:w="460" w:type="dxa"/>
            <w:vAlign w:val="bottom"/>
            <w:tcBorders>
              <w:bottom w:val="single" w:sz="8" w:color="FCE9E8"/>
            </w:tcBorders>
            <w:shd w:val="clear" w:color="auto" w:fill="FCE9E8"/>
          </w:tcPr>
          <w:p>
            <w:pPr>
              <w:jc w:val="right"/>
              <w:ind w:right="57"/>
              <w:spacing w:after="0"/>
              <w:rPr>
                <w:sz w:val="20"/>
                <w:szCs w:val="20"/>
                <w:color w:val="auto"/>
              </w:rPr>
            </w:pPr>
            <w:r>
              <w:rPr>
                <w:rFonts w:ascii="Arial" w:cs="Arial" w:eastAsia="Arial" w:hAnsi="Arial"/>
                <w:sz w:val="13"/>
                <w:szCs w:val="13"/>
                <w:color w:val="auto"/>
              </w:rPr>
              <w:t>2018</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w w:val="96"/>
              </w:rPr>
              <w:t>1,109,183</w:t>
            </w:r>
          </w:p>
        </w:tc>
        <w:tc>
          <w:tcPr>
            <w:tcW w:w="1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6,968,803</w:t>
            </w:r>
          </w:p>
        </w:tc>
        <w:tc>
          <w:tcPr>
            <w:tcW w:w="1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FCE9E8"/>
            </w:tcBorders>
            <w:shd w:val="clear" w:color="auto" w:fill="FCE9E8"/>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CE9E8"/>
            </w:tcBorders>
            <w:shd w:val="clear" w:color="auto" w:fill="FCE9E8"/>
          </w:tcPr>
          <w:p>
            <w:pPr>
              <w:jc w:val="right"/>
              <w:ind w:right="397"/>
              <w:spacing w:after="0"/>
              <w:rPr>
                <w:sz w:val="20"/>
                <w:szCs w:val="20"/>
                <w:color w:val="auto"/>
              </w:rPr>
            </w:pPr>
            <w:r>
              <w:rPr>
                <w:rFonts w:ascii="Arial" w:cs="Arial" w:eastAsia="Arial" w:hAnsi="Arial"/>
                <w:sz w:val="13"/>
                <w:szCs w:val="13"/>
                <w:color w:val="auto"/>
                <w:w w:val="96"/>
              </w:rPr>
              <w:t>1,429,734</w:t>
            </w:r>
          </w:p>
        </w:tc>
        <w:tc>
          <w:tcPr>
            <w:tcW w:w="5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CE9E8"/>
            </w:tcBorders>
            <w:shd w:val="clear" w:color="auto" w:fill="FCE9E8"/>
          </w:tcPr>
          <w:p>
            <w:pPr>
              <w:jc w:val="right"/>
              <w:ind w:right="39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CE9E8"/>
            </w:tcBorders>
            <w:shd w:val="clear" w:color="auto" w:fill="FCE9E8"/>
          </w:tcPr>
          <w:p>
            <w:pPr>
              <w:jc w:val="right"/>
              <w:ind w:right="417"/>
              <w:spacing w:after="0"/>
              <w:rPr>
                <w:sz w:val="20"/>
                <w:szCs w:val="20"/>
                <w:color w:val="auto"/>
              </w:rPr>
            </w:pPr>
            <w:r>
              <w:rPr>
                <w:rFonts w:ascii="Arial" w:cs="Arial" w:eastAsia="Arial" w:hAnsi="Arial"/>
                <w:sz w:val="13"/>
                <w:szCs w:val="13"/>
                <w:color w:val="auto"/>
                <w:w w:val="93"/>
              </w:rPr>
              <w:t>428,585</w:t>
            </w:r>
          </w:p>
        </w:tc>
        <w:tc>
          <w:tcPr>
            <w:tcW w:w="5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0"/>
        </w:trPr>
        <w:tc>
          <w:tcPr>
            <w:tcW w:w="1200" w:type="dxa"/>
            <w:vAlign w:val="bottom"/>
            <w:tcBorders>
              <w:top w:val="single" w:sz="8" w:color="auto"/>
            </w:tcBorders>
          </w:tcPr>
          <w:p>
            <w:pPr>
              <w:ind w:left="80"/>
              <w:spacing w:after="0" w:line="140" w:lineRule="exact"/>
              <w:rPr>
                <w:sz w:val="20"/>
                <w:szCs w:val="20"/>
                <w:color w:val="auto"/>
              </w:rPr>
            </w:pPr>
            <w:r>
              <w:rPr>
                <w:rFonts w:ascii="Arial" w:cs="Arial" w:eastAsia="Arial" w:hAnsi="Arial"/>
                <w:sz w:val="13"/>
                <w:szCs w:val="13"/>
                <w:color w:val="auto"/>
              </w:rPr>
              <w:t>Jason M. Cardew,</w:t>
            </w:r>
          </w:p>
        </w:tc>
        <w:tc>
          <w:tcPr>
            <w:tcW w:w="540" w:type="dxa"/>
            <w:vAlign w:val="bottom"/>
            <w:tcBorders>
              <w:top w:val="single" w:sz="8" w:color="auto"/>
            </w:tcBorders>
            <w:gridSpan w:val="3"/>
          </w:tcPr>
          <w:p>
            <w:pPr>
              <w:jc w:val="right"/>
              <w:ind w:right="57"/>
              <w:spacing w:after="0" w:line="140" w:lineRule="exact"/>
              <w:rPr>
                <w:sz w:val="20"/>
                <w:szCs w:val="20"/>
                <w:color w:val="auto"/>
              </w:rPr>
            </w:pPr>
            <w:r>
              <w:rPr>
                <w:rFonts w:ascii="Arial" w:cs="Arial" w:eastAsia="Arial" w:hAnsi="Arial"/>
                <w:sz w:val="13"/>
                <w:szCs w:val="13"/>
                <w:color w:val="auto"/>
              </w:rPr>
              <w:t>2020</w:t>
            </w:r>
          </w:p>
        </w:tc>
        <w:tc>
          <w:tcPr>
            <w:tcW w:w="1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683,667</w:t>
            </w:r>
          </w:p>
        </w:tc>
        <w:tc>
          <w:tcPr>
            <w:tcW w:w="10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2,720,077</w:t>
            </w:r>
          </w:p>
        </w:tc>
        <w:tc>
          <w:tcPr>
            <w:tcW w:w="1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197"/>
              <w:spacing w:after="0" w:line="140" w:lineRule="exact"/>
              <w:rPr>
                <w:sz w:val="20"/>
                <w:szCs w:val="20"/>
                <w:color w:val="auto"/>
              </w:rPr>
            </w:pPr>
            <w:r>
              <w:rPr>
                <w:rFonts w:ascii="Arial" w:cs="Arial" w:eastAsia="Arial" w:hAnsi="Arial"/>
                <w:sz w:val="13"/>
                <w:szCs w:val="13"/>
                <w:color w:val="auto"/>
              </w:rPr>
              <w:t>378,030</w:t>
            </w:r>
          </w:p>
        </w:tc>
        <w:tc>
          <w:tcPr>
            <w:tcW w:w="3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ind w:right="397"/>
              <w:spacing w:after="0" w:line="140" w:lineRule="exact"/>
              <w:rPr>
                <w:sz w:val="20"/>
                <w:szCs w:val="20"/>
                <w:color w:val="auto"/>
              </w:rPr>
            </w:pPr>
            <w:r>
              <w:rPr>
                <w:rFonts w:ascii="Arial" w:cs="Arial" w:eastAsia="Arial" w:hAnsi="Arial"/>
                <w:sz w:val="13"/>
                <w:szCs w:val="13"/>
                <w:color w:val="auto"/>
              </w:rPr>
              <w:t>378,000</w:t>
            </w:r>
          </w:p>
        </w:tc>
        <w:tc>
          <w:tcPr>
            <w:tcW w:w="5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97"/>
              <w:spacing w:after="0" w:line="140" w:lineRule="exact"/>
              <w:rPr>
                <w:sz w:val="20"/>
                <w:szCs w:val="20"/>
                <w:color w:val="auto"/>
              </w:rPr>
            </w:pPr>
            <w:r>
              <w:rPr>
                <w:rFonts w:ascii="Arial" w:cs="Arial" w:eastAsia="Arial" w:hAnsi="Arial"/>
                <w:sz w:val="13"/>
                <w:szCs w:val="13"/>
                <w:color w:val="auto"/>
              </w:rPr>
              <w:t>97,873</w:t>
            </w:r>
          </w:p>
        </w:tc>
        <w:tc>
          <w:tcPr>
            <w:tcW w:w="5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417"/>
              <w:spacing w:after="0" w:line="140" w:lineRule="exact"/>
              <w:rPr>
                <w:sz w:val="20"/>
                <w:szCs w:val="20"/>
                <w:color w:val="auto"/>
              </w:rPr>
            </w:pPr>
            <w:r>
              <w:rPr>
                <w:rFonts w:ascii="Arial" w:cs="Arial" w:eastAsia="Arial" w:hAnsi="Arial"/>
                <w:sz w:val="13"/>
                <w:szCs w:val="13"/>
                <w:color w:val="auto"/>
                <w:w w:val="93"/>
              </w:rPr>
              <w:t>149,485</w:t>
            </w:r>
          </w:p>
        </w:tc>
        <w:tc>
          <w:tcPr>
            <w:tcW w:w="5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9"/>
        </w:trPr>
        <w:tc>
          <w:tcPr>
            <w:tcW w:w="1200" w:type="dxa"/>
            <w:vAlign w:val="bottom"/>
          </w:tcPr>
          <w:p>
            <w:pPr>
              <w:ind w:left="80"/>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00" w:type="dxa"/>
            <w:vAlign w:val="bottom"/>
          </w:tcPr>
          <w:p>
            <w:pPr>
              <w:ind w:left="80"/>
              <w:spacing w:after="0"/>
              <w:rPr>
                <w:sz w:val="20"/>
                <w:szCs w:val="20"/>
                <w:color w:val="auto"/>
              </w:rPr>
            </w:pPr>
            <w:r>
              <w:rPr>
                <w:rFonts w:ascii="Arial" w:cs="Arial" w:eastAsia="Arial" w:hAnsi="Arial"/>
                <w:sz w:val="13"/>
                <w:szCs w:val="13"/>
                <w:color w:val="auto"/>
              </w:rPr>
              <w:t>Senior Vice</w:t>
            </w:r>
          </w:p>
        </w:tc>
        <w:tc>
          <w:tcPr>
            <w:tcW w:w="540" w:type="dxa"/>
            <w:vAlign w:val="bottom"/>
            <w:gridSpan w:val="3"/>
          </w:tcPr>
          <w:p>
            <w:pPr>
              <w:jc w:val="right"/>
              <w:ind w:right="57"/>
              <w:spacing w:after="0"/>
              <w:rPr>
                <w:sz w:val="20"/>
                <w:szCs w:val="20"/>
                <w:color w:val="auto"/>
              </w:rPr>
            </w:pPr>
            <w:r>
              <w:rPr>
                <w:rFonts w:ascii="Arial" w:cs="Arial" w:eastAsia="Arial" w:hAnsi="Arial"/>
                <w:sz w:val="13"/>
                <w:szCs w:val="13"/>
                <w:color w:val="auto"/>
              </w:rPr>
              <w:t>2019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575,000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1,560,912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97"/>
              <w:spacing w:after="0"/>
              <w:rPr>
                <w:sz w:val="20"/>
                <w:szCs w:val="20"/>
                <w:color w:val="auto"/>
              </w:rPr>
            </w:pPr>
            <w:r>
              <w:rPr>
                <w:rFonts w:ascii="Arial" w:cs="Arial" w:eastAsia="Arial" w:hAnsi="Arial"/>
                <w:sz w:val="13"/>
                <w:szCs w:val="13"/>
                <w:color w:val="auto"/>
              </w:rPr>
              <w:t>313,119</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97"/>
              <w:spacing w:after="0"/>
              <w:rPr>
                <w:sz w:val="20"/>
                <w:szCs w:val="20"/>
                <w:color w:val="auto"/>
              </w:rPr>
            </w:pPr>
            <w:r>
              <w:rPr>
                <w:rFonts w:ascii="Arial" w:cs="Arial" w:eastAsia="Arial" w:hAnsi="Arial"/>
                <w:sz w:val="13"/>
                <w:szCs w:val="13"/>
                <w:color w:val="auto"/>
              </w:rPr>
              <w:t>95,202</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17"/>
              <w:spacing w:after="0"/>
              <w:rPr>
                <w:sz w:val="20"/>
                <w:szCs w:val="20"/>
                <w:color w:val="auto"/>
              </w:rPr>
            </w:pPr>
            <w:r>
              <w:rPr>
                <w:rFonts w:ascii="Arial" w:cs="Arial" w:eastAsia="Arial" w:hAnsi="Arial"/>
                <w:sz w:val="13"/>
                <w:szCs w:val="13"/>
                <w:color w:val="auto"/>
                <w:w w:val="93"/>
              </w:rPr>
              <w:t>122,650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President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Chief Financial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80"/>
              <w:spacing w:after="0"/>
              <w:rPr>
                <w:sz w:val="20"/>
                <w:szCs w:val="20"/>
                <w:color w:val="auto"/>
              </w:rPr>
            </w:pPr>
            <w:r>
              <w:rPr>
                <w:rFonts w:ascii="Arial" w:cs="Arial" w:eastAsia="Arial" w:hAnsi="Arial"/>
                <w:sz w:val="13"/>
                <w:szCs w:val="13"/>
                <w:color w:val="auto"/>
              </w:rPr>
              <w:t>Officer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Frank C. Orsini,</w:t>
            </w:r>
          </w:p>
        </w:tc>
        <w:tc>
          <w:tcPr>
            <w:tcW w:w="40" w:type="dxa"/>
            <w:vAlign w:val="bottom"/>
            <w:shd w:val="clear" w:color="auto" w:fill="FCE9E8"/>
          </w:tcPr>
          <w:p>
            <w:pPr>
              <w:spacing w:after="0"/>
              <w:rPr>
                <w:sz w:val="13"/>
                <w:szCs w:val="13"/>
                <w:color w:val="auto"/>
              </w:rPr>
            </w:pPr>
          </w:p>
        </w:tc>
        <w:tc>
          <w:tcPr>
            <w:tcW w:w="500" w:type="dxa"/>
            <w:vAlign w:val="bottom"/>
            <w:gridSpan w:val="2"/>
            <w:shd w:val="clear" w:color="auto" w:fill="FCE9E8"/>
          </w:tcPr>
          <w:p>
            <w:pPr>
              <w:jc w:val="right"/>
              <w:ind w:right="57"/>
              <w:spacing w:after="0"/>
              <w:rPr>
                <w:sz w:val="20"/>
                <w:szCs w:val="20"/>
                <w:color w:val="auto"/>
              </w:rPr>
            </w:pPr>
            <w:r>
              <w:rPr>
                <w:rFonts w:ascii="Arial" w:cs="Arial" w:eastAsia="Arial" w:hAnsi="Arial"/>
                <w:sz w:val="13"/>
                <w:szCs w:val="13"/>
                <w:color w:val="auto"/>
              </w:rPr>
              <w:t>2020</w:t>
            </w:r>
          </w:p>
        </w:tc>
        <w:tc>
          <w:tcPr>
            <w:tcW w:w="1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781,333</w:t>
            </w:r>
          </w:p>
        </w:tc>
        <w:tc>
          <w:tcPr>
            <w:tcW w:w="1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3,610,431</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197"/>
              <w:spacing w:after="0"/>
              <w:rPr>
                <w:sz w:val="20"/>
                <w:szCs w:val="20"/>
                <w:color w:val="auto"/>
              </w:rPr>
            </w:pPr>
            <w:r>
              <w:rPr>
                <w:rFonts w:ascii="Arial" w:cs="Arial" w:eastAsia="Arial" w:hAnsi="Arial"/>
                <w:sz w:val="13"/>
                <w:szCs w:val="13"/>
                <w:color w:val="auto"/>
              </w:rPr>
              <w:t>480,026</w:t>
            </w:r>
          </w:p>
        </w:tc>
        <w:tc>
          <w:tcPr>
            <w:tcW w:w="3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rPr>
              <w:t>480,000</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w w:val="93"/>
              </w:rPr>
              <w:t>164,954</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FCE9E8"/>
          </w:tcPr>
          <w:p>
            <w:pPr>
              <w:jc w:val="right"/>
              <w:ind w:right="417"/>
              <w:spacing w:after="0"/>
              <w:rPr>
                <w:sz w:val="20"/>
                <w:szCs w:val="20"/>
                <w:color w:val="auto"/>
              </w:rPr>
            </w:pPr>
            <w:r>
              <w:rPr>
                <w:rFonts w:ascii="Arial" w:cs="Arial" w:eastAsia="Arial" w:hAnsi="Arial"/>
                <w:sz w:val="13"/>
                <w:szCs w:val="13"/>
                <w:color w:val="auto"/>
                <w:w w:val="93"/>
              </w:rPr>
              <w:t>190,045</w:t>
            </w:r>
          </w:p>
        </w:tc>
        <w:tc>
          <w:tcPr>
            <w:tcW w:w="5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6"/>
        </w:trPr>
        <w:tc>
          <w:tcPr>
            <w:tcW w:w="1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Executive Vice</w:t>
            </w:r>
          </w:p>
        </w:tc>
        <w:tc>
          <w:tcPr>
            <w:tcW w:w="40" w:type="dxa"/>
            <w:vAlign w:val="bottom"/>
            <w:shd w:val="clear" w:color="auto" w:fill="FCE9E8"/>
          </w:tcPr>
          <w:p>
            <w:pPr>
              <w:spacing w:after="0"/>
              <w:rPr>
                <w:sz w:val="16"/>
                <w:szCs w:val="16"/>
                <w:color w:val="auto"/>
              </w:rPr>
            </w:pPr>
          </w:p>
        </w:tc>
        <w:tc>
          <w:tcPr>
            <w:tcW w:w="40" w:type="dxa"/>
            <w:vAlign w:val="bottom"/>
            <w:shd w:val="clear" w:color="auto" w:fill="FCE9E8"/>
          </w:tcPr>
          <w:p>
            <w:pPr>
              <w:spacing w:after="0"/>
              <w:rPr>
                <w:sz w:val="16"/>
                <w:szCs w:val="16"/>
                <w:color w:val="auto"/>
              </w:rPr>
            </w:pPr>
          </w:p>
        </w:tc>
        <w:tc>
          <w:tcPr>
            <w:tcW w:w="460" w:type="dxa"/>
            <w:vAlign w:val="bottom"/>
            <w:shd w:val="clear" w:color="auto" w:fill="FCE9E8"/>
          </w:tcPr>
          <w:p>
            <w:pPr>
              <w:jc w:val="right"/>
              <w:ind w:right="57"/>
              <w:spacing w:after="0"/>
              <w:rPr>
                <w:sz w:val="20"/>
                <w:szCs w:val="20"/>
                <w:color w:val="auto"/>
              </w:rPr>
            </w:pPr>
            <w:r>
              <w:rPr>
                <w:rFonts w:ascii="Arial" w:cs="Arial" w:eastAsia="Arial" w:hAnsi="Arial"/>
                <w:sz w:val="13"/>
                <w:szCs w:val="13"/>
                <w:color w:val="auto"/>
              </w:rPr>
              <w:t>2019</w:t>
            </w:r>
          </w:p>
        </w:tc>
        <w:tc>
          <w:tcPr>
            <w:tcW w:w="1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800,000</w:t>
            </w:r>
          </w:p>
        </w:tc>
        <w:tc>
          <w:tcPr>
            <w:tcW w:w="1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3,169,401</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rPr>
              <w:t>488,000</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w w:val="93"/>
              </w:rPr>
              <w:t>153,031</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FCE9E8"/>
          </w:tcPr>
          <w:p>
            <w:pPr>
              <w:jc w:val="right"/>
              <w:ind w:right="417"/>
              <w:spacing w:after="0"/>
              <w:rPr>
                <w:sz w:val="20"/>
                <w:szCs w:val="20"/>
                <w:color w:val="auto"/>
              </w:rPr>
            </w:pPr>
            <w:r>
              <w:rPr>
                <w:rFonts w:ascii="Arial" w:cs="Arial" w:eastAsia="Arial" w:hAnsi="Arial"/>
                <w:sz w:val="13"/>
                <w:szCs w:val="13"/>
                <w:color w:val="auto"/>
                <w:w w:val="93"/>
              </w:rPr>
              <w:t>215,730</w:t>
            </w:r>
          </w:p>
        </w:tc>
        <w:tc>
          <w:tcPr>
            <w:tcW w:w="5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12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President, and</w:t>
            </w:r>
          </w:p>
        </w:tc>
        <w:tc>
          <w:tcPr>
            <w:tcW w:w="40" w:type="dxa"/>
            <w:vAlign w:val="bottom"/>
            <w:shd w:val="clear" w:color="auto" w:fill="FCE9E8"/>
          </w:tcPr>
          <w:p>
            <w:pPr>
              <w:spacing w:after="0"/>
              <w:rPr>
                <w:sz w:val="11"/>
                <w:szCs w:val="11"/>
                <w:color w:val="auto"/>
              </w:rPr>
            </w:pPr>
          </w:p>
        </w:tc>
        <w:tc>
          <w:tcPr>
            <w:tcW w:w="40" w:type="dxa"/>
            <w:vAlign w:val="bottom"/>
            <w:shd w:val="clear" w:color="auto" w:fill="FCE9E8"/>
          </w:tcPr>
          <w:p>
            <w:pPr>
              <w:spacing w:after="0"/>
              <w:rPr>
                <w:sz w:val="11"/>
                <w:szCs w:val="11"/>
                <w:color w:val="auto"/>
              </w:rPr>
            </w:pPr>
          </w:p>
        </w:tc>
        <w:tc>
          <w:tcPr>
            <w:tcW w:w="460" w:type="dxa"/>
            <w:vAlign w:val="bottom"/>
            <w:vMerge w:val="restart"/>
            <w:shd w:val="clear" w:color="auto" w:fill="FCE9E8"/>
          </w:tcPr>
          <w:p>
            <w:pPr>
              <w:jc w:val="right"/>
              <w:ind w:right="57"/>
              <w:spacing w:after="0"/>
              <w:rPr>
                <w:sz w:val="20"/>
                <w:szCs w:val="20"/>
                <w:color w:val="auto"/>
              </w:rPr>
            </w:pPr>
            <w:r>
              <w:rPr>
                <w:rFonts w:ascii="Arial" w:cs="Arial" w:eastAsia="Arial" w:hAnsi="Arial"/>
                <w:sz w:val="13"/>
                <w:szCs w:val="13"/>
                <w:color w:val="auto"/>
              </w:rPr>
              <w:t>2018</w:t>
            </w:r>
          </w:p>
        </w:tc>
        <w:tc>
          <w:tcPr>
            <w:tcW w:w="18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764,396</w:t>
            </w:r>
          </w:p>
        </w:tc>
        <w:tc>
          <w:tcPr>
            <w:tcW w:w="10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2,474,496</w:t>
            </w:r>
          </w:p>
        </w:tc>
        <w:tc>
          <w:tcPr>
            <w:tcW w:w="1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FCE9E8"/>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FCE9E8"/>
          </w:tcPr>
          <w:p>
            <w:pPr>
              <w:jc w:val="right"/>
              <w:ind w:right="397"/>
              <w:spacing w:after="0"/>
              <w:rPr>
                <w:sz w:val="20"/>
                <w:szCs w:val="20"/>
                <w:color w:val="auto"/>
              </w:rPr>
            </w:pPr>
            <w:r>
              <w:rPr>
                <w:rFonts w:ascii="Arial" w:cs="Arial" w:eastAsia="Arial" w:hAnsi="Arial"/>
                <w:sz w:val="13"/>
                <w:szCs w:val="13"/>
                <w:color w:val="auto"/>
              </w:rPr>
              <w:t>658,713</w:t>
            </w:r>
          </w:p>
        </w:tc>
        <w:tc>
          <w:tcPr>
            <w:tcW w:w="5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FCE9E8"/>
          </w:tcPr>
          <w:p>
            <w:pPr>
              <w:jc w:val="right"/>
              <w:ind w:right="39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FCE9E8"/>
          </w:tcPr>
          <w:p>
            <w:pPr>
              <w:jc w:val="right"/>
              <w:ind w:right="417"/>
              <w:spacing w:after="0"/>
              <w:rPr>
                <w:sz w:val="20"/>
                <w:szCs w:val="20"/>
                <w:color w:val="auto"/>
              </w:rPr>
            </w:pPr>
            <w:r>
              <w:rPr>
                <w:rFonts w:ascii="Arial" w:cs="Arial" w:eastAsia="Arial" w:hAnsi="Arial"/>
                <w:sz w:val="13"/>
                <w:szCs w:val="13"/>
                <w:color w:val="auto"/>
                <w:w w:val="93"/>
              </w:rPr>
              <w:t>258,037</w:t>
            </w:r>
          </w:p>
        </w:tc>
        <w:tc>
          <w:tcPr>
            <w:tcW w:w="5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57"/>
        </w:trPr>
        <w:tc>
          <w:tcPr>
            <w:tcW w:w="1200" w:type="dxa"/>
            <w:vAlign w:val="bottom"/>
            <w:vMerge w:val="restart"/>
            <w:shd w:val="clear" w:color="auto" w:fill="FCE9E8"/>
          </w:tcPr>
          <w:p>
            <w:pPr>
              <w:ind w:left="80"/>
              <w:spacing w:after="0"/>
              <w:rPr>
                <w:sz w:val="20"/>
                <w:szCs w:val="20"/>
                <w:color w:val="auto"/>
              </w:rPr>
            </w:pPr>
            <w:r>
              <w:rPr>
                <w:rFonts w:ascii="Arial" w:cs="Arial" w:eastAsia="Arial" w:hAnsi="Arial"/>
                <w:sz w:val="13"/>
                <w:szCs w:val="13"/>
                <w:color w:val="auto"/>
              </w:rPr>
              <w:t>President, Seating</w:t>
            </w:r>
          </w:p>
        </w:tc>
        <w:tc>
          <w:tcPr>
            <w:tcW w:w="40" w:type="dxa"/>
            <w:vAlign w:val="bottom"/>
            <w:shd w:val="clear" w:color="auto" w:fill="FCE9E8"/>
          </w:tcPr>
          <w:p>
            <w:pPr>
              <w:spacing w:after="0"/>
              <w:rPr>
                <w:sz w:val="4"/>
                <w:szCs w:val="4"/>
                <w:color w:val="auto"/>
              </w:rPr>
            </w:pPr>
          </w:p>
        </w:tc>
        <w:tc>
          <w:tcPr>
            <w:tcW w:w="40" w:type="dxa"/>
            <w:vAlign w:val="bottom"/>
            <w:shd w:val="clear" w:color="auto" w:fill="FCE9E8"/>
          </w:tcPr>
          <w:p>
            <w:pPr>
              <w:spacing w:after="0"/>
              <w:rPr>
                <w:sz w:val="4"/>
                <w:szCs w:val="4"/>
                <w:color w:val="auto"/>
              </w:rPr>
            </w:pPr>
          </w:p>
        </w:tc>
        <w:tc>
          <w:tcPr>
            <w:tcW w:w="460" w:type="dxa"/>
            <w:vAlign w:val="bottom"/>
            <w:vMerge w:val="continue"/>
            <w:shd w:val="clear" w:color="auto" w:fill="FCE9E8"/>
          </w:tcPr>
          <w:p>
            <w:pPr>
              <w:spacing w:after="0"/>
              <w:rPr>
                <w:sz w:val="4"/>
                <w:szCs w:val="4"/>
                <w:color w:val="auto"/>
              </w:rPr>
            </w:pPr>
          </w:p>
        </w:tc>
        <w:tc>
          <w:tcPr>
            <w:tcW w:w="180" w:type="dxa"/>
            <w:vAlign w:val="bottom"/>
            <w:vMerge w:val="continue"/>
            <w:shd w:val="clear" w:color="auto" w:fill="FCE9E8"/>
          </w:tcPr>
          <w:p>
            <w:pPr>
              <w:spacing w:after="0"/>
              <w:rPr>
                <w:sz w:val="4"/>
                <w:szCs w:val="4"/>
                <w:color w:val="auto"/>
              </w:rPr>
            </w:pPr>
          </w:p>
        </w:tc>
        <w:tc>
          <w:tcPr>
            <w:tcW w:w="620" w:type="dxa"/>
            <w:vAlign w:val="bottom"/>
            <w:vMerge w:val="continue"/>
            <w:shd w:val="clear" w:color="auto" w:fill="FCE9E8"/>
          </w:tcPr>
          <w:p>
            <w:pPr>
              <w:spacing w:after="0"/>
              <w:rPr>
                <w:sz w:val="4"/>
                <w:szCs w:val="4"/>
                <w:color w:val="auto"/>
              </w:rPr>
            </w:pPr>
          </w:p>
        </w:tc>
        <w:tc>
          <w:tcPr>
            <w:tcW w:w="100" w:type="dxa"/>
            <w:vAlign w:val="bottom"/>
            <w:vMerge w:val="continue"/>
            <w:shd w:val="clear" w:color="auto" w:fill="FCE9E8"/>
          </w:tcPr>
          <w:p>
            <w:pPr>
              <w:spacing w:after="0"/>
              <w:rPr>
                <w:sz w:val="4"/>
                <w:szCs w:val="4"/>
                <w:color w:val="auto"/>
              </w:rPr>
            </w:pPr>
          </w:p>
        </w:tc>
        <w:tc>
          <w:tcPr>
            <w:tcW w:w="520" w:type="dxa"/>
            <w:vAlign w:val="bottom"/>
            <w:vMerge w:val="continue"/>
            <w:shd w:val="clear" w:color="auto" w:fill="FCE9E8"/>
          </w:tcPr>
          <w:p>
            <w:pPr>
              <w:spacing w:after="0"/>
              <w:rPr>
                <w:sz w:val="4"/>
                <w:szCs w:val="4"/>
                <w:color w:val="auto"/>
              </w:rPr>
            </w:pPr>
          </w:p>
        </w:tc>
        <w:tc>
          <w:tcPr>
            <w:tcW w:w="120" w:type="dxa"/>
            <w:vAlign w:val="bottom"/>
            <w:vMerge w:val="continue"/>
            <w:shd w:val="clear" w:color="auto" w:fill="FCE9E8"/>
          </w:tcPr>
          <w:p>
            <w:pPr>
              <w:spacing w:after="0"/>
              <w:rPr>
                <w:sz w:val="4"/>
                <w:szCs w:val="4"/>
                <w:color w:val="auto"/>
              </w:rPr>
            </w:pPr>
          </w:p>
        </w:tc>
        <w:tc>
          <w:tcPr>
            <w:tcW w:w="660" w:type="dxa"/>
            <w:vAlign w:val="bottom"/>
            <w:vMerge w:val="continue"/>
            <w:shd w:val="clear" w:color="auto" w:fill="FCE9E8"/>
          </w:tcPr>
          <w:p>
            <w:pPr>
              <w:spacing w:after="0"/>
              <w:rPr>
                <w:sz w:val="4"/>
                <w:szCs w:val="4"/>
                <w:color w:val="auto"/>
              </w:rPr>
            </w:pPr>
          </w:p>
        </w:tc>
        <w:tc>
          <w:tcPr>
            <w:tcW w:w="120" w:type="dxa"/>
            <w:vAlign w:val="bottom"/>
            <w:vMerge w:val="continue"/>
            <w:shd w:val="clear" w:color="auto" w:fill="FCE9E8"/>
          </w:tcPr>
          <w:p>
            <w:pPr>
              <w:spacing w:after="0"/>
              <w:rPr>
                <w:sz w:val="4"/>
                <w:szCs w:val="4"/>
                <w:color w:val="auto"/>
              </w:rPr>
            </w:pPr>
          </w:p>
        </w:tc>
        <w:tc>
          <w:tcPr>
            <w:tcW w:w="840" w:type="dxa"/>
            <w:vAlign w:val="bottom"/>
            <w:vMerge w:val="continue"/>
            <w:shd w:val="clear" w:color="auto" w:fill="FCE9E8"/>
          </w:tcPr>
          <w:p>
            <w:pPr>
              <w:spacing w:after="0"/>
              <w:rPr>
                <w:sz w:val="4"/>
                <w:szCs w:val="4"/>
                <w:color w:val="auto"/>
              </w:rPr>
            </w:pPr>
          </w:p>
        </w:tc>
        <w:tc>
          <w:tcPr>
            <w:tcW w:w="340" w:type="dxa"/>
            <w:vAlign w:val="bottom"/>
            <w:vMerge w:val="continue"/>
            <w:shd w:val="clear" w:color="auto" w:fill="FCE9E8"/>
          </w:tcPr>
          <w:p>
            <w:pPr>
              <w:spacing w:after="0"/>
              <w:rPr>
                <w:sz w:val="4"/>
                <w:szCs w:val="4"/>
                <w:color w:val="auto"/>
              </w:rPr>
            </w:pPr>
          </w:p>
        </w:tc>
        <w:tc>
          <w:tcPr>
            <w:tcW w:w="1040" w:type="dxa"/>
            <w:vAlign w:val="bottom"/>
            <w:vMerge w:val="continue"/>
            <w:shd w:val="clear" w:color="auto" w:fill="FCE9E8"/>
          </w:tcPr>
          <w:p>
            <w:pPr>
              <w:spacing w:after="0"/>
              <w:rPr>
                <w:sz w:val="4"/>
                <w:szCs w:val="4"/>
                <w:color w:val="auto"/>
              </w:rPr>
            </w:pPr>
          </w:p>
        </w:tc>
        <w:tc>
          <w:tcPr>
            <w:tcW w:w="520" w:type="dxa"/>
            <w:vAlign w:val="bottom"/>
            <w:vMerge w:val="continue"/>
            <w:shd w:val="clear" w:color="auto" w:fill="FCE9E8"/>
          </w:tcPr>
          <w:p>
            <w:pPr>
              <w:spacing w:after="0"/>
              <w:rPr>
                <w:sz w:val="4"/>
                <w:szCs w:val="4"/>
                <w:color w:val="auto"/>
              </w:rPr>
            </w:pPr>
          </w:p>
        </w:tc>
        <w:tc>
          <w:tcPr>
            <w:tcW w:w="920" w:type="dxa"/>
            <w:vAlign w:val="bottom"/>
            <w:vMerge w:val="continue"/>
            <w:shd w:val="clear" w:color="auto" w:fill="FCE9E8"/>
          </w:tcPr>
          <w:p>
            <w:pPr>
              <w:spacing w:after="0"/>
              <w:rPr>
                <w:sz w:val="4"/>
                <w:szCs w:val="4"/>
                <w:color w:val="auto"/>
              </w:rPr>
            </w:pPr>
          </w:p>
        </w:tc>
        <w:tc>
          <w:tcPr>
            <w:tcW w:w="540" w:type="dxa"/>
            <w:vAlign w:val="bottom"/>
            <w:vMerge w:val="continue"/>
            <w:shd w:val="clear" w:color="auto" w:fill="FCE9E8"/>
          </w:tcPr>
          <w:p>
            <w:pPr>
              <w:spacing w:after="0"/>
              <w:rPr>
                <w:sz w:val="4"/>
                <w:szCs w:val="4"/>
                <w:color w:val="auto"/>
              </w:rPr>
            </w:pPr>
          </w:p>
        </w:tc>
        <w:tc>
          <w:tcPr>
            <w:tcW w:w="940" w:type="dxa"/>
            <w:vAlign w:val="bottom"/>
            <w:vMerge w:val="continue"/>
            <w:shd w:val="clear" w:color="auto" w:fill="FCE9E8"/>
          </w:tcPr>
          <w:p>
            <w:pPr>
              <w:spacing w:after="0"/>
              <w:rPr>
                <w:sz w:val="4"/>
                <w:szCs w:val="4"/>
                <w:color w:val="auto"/>
              </w:rPr>
            </w:pPr>
          </w:p>
        </w:tc>
        <w:tc>
          <w:tcPr>
            <w:tcW w:w="560" w:type="dxa"/>
            <w:vAlign w:val="bottom"/>
            <w:vMerge w:val="continue"/>
            <w:shd w:val="clear" w:color="auto" w:fill="FCE9E8"/>
          </w:tcPr>
          <w:p>
            <w:pPr>
              <w:spacing w:after="0"/>
              <w:rPr>
                <w:sz w:val="4"/>
                <w:szCs w:val="4"/>
                <w:color w:val="auto"/>
              </w:rPr>
            </w:pPr>
          </w:p>
        </w:tc>
        <w:tc>
          <w:tcPr>
            <w:tcW w:w="160" w:type="dxa"/>
            <w:vAlign w:val="bottom"/>
            <w:vMerge w:val="continue"/>
            <w:shd w:val="clear" w:color="auto" w:fill="FCE9E8"/>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200" w:type="dxa"/>
            <w:vAlign w:val="bottom"/>
            <w:tcBorders>
              <w:bottom w:val="single" w:sz="8" w:color="FCE9E8"/>
            </w:tcBorders>
            <w:vMerge w:val="continue"/>
            <w:shd w:val="clear" w:color="auto" w:fill="FCE9E8"/>
          </w:tcPr>
          <w:p>
            <w:pPr>
              <w:spacing w:after="0"/>
              <w:rPr>
                <w:sz w:val="10"/>
                <w:szCs w:val="10"/>
                <w:color w:val="auto"/>
              </w:rPr>
            </w:pPr>
          </w:p>
        </w:tc>
        <w:tc>
          <w:tcPr>
            <w:tcW w:w="40" w:type="dxa"/>
            <w:vAlign w:val="bottom"/>
            <w:tcBorders>
              <w:bottom w:val="single" w:sz="8" w:color="FCE9E8"/>
            </w:tcBorders>
            <w:shd w:val="clear" w:color="auto" w:fill="FCE9E8"/>
          </w:tcPr>
          <w:p>
            <w:pPr>
              <w:spacing w:after="0"/>
              <w:rPr>
                <w:sz w:val="10"/>
                <w:szCs w:val="10"/>
                <w:color w:val="auto"/>
              </w:rPr>
            </w:pPr>
          </w:p>
        </w:tc>
        <w:tc>
          <w:tcPr>
            <w:tcW w:w="40" w:type="dxa"/>
            <w:vAlign w:val="bottom"/>
            <w:tcBorders>
              <w:bottom w:val="single" w:sz="8" w:color="FCE9E8"/>
            </w:tcBorders>
            <w:shd w:val="clear" w:color="auto" w:fill="FCE9E8"/>
          </w:tcPr>
          <w:p>
            <w:pPr>
              <w:spacing w:after="0"/>
              <w:rPr>
                <w:sz w:val="10"/>
                <w:szCs w:val="10"/>
                <w:color w:val="auto"/>
              </w:rPr>
            </w:pPr>
          </w:p>
        </w:tc>
        <w:tc>
          <w:tcPr>
            <w:tcW w:w="460" w:type="dxa"/>
            <w:vAlign w:val="bottom"/>
            <w:tcBorders>
              <w:bottom w:val="single" w:sz="8" w:color="FCE9E8"/>
            </w:tcBorders>
            <w:shd w:val="clear" w:color="auto" w:fill="FCE9E8"/>
          </w:tcPr>
          <w:p>
            <w:pPr>
              <w:spacing w:after="0"/>
              <w:rPr>
                <w:sz w:val="10"/>
                <w:szCs w:val="10"/>
                <w:color w:val="auto"/>
              </w:rPr>
            </w:pPr>
          </w:p>
        </w:tc>
        <w:tc>
          <w:tcPr>
            <w:tcW w:w="180" w:type="dxa"/>
            <w:vAlign w:val="bottom"/>
            <w:tcBorders>
              <w:bottom w:val="single" w:sz="8" w:color="FCE9E8"/>
            </w:tcBorders>
            <w:shd w:val="clear" w:color="auto" w:fill="FCE9E8"/>
          </w:tcPr>
          <w:p>
            <w:pPr>
              <w:spacing w:after="0"/>
              <w:rPr>
                <w:sz w:val="10"/>
                <w:szCs w:val="10"/>
                <w:color w:val="auto"/>
              </w:rPr>
            </w:pPr>
          </w:p>
        </w:tc>
        <w:tc>
          <w:tcPr>
            <w:tcW w:w="620" w:type="dxa"/>
            <w:vAlign w:val="bottom"/>
            <w:tcBorders>
              <w:bottom w:val="single" w:sz="8" w:color="FCE9E8"/>
            </w:tcBorders>
            <w:shd w:val="clear" w:color="auto" w:fill="FCE9E8"/>
          </w:tcPr>
          <w:p>
            <w:pPr>
              <w:spacing w:after="0"/>
              <w:rPr>
                <w:sz w:val="10"/>
                <w:szCs w:val="10"/>
                <w:color w:val="auto"/>
              </w:rPr>
            </w:pPr>
          </w:p>
        </w:tc>
        <w:tc>
          <w:tcPr>
            <w:tcW w:w="100" w:type="dxa"/>
            <w:vAlign w:val="bottom"/>
            <w:tcBorders>
              <w:bottom w:val="single" w:sz="8" w:color="FCE9E8"/>
            </w:tcBorders>
            <w:shd w:val="clear" w:color="auto" w:fill="FCE9E8"/>
          </w:tcPr>
          <w:p>
            <w:pPr>
              <w:spacing w:after="0"/>
              <w:rPr>
                <w:sz w:val="10"/>
                <w:szCs w:val="10"/>
                <w:color w:val="auto"/>
              </w:rPr>
            </w:pPr>
          </w:p>
        </w:tc>
        <w:tc>
          <w:tcPr>
            <w:tcW w:w="520" w:type="dxa"/>
            <w:vAlign w:val="bottom"/>
            <w:tcBorders>
              <w:bottom w:val="single" w:sz="8" w:color="FCE9E8"/>
            </w:tcBorders>
            <w:shd w:val="clear" w:color="auto" w:fill="FCE9E8"/>
          </w:tcPr>
          <w:p>
            <w:pPr>
              <w:spacing w:after="0"/>
              <w:rPr>
                <w:sz w:val="10"/>
                <w:szCs w:val="10"/>
                <w:color w:val="auto"/>
              </w:rPr>
            </w:pPr>
          </w:p>
        </w:tc>
        <w:tc>
          <w:tcPr>
            <w:tcW w:w="120" w:type="dxa"/>
            <w:vAlign w:val="bottom"/>
            <w:tcBorders>
              <w:bottom w:val="single" w:sz="8" w:color="FCE9E8"/>
            </w:tcBorders>
            <w:shd w:val="clear" w:color="auto" w:fill="FCE9E8"/>
          </w:tcPr>
          <w:p>
            <w:pPr>
              <w:spacing w:after="0"/>
              <w:rPr>
                <w:sz w:val="10"/>
                <w:szCs w:val="10"/>
                <w:color w:val="auto"/>
              </w:rPr>
            </w:pPr>
          </w:p>
        </w:tc>
        <w:tc>
          <w:tcPr>
            <w:tcW w:w="660" w:type="dxa"/>
            <w:vAlign w:val="bottom"/>
            <w:tcBorders>
              <w:bottom w:val="single" w:sz="8" w:color="FCE9E8"/>
            </w:tcBorders>
            <w:shd w:val="clear" w:color="auto" w:fill="FCE9E8"/>
          </w:tcPr>
          <w:p>
            <w:pPr>
              <w:spacing w:after="0"/>
              <w:rPr>
                <w:sz w:val="10"/>
                <w:szCs w:val="10"/>
                <w:color w:val="auto"/>
              </w:rPr>
            </w:pPr>
          </w:p>
        </w:tc>
        <w:tc>
          <w:tcPr>
            <w:tcW w:w="120" w:type="dxa"/>
            <w:vAlign w:val="bottom"/>
            <w:tcBorders>
              <w:bottom w:val="single" w:sz="8" w:color="FCE9E8"/>
            </w:tcBorders>
            <w:shd w:val="clear" w:color="auto" w:fill="FCE9E8"/>
          </w:tcPr>
          <w:p>
            <w:pPr>
              <w:spacing w:after="0"/>
              <w:rPr>
                <w:sz w:val="10"/>
                <w:szCs w:val="10"/>
                <w:color w:val="auto"/>
              </w:rPr>
            </w:pPr>
          </w:p>
        </w:tc>
        <w:tc>
          <w:tcPr>
            <w:tcW w:w="840" w:type="dxa"/>
            <w:vAlign w:val="bottom"/>
            <w:tcBorders>
              <w:bottom w:val="single" w:sz="8" w:color="FCE9E8"/>
            </w:tcBorders>
            <w:shd w:val="clear" w:color="auto" w:fill="FCE9E8"/>
          </w:tcPr>
          <w:p>
            <w:pPr>
              <w:spacing w:after="0"/>
              <w:rPr>
                <w:sz w:val="10"/>
                <w:szCs w:val="10"/>
                <w:color w:val="auto"/>
              </w:rPr>
            </w:pPr>
          </w:p>
        </w:tc>
        <w:tc>
          <w:tcPr>
            <w:tcW w:w="340" w:type="dxa"/>
            <w:vAlign w:val="bottom"/>
            <w:tcBorders>
              <w:bottom w:val="single" w:sz="8" w:color="FCE9E8"/>
            </w:tcBorders>
            <w:shd w:val="clear" w:color="auto" w:fill="FCE9E8"/>
          </w:tcPr>
          <w:p>
            <w:pPr>
              <w:spacing w:after="0"/>
              <w:rPr>
                <w:sz w:val="10"/>
                <w:szCs w:val="10"/>
                <w:color w:val="auto"/>
              </w:rPr>
            </w:pPr>
          </w:p>
        </w:tc>
        <w:tc>
          <w:tcPr>
            <w:tcW w:w="1040" w:type="dxa"/>
            <w:vAlign w:val="bottom"/>
            <w:tcBorders>
              <w:bottom w:val="single" w:sz="8" w:color="FCE9E8"/>
            </w:tcBorders>
            <w:shd w:val="clear" w:color="auto" w:fill="FCE9E8"/>
          </w:tcPr>
          <w:p>
            <w:pPr>
              <w:spacing w:after="0"/>
              <w:rPr>
                <w:sz w:val="10"/>
                <w:szCs w:val="10"/>
                <w:color w:val="auto"/>
              </w:rPr>
            </w:pPr>
          </w:p>
        </w:tc>
        <w:tc>
          <w:tcPr>
            <w:tcW w:w="520" w:type="dxa"/>
            <w:vAlign w:val="bottom"/>
            <w:tcBorders>
              <w:bottom w:val="single" w:sz="8" w:color="FCE9E8"/>
            </w:tcBorders>
            <w:shd w:val="clear" w:color="auto" w:fill="FCE9E8"/>
          </w:tcPr>
          <w:p>
            <w:pPr>
              <w:spacing w:after="0"/>
              <w:rPr>
                <w:sz w:val="10"/>
                <w:szCs w:val="10"/>
                <w:color w:val="auto"/>
              </w:rPr>
            </w:pPr>
          </w:p>
        </w:tc>
        <w:tc>
          <w:tcPr>
            <w:tcW w:w="920" w:type="dxa"/>
            <w:vAlign w:val="bottom"/>
            <w:tcBorders>
              <w:bottom w:val="single" w:sz="8" w:color="FCE9E8"/>
            </w:tcBorders>
            <w:shd w:val="clear" w:color="auto" w:fill="FCE9E8"/>
          </w:tcPr>
          <w:p>
            <w:pPr>
              <w:spacing w:after="0"/>
              <w:rPr>
                <w:sz w:val="10"/>
                <w:szCs w:val="10"/>
                <w:color w:val="auto"/>
              </w:rPr>
            </w:pPr>
          </w:p>
        </w:tc>
        <w:tc>
          <w:tcPr>
            <w:tcW w:w="540" w:type="dxa"/>
            <w:vAlign w:val="bottom"/>
            <w:tcBorders>
              <w:bottom w:val="single" w:sz="8" w:color="FCE9E8"/>
            </w:tcBorders>
            <w:shd w:val="clear" w:color="auto" w:fill="FCE9E8"/>
          </w:tcPr>
          <w:p>
            <w:pPr>
              <w:spacing w:after="0"/>
              <w:rPr>
                <w:sz w:val="10"/>
                <w:szCs w:val="10"/>
                <w:color w:val="auto"/>
              </w:rPr>
            </w:pPr>
          </w:p>
        </w:tc>
        <w:tc>
          <w:tcPr>
            <w:tcW w:w="940" w:type="dxa"/>
            <w:vAlign w:val="bottom"/>
            <w:tcBorders>
              <w:bottom w:val="single" w:sz="8" w:color="FCE9E8"/>
            </w:tcBorders>
            <w:shd w:val="clear" w:color="auto" w:fill="FCE9E8"/>
          </w:tcPr>
          <w:p>
            <w:pPr>
              <w:spacing w:after="0"/>
              <w:rPr>
                <w:sz w:val="10"/>
                <w:szCs w:val="10"/>
                <w:color w:val="auto"/>
              </w:rPr>
            </w:pPr>
          </w:p>
        </w:tc>
        <w:tc>
          <w:tcPr>
            <w:tcW w:w="560" w:type="dxa"/>
            <w:vAlign w:val="bottom"/>
            <w:tcBorders>
              <w:bottom w:val="single" w:sz="8" w:color="FCE9E8"/>
            </w:tcBorders>
            <w:shd w:val="clear" w:color="auto" w:fill="FCE9E8"/>
          </w:tcPr>
          <w:p>
            <w:pPr>
              <w:spacing w:after="0"/>
              <w:rPr>
                <w:sz w:val="10"/>
                <w:szCs w:val="10"/>
                <w:color w:val="auto"/>
              </w:rPr>
            </w:pPr>
          </w:p>
        </w:tc>
        <w:tc>
          <w:tcPr>
            <w:tcW w:w="160" w:type="dxa"/>
            <w:vAlign w:val="bottom"/>
            <w:tcBorders>
              <w:bottom w:val="single" w:sz="8" w:color="FCE9E8"/>
            </w:tcBorders>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200" w:type="dxa"/>
            <w:vAlign w:val="bottom"/>
            <w:tcBorders>
              <w:top w:val="single" w:sz="8" w:color="auto"/>
            </w:tcBorders>
          </w:tcPr>
          <w:p>
            <w:pPr>
              <w:ind w:left="80"/>
              <w:spacing w:after="0" w:line="136" w:lineRule="exact"/>
              <w:rPr>
                <w:sz w:val="20"/>
                <w:szCs w:val="20"/>
                <w:color w:val="auto"/>
              </w:rPr>
            </w:pPr>
            <w:r>
              <w:rPr>
                <w:rFonts w:ascii="Arial" w:cs="Arial" w:eastAsia="Arial" w:hAnsi="Arial"/>
                <w:sz w:val="13"/>
                <w:szCs w:val="13"/>
                <w:color w:val="auto"/>
              </w:rPr>
              <w:t>Thomas A.</w:t>
            </w:r>
          </w:p>
        </w:tc>
        <w:tc>
          <w:tcPr>
            <w:tcW w:w="540" w:type="dxa"/>
            <w:vAlign w:val="bottom"/>
            <w:tcBorders>
              <w:top w:val="single" w:sz="8" w:color="auto"/>
            </w:tcBorders>
            <w:gridSpan w:val="3"/>
          </w:tcPr>
          <w:p>
            <w:pPr>
              <w:jc w:val="right"/>
              <w:ind w:right="57"/>
              <w:spacing w:after="0" w:line="136" w:lineRule="exact"/>
              <w:rPr>
                <w:sz w:val="20"/>
                <w:szCs w:val="20"/>
                <w:color w:val="auto"/>
              </w:rPr>
            </w:pPr>
            <w:r>
              <w:rPr>
                <w:rFonts w:ascii="Arial" w:cs="Arial" w:eastAsia="Arial" w:hAnsi="Arial"/>
                <w:sz w:val="13"/>
                <w:szCs w:val="13"/>
                <w:color w:val="auto"/>
              </w:rPr>
              <w:t>2020</w:t>
            </w:r>
          </w:p>
        </w:tc>
        <w:tc>
          <w:tcPr>
            <w:tcW w:w="1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683,667</w:t>
            </w:r>
          </w:p>
        </w:tc>
        <w:tc>
          <w:tcPr>
            <w:tcW w:w="1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2,634,758</w:t>
            </w:r>
          </w:p>
        </w:tc>
        <w:tc>
          <w:tcPr>
            <w:tcW w:w="1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197"/>
              <w:spacing w:after="0" w:line="136" w:lineRule="exact"/>
              <w:rPr>
                <w:sz w:val="20"/>
                <w:szCs w:val="20"/>
                <w:color w:val="auto"/>
              </w:rPr>
            </w:pPr>
            <w:r>
              <w:rPr>
                <w:rFonts w:ascii="Arial" w:cs="Arial" w:eastAsia="Arial" w:hAnsi="Arial"/>
                <w:sz w:val="13"/>
                <w:szCs w:val="13"/>
                <w:color w:val="auto"/>
              </w:rPr>
              <w:t>399,011</w:t>
            </w:r>
          </w:p>
        </w:tc>
        <w:tc>
          <w:tcPr>
            <w:tcW w:w="3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ind w:right="397"/>
              <w:spacing w:after="0" w:line="136" w:lineRule="exact"/>
              <w:rPr>
                <w:sz w:val="20"/>
                <w:szCs w:val="20"/>
                <w:color w:val="auto"/>
              </w:rPr>
            </w:pPr>
            <w:r>
              <w:rPr>
                <w:rFonts w:ascii="Arial" w:cs="Arial" w:eastAsia="Arial" w:hAnsi="Arial"/>
                <w:sz w:val="13"/>
                <w:szCs w:val="13"/>
                <w:color w:val="auto"/>
              </w:rPr>
              <w:t>420,000</w:t>
            </w: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97"/>
              <w:spacing w:after="0" w:line="136"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417"/>
              <w:spacing w:after="0" w:line="136" w:lineRule="exact"/>
              <w:rPr>
                <w:sz w:val="20"/>
                <w:szCs w:val="20"/>
                <w:color w:val="auto"/>
              </w:rPr>
            </w:pPr>
            <w:r>
              <w:rPr>
                <w:rFonts w:ascii="Arial" w:cs="Arial" w:eastAsia="Arial" w:hAnsi="Arial"/>
                <w:sz w:val="13"/>
                <w:szCs w:val="13"/>
                <w:color w:val="auto"/>
                <w:w w:val="93"/>
              </w:rPr>
              <w:t>145,316</w:t>
            </w:r>
          </w:p>
        </w:tc>
        <w:tc>
          <w:tcPr>
            <w:tcW w:w="5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2"/>
        </w:trPr>
        <w:tc>
          <w:tcPr>
            <w:tcW w:w="1200" w:type="dxa"/>
            <w:vAlign w:val="bottom"/>
          </w:tcPr>
          <w:p>
            <w:pPr>
              <w:ind w:left="80"/>
              <w:spacing w:after="0"/>
              <w:rPr>
                <w:sz w:val="20"/>
                <w:szCs w:val="20"/>
                <w:color w:val="auto"/>
              </w:rPr>
            </w:pPr>
            <w:r>
              <w:rPr>
                <w:rFonts w:ascii="Arial" w:cs="Arial" w:eastAsia="Arial" w:hAnsi="Arial"/>
                <w:sz w:val="13"/>
                <w:szCs w:val="13"/>
                <w:color w:val="auto"/>
              </w:rPr>
              <w:t>DiDonato,</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00" w:type="dxa"/>
            <w:vAlign w:val="bottom"/>
          </w:tcPr>
          <w:p>
            <w:pPr>
              <w:ind w:left="80"/>
              <w:spacing w:after="0"/>
              <w:rPr>
                <w:sz w:val="20"/>
                <w:szCs w:val="20"/>
                <w:color w:val="auto"/>
              </w:rPr>
            </w:pPr>
            <w:r>
              <w:rPr>
                <w:rFonts w:ascii="Arial" w:cs="Arial" w:eastAsia="Arial" w:hAnsi="Arial"/>
                <w:sz w:val="13"/>
                <w:szCs w:val="13"/>
                <w:color w:val="auto"/>
              </w:rPr>
              <w:t>Senior Vice</w:t>
            </w:r>
          </w:p>
        </w:tc>
        <w:tc>
          <w:tcPr>
            <w:tcW w:w="540" w:type="dxa"/>
            <w:vAlign w:val="bottom"/>
            <w:gridSpan w:val="3"/>
          </w:tcPr>
          <w:p>
            <w:pPr>
              <w:jc w:val="right"/>
              <w:ind w:right="57"/>
              <w:spacing w:after="0"/>
              <w:rPr>
                <w:sz w:val="20"/>
                <w:szCs w:val="20"/>
                <w:color w:val="auto"/>
              </w:rPr>
            </w:pPr>
            <w:r>
              <w:rPr>
                <w:rFonts w:ascii="Arial" w:cs="Arial" w:eastAsia="Arial" w:hAnsi="Arial"/>
                <w:sz w:val="13"/>
                <w:szCs w:val="13"/>
                <w:color w:val="auto"/>
              </w:rPr>
              <w:t>2019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700,000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2,768,236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97"/>
              <w:spacing w:after="0"/>
              <w:rPr>
                <w:sz w:val="20"/>
                <w:szCs w:val="20"/>
                <w:color w:val="auto"/>
              </w:rPr>
            </w:pPr>
            <w:r>
              <w:rPr>
                <w:rFonts w:ascii="Arial" w:cs="Arial" w:eastAsia="Arial" w:hAnsi="Arial"/>
                <w:sz w:val="13"/>
                <w:szCs w:val="13"/>
                <w:color w:val="auto"/>
              </w:rPr>
              <w:t>362,950</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17"/>
              <w:spacing w:after="0"/>
              <w:rPr>
                <w:sz w:val="20"/>
                <w:szCs w:val="20"/>
                <w:color w:val="auto"/>
              </w:rPr>
            </w:pPr>
            <w:r>
              <w:rPr>
                <w:rFonts w:ascii="Arial" w:cs="Arial" w:eastAsia="Arial" w:hAnsi="Arial"/>
                <w:sz w:val="13"/>
                <w:szCs w:val="13"/>
                <w:color w:val="auto"/>
                <w:w w:val="93"/>
              </w:rPr>
              <w:t>159,501</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President and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Chief</w:t>
            </w:r>
          </w:p>
        </w:tc>
        <w:tc>
          <w:tcPr>
            <w:tcW w:w="54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2018</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671,875</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2,113,925</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397"/>
              <w:spacing w:after="0"/>
              <w:rPr>
                <w:sz w:val="20"/>
                <w:szCs w:val="20"/>
                <w:color w:val="auto"/>
              </w:rPr>
            </w:pPr>
            <w:r>
              <w:rPr>
                <w:rFonts w:ascii="Arial" w:cs="Arial" w:eastAsia="Arial" w:hAnsi="Arial"/>
                <w:sz w:val="13"/>
                <w:szCs w:val="13"/>
                <w:color w:val="auto"/>
              </w:rPr>
              <w:t>467,625</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39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417"/>
              <w:spacing w:after="0"/>
              <w:rPr>
                <w:sz w:val="20"/>
                <w:szCs w:val="20"/>
                <w:color w:val="auto"/>
              </w:rPr>
            </w:pPr>
            <w:r>
              <w:rPr>
                <w:rFonts w:ascii="Arial" w:cs="Arial" w:eastAsia="Arial" w:hAnsi="Arial"/>
                <w:sz w:val="13"/>
                <w:szCs w:val="13"/>
                <w:color w:val="auto"/>
                <w:w w:val="93"/>
              </w:rPr>
              <w:t>220,244</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71"/>
        </w:trPr>
        <w:tc>
          <w:tcPr>
            <w:tcW w:w="1200" w:type="dxa"/>
            <w:vAlign w:val="bottom"/>
            <w:vMerge w:val="restart"/>
          </w:tcPr>
          <w:p>
            <w:pPr>
              <w:ind w:left="80"/>
              <w:spacing w:after="0" w:line="135" w:lineRule="exact"/>
              <w:rPr>
                <w:sz w:val="20"/>
                <w:szCs w:val="20"/>
                <w:color w:val="auto"/>
              </w:rPr>
            </w:pPr>
            <w:r>
              <w:rPr>
                <w:rFonts w:ascii="Arial" w:cs="Arial" w:eastAsia="Arial" w:hAnsi="Arial"/>
                <w:sz w:val="13"/>
                <w:szCs w:val="13"/>
                <w:color w:val="auto"/>
              </w:rPr>
              <w:t>Administrative</w:t>
            </w:r>
          </w:p>
        </w:tc>
        <w:tc>
          <w:tcPr>
            <w:tcW w:w="54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200" w:type="dxa"/>
            <w:vAlign w:val="bottom"/>
          </w:tcPr>
          <w:p>
            <w:pPr>
              <w:ind w:left="80"/>
              <w:spacing w:after="0"/>
              <w:rPr>
                <w:sz w:val="20"/>
                <w:szCs w:val="20"/>
                <w:color w:val="auto"/>
              </w:rPr>
            </w:pPr>
            <w:r>
              <w:rPr>
                <w:rFonts w:ascii="Arial" w:cs="Arial" w:eastAsia="Arial" w:hAnsi="Arial"/>
                <w:sz w:val="13"/>
                <w:szCs w:val="13"/>
                <w:color w:val="auto"/>
              </w:rPr>
              <w:t>Officer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200" w:type="dxa"/>
            <w:vAlign w:val="bottom"/>
            <w:shd w:val="clear" w:color="auto" w:fill="FCE9E8"/>
          </w:tcPr>
          <w:p>
            <w:pPr>
              <w:ind w:left="80"/>
              <w:spacing w:after="0"/>
              <w:rPr>
                <w:sz w:val="20"/>
                <w:szCs w:val="20"/>
                <w:color w:val="auto"/>
              </w:rPr>
            </w:pPr>
            <w:r>
              <w:rPr>
                <w:rFonts w:ascii="Arial" w:cs="Arial" w:eastAsia="Arial" w:hAnsi="Arial"/>
                <w:sz w:val="13"/>
                <w:szCs w:val="13"/>
                <w:color w:val="auto"/>
                <w:w w:val="97"/>
              </w:rPr>
              <w:t xml:space="preserve">Carl A. Esposito, </w:t>
            </w:r>
            <w:r>
              <w:rPr>
                <w:rFonts w:ascii="Arial" w:cs="Arial" w:eastAsia="Arial" w:hAnsi="Arial"/>
                <w:sz w:val="10"/>
                <w:szCs w:val="10"/>
                <w:color w:val="auto"/>
                <w:w w:val="97"/>
              </w:rPr>
              <w:t>(7)</w:t>
            </w:r>
          </w:p>
        </w:tc>
        <w:tc>
          <w:tcPr>
            <w:tcW w:w="40" w:type="dxa"/>
            <w:vAlign w:val="bottom"/>
            <w:shd w:val="clear" w:color="auto" w:fill="FCE9E8"/>
          </w:tcPr>
          <w:p>
            <w:pPr>
              <w:spacing w:after="0"/>
              <w:rPr>
                <w:sz w:val="13"/>
                <w:szCs w:val="13"/>
                <w:color w:val="auto"/>
              </w:rPr>
            </w:pPr>
          </w:p>
        </w:tc>
        <w:tc>
          <w:tcPr>
            <w:tcW w:w="500" w:type="dxa"/>
            <w:vAlign w:val="bottom"/>
            <w:gridSpan w:val="2"/>
            <w:shd w:val="clear" w:color="auto" w:fill="FCE9E8"/>
          </w:tcPr>
          <w:p>
            <w:pPr>
              <w:jc w:val="right"/>
              <w:ind w:right="57"/>
              <w:spacing w:after="0"/>
              <w:rPr>
                <w:sz w:val="20"/>
                <w:szCs w:val="20"/>
                <w:color w:val="auto"/>
              </w:rPr>
            </w:pPr>
            <w:r>
              <w:rPr>
                <w:rFonts w:ascii="Arial" w:cs="Arial" w:eastAsia="Arial" w:hAnsi="Arial"/>
                <w:sz w:val="13"/>
                <w:szCs w:val="13"/>
                <w:color w:val="auto"/>
              </w:rPr>
              <w:t>2020</w:t>
            </w:r>
          </w:p>
        </w:tc>
        <w:tc>
          <w:tcPr>
            <w:tcW w:w="1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634,833</w:t>
            </w:r>
          </w:p>
        </w:tc>
        <w:tc>
          <w:tcPr>
            <w:tcW w:w="10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2,202,704</w:t>
            </w:r>
          </w:p>
        </w:tc>
        <w:tc>
          <w:tcPr>
            <w:tcW w:w="1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197"/>
              <w:spacing w:after="0"/>
              <w:rPr>
                <w:sz w:val="20"/>
                <w:szCs w:val="20"/>
                <w:color w:val="auto"/>
              </w:rPr>
            </w:pPr>
            <w:r>
              <w:rPr>
                <w:rFonts w:ascii="Arial" w:cs="Arial" w:eastAsia="Arial" w:hAnsi="Arial"/>
                <w:sz w:val="13"/>
                <w:szCs w:val="13"/>
                <w:color w:val="auto"/>
              </w:rPr>
              <w:t>351,015</w:t>
            </w:r>
          </w:p>
        </w:tc>
        <w:tc>
          <w:tcPr>
            <w:tcW w:w="3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rPr>
              <w:t>312,000</w:t>
            </w:r>
          </w:p>
        </w:tc>
        <w:tc>
          <w:tcPr>
            <w:tcW w:w="52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CE9E8"/>
          </w:tcPr>
          <w:p>
            <w:pPr>
              <w:jc w:val="right"/>
              <w:ind w:right="397"/>
              <w:spacing w:after="0"/>
              <w:rPr>
                <w:sz w:val="20"/>
                <w:szCs w:val="20"/>
                <w:color w:val="auto"/>
              </w:rPr>
            </w:pPr>
            <w:r>
              <w:rPr>
                <w:rFonts w:ascii="Arial" w:cs="Arial" w:eastAsia="Arial" w:hAnsi="Arial"/>
                <w:sz w:val="13"/>
                <w:szCs w:val="13"/>
                <w:color w:val="auto"/>
              </w:rPr>
              <w:t>—</w:t>
            </w:r>
          </w:p>
        </w:tc>
        <w:tc>
          <w:tcPr>
            <w:tcW w:w="54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FCE9E8"/>
          </w:tcPr>
          <w:p>
            <w:pPr>
              <w:jc w:val="right"/>
              <w:ind w:right="417"/>
              <w:spacing w:after="0"/>
              <w:rPr>
                <w:sz w:val="20"/>
                <w:szCs w:val="20"/>
                <w:color w:val="auto"/>
              </w:rPr>
            </w:pPr>
            <w:r>
              <w:rPr>
                <w:rFonts w:ascii="Arial" w:cs="Arial" w:eastAsia="Arial" w:hAnsi="Arial"/>
                <w:sz w:val="13"/>
                <w:szCs w:val="13"/>
                <w:color w:val="auto"/>
                <w:w w:val="93"/>
              </w:rPr>
              <w:t>134,190</w:t>
            </w:r>
          </w:p>
        </w:tc>
        <w:tc>
          <w:tcPr>
            <w:tcW w:w="5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6"/>
        </w:trPr>
        <w:tc>
          <w:tcPr>
            <w:tcW w:w="1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Senior Vice</w:t>
            </w:r>
          </w:p>
        </w:tc>
        <w:tc>
          <w:tcPr>
            <w:tcW w:w="40" w:type="dxa"/>
            <w:vAlign w:val="bottom"/>
            <w:shd w:val="clear" w:color="auto" w:fill="FCE9E8"/>
          </w:tcPr>
          <w:p>
            <w:pPr>
              <w:spacing w:after="0"/>
              <w:rPr>
                <w:sz w:val="16"/>
                <w:szCs w:val="16"/>
                <w:color w:val="auto"/>
              </w:rPr>
            </w:pPr>
          </w:p>
        </w:tc>
        <w:tc>
          <w:tcPr>
            <w:tcW w:w="500" w:type="dxa"/>
            <w:vAlign w:val="bottom"/>
            <w:gridSpan w:val="2"/>
            <w:vMerge w:val="restart"/>
            <w:shd w:val="clear" w:color="auto" w:fill="FCE9E8"/>
          </w:tcPr>
          <w:p>
            <w:pPr>
              <w:jc w:val="right"/>
              <w:ind w:right="57"/>
              <w:spacing w:after="0"/>
              <w:rPr>
                <w:sz w:val="20"/>
                <w:szCs w:val="20"/>
                <w:color w:val="auto"/>
              </w:rPr>
            </w:pPr>
            <w:r>
              <w:rPr>
                <w:rFonts w:ascii="Arial" w:cs="Arial" w:eastAsia="Arial" w:hAnsi="Arial"/>
                <w:sz w:val="13"/>
                <w:szCs w:val="13"/>
                <w:color w:val="auto"/>
              </w:rPr>
              <w:t>2019</w:t>
            </w:r>
          </w:p>
        </w:tc>
        <w:tc>
          <w:tcPr>
            <w:tcW w:w="18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216,667</w:t>
            </w:r>
          </w:p>
        </w:tc>
        <w:tc>
          <w:tcPr>
            <w:tcW w:w="10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w w:val="97"/>
              </w:rPr>
              <w:t>400,000</w:t>
            </w:r>
          </w:p>
        </w:tc>
        <w:tc>
          <w:tcPr>
            <w:tcW w:w="1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6,149,790</w:t>
            </w:r>
          </w:p>
        </w:tc>
        <w:tc>
          <w:tcPr>
            <w:tcW w:w="1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FCE9E8"/>
          </w:tcPr>
          <w:p>
            <w:pPr>
              <w:jc w:val="right"/>
              <w:ind w:right="197"/>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FCE9E8"/>
          </w:tcPr>
          <w:p>
            <w:pPr>
              <w:jc w:val="right"/>
              <w:ind w:right="397"/>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FCE9E8"/>
          </w:tcPr>
          <w:p>
            <w:pPr>
              <w:jc w:val="right"/>
              <w:ind w:right="39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FCE9E8"/>
          </w:tcPr>
          <w:p>
            <w:pPr>
              <w:jc w:val="right"/>
              <w:ind w:right="417"/>
              <w:spacing w:after="0"/>
              <w:rPr>
                <w:sz w:val="20"/>
                <w:szCs w:val="20"/>
                <w:color w:val="auto"/>
              </w:rPr>
            </w:pPr>
            <w:r>
              <w:rPr>
                <w:rFonts w:ascii="Arial" w:cs="Arial" w:eastAsia="Arial" w:hAnsi="Arial"/>
                <w:sz w:val="13"/>
                <w:szCs w:val="13"/>
                <w:color w:val="auto"/>
              </w:rPr>
              <w:t>17,710</w:t>
            </w:r>
          </w:p>
        </w:tc>
        <w:tc>
          <w:tcPr>
            <w:tcW w:w="5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71"/>
        </w:trPr>
        <w:tc>
          <w:tcPr>
            <w:tcW w:w="1200" w:type="dxa"/>
            <w:vAlign w:val="bottom"/>
            <w:vMerge w:val="restart"/>
            <w:shd w:val="clear" w:color="auto" w:fill="FCE9E8"/>
          </w:tcPr>
          <w:p>
            <w:pPr>
              <w:ind w:left="80"/>
              <w:spacing w:after="0" w:line="135" w:lineRule="exact"/>
              <w:rPr>
                <w:sz w:val="20"/>
                <w:szCs w:val="20"/>
                <w:color w:val="auto"/>
              </w:rPr>
            </w:pPr>
            <w:r>
              <w:rPr>
                <w:rFonts w:ascii="Arial" w:cs="Arial" w:eastAsia="Arial" w:hAnsi="Arial"/>
                <w:sz w:val="13"/>
                <w:szCs w:val="13"/>
                <w:color w:val="auto"/>
              </w:rPr>
              <w:t>President and</w:t>
            </w:r>
          </w:p>
        </w:tc>
        <w:tc>
          <w:tcPr>
            <w:tcW w:w="40" w:type="dxa"/>
            <w:vAlign w:val="bottom"/>
            <w:shd w:val="clear" w:color="auto" w:fill="FCE9E8"/>
          </w:tcPr>
          <w:p>
            <w:pPr>
              <w:spacing w:after="0"/>
              <w:rPr>
                <w:sz w:val="6"/>
                <w:szCs w:val="6"/>
                <w:color w:val="auto"/>
              </w:rPr>
            </w:pPr>
          </w:p>
        </w:tc>
        <w:tc>
          <w:tcPr>
            <w:tcW w:w="500" w:type="dxa"/>
            <w:vAlign w:val="bottom"/>
            <w:gridSpan w:val="2"/>
            <w:vMerge w:val="continue"/>
            <w:shd w:val="clear" w:color="auto" w:fill="FCE9E8"/>
          </w:tcPr>
          <w:p>
            <w:pPr>
              <w:spacing w:after="0"/>
              <w:rPr>
                <w:sz w:val="6"/>
                <w:szCs w:val="6"/>
                <w:color w:val="auto"/>
              </w:rPr>
            </w:pPr>
          </w:p>
        </w:tc>
        <w:tc>
          <w:tcPr>
            <w:tcW w:w="180" w:type="dxa"/>
            <w:vAlign w:val="bottom"/>
            <w:vMerge w:val="continue"/>
            <w:shd w:val="clear" w:color="auto" w:fill="FCE9E8"/>
          </w:tcPr>
          <w:p>
            <w:pPr>
              <w:spacing w:after="0"/>
              <w:rPr>
                <w:sz w:val="6"/>
                <w:szCs w:val="6"/>
                <w:color w:val="auto"/>
              </w:rPr>
            </w:pPr>
          </w:p>
        </w:tc>
        <w:tc>
          <w:tcPr>
            <w:tcW w:w="620" w:type="dxa"/>
            <w:vAlign w:val="bottom"/>
            <w:vMerge w:val="continue"/>
            <w:shd w:val="clear" w:color="auto" w:fill="FCE9E8"/>
          </w:tcPr>
          <w:p>
            <w:pPr>
              <w:spacing w:after="0"/>
              <w:rPr>
                <w:sz w:val="6"/>
                <w:szCs w:val="6"/>
                <w:color w:val="auto"/>
              </w:rPr>
            </w:pPr>
          </w:p>
        </w:tc>
        <w:tc>
          <w:tcPr>
            <w:tcW w:w="100" w:type="dxa"/>
            <w:vAlign w:val="bottom"/>
            <w:vMerge w:val="continue"/>
            <w:shd w:val="clear" w:color="auto" w:fill="FCE9E8"/>
          </w:tcPr>
          <w:p>
            <w:pPr>
              <w:spacing w:after="0"/>
              <w:rPr>
                <w:sz w:val="6"/>
                <w:szCs w:val="6"/>
                <w:color w:val="auto"/>
              </w:rPr>
            </w:pPr>
          </w:p>
        </w:tc>
        <w:tc>
          <w:tcPr>
            <w:tcW w:w="520" w:type="dxa"/>
            <w:vAlign w:val="bottom"/>
            <w:vMerge w:val="continue"/>
            <w:shd w:val="clear" w:color="auto" w:fill="FCE9E8"/>
          </w:tcPr>
          <w:p>
            <w:pPr>
              <w:spacing w:after="0"/>
              <w:rPr>
                <w:sz w:val="6"/>
                <w:szCs w:val="6"/>
                <w:color w:val="auto"/>
              </w:rPr>
            </w:pPr>
          </w:p>
        </w:tc>
        <w:tc>
          <w:tcPr>
            <w:tcW w:w="120" w:type="dxa"/>
            <w:vAlign w:val="bottom"/>
            <w:vMerge w:val="continue"/>
            <w:shd w:val="clear" w:color="auto" w:fill="FCE9E8"/>
          </w:tcPr>
          <w:p>
            <w:pPr>
              <w:spacing w:after="0"/>
              <w:rPr>
                <w:sz w:val="6"/>
                <w:szCs w:val="6"/>
                <w:color w:val="auto"/>
              </w:rPr>
            </w:pPr>
          </w:p>
        </w:tc>
        <w:tc>
          <w:tcPr>
            <w:tcW w:w="660" w:type="dxa"/>
            <w:vAlign w:val="bottom"/>
            <w:vMerge w:val="continue"/>
            <w:shd w:val="clear" w:color="auto" w:fill="FCE9E8"/>
          </w:tcPr>
          <w:p>
            <w:pPr>
              <w:spacing w:after="0"/>
              <w:rPr>
                <w:sz w:val="6"/>
                <w:szCs w:val="6"/>
                <w:color w:val="auto"/>
              </w:rPr>
            </w:pPr>
          </w:p>
        </w:tc>
        <w:tc>
          <w:tcPr>
            <w:tcW w:w="120" w:type="dxa"/>
            <w:vAlign w:val="bottom"/>
            <w:vMerge w:val="continue"/>
            <w:shd w:val="clear" w:color="auto" w:fill="FCE9E8"/>
          </w:tcPr>
          <w:p>
            <w:pPr>
              <w:spacing w:after="0"/>
              <w:rPr>
                <w:sz w:val="6"/>
                <w:szCs w:val="6"/>
                <w:color w:val="auto"/>
              </w:rPr>
            </w:pPr>
          </w:p>
        </w:tc>
        <w:tc>
          <w:tcPr>
            <w:tcW w:w="840" w:type="dxa"/>
            <w:vAlign w:val="bottom"/>
            <w:vMerge w:val="continue"/>
            <w:shd w:val="clear" w:color="auto" w:fill="FCE9E8"/>
          </w:tcPr>
          <w:p>
            <w:pPr>
              <w:spacing w:after="0"/>
              <w:rPr>
                <w:sz w:val="6"/>
                <w:szCs w:val="6"/>
                <w:color w:val="auto"/>
              </w:rPr>
            </w:pPr>
          </w:p>
        </w:tc>
        <w:tc>
          <w:tcPr>
            <w:tcW w:w="340" w:type="dxa"/>
            <w:vAlign w:val="bottom"/>
            <w:vMerge w:val="continue"/>
            <w:shd w:val="clear" w:color="auto" w:fill="FCE9E8"/>
          </w:tcPr>
          <w:p>
            <w:pPr>
              <w:spacing w:after="0"/>
              <w:rPr>
                <w:sz w:val="6"/>
                <w:szCs w:val="6"/>
                <w:color w:val="auto"/>
              </w:rPr>
            </w:pPr>
          </w:p>
        </w:tc>
        <w:tc>
          <w:tcPr>
            <w:tcW w:w="1040" w:type="dxa"/>
            <w:vAlign w:val="bottom"/>
            <w:vMerge w:val="continue"/>
            <w:shd w:val="clear" w:color="auto" w:fill="FCE9E8"/>
          </w:tcPr>
          <w:p>
            <w:pPr>
              <w:spacing w:after="0"/>
              <w:rPr>
                <w:sz w:val="6"/>
                <w:szCs w:val="6"/>
                <w:color w:val="auto"/>
              </w:rPr>
            </w:pPr>
          </w:p>
        </w:tc>
        <w:tc>
          <w:tcPr>
            <w:tcW w:w="520" w:type="dxa"/>
            <w:vAlign w:val="bottom"/>
            <w:vMerge w:val="continue"/>
            <w:shd w:val="clear" w:color="auto" w:fill="FCE9E8"/>
          </w:tcPr>
          <w:p>
            <w:pPr>
              <w:spacing w:after="0"/>
              <w:rPr>
                <w:sz w:val="6"/>
                <w:szCs w:val="6"/>
                <w:color w:val="auto"/>
              </w:rPr>
            </w:pPr>
          </w:p>
        </w:tc>
        <w:tc>
          <w:tcPr>
            <w:tcW w:w="920" w:type="dxa"/>
            <w:vAlign w:val="bottom"/>
            <w:vMerge w:val="continue"/>
            <w:shd w:val="clear" w:color="auto" w:fill="FCE9E8"/>
          </w:tcPr>
          <w:p>
            <w:pPr>
              <w:spacing w:after="0"/>
              <w:rPr>
                <w:sz w:val="6"/>
                <w:szCs w:val="6"/>
                <w:color w:val="auto"/>
              </w:rPr>
            </w:pPr>
          </w:p>
        </w:tc>
        <w:tc>
          <w:tcPr>
            <w:tcW w:w="540" w:type="dxa"/>
            <w:vAlign w:val="bottom"/>
            <w:vMerge w:val="continue"/>
            <w:shd w:val="clear" w:color="auto" w:fill="FCE9E8"/>
          </w:tcPr>
          <w:p>
            <w:pPr>
              <w:spacing w:after="0"/>
              <w:rPr>
                <w:sz w:val="6"/>
                <w:szCs w:val="6"/>
                <w:color w:val="auto"/>
              </w:rPr>
            </w:pPr>
          </w:p>
        </w:tc>
        <w:tc>
          <w:tcPr>
            <w:tcW w:w="940" w:type="dxa"/>
            <w:vAlign w:val="bottom"/>
            <w:vMerge w:val="continue"/>
            <w:shd w:val="clear" w:color="auto" w:fill="FCE9E8"/>
          </w:tcPr>
          <w:p>
            <w:pPr>
              <w:spacing w:after="0"/>
              <w:rPr>
                <w:sz w:val="6"/>
                <w:szCs w:val="6"/>
                <w:color w:val="auto"/>
              </w:rPr>
            </w:pPr>
          </w:p>
        </w:tc>
        <w:tc>
          <w:tcPr>
            <w:tcW w:w="560" w:type="dxa"/>
            <w:vAlign w:val="bottom"/>
            <w:vMerge w:val="continue"/>
            <w:shd w:val="clear" w:color="auto" w:fill="FCE9E8"/>
          </w:tcPr>
          <w:p>
            <w:pPr>
              <w:spacing w:after="0"/>
              <w:rPr>
                <w:sz w:val="6"/>
                <w:szCs w:val="6"/>
                <w:color w:val="auto"/>
              </w:rPr>
            </w:pPr>
          </w:p>
        </w:tc>
        <w:tc>
          <w:tcPr>
            <w:tcW w:w="160" w:type="dxa"/>
            <w:vAlign w:val="bottom"/>
            <w:vMerge w:val="continue"/>
            <w:shd w:val="clear" w:color="auto" w:fill="FCE9E8"/>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200" w:type="dxa"/>
            <w:vAlign w:val="bottom"/>
            <w:vMerge w:val="continue"/>
            <w:shd w:val="clear" w:color="auto" w:fill="FCE9E8"/>
          </w:tcPr>
          <w:p>
            <w:pPr>
              <w:spacing w:after="0"/>
              <w:rPr>
                <w:sz w:val="5"/>
                <w:szCs w:val="5"/>
                <w:color w:val="auto"/>
              </w:rPr>
            </w:pPr>
          </w:p>
        </w:tc>
        <w:tc>
          <w:tcPr>
            <w:tcW w:w="40" w:type="dxa"/>
            <w:vAlign w:val="bottom"/>
            <w:shd w:val="clear" w:color="auto" w:fill="FCE9E8"/>
          </w:tcPr>
          <w:p>
            <w:pPr>
              <w:spacing w:after="0"/>
              <w:rPr>
                <w:sz w:val="5"/>
                <w:szCs w:val="5"/>
                <w:color w:val="auto"/>
              </w:rPr>
            </w:pPr>
          </w:p>
        </w:tc>
        <w:tc>
          <w:tcPr>
            <w:tcW w:w="40" w:type="dxa"/>
            <w:vAlign w:val="bottom"/>
            <w:shd w:val="clear" w:color="auto" w:fill="FCE9E8"/>
          </w:tcPr>
          <w:p>
            <w:pPr>
              <w:spacing w:after="0"/>
              <w:rPr>
                <w:sz w:val="5"/>
                <w:szCs w:val="5"/>
                <w:color w:val="auto"/>
              </w:rPr>
            </w:pPr>
          </w:p>
        </w:tc>
        <w:tc>
          <w:tcPr>
            <w:tcW w:w="460" w:type="dxa"/>
            <w:vAlign w:val="bottom"/>
            <w:shd w:val="clear" w:color="auto" w:fill="FCE9E8"/>
          </w:tcPr>
          <w:p>
            <w:pPr>
              <w:spacing w:after="0"/>
              <w:rPr>
                <w:sz w:val="5"/>
                <w:szCs w:val="5"/>
                <w:color w:val="auto"/>
              </w:rPr>
            </w:pPr>
          </w:p>
        </w:tc>
        <w:tc>
          <w:tcPr>
            <w:tcW w:w="180" w:type="dxa"/>
            <w:vAlign w:val="bottom"/>
            <w:shd w:val="clear" w:color="auto" w:fill="FCE9E8"/>
          </w:tcPr>
          <w:p>
            <w:pPr>
              <w:spacing w:after="0"/>
              <w:rPr>
                <w:sz w:val="5"/>
                <w:szCs w:val="5"/>
                <w:color w:val="auto"/>
              </w:rPr>
            </w:pPr>
          </w:p>
        </w:tc>
        <w:tc>
          <w:tcPr>
            <w:tcW w:w="620" w:type="dxa"/>
            <w:vAlign w:val="bottom"/>
            <w:shd w:val="clear" w:color="auto" w:fill="FCE9E8"/>
          </w:tcPr>
          <w:p>
            <w:pPr>
              <w:spacing w:after="0"/>
              <w:rPr>
                <w:sz w:val="5"/>
                <w:szCs w:val="5"/>
                <w:color w:val="auto"/>
              </w:rPr>
            </w:pPr>
          </w:p>
        </w:tc>
        <w:tc>
          <w:tcPr>
            <w:tcW w:w="100" w:type="dxa"/>
            <w:vAlign w:val="bottom"/>
            <w:shd w:val="clear" w:color="auto" w:fill="FCE9E8"/>
          </w:tcPr>
          <w:p>
            <w:pPr>
              <w:spacing w:after="0"/>
              <w:rPr>
                <w:sz w:val="5"/>
                <w:szCs w:val="5"/>
                <w:color w:val="auto"/>
              </w:rPr>
            </w:pPr>
          </w:p>
        </w:tc>
        <w:tc>
          <w:tcPr>
            <w:tcW w:w="520" w:type="dxa"/>
            <w:vAlign w:val="bottom"/>
            <w:shd w:val="clear" w:color="auto" w:fill="FCE9E8"/>
          </w:tcPr>
          <w:p>
            <w:pPr>
              <w:spacing w:after="0"/>
              <w:rPr>
                <w:sz w:val="5"/>
                <w:szCs w:val="5"/>
                <w:color w:val="auto"/>
              </w:rPr>
            </w:pPr>
          </w:p>
        </w:tc>
        <w:tc>
          <w:tcPr>
            <w:tcW w:w="120" w:type="dxa"/>
            <w:vAlign w:val="bottom"/>
            <w:shd w:val="clear" w:color="auto" w:fill="FCE9E8"/>
          </w:tcPr>
          <w:p>
            <w:pPr>
              <w:spacing w:after="0"/>
              <w:rPr>
                <w:sz w:val="5"/>
                <w:szCs w:val="5"/>
                <w:color w:val="auto"/>
              </w:rPr>
            </w:pPr>
          </w:p>
        </w:tc>
        <w:tc>
          <w:tcPr>
            <w:tcW w:w="660" w:type="dxa"/>
            <w:vAlign w:val="bottom"/>
            <w:shd w:val="clear" w:color="auto" w:fill="FCE9E8"/>
          </w:tcPr>
          <w:p>
            <w:pPr>
              <w:spacing w:after="0"/>
              <w:rPr>
                <w:sz w:val="5"/>
                <w:szCs w:val="5"/>
                <w:color w:val="auto"/>
              </w:rPr>
            </w:pPr>
          </w:p>
        </w:tc>
        <w:tc>
          <w:tcPr>
            <w:tcW w:w="120" w:type="dxa"/>
            <w:vAlign w:val="bottom"/>
            <w:shd w:val="clear" w:color="auto" w:fill="FCE9E8"/>
          </w:tcPr>
          <w:p>
            <w:pPr>
              <w:spacing w:after="0"/>
              <w:rPr>
                <w:sz w:val="5"/>
                <w:szCs w:val="5"/>
                <w:color w:val="auto"/>
              </w:rPr>
            </w:pPr>
          </w:p>
        </w:tc>
        <w:tc>
          <w:tcPr>
            <w:tcW w:w="840" w:type="dxa"/>
            <w:vAlign w:val="bottom"/>
            <w:shd w:val="clear" w:color="auto" w:fill="FCE9E8"/>
          </w:tcPr>
          <w:p>
            <w:pPr>
              <w:spacing w:after="0"/>
              <w:rPr>
                <w:sz w:val="5"/>
                <w:szCs w:val="5"/>
                <w:color w:val="auto"/>
              </w:rPr>
            </w:pPr>
          </w:p>
        </w:tc>
        <w:tc>
          <w:tcPr>
            <w:tcW w:w="340" w:type="dxa"/>
            <w:vAlign w:val="bottom"/>
            <w:shd w:val="clear" w:color="auto" w:fill="FCE9E8"/>
          </w:tcPr>
          <w:p>
            <w:pPr>
              <w:spacing w:after="0"/>
              <w:rPr>
                <w:sz w:val="5"/>
                <w:szCs w:val="5"/>
                <w:color w:val="auto"/>
              </w:rPr>
            </w:pPr>
          </w:p>
        </w:tc>
        <w:tc>
          <w:tcPr>
            <w:tcW w:w="1040" w:type="dxa"/>
            <w:vAlign w:val="bottom"/>
            <w:shd w:val="clear" w:color="auto" w:fill="FCE9E8"/>
          </w:tcPr>
          <w:p>
            <w:pPr>
              <w:spacing w:after="0"/>
              <w:rPr>
                <w:sz w:val="5"/>
                <w:szCs w:val="5"/>
                <w:color w:val="auto"/>
              </w:rPr>
            </w:pPr>
          </w:p>
        </w:tc>
        <w:tc>
          <w:tcPr>
            <w:tcW w:w="520" w:type="dxa"/>
            <w:vAlign w:val="bottom"/>
            <w:shd w:val="clear" w:color="auto" w:fill="FCE9E8"/>
          </w:tcPr>
          <w:p>
            <w:pPr>
              <w:spacing w:after="0"/>
              <w:rPr>
                <w:sz w:val="5"/>
                <w:szCs w:val="5"/>
                <w:color w:val="auto"/>
              </w:rPr>
            </w:pPr>
          </w:p>
        </w:tc>
        <w:tc>
          <w:tcPr>
            <w:tcW w:w="920" w:type="dxa"/>
            <w:vAlign w:val="bottom"/>
            <w:shd w:val="clear" w:color="auto" w:fill="FCE9E8"/>
          </w:tcPr>
          <w:p>
            <w:pPr>
              <w:spacing w:after="0"/>
              <w:rPr>
                <w:sz w:val="5"/>
                <w:szCs w:val="5"/>
                <w:color w:val="auto"/>
              </w:rPr>
            </w:pPr>
          </w:p>
        </w:tc>
        <w:tc>
          <w:tcPr>
            <w:tcW w:w="540" w:type="dxa"/>
            <w:vAlign w:val="bottom"/>
            <w:shd w:val="clear" w:color="auto" w:fill="FCE9E8"/>
          </w:tcPr>
          <w:p>
            <w:pPr>
              <w:spacing w:after="0"/>
              <w:rPr>
                <w:sz w:val="5"/>
                <w:szCs w:val="5"/>
                <w:color w:val="auto"/>
              </w:rPr>
            </w:pPr>
          </w:p>
        </w:tc>
        <w:tc>
          <w:tcPr>
            <w:tcW w:w="940" w:type="dxa"/>
            <w:vAlign w:val="bottom"/>
            <w:shd w:val="clear" w:color="auto" w:fill="FCE9E8"/>
          </w:tcPr>
          <w:p>
            <w:pPr>
              <w:spacing w:after="0"/>
              <w:rPr>
                <w:sz w:val="5"/>
                <w:szCs w:val="5"/>
                <w:color w:val="auto"/>
              </w:rPr>
            </w:pPr>
          </w:p>
        </w:tc>
        <w:tc>
          <w:tcPr>
            <w:tcW w:w="560" w:type="dxa"/>
            <w:vAlign w:val="bottom"/>
            <w:shd w:val="clear" w:color="auto" w:fill="FCE9E8"/>
          </w:tcPr>
          <w:p>
            <w:pPr>
              <w:spacing w:after="0"/>
              <w:rPr>
                <w:sz w:val="5"/>
                <w:szCs w:val="5"/>
                <w:color w:val="auto"/>
              </w:rPr>
            </w:pPr>
          </w:p>
        </w:tc>
        <w:tc>
          <w:tcPr>
            <w:tcW w:w="160" w:type="dxa"/>
            <w:vAlign w:val="bottom"/>
            <w:shd w:val="clear" w:color="auto" w:fill="FCE9E8"/>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President,</w:t>
            </w:r>
          </w:p>
        </w:tc>
        <w:tc>
          <w:tcPr>
            <w:tcW w:w="40" w:type="dxa"/>
            <w:vAlign w:val="bottom"/>
            <w:shd w:val="clear" w:color="auto" w:fill="FCE9E8"/>
          </w:tcPr>
          <w:p>
            <w:pPr>
              <w:spacing w:after="0"/>
              <w:rPr>
                <w:sz w:val="11"/>
                <w:szCs w:val="11"/>
                <w:color w:val="auto"/>
              </w:rPr>
            </w:pPr>
          </w:p>
        </w:tc>
        <w:tc>
          <w:tcPr>
            <w:tcW w:w="40" w:type="dxa"/>
            <w:vAlign w:val="bottom"/>
            <w:shd w:val="clear" w:color="auto" w:fill="FCE9E8"/>
          </w:tcPr>
          <w:p>
            <w:pPr>
              <w:spacing w:after="0"/>
              <w:rPr>
                <w:sz w:val="11"/>
                <w:szCs w:val="11"/>
                <w:color w:val="auto"/>
              </w:rPr>
            </w:pPr>
          </w:p>
        </w:tc>
        <w:tc>
          <w:tcPr>
            <w:tcW w:w="460" w:type="dxa"/>
            <w:vAlign w:val="bottom"/>
            <w:shd w:val="clear" w:color="auto" w:fill="FCE9E8"/>
          </w:tcPr>
          <w:p>
            <w:pPr>
              <w:spacing w:after="0"/>
              <w:rPr>
                <w:sz w:val="11"/>
                <w:szCs w:val="11"/>
                <w:color w:val="auto"/>
              </w:rPr>
            </w:pPr>
          </w:p>
        </w:tc>
        <w:tc>
          <w:tcPr>
            <w:tcW w:w="180" w:type="dxa"/>
            <w:vAlign w:val="bottom"/>
            <w:shd w:val="clear" w:color="auto" w:fill="FCE9E8"/>
          </w:tcPr>
          <w:p>
            <w:pPr>
              <w:spacing w:after="0"/>
              <w:rPr>
                <w:sz w:val="11"/>
                <w:szCs w:val="11"/>
                <w:color w:val="auto"/>
              </w:rPr>
            </w:pPr>
          </w:p>
        </w:tc>
        <w:tc>
          <w:tcPr>
            <w:tcW w:w="620" w:type="dxa"/>
            <w:vAlign w:val="bottom"/>
            <w:shd w:val="clear" w:color="auto" w:fill="FCE9E8"/>
          </w:tcPr>
          <w:p>
            <w:pPr>
              <w:spacing w:after="0"/>
              <w:rPr>
                <w:sz w:val="11"/>
                <w:szCs w:val="11"/>
                <w:color w:val="auto"/>
              </w:rPr>
            </w:pPr>
          </w:p>
        </w:tc>
        <w:tc>
          <w:tcPr>
            <w:tcW w:w="100" w:type="dxa"/>
            <w:vAlign w:val="bottom"/>
            <w:shd w:val="clear" w:color="auto" w:fill="FCE9E8"/>
          </w:tcPr>
          <w:p>
            <w:pPr>
              <w:spacing w:after="0"/>
              <w:rPr>
                <w:sz w:val="11"/>
                <w:szCs w:val="11"/>
                <w:color w:val="auto"/>
              </w:rPr>
            </w:pPr>
          </w:p>
        </w:tc>
        <w:tc>
          <w:tcPr>
            <w:tcW w:w="5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66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840" w:type="dxa"/>
            <w:vAlign w:val="bottom"/>
            <w:shd w:val="clear" w:color="auto" w:fill="FCE9E8"/>
          </w:tcPr>
          <w:p>
            <w:pPr>
              <w:spacing w:after="0"/>
              <w:rPr>
                <w:sz w:val="11"/>
                <w:szCs w:val="11"/>
                <w:color w:val="auto"/>
              </w:rPr>
            </w:pPr>
          </w:p>
        </w:tc>
        <w:tc>
          <w:tcPr>
            <w:tcW w:w="340" w:type="dxa"/>
            <w:vAlign w:val="bottom"/>
            <w:shd w:val="clear" w:color="auto" w:fill="FCE9E8"/>
          </w:tcPr>
          <w:p>
            <w:pPr>
              <w:spacing w:after="0"/>
              <w:rPr>
                <w:sz w:val="11"/>
                <w:szCs w:val="11"/>
                <w:color w:val="auto"/>
              </w:rPr>
            </w:pPr>
          </w:p>
        </w:tc>
        <w:tc>
          <w:tcPr>
            <w:tcW w:w="1040" w:type="dxa"/>
            <w:vAlign w:val="bottom"/>
            <w:shd w:val="clear" w:color="auto" w:fill="FCE9E8"/>
          </w:tcPr>
          <w:p>
            <w:pPr>
              <w:spacing w:after="0"/>
              <w:rPr>
                <w:sz w:val="11"/>
                <w:szCs w:val="11"/>
                <w:color w:val="auto"/>
              </w:rPr>
            </w:pPr>
          </w:p>
        </w:tc>
        <w:tc>
          <w:tcPr>
            <w:tcW w:w="520" w:type="dxa"/>
            <w:vAlign w:val="bottom"/>
            <w:shd w:val="clear" w:color="auto" w:fill="FCE9E8"/>
          </w:tcPr>
          <w:p>
            <w:pPr>
              <w:spacing w:after="0"/>
              <w:rPr>
                <w:sz w:val="11"/>
                <w:szCs w:val="11"/>
                <w:color w:val="auto"/>
              </w:rPr>
            </w:pPr>
          </w:p>
        </w:tc>
        <w:tc>
          <w:tcPr>
            <w:tcW w:w="920" w:type="dxa"/>
            <w:vAlign w:val="bottom"/>
            <w:shd w:val="clear" w:color="auto" w:fill="FCE9E8"/>
          </w:tcPr>
          <w:p>
            <w:pPr>
              <w:spacing w:after="0"/>
              <w:rPr>
                <w:sz w:val="11"/>
                <w:szCs w:val="11"/>
                <w:color w:val="auto"/>
              </w:rPr>
            </w:pPr>
          </w:p>
        </w:tc>
        <w:tc>
          <w:tcPr>
            <w:tcW w:w="540" w:type="dxa"/>
            <w:vAlign w:val="bottom"/>
            <w:shd w:val="clear" w:color="auto" w:fill="FCE9E8"/>
          </w:tcPr>
          <w:p>
            <w:pPr>
              <w:spacing w:after="0"/>
              <w:rPr>
                <w:sz w:val="11"/>
                <w:szCs w:val="11"/>
                <w:color w:val="auto"/>
              </w:rPr>
            </w:pPr>
          </w:p>
        </w:tc>
        <w:tc>
          <w:tcPr>
            <w:tcW w:w="940" w:type="dxa"/>
            <w:vAlign w:val="bottom"/>
            <w:shd w:val="clear" w:color="auto" w:fill="FCE9E8"/>
          </w:tcPr>
          <w:p>
            <w:pPr>
              <w:spacing w:after="0"/>
              <w:rPr>
                <w:sz w:val="11"/>
                <w:szCs w:val="11"/>
                <w:color w:val="auto"/>
              </w:rPr>
            </w:pPr>
          </w:p>
        </w:tc>
        <w:tc>
          <w:tcPr>
            <w:tcW w:w="560" w:type="dxa"/>
            <w:vAlign w:val="bottom"/>
            <w:shd w:val="clear" w:color="auto" w:fill="FCE9E8"/>
          </w:tcPr>
          <w:p>
            <w:pPr>
              <w:spacing w:after="0"/>
              <w:rPr>
                <w:sz w:val="11"/>
                <w:szCs w:val="11"/>
                <w:color w:val="auto"/>
              </w:rPr>
            </w:pPr>
          </w:p>
        </w:tc>
        <w:tc>
          <w:tcPr>
            <w:tcW w:w="16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E-Systems</w:t>
            </w:r>
          </w:p>
        </w:tc>
        <w:tc>
          <w:tcPr>
            <w:tcW w:w="40" w:type="dxa"/>
            <w:vAlign w:val="bottom"/>
            <w:shd w:val="clear" w:color="auto" w:fill="FCE9E8"/>
          </w:tcPr>
          <w:p>
            <w:pPr>
              <w:spacing w:after="0"/>
              <w:rPr>
                <w:sz w:val="13"/>
                <w:szCs w:val="13"/>
                <w:color w:val="auto"/>
              </w:rPr>
            </w:pPr>
          </w:p>
        </w:tc>
        <w:tc>
          <w:tcPr>
            <w:tcW w:w="40" w:type="dxa"/>
            <w:vAlign w:val="bottom"/>
            <w:shd w:val="clear" w:color="auto" w:fill="FCE9E8"/>
          </w:tcPr>
          <w:p>
            <w:pPr>
              <w:spacing w:after="0"/>
              <w:rPr>
                <w:sz w:val="13"/>
                <w:szCs w:val="13"/>
                <w:color w:val="auto"/>
              </w:rPr>
            </w:pPr>
          </w:p>
        </w:tc>
        <w:tc>
          <w:tcPr>
            <w:tcW w:w="460" w:type="dxa"/>
            <w:vAlign w:val="bottom"/>
            <w:shd w:val="clear" w:color="auto" w:fill="FCE9E8"/>
          </w:tcPr>
          <w:p>
            <w:pPr>
              <w:spacing w:after="0"/>
              <w:rPr>
                <w:sz w:val="13"/>
                <w:szCs w:val="13"/>
                <w:color w:val="auto"/>
              </w:rPr>
            </w:pPr>
          </w:p>
        </w:tc>
        <w:tc>
          <w:tcPr>
            <w:tcW w:w="180" w:type="dxa"/>
            <w:vAlign w:val="bottom"/>
            <w:shd w:val="clear" w:color="auto" w:fill="FCE9E8"/>
          </w:tcPr>
          <w:p>
            <w:pPr>
              <w:spacing w:after="0"/>
              <w:rPr>
                <w:sz w:val="13"/>
                <w:szCs w:val="13"/>
                <w:color w:val="auto"/>
              </w:rPr>
            </w:pPr>
          </w:p>
        </w:tc>
        <w:tc>
          <w:tcPr>
            <w:tcW w:w="620" w:type="dxa"/>
            <w:vAlign w:val="bottom"/>
            <w:shd w:val="clear" w:color="auto" w:fill="FCE9E8"/>
          </w:tcPr>
          <w:p>
            <w:pPr>
              <w:spacing w:after="0"/>
              <w:rPr>
                <w:sz w:val="13"/>
                <w:szCs w:val="13"/>
                <w:color w:val="auto"/>
              </w:rPr>
            </w:pPr>
          </w:p>
        </w:tc>
        <w:tc>
          <w:tcPr>
            <w:tcW w:w="100" w:type="dxa"/>
            <w:vAlign w:val="bottom"/>
            <w:shd w:val="clear" w:color="auto" w:fill="FCE9E8"/>
          </w:tcPr>
          <w:p>
            <w:pPr>
              <w:spacing w:after="0"/>
              <w:rPr>
                <w:sz w:val="13"/>
                <w:szCs w:val="13"/>
                <w:color w:val="auto"/>
              </w:rPr>
            </w:pPr>
          </w:p>
        </w:tc>
        <w:tc>
          <w:tcPr>
            <w:tcW w:w="520" w:type="dxa"/>
            <w:vAlign w:val="bottom"/>
            <w:shd w:val="clear" w:color="auto" w:fill="FCE9E8"/>
          </w:tcPr>
          <w:p>
            <w:pPr>
              <w:spacing w:after="0"/>
              <w:rPr>
                <w:sz w:val="13"/>
                <w:szCs w:val="13"/>
                <w:color w:val="auto"/>
              </w:rPr>
            </w:pPr>
          </w:p>
        </w:tc>
        <w:tc>
          <w:tcPr>
            <w:tcW w:w="120" w:type="dxa"/>
            <w:vAlign w:val="bottom"/>
            <w:shd w:val="clear" w:color="auto" w:fill="FCE9E8"/>
          </w:tcPr>
          <w:p>
            <w:pPr>
              <w:spacing w:after="0"/>
              <w:rPr>
                <w:sz w:val="13"/>
                <w:szCs w:val="13"/>
                <w:color w:val="auto"/>
              </w:rPr>
            </w:pPr>
          </w:p>
        </w:tc>
        <w:tc>
          <w:tcPr>
            <w:tcW w:w="660" w:type="dxa"/>
            <w:vAlign w:val="bottom"/>
            <w:shd w:val="clear" w:color="auto" w:fill="FCE9E8"/>
          </w:tcPr>
          <w:p>
            <w:pPr>
              <w:spacing w:after="0"/>
              <w:rPr>
                <w:sz w:val="13"/>
                <w:szCs w:val="13"/>
                <w:color w:val="auto"/>
              </w:rPr>
            </w:pPr>
          </w:p>
        </w:tc>
        <w:tc>
          <w:tcPr>
            <w:tcW w:w="12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340" w:type="dxa"/>
            <w:vAlign w:val="bottom"/>
            <w:shd w:val="clear" w:color="auto" w:fill="FCE9E8"/>
          </w:tcPr>
          <w:p>
            <w:pPr>
              <w:spacing w:after="0"/>
              <w:rPr>
                <w:sz w:val="13"/>
                <w:szCs w:val="13"/>
                <w:color w:val="auto"/>
              </w:rPr>
            </w:pPr>
          </w:p>
        </w:tc>
        <w:tc>
          <w:tcPr>
            <w:tcW w:w="1040" w:type="dxa"/>
            <w:vAlign w:val="bottom"/>
            <w:shd w:val="clear" w:color="auto" w:fill="FCE9E8"/>
          </w:tcPr>
          <w:p>
            <w:pPr>
              <w:spacing w:after="0"/>
              <w:rPr>
                <w:sz w:val="13"/>
                <w:szCs w:val="13"/>
                <w:color w:val="auto"/>
              </w:rPr>
            </w:pPr>
          </w:p>
        </w:tc>
        <w:tc>
          <w:tcPr>
            <w:tcW w:w="520" w:type="dxa"/>
            <w:vAlign w:val="bottom"/>
            <w:shd w:val="clear" w:color="auto" w:fill="FCE9E8"/>
          </w:tcPr>
          <w:p>
            <w:pPr>
              <w:spacing w:after="0"/>
              <w:rPr>
                <w:sz w:val="13"/>
                <w:szCs w:val="13"/>
                <w:color w:val="auto"/>
              </w:rPr>
            </w:pPr>
          </w:p>
        </w:tc>
        <w:tc>
          <w:tcPr>
            <w:tcW w:w="920" w:type="dxa"/>
            <w:vAlign w:val="bottom"/>
            <w:shd w:val="clear" w:color="auto" w:fill="FCE9E8"/>
          </w:tcPr>
          <w:p>
            <w:pPr>
              <w:spacing w:after="0"/>
              <w:rPr>
                <w:sz w:val="13"/>
                <w:szCs w:val="13"/>
                <w:color w:val="auto"/>
              </w:rPr>
            </w:pPr>
          </w:p>
        </w:tc>
        <w:tc>
          <w:tcPr>
            <w:tcW w:w="540" w:type="dxa"/>
            <w:vAlign w:val="bottom"/>
            <w:shd w:val="clear" w:color="auto" w:fill="FCE9E8"/>
          </w:tcPr>
          <w:p>
            <w:pPr>
              <w:spacing w:after="0"/>
              <w:rPr>
                <w:sz w:val="13"/>
                <w:szCs w:val="13"/>
                <w:color w:val="auto"/>
              </w:rPr>
            </w:pPr>
          </w:p>
        </w:tc>
        <w:tc>
          <w:tcPr>
            <w:tcW w:w="940" w:type="dxa"/>
            <w:vAlign w:val="bottom"/>
            <w:shd w:val="clear" w:color="auto" w:fill="FCE9E8"/>
          </w:tcPr>
          <w:p>
            <w:pPr>
              <w:spacing w:after="0"/>
              <w:rPr>
                <w:sz w:val="13"/>
                <w:szCs w:val="13"/>
                <w:color w:val="auto"/>
              </w:rPr>
            </w:pPr>
          </w:p>
        </w:tc>
        <w:tc>
          <w:tcPr>
            <w:tcW w:w="560" w:type="dxa"/>
            <w:vAlign w:val="bottom"/>
            <w:shd w:val="clear" w:color="auto" w:fill="FCE9E8"/>
          </w:tcPr>
          <w:p>
            <w:pPr>
              <w:spacing w:after="0"/>
              <w:rPr>
                <w:sz w:val="13"/>
                <w:szCs w:val="13"/>
                <w:color w:val="auto"/>
              </w:rPr>
            </w:pPr>
          </w:p>
        </w:tc>
        <w:tc>
          <w:tcPr>
            <w:tcW w:w="160" w:type="dxa"/>
            <w:vAlign w:val="bottom"/>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200" w:type="dxa"/>
            <w:vAlign w:val="bottom"/>
            <w:shd w:val="clear" w:color="auto" w:fill="FCE9E8"/>
          </w:tcPr>
          <w:p>
            <w:pPr>
              <w:spacing w:after="0"/>
              <w:rPr>
                <w:sz w:val="4"/>
                <w:szCs w:val="4"/>
                <w:color w:val="auto"/>
              </w:rPr>
            </w:pPr>
          </w:p>
        </w:tc>
        <w:tc>
          <w:tcPr>
            <w:tcW w:w="40" w:type="dxa"/>
            <w:vAlign w:val="bottom"/>
            <w:shd w:val="clear" w:color="auto" w:fill="FCE9E8"/>
          </w:tcPr>
          <w:p>
            <w:pPr>
              <w:spacing w:after="0"/>
              <w:rPr>
                <w:sz w:val="4"/>
                <w:szCs w:val="4"/>
                <w:color w:val="auto"/>
              </w:rPr>
            </w:pPr>
          </w:p>
        </w:tc>
        <w:tc>
          <w:tcPr>
            <w:tcW w:w="40" w:type="dxa"/>
            <w:vAlign w:val="bottom"/>
            <w:shd w:val="clear" w:color="auto" w:fill="FCE9E8"/>
          </w:tcPr>
          <w:p>
            <w:pPr>
              <w:spacing w:after="0"/>
              <w:rPr>
                <w:sz w:val="4"/>
                <w:szCs w:val="4"/>
                <w:color w:val="auto"/>
              </w:rPr>
            </w:pPr>
          </w:p>
        </w:tc>
        <w:tc>
          <w:tcPr>
            <w:tcW w:w="460" w:type="dxa"/>
            <w:vAlign w:val="bottom"/>
            <w:shd w:val="clear" w:color="auto" w:fill="FCE9E8"/>
          </w:tcPr>
          <w:p>
            <w:pPr>
              <w:spacing w:after="0"/>
              <w:rPr>
                <w:sz w:val="4"/>
                <w:szCs w:val="4"/>
                <w:color w:val="auto"/>
              </w:rPr>
            </w:pPr>
          </w:p>
        </w:tc>
        <w:tc>
          <w:tcPr>
            <w:tcW w:w="180" w:type="dxa"/>
            <w:vAlign w:val="bottom"/>
            <w:shd w:val="clear" w:color="auto" w:fill="FCE9E8"/>
          </w:tcPr>
          <w:p>
            <w:pPr>
              <w:spacing w:after="0"/>
              <w:rPr>
                <w:sz w:val="4"/>
                <w:szCs w:val="4"/>
                <w:color w:val="auto"/>
              </w:rPr>
            </w:pPr>
          </w:p>
        </w:tc>
        <w:tc>
          <w:tcPr>
            <w:tcW w:w="620" w:type="dxa"/>
            <w:vAlign w:val="bottom"/>
            <w:shd w:val="clear" w:color="auto" w:fill="FCE9E8"/>
          </w:tcPr>
          <w:p>
            <w:pPr>
              <w:spacing w:after="0"/>
              <w:rPr>
                <w:sz w:val="4"/>
                <w:szCs w:val="4"/>
                <w:color w:val="auto"/>
              </w:rPr>
            </w:pPr>
          </w:p>
        </w:tc>
        <w:tc>
          <w:tcPr>
            <w:tcW w:w="100" w:type="dxa"/>
            <w:vAlign w:val="bottom"/>
            <w:shd w:val="clear" w:color="auto" w:fill="FCE9E8"/>
          </w:tcPr>
          <w:p>
            <w:pPr>
              <w:spacing w:after="0"/>
              <w:rPr>
                <w:sz w:val="4"/>
                <w:szCs w:val="4"/>
                <w:color w:val="auto"/>
              </w:rPr>
            </w:pPr>
          </w:p>
        </w:tc>
        <w:tc>
          <w:tcPr>
            <w:tcW w:w="520" w:type="dxa"/>
            <w:vAlign w:val="bottom"/>
            <w:shd w:val="clear" w:color="auto" w:fill="FCE9E8"/>
          </w:tcPr>
          <w:p>
            <w:pPr>
              <w:spacing w:after="0"/>
              <w:rPr>
                <w:sz w:val="4"/>
                <w:szCs w:val="4"/>
                <w:color w:val="auto"/>
              </w:rPr>
            </w:pPr>
          </w:p>
        </w:tc>
        <w:tc>
          <w:tcPr>
            <w:tcW w:w="120" w:type="dxa"/>
            <w:vAlign w:val="bottom"/>
            <w:shd w:val="clear" w:color="auto" w:fill="FCE9E8"/>
          </w:tcPr>
          <w:p>
            <w:pPr>
              <w:spacing w:after="0"/>
              <w:rPr>
                <w:sz w:val="4"/>
                <w:szCs w:val="4"/>
                <w:color w:val="auto"/>
              </w:rPr>
            </w:pPr>
          </w:p>
        </w:tc>
        <w:tc>
          <w:tcPr>
            <w:tcW w:w="660" w:type="dxa"/>
            <w:vAlign w:val="bottom"/>
            <w:shd w:val="clear" w:color="auto" w:fill="FCE9E8"/>
          </w:tcPr>
          <w:p>
            <w:pPr>
              <w:spacing w:after="0"/>
              <w:rPr>
                <w:sz w:val="4"/>
                <w:szCs w:val="4"/>
                <w:color w:val="auto"/>
              </w:rPr>
            </w:pPr>
          </w:p>
        </w:tc>
        <w:tc>
          <w:tcPr>
            <w:tcW w:w="120" w:type="dxa"/>
            <w:vAlign w:val="bottom"/>
            <w:shd w:val="clear" w:color="auto" w:fill="FCE9E8"/>
          </w:tcPr>
          <w:p>
            <w:pPr>
              <w:spacing w:after="0"/>
              <w:rPr>
                <w:sz w:val="4"/>
                <w:szCs w:val="4"/>
                <w:color w:val="auto"/>
              </w:rPr>
            </w:pPr>
          </w:p>
        </w:tc>
        <w:tc>
          <w:tcPr>
            <w:tcW w:w="840" w:type="dxa"/>
            <w:vAlign w:val="bottom"/>
            <w:shd w:val="clear" w:color="auto" w:fill="FCE9E8"/>
          </w:tcPr>
          <w:p>
            <w:pPr>
              <w:spacing w:after="0"/>
              <w:rPr>
                <w:sz w:val="4"/>
                <w:szCs w:val="4"/>
                <w:color w:val="auto"/>
              </w:rPr>
            </w:pPr>
          </w:p>
        </w:tc>
        <w:tc>
          <w:tcPr>
            <w:tcW w:w="340" w:type="dxa"/>
            <w:vAlign w:val="bottom"/>
            <w:shd w:val="clear" w:color="auto" w:fill="FCE9E8"/>
          </w:tcPr>
          <w:p>
            <w:pPr>
              <w:spacing w:after="0"/>
              <w:rPr>
                <w:sz w:val="4"/>
                <w:szCs w:val="4"/>
                <w:color w:val="auto"/>
              </w:rPr>
            </w:pPr>
          </w:p>
        </w:tc>
        <w:tc>
          <w:tcPr>
            <w:tcW w:w="1040" w:type="dxa"/>
            <w:vAlign w:val="bottom"/>
            <w:shd w:val="clear" w:color="auto" w:fill="FCE9E8"/>
          </w:tcPr>
          <w:p>
            <w:pPr>
              <w:spacing w:after="0"/>
              <w:rPr>
                <w:sz w:val="4"/>
                <w:szCs w:val="4"/>
                <w:color w:val="auto"/>
              </w:rPr>
            </w:pPr>
          </w:p>
        </w:tc>
        <w:tc>
          <w:tcPr>
            <w:tcW w:w="520" w:type="dxa"/>
            <w:vAlign w:val="bottom"/>
            <w:shd w:val="clear" w:color="auto" w:fill="FCE9E8"/>
          </w:tcPr>
          <w:p>
            <w:pPr>
              <w:spacing w:after="0"/>
              <w:rPr>
                <w:sz w:val="4"/>
                <w:szCs w:val="4"/>
                <w:color w:val="auto"/>
              </w:rPr>
            </w:pPr>
          </w:p>
        </w:tc>
        <w:tc>
          <w:tcPr>
            <w:tcW w:w="920" w:type="dxa"/>
            <w:vAlign w:val="bottom"/>
            <w:shd w:val="clear" w:color="auto" w:fill="FCE9E8"/>
          </w:tcPr>
          <w:p>
            <w:pPr>
              <w:spacing w:after="0"/>
              <w:rPr>
                <w:sz w:val="4"/>
                <w:szCs w:val="4"/>
                <w:color w:val="auto"/>
              </w:rPr>
            </w:pPr>
          </w:p>
        </w:tc>
        <w:tc>
          <w:tcPr>
            <w:tcW w:w="540" w:type="dxa"/>
            <w:vAlign w:val="bottom"/>
            <w:shd w:val="clear" w:color="auto" w:fill="FCE9E8"/>
          </w:tcPr>
          <w:p>
            <w:pPr>
              <w:spacing w:after="0"/>
              <w:rPr>
                <w:sz w:val="4"/>
                <w:szCs w:val="4"/>
                <w:color w:val="auto"/>
              </w:rPr>
            </w:pPr>
          </w:p>
        </w:tc>
        <w:tc>
          <w:tcPr>
            <w:tcW w:w="940" w:type="dxa"/>
            <w:vAlign w:val="bottom"/>
            <w:shd w:val="clear" w:color="auto" w:fill="FCE9E8"/>
          </w:tcPr>
          <w:p>
            <w:pPr>
              <w:spacing w:after="0"/>
              <w:rPr>
                <w:sz w:val="4"/>
                <w:szCs w:val="4"/>
                <w:color w:val="auto"/>
              </w:rPr>
            </w:pPr>
          </w:p>
        </w:tc>
        <w:tc>
          <w:tcPr>
            <w:tcW w:w="560" w:type="dxa"/>
            <w:vAlign w:val="bottom"/>
            <w:shd w:val="clear" w:color="auto" w:fill="FCE9E8"/>
          </w:tcPr>
          <w:p>
            <w:pPr>
              <w:spacing w:after="0"/>
              <w:rPr>
                <w:sz w:val="4"/>
                <w:szCs w:val="4"/>
                <w:color w:val="auto"/>
              </w:rPr>
            </w:pPr>
          </w:p>
        </w:tc>
        <w:tc>
          <w:tcPr>
            <w:tcW w:w="160" w:type="dxa"/>
            <w:vAlign w:val="bottom"/>
            <w:shd w:val="clear" w:color="auto" w:fill="FCE9E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right="20" w:hanging="291"/>
        <w:spacing w:after="0" w:line="208" w:lineRule="auto"/>
        <w:tabs>
          <w:tab w:leader="none" w:pos="9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2020 reflect the aggregate fair value of Career Shares, RSUs and Performance Shares (subject to the note below) under the LTSIP granted in the year determined in accordance with ASC Topic 718. The 2020 fair values by award type are shown below. There can be no assurance that these values will ever be realized. See Note 13, “Stock-Based Compensation,” to the consolidated financial statements included in our 2020 Annual Report on Form 10-K for the assumptions made in determining these values.</w:t>
      </w:r>
    </w:p>
    <w:p>
      <w:pPr>
        <w:spacing w:after="0" w:line="138"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E2231A"/>
                <w:w w:val="95"/>
              </w:rPr>
              <w:t>Performance-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jc w:val="center"/>
              <w:ind w:right="170"/>
              <w:spacing w:after="0" w:line="135" w:lineRule="exact"/>
              <w:rPr>
                <w:sz w:val="20"/>
                <w:szCs w:val="20"/>
                <w:color w:val="auto"/>
              </w:rPr>
            </w:pPr>
            <w:r>
              <w:rPr>
                <w:rFonts w:ascii="Arial" w:cs="Arial" w:eastAsia="Arial" w:hAnsi="Arial"/>
                <w:sz w:val="13"/>
                <w:szCs w:val="13"/>
                <w:b w:val="1"/>
                <w:bCs w:val="1"/>
                <w:color w:val="E2231A"/>
                <w:w w:val="97"/>
              </w:rPr>
              <w:t>Based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tcPr>
          <w:p>
            <w:pPr>
              <w:spacing w:after="0"/>
              <w:rPr>
                <w:sz w:val="12"/>
                <w:szCs w:val="12"/>
                <w:color w:val="auto"/>
              </w:rPr>
            </w:pPr>
          </w:p>
        </w:tc>
        <w:tc>
          <w:tcPr>
            <w:tcW w:w="9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E2231A"/>
                <w:w w:val="96"/>
              </w:rPr>
              <w:t>Career Share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jc w:val="right"/>
              <w:ind w:right="11"/>
              <w:spacing w:after="0" w:line="144" w:lineRule="exact"/>
              <w:rPr>
                <w:sz w:val="20"/>
                <w:szCs w:val="20"/>
                <w:color w:val="auto"/>
              </w:rPr>
            </w:pPr>
            <w:r>
              <w:rPr>
                <w:rFonts w:ascii="Arial" w:cs="Arial" w:eastAsia="Arial" w:hAnsi="Arial"/>
                <w:sz w:val="13"/>
                <w:szCs w:val="13"/>
                <w:b w:val="1"/>
                <w:bCs w:val="1"/>
                <w:color w:val="E2231A"/>
                <w:w w:val="98"/>
              </w:rPr>
              <w:t>2020 Performance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E2231A"/>
                <w:w w:val="96"/>
              </w:rPr>
              <w:t>2020 Performance</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96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E2231A"/>
              </w:rPr>
              <w:t>RSU Grant</w:t>
            </w:r>
          </w:p>
        </w:tc>
        <w:tc>
          <w:tcPr>
            <w:tcW w:w="840" w:type="dxa"/>
            <w:vAlign w:val="bottom"/>
            <w:gridSpan w:val="2"/>
          </w:tcPr>
          <w:p>
            <w:pPr>
              <w:jc w:val="right"/>
              <w:ind w:right="28"/>
              <w:spacing w:after="0" w:line="135" w:lineRule="exact"/>
              <w:rPr>
                <w:sz w:val="20"/>
                <w:szCs w:val="20"/>
                <w:color w:val="auto"/>
              </w:rPr>
            </w:pPr>
            <w:r>
              <w:rPr>
                <w:rFonts w:ascii="Arial" w:cs="Arial" w:eastAsia="Arial" w:hAnsi="Arial"/>
                <w:sz w:val="13"/>
                <w:szCs w:val="13"/>
                <w:b w:val="1"/>
                <w:bCs w:val="1"/>
                <w:color w:val="E2231A"/>
              </w:rPr>
              <w:t>RSU Grant</w:t>
            </w:r>
          </w:p>
        </w:tc>
        <w:tc>
          <w:tcPr>
            <w:tcW w:w="1200" w:type="dxa"/>
            <w:vAlign w:val="bottom"/>
          </w:tcPr>
          <w:p>
            <w:pPr>
              <w:jc w:val="right"/>
              <w:ind w:right="151"/>
              <w:spacing w:after="0" w:line="135" w:lineRule="exact"/>
              <w:rPr>
                <w:sz w:val="20"/>
                <w:szCs w:val="20"/>
                <w:color w:val="auto"/>
              </w:rPr>
            </w:pPr>
            <w:r>
              <w:rPr>
                <w:rFonts w:ascii="Arial" w:cs="Arial" w:eastAsia="Arial" w:hAnsi="Arial"/>
                <w:sz w:val="13"/>
                <w:szCs w:val="13"/>
                <w:b w:val="1"/>
                <w:bCs w:val="1"/>
                <w:color w:val="E2231A"/>
              </w:rPr>
              <w:t>Shares Grant</w:t>
            </w:r>
          </w:p>
        </w:tc>
        <w:tc>
          <w:tcPr>
            <w:tcW w:w="900" w:type="dxa"/>
            <w:vAlign w:val="bottom"/>
            <w:gridSpan w:val="2"/>
          </w:tcPr>
          <w:p>
            <w:pPr>
              <w:jc w:val="right"/>
              <w:ind w:right="48"/>
              <w:spacing w:after="0" w:line="135" w:lineRule="exact"/>
              <w:rPr>
                <w:sz w:val="20"/>
                <w:szCs w:val="20"/>
                <w:color w:val="auto"/>
              </w:rPr>
            </w:pPr>
            <w:r>
              <w:rPr>
                <w:rFonts w:ascii="Arial" w:cs="Arial" w:eastAsia="Arial" w:hAnsi="Arial"/>
                <w:sz w:val="13"/>
                <w:szCs w:val="13"/>
                <w:b w:val="1"/>
                <w:bCs w:val="1"/>
                <w:color w:val="E2231A"/>
              </w:rPr>
              <w:t>Total Grant</w:t>
            </w:r>
          </w:p>
        </w:tc>
        <w:tc>
          <w:tcPr>
            <w:tcW w:w="11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9"/>
              </w:rPr>
              <w:t>Shares at</w:t>
            </w:r>
          </w:p>
        </w:tc>
        <w:tc>
          <w:tcPr>
            <w:tcW w:w="0" w:type="dxa"/>
            <w:vAlign w:val="bottom"/>
          </w:tcPr>
          <w:p>
            <w:pPr>
              <w:spacing w:after="0"/>
              <w:rPr>
                <w:sz w:val="1"/>
                <w:szCs w:val="1"/>
                <w:color w:val="auto"/>
              </w:rPr>
            </w:pPr>
          </w:p>
        </w:tc>
      </w:tr>
      <w:tr>
        <w:trPr>
          <w:trHeight w:val="162"/>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E2231A"/>
              </w:rPr>
              <w:t>Date Value</w:t>
            </w: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E2231A"/>
              </w:rPr>
              <w:t>Date Value</w:t>
            </w:r>
          </w:p>
        </w:tc>
        <w:tc>
          <w:tcPr>
            <w:tcW w:w="12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E2231A"/>
              </w:rPr>
              <w:t>Date Value</w:t>
            </w:r>
          </w:p>
        </w:tc>
        <w:tc>
          <w:tcPr>
            <w:tcW w:w="9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E2231A"/>
              </w:rPr>
              <w:t>Date Value</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w w:val="95"/>
              </w:rPr>
              <w:t>Maximum Value</w:t>
            </w:r>
          </w:p>
        </w:tc>
        <w:tc>
          <w:tcPr>
            <w:tcW w:w="0" w:type="dxa"/>
            <w:vAlign w:val="bottom"/>
          </w:tcPr>
          <w:p>
            <w:pPr>
              <w:spacing w:after="0"/>
              <w:rPr>
                <w:sz w:val="1"/>
                <w:szCs w:val="1"/>
                <w:color w:val="auto"/>
              </w:rPr>
            </w:pPr>
          </w:p>
        </w:tc>
      </w:tr>
      <w:tr>
        <w:trPr>
          <w:trHeight w:val="210"/>
        </w:trPr>
        <w:tc>
          <w:tcPr>
            <w:tcW w:w="408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260" w:type="dxa"/>
            <w:vAlign w:val="bottom"/>
            <w:shd w:val="clear" w:color="auto" w:fill="FCE9E8"/>
          </w:tcPr>
          <w:p>
            <w:pPr>
              <w:ind w:left="18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CE9E8"/>
          </w:tcPr>
          <w:p>
            <w:pPr>
              <w:jc w:val="right"/>
              <w:spacing w:after="0"/>
              <w:rPr>
                <w:sz w:val="20"/>
                <w:szCs w:val="20"/>
                <w:color w:val="auto"/>
              </w:rPr>
            </w:pPr>
            <w:r>
              <w:rPr>
                <w:rFonts w:ascii="Arial" w:cs="Arial" w:eastAsia="Arial" w:hAnsi="Arial"/>
                <w:sz w:val="14"/>
                <w:szCs w:val="14"/>
                <w:color w:val="auto"/>
                <w:w w:val="99"/>
              </w:rPr>
              <w:t>2,660,020</w:t>
            </w:r>
          </w:p>
        </w:tc>
        <w:tc>
          <w:tcPr>
            <w:tcW w:w="1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FCE9E8"/>
          </w:tcPr>
          <w:p>
            <w:pPr>
              <w:jc w:val="right"/>
              <w:spacing w:after="0"/>
              <w:rPr>
                <w:sz w:val="20"/>
                <w:szCs w:val="20"/>
                <w:color w:val="auto"/>
              </w:rPr>
            </w:pPr>
            <w:r>
              <w:rPr>
                <w:rFonts w:ascii="Arial" w:cs="Arial" w:eastAsia="Arial" w:hAnsi="Arial"/>
                <w:sz w:val="14"/>
                <w:szCs w:val="14"/>
                <w:color w:val="auto"/>
                <w:w w:val="99"/>
              </w:rPr>
              <w:t>1,679,959</w:t>
            </w:r>
          </w:p>
        </w:tc>
        <w:tc>
          <w:tcPr>
            <w:tcW w:w="1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$5,680,851</w:t>
            </w:r>
          </w:p>
        </w:tc>
        <w:tc>
          <w:tcPr>
            <w:tcW w:w="1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FCE9E8"/>
          </w:tcPr>
          <w:p>
            <w:pPr>
              <w:jc w:val="right"/>
              <w:spacing w:after="0"/>
              <w:rPr>
                <w:sz w:val="20"/>
                <w:szCs w:val="20"/>
                <w:color w:val="auto"/>
              </w:rPr>
            </w:pPr>
            <w:r>
              <w:rPr>
                <w:rFonts w:ascii="Arial" w:cs="Arial" w:eastAsia="Arial" w:hAnsi="Arial"/>
                <w:sz w:val="14"/>
                <w:szCs w:val="14"/>
                <w:color w:val="auto"/>
                <w:w w:val="99"/>
              </w:rPr>
              <w:t>10,020,830</w:t>
            </w:r>
          </w:p>
        </w:tc>
        <w:tc>
          <w:tcPr>
            <w:tcW w:w="4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jc w:val="right"/>
              <w:spacing w:after="0"/>
              <w:rPr>
                <w:sz w:val="20"/>
                <w:szCs w:val="20"/>
                <w:color w:val="auto"/>
              </w:rPr>
            </w:pPr>
            <w:r>
              <w:rPr>
                <w:rFonts w:ascii="Arial" w:cs="Arial" w:eastAsia="Arial" w:hAnsi="Arial"/>
                <w:sz w:val="14"/>
                <w:szCs w:val="14"/>
                <w:color w:val="auto"/>
                <w:w w:val="99"/>
              </w:rPr>
              <w:t>11,361,702</w:t>
            </w:r>
          </w:p>
        </w:tc>
        <w:tc>
          <w:tcPr>
            <w:tcW w:w="0" w:type="dxa"/>
            <w:vAlign w:val="bottom"/>
          </w:tcPr>
          <w:p>
            <w:pPr>
              <w:spacing w:after="0"/>
              <w:rPr>
                <w:sz w:val="1"/>
                <w:szCs w:val="1"/>
                <w:color w:val="auto"/>
              </w:rPr>
            </w:pPr>
          </w:p>
        </w:tc>
      </w:tr>
      <w:tr>
        <w:trPr>
          <w:trHeight w:val="230"/>
        </w:trPr>
        <w:tc>
          <w:tcPr>
            <w:tcW w:w="408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1,064,017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377,963</w:t>
            </w:r>
          </w:p>
        </w:tc>
        <w:tc>
          <w:tcPr>
            <w:tcW w:w="1200" w:type="dxa"/>
            <w:vAlign w:val="bottom"/>
          </w:tcPr>
          <w:p>
            <w:pPr>
              <w:jc w:val="right"/>
              <w:spacing w:after="0"/>
              <w:rPr>
                <w:sz w:val="20"/>
                <w:szCs w:val="20"/>
                <w:color w:val="auto"/>
              </w:rPr>
            </w:pPr>
            <w:r>
              <w:rPr>
                <w:rFonts w:ascii="Arial" w:cs="Arial" w:eastAsia="Arial" w:hAnsi="Arial"/>
                <w:sz w:val="14"/>
                <w:szCs w:val="14"/>
                <w:color w:val="auto"/>
              </w:rPr>
              <w:t>$1,278,097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2,720,077</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2,556,194</w:t>
            </w:r>
          </w:p>
        </w:tc>
        <w:tc>
          <w:tcPr>
            <w:tcW w:w="0" w:type="dxa"/>
            <w:vAlign w:val="bottom"/>
          </w:tcPr>
          <w:p>
            <w:pPr>
              <w:spacing w:after="0"/>
              <w:rPr>
                <w:sz w:val="1"/>
                <w:szCs w:val="1"/>
                <w:color w:val="auto"/>
              </w:rPr>
            </w:pPr>
          </w:p>
        </w:tc>
      </w:tr>
      <w:tr>
        <w:trPr>
          <w:trHeight w:val="68"/>
        </w:trPr>
        <w:tc>
          <w:tcPr>
            <w:tcW w:w="4080" w:type="dxa"/>
            <w:vAlign w:val="bottom"/>
            <w:vMerge w:val="restart"/>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260" w:type="dxa"/>
            <w:vAlign w:val="bottom"/>
            <w:vMerge w:val="restart"/>
            <w:shd w:val="clear" w:color="auto" w:fill="FCE9E8"/>
          </w:tcPr>
          <w:p>
            <w:pPr>
              <w:ind w:left="180"/>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w w:val="99"/>
              </w:rPr>
              <w:t>1,507,378</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479,948</w:t>
            </w:r>
          </w:p>
        </w:tc>
        <w:tc>
          <w:tcPr>
            <w:tcW w:w="120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$1,623,105</w:t>
            </w:r>
          </w:p>
        </w:tc>
        <w:tc>
          <w:tcPr>
            <w:tcW w:w="14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3,610,431</w:t>
            </w:r>
          </w:p>
        </w:tc>
        <w:tc>
          <w:tcPr>
            <w:tcW w:w="42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80" w:type="dxa"/>
            <w:vAlign w:val="bottom"/>
            <w:vMerge w:val="continue"/>
            <w:shd w:val="clear" w:color="auto" w:fill="FCE9E8"/>
          </w:tcPr>
          <w:p>
            <w:pPr>
              <w:spacing w:after="0"/>
              <w:rPr>
                <w:sz w:val="14"/>
                <w:szCs w:val="14"/>
                <w:color w:val="auto"/>
              </w:rPr>
            </w:pPr>
          </w:p>
        </w:tc>
        <w:tc>
          <w:tcPr>
            <w:tcW w:w="260" w:type="dxa"/>
            <w:vAlign w:val="bottom"/>
            <w:vMerge w:val="continue"/>
            <w:shd w:val="clear" w:color="auto" w:fill="FCE9E8"/>
          </w:tcPr>
          <w:p>
            <w:pPr>
              <w:spacing w:after="0"/>
              <w:rPr>
                <w:sz w:val="14"/>
                <w:szCs w:val="14"/>
                <w:color w:val="auto"/>
              </w:rPr>
            </w:pPr>
          </w:p>
        </w:tc>
        <w:tc>
          <w:tcPr>
            <w:tcW w:w="700" w:type="dxa"/>
            <w:vAlign w:val="bottom"/>
            <w:vMerge w:val="continue"/>
            <w:shd w:val="clear" w:color="auto" w:fill="FCE9E8"/>
          </w:tcPr>
          <w:p>
            <w:pPr>
              <w:spacing w:after="0"/>
              <w:rPr>
                <w:sz w:val="14"/>
                <w:szCs w:val="14"/>
                <w:color w:val="auto"/>
              </w:rPr>
            </w:pPr>
          </w:p>
        </w:tc>
        <w:tc>
          <w:tcPr>
            <w:tcW w:w="160" w:type="dxa"/>
            <w:vAlign w:val="bottom"/>
            <w:vMerge w:val="continue"/>
            <w:shd w:val="clear" w:color="auto" w:fill="FCE9E8"/>
          </w:tcPr>
          <w:p>
            <w:pPr>
              <w:spacing w:after="0"/>
              <w:rPr>
                <w:sz w:val="14"/>
                <w:szCs w:val="14"/>
                <w:color w:val="auto"/>
              </w:rPr>
            </w:pPr>
          </w:p>
        </w:tc>
        <w:tc>
          <w:tcPr>
            <w:tcW w:w="680" w:type="dxa"/>
            <w:vAlign w:val="bottom"/>
            <w:vMerge w:val="continue"/>
            <w:shd w:val="clear" w:color="auto" w:fill="FCE9E8"/>
          </w:tcPr>
          <w:p>
            <w:pPr>
              <w:spacing w:after="0"/>
              <w:rPr>
                <w:sz w:val="14"/>
                <w:szCs w:val="14"/>
                <w:color w:val="auto"/>
              </w:rPr>
            </w:pPr>
          </w:p>
        </w:tc>
        <w:tc>
          <w:tcPr>
            <w:tcW w:w="1200" w:type="dxa"/>
            <w:vAlign w:val="bottom"/>
            <w:vMerge w:val="continue"/>
            <w:shd w:val="clear" w:color="auto" w:fill="FCE9E8"/>
          </w:tcPr>
          <w:p>
            <w:pPr>
              <w:spacing w:after="0"/>
              <w:rPr>
                <w:sz w:val="14"/>
                <w:szCs w:val="14"/>
                <w:color w:val="auto"/>
              </w:rPr>
            </w:pPr>
          </w:p>
        </w:tc>
        <w:tc>
          <w:tcPr>
            <w:tcW w:w="140" w:type="dxa"/>
            <w:vAlign w:val="bottom"/>
            <w:vMerge w:val="continue"/>
            <w:shd w:val="clear" w:color="auto" w:fill="FCE9E8"/>
          </w:tcPr>
          <w:p>
            <w:pPr>
              <w:spacing w:after="0"/>
              <w:rPr>
                <w:sz w:val="14"/>
                <w:szCs w:val="14"/>
                <w:color w:val="auto"/>
              </w:rPr>
            </w:pPr>
          </w:p>
        </w:tc>
        <w:tc>
          <w:tcPr>
            <w:tcW w:w="760" w:type="dxa"/>
            <w:vAlign w:val="bottom"/>
            <w:vMerge w:val="continue"/>
            <w:shd w:val="clear" w:color="auto" w:fill="FCE9E8"/>
          </w:tcPr>
          <w:p>
            <w:pPr>
              <w:spacing w:after="0"/>
              <w:rPr>
                <w:sz w:val="14"/>
                <w:szCs w:val="14"/>
                <w:color w:val="auto"/>
              </w:rPr>
            </w:pPr>
          </w:p>
        </w:tc>
        <w:tc>
          <w:tcPr>
            <w:tcW w:w="420" w:type="dxa"/>
            <w:vAlign w:val="bottom"/>
            <w:vMerge w:val="continue"/>
            <w:shd w:val="clear" w:color="auto" w:fill="FCE9E8"/>
          </w:tcPr>
          <w:p>
            <w:pPr>
              <w:spacing w:after="0"/>
              <w:rPr>
                <w:sz w:val="14"/>
                <w:szCs w:val="14"/>
                <w:color w:val="auto"/>
              </w:rPr>
            </w:pPr>
          </w:p>
        </w:tc>
        <w:tc>
          <w:tcPr>
            <w:tcW w:w="7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3,246,210</w:t>
            </w:r>
          </w:p>
        </w:tc>
        <w:tc>
          <w:tcPr>
            <w:tcW w:w="0" w:type="dxa"/>
            <w:vAlign w:val="bottom"/>
          </w:tcPr>
          <w:p>
            <w:pPr>
              <w:spacing w:after="0"/>
              <w:rPr>
                <w:sz w:val="1"/>
                <w:szCs w:val="1"/>
                <w:color w:val="auto"/>
              </w:rPr>
            </w:pPr>
          </w:p>
        </w:tc>
      </w:tr>
      <w:tr>
        <w:trPr>
          <w:trHeight w:val="230"/>
        </w:trPr>
        <w:tc>
          <w:tcPr>
            <w:tcW w:w="408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886,627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398,976</w:t>
            </w:r>
          </w:p>
        </w:tc>
        <w:tc>
          <w:tcPr>
            <w:tcW w:w="1200" w:type="dxa"/>
            <w:vAlign w:val="bottom"/>
          </w:tcPr>
          <w:p>
            <w:pPr>
              <w:jc w:val="right"/>
              <w:spacing w:after="0"/>
              <w:rPr>
                <w:sz w:val="20"/>
                <w:szCs w:val="20"/>
                <w:color w:val="auto"/>
              </w:rPr>
            </w:pPr>
            <w:r>
              <w:rPr>
                <w:rFonts w:ascii="Arial" w:cs="Arial" w:eastAsia="Arial" w:hAnsi="Arial"/>
                <w:sz w:val="14"/>
                <w:szCs w:val="14"/>
                <w:color w:val="auto"/>
              </w:rPr>
              <w:t>$1,349,155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2,634,758</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2,698,310</w:t>
            </w:r>
          </w:p>
        </w:tc>
        <w:tc>
          <w:tcPr>
            <w:tcW w:w="0" w:type="dxa"/>
            <w:vAlign w:val="bottom"/>
          </w:tcPr>
          <w:p>
            <w:pPr>
              <w:spacing w:after="0"/>
              <w:rPr>
                <w:sz w:val="1"/>
                <w:szCs w:val="1"/>
                <w:color w:val="auto"/>
              </w:rPr>
            </w:pPr>
          </w:p>
        </w:tc>
      </w:tr>
      <w:tr>
        <w:trPr>
          <w:trHeight w:val="68"/>
        </w:trPr>
        <w:tc>
          <w:tcPr>
            <w:tcW w:w="4080" w:type="dxa"/>
            <w:vAlign w:val="bottom"/>
            <w:vMerge w:val="restart"/>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260" w:type="dxa"/>
            <w:vAlign w:val="bottom"/>
            <w:vMerge w:val="restart"/>
            <w:shd w:val="clear" w:color="auto" w:fill="FCE9E8"/>
          </w:tcPr>
          <w:p>
            <w:pPr>
              <w:ind w:left="180"/>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664,970</w:t>
            </w:r>
          </w:p>
        </w:tc>
        <w:tc>
          <w:tcPr>
            <w:tcW w:w="16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350,925</w:t>
            </w:r>
          </w:p>
        </w:tc>
        <w:tc>
          <w:tcPr>
            <w:tcW w:w="120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$1,186,809</w:t>
            </w:r>
          </w:p>
        </w:tc>
        <w:tc>
          <w:tcPr>
            <w:tcW w:w="14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2,202,704</w:t>
            </w:r>
          </w:p>
        </w:tc>
        <w:tc>
          <w:tcPr>
            <w:tcW w:w="420" w:type="dxa"/>
            <w:vAlign w:val="bottom"/>
            <w:vMerge w:val="restart"/>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80" w:type="dxa"/>
            <w:vAlign w:val="bottom"/>
            <w:vMerge w:val="continue"/>
            <w:shd w:val="clear" w:color="auto" w:fill="FCE9E8"/>
          </w:tcPr>
          <w:p>
            <w:pPr>
              <w:spacing w:after="0"/>
              <w:rPr>
                <w:sz w:val="14"/>
                <w:szCs w:val="14"/>
                <w:color w:val="auto"/>
              </w:rPr>
            </w:pPr>
          </w:p>
        </w:tc>
        <w:tc>
          <w:tcPr>
            <w:tcW w:w="260" w:type="dxa"/>
            <w:vAlign w:val="bottom"/>
            <w:vMerge w:val="continue"/>
            <w:shd w:val="clear" w:color="auto" w:fill="FCE9E8"/>
          </w:tcPr>
          <w:p>
            <w:pPr>
              <w:spacing w:after="0"/>
              <w:rPr>
                <w:sz w:val="14"/>
                <w:szCs w:val="14"/>
                <w:color w:val="auto"/>
              </w:rPr>
            </w:pPr>
          </w:p>
        </w:tc>
        <w:tc>
          <w:tcPr>
            <w:tcW w:w="700" w:type="dxa"/>
            <w:vAlign w:val="bottom"/>
            <w:vMerge w:val="continue"/>
            <w:shd w:val="clear" w:color="auto" w:fill="FCE9E8"/>
          </w:tcPr>
          <w:p>
            <w:pPr>
              <w:spacing w:after="0"/>
              <w:rPr>
                <w:sz w:val="14"/>
                <w:szCs w:val="14"/>
                <w:color w:val="auto"/>
              </w:rPr>
            </w:pPr>
          </w:p>
        </w:tc>
        <w:tc>
          <w:tcPr>
            <w:tcW w:w="160" w:type="dxa"/>
            <w:vAlign w:val="bottom"/>
            <w:vMerge w:val="continue"/>
            <w:shd w:val="clear" w:color="auto" w:fill="FCE9E8"/>
          </w:tcPr>
          <w:p>
            <w:pPr>
              <w:spacing w:after="0"/>
              <w:rPr>
                <w:sz w:val="14"/>
                <w:szCs w:val="14"/>
                <w:color w:val="auto"/>
              </w:rPr>
            </w:pPr>
          </w:p>
        </w:tc>
        <w:tc>
          <w:tcPr>
            <w:tcW w:w="680" w:type="dxa"/>
            <w:vAlign w:val="bottom"/>
            <w:vMerge w:val="continue"/>
            <w:shd w:val="clear" w:color="auto" w:fill="FCE9E8"/>
          </w:tcPr>
          <w:p>
            <w:pPr>
              <w:spacing w:after="0"/>
              <w:rPr>
                <w:sz w:val="14"/>
                <w:szCs w:val="14"/>
                <w:color w:val="auto"/>
              </w:rPr>
            </w:pPr>
          </w:p>
        </w:tc>
        <w:tc>
          <w:tcPr>
            <w:tcW w:w="1200" w:type="dxa"/>
            <w:vAlign w:val="bottom"/>
            <w:vMerge w:val="continue"/>
            <w:shd w:val="clear" w:color="auto" w:fill="FCE9E8"/>
          </w:tcPr>
          <w:p>
            <w:pPr>
              <w:spacing w:after="0"/>
              <w:rPr>
                <w:sz w:val="14"/>
                <w:szCs w:val="14"/>
                <w:color w:val="auto"/>
              </w:rPr>
            </w:pPr>
          </w:p>
        </w:tc>
        <w:tc>
          <w:tcPr>
            <w:tcW w:w="140" w:type="dxa"/>
            <w:vAlign w:val="bottom"/>
            <w:vMerge w:val="continue"/>
            <w:shd w:val="clear" w:color="auto" w:fill="FCE9E8"/>
          </w:tcPr>
          <w:p>
            <w:pPr>
              <w:spacing w:after="0"/>
              <w:rPr>
                <w:sz w:val="14"/>
                <w:szCs w:val="14"/>
                <w:color w:val="auto"/>
              </w:rPr>
            </w:pPr>
          </w:p>
        </w:tc>
        <w:tc>
          <w:tcPr>
            <w:tcW w:w="760" w:type="dxa"/>
            <w:vAlign w:val="bottom"/>
            <w:vMerge w:val="continue"/>
            <w:shd w:val="clear" w:color="auto" w:fill="FCE9E8"/>
          </w:tcPr>
          <w:p>
            <w:pPr>
              <w:spacing w:after="0"/>
              <w:rPr>
                <w:sz w:val="14"/>
                <w:szCs w:val="14"/>
                <w:color w:val="auto"/>
              </w:rPr>
            </w:pPr>
          </w:p>
        </w:tc>
        <w:tc>
          <w:tcPr>
            <w:tcW w:w="420" w:type="dxa"/>
            <w:vAlign w:val="bottom"/>
            <w:vMerge w:val="continue"/>
            <w:shd w:val="clear" w:color="auto" w:fill="FCE9E8"/>
          </w:tcPr>
          <w:p>
            <w:pPr>
              <w:spacing w:after="0"/>
              <w:rPr>
                <w:sz w:val="14"/>
                <w:szCs w:val="14"/>
                <w:color w:val="auto"/>
              </w:rPr>
            </w:pPr>
          </w:p>
        </w:tc>
        <w:tc>
          <w:tcPr>
            <w:tcW w:w="720" w:type="dxa"/>
            <w:vAlign w:val="bottom"/>
            <w:shd w:val="clear" w:color="auto" w:fill="FCE9E8"/>
          </w:tcPr>
          <w:p>
            <w:pPr>
              <w:jc w:val="right"/>
              <w:spacing w:after="0"/>
              <w:rPr>
                <w:sz w:val="20"/>
                <w:szCs w:val="20"/>
                <w:color w:val="auto"/>
              </w:rPr>
            </w:pPr>
            <w:r>
              <w:rPr>
                <w:rFonts w:ascii="Arial" w:cs="Arial" w:eastAsia="Arial" w:hAnsi="Arial"/>
                <w:sz w:val="14"/>
                <w:szCs w:val="14"/>
                <w:color w:val="auto"/>
              </w:rPr>
              <w:t>2,373,618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0</wp:posOffset>
            </wp:positionV>
            <wp:extent cx="57861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ind w:left="960" w:right="200" w:hanging="291"/>
        <w:spacing w:after="0" w:line="208" w:lineRule="auto"/>
        <w:tabs>
          <w:tab w:leader="none" w:pos="96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2020 represent the grant date fair value of nonqualified stock options under the LTSIP granted in the year determined in accordance with ASC Topic 718. There can be no assurance that these values will ever be realized. See Note 13, “Stock-Based Compensation,” to the consolidated financial statements included in our 2020 Annual Report on Form 10-K for the assumptions made in determining these values.</w:t>
      </w:r>
    </w:p>
    <w:p>
      <w:pPr>
        <w:spacing w:after="0" w:line="111" w:lineRule="exact"/>
        <w:rPr>
          <w:rFonts w:ascii="Arial" w:cs="Arial" w:eastAsia="Arial" w:hAnsi="Arial"/>
          <w:sz w:val="24"/>
          <w:szCs w:val="24"/>
          <w:color w:val="auto"/>
          <w:vertAlign w:val="superscript"/>
        </w:rPr>
      </w:pPr>
    </w:p>
    <w:p>
      <w:pPr>
        <w:ind w:left="960" w:right="20" w:hanging="291"/>
        <w:spacing w:after="0"/>
        <w:tabs>
          <w:tab w:leader="none" w:pos="96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2020 represent the amounts earned under the AIP, based on achievement of the 2020 AIP targets, as adjusted by the Compensation Committee in August 2020, as described above in the Compensation Discussion and Analysis under the heading, “Annual Incentives.”</w:t>
      </w:r>
    </w:p>
    <w:p>
      <w:pPr>
        <w:spacing w:after="0" w:line="170" w:lineRule="exact"/>
        <w:rPr>
          <w:rFonts w:ascii="Arial" w:cs="Arial" w:eastAsia="Arial" w:hAnsi="Arial"/>
          <w:sz w:val="24"/>
          <w:szCs w:val="24"/>
          <w:color w:val="auto"/>
          <w:vertAlign w:val="superscript"/>
        </w:rPr>
      </w:pPr>
    </w:p>
    <w:p>
      <w:pPr>
        <w:ind w:left="960" w:right="160" w:hanging="291"/>
        <w:spacing w:after="0" w:line="183" w:lineRule="auto"/>
        <w:tabs>
          <w:tab w:leader="none" w:pos="96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annualized change in the actuarial present value of each applicable Named Executive Officer’s accumulated benefit under all defined benefit and actuarial pension plans (including supplemental plans), all of which have been frozen since December 31, 2006.</w:t>
      </w:r>
    </w:p>
    <w:p>
      <w:pPr>
        <w:spacing w:after="0" w:line="200" w:lineRule="exact"/>
        <w:rPr>
          <w:sz w:val="20"/>
          <w:szCs w:val="20"/>
          <w:color w:val="auto"/>
        </w:rPr>
      </w:pPr>
    </w:p>
    <w:p>
      <w:pPr>
        <w:spacing w:after="0" w:line="209" w:lineRule="exact"/>
        <w:rPr>
          <w:sz w:val="20"/>
          <w:szCs w:val="20"/>
          <w:color w:val="auto"/>
        </w:rPr>
      </w:pPr>
    </w:p>
    <w:p>
      <w:pPr>
        <w:ind w:left="780" w:hanging="393"/>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9" w:lineRule="exact"/>
        <w:rPr>
          <w:sz w:val="20"/>
          <w:szCs w:val="20"/>
          <w:color w:val="auto"/>
        </w:rPr>
      </w:pPr>
    </w:p>
    <w:p>
      <w:pPr>
        <w:ind w:left="960" w:hanging="291"/>
        <w:spacing w:after="0"/>
        <w:tabs>
          <w:tab w:leader="none" w:pos="96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2020 for each Named Executive Officer include:</w:t>
      </w:r>
    </w:p>
    <w:p>
      <w:pPr>
        <w:spacing w:after="0" w:line="111" w:lineRule="exact"/>
        <w:rPr>
          <w:rFonts w:ascii="Arial" w:cs="Arial" w:eastAsia="Arial" w:hAnsi="Arial"/>
          <w:sz w:val="24"/>
          <w:szCs w:val="24"/>
          <w:color w:val="auto"/>
          <w:vertAlign w:val="superscript"/>
        </w:rPr>
      </w:pPr>
    </w:p>
    <w:p>
      <w:pPr>
        <w:ind w:left="1120" w:right="320" w:hanging="170"/>
        <w:spacing w:after="0" w:line="249" w:lineRule="auto"/>
        <w:tabs>
          <w:tab w:leader="none" w:pos="11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133"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E2231A"/>
                <w:w w:val="96"/>
              </w:rPr>
              <w:t>Pension Savings</w:t>
            </w:r>
          </w:p>
        </w:tc>
        <w:tc>
          <w:tcPr>
            <w:tcW w:w="1640" w:type="dxa"/>
            <w:vAlign w:val="bottom"/>
            <w:gridSpan w:val="2"/>
          </w:tcPr>
          <w:p>
            <w:pPr>
              <w:jc w:val="center"/>
              <w:spacing w:after="0"/>
              <w:rPr>
                <w:sz w:val="20"/>
                <w:szCs w:val="20"/>
                <w:color w:val="auto"/>
              </w:rPr>
            </w:pPr>
            <w:r>
              <w:rPr>
                <w:rFonts w:ascii="Arial" w:cs="Arial" w:eastAsia="Arial" w:hAnsi="Arial"/>
                <w:sz w:val="13"/>
                <w:szCs w:val="13"/>
                <w:b w:val="1"/>
                <w:bCs w:val="1"/>
                <w:color w:val="E2231A"/>
                <w:w w:val="96"/>
              </w:rPr>
              <w:t>Salaried Retirement</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E2231A"/>
                <w:w w:val="97"/>
              </w:rPr>
              <w:t>Retirement Savings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E2231A"/>
                <w:w w:val="97"/>
              </w:rPr>
              <w:t>Retirement Savings</w:t>
            </w:r>
          </w:p>
        </w:tc>
      </w:tr>
      <w:tr>
        <w:trPr>
          <w:trHeight w:val="135"/>
        </w:trPr>
        <w:tc>
          <w:tcPr>
            <w:tcW w:w="35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Plan Qualified</w:t>
            </w:r>
          </w:p>
        </w:tc>
        <w:tc>
          <w:tcPr>
            <w:tcW w:w="1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7"/>
              </w:rPr>
              <w:t>Restoration Program</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Plan Qualified</w:t>
            </w:r>
          </w:p>
        </w:tc>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Plan Nonqualified</w:t>
            </w:r>
          </w:p>
        </w:tc>
      </w:tr>
      <w:tr>
        <w:trPr>
          <w:trHeight w:val="157"/>
        </w:trPr>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7"/>
              </w:rPr>
              <w:t>Contribution</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w w:val="97"/>
              </w:rPr>
              <w:t>Nonqualified Contribution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Matching Contribution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Matching Contribution</w:t>
            </w:r>
          </w:p>
        </w:tc>
      </w:tr>
      <w:tr>
        <w:trPr>
          <w:trHeight w:val="209"/>
        </w:trPr>
        <w:tc>
          <w:tcPr>
            <w:tcW w:w="352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14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$24,651</w:t>
            </w:r>
          </w:p>
        </w:tc>
        <w:tc>
          <w:tcPr>
            <w:tcW w:w="1640" w:type="dxa"/>
            <w:vAlign w:val="bottom"/>
            <w:gridSpan w:val="2"/>
            <w:shd w:val="clear" w:color="auto" w:fill="FCE9E8"/>
          </w:tcPr>
          <w:p>
            <w:pPr>
              <w:jc w:val="right"/>
              <w:ind w:right="448"/>
              <w:spacing w:after="0"/>
              <w:rPr>
                <w:sz w:val="20"/>
                <w:szCs w:val="20"/>
                <w:color w:val="auto"/>
              </w:rPr>
            </w:pPr>
            <w:r>
              <w:rPr>
                <w:rFonts w:ascii="Arial" w:cs="Arial" w:eastAsia="Arial" w:hAnsi="Arial"/>
                <w:sz w:val="14"/>
                <w:szCs w:val="14"/>
                <w:color w:val="auto"/>
              </w:rPr>
              <w:t>$245,601</w:t>
            </w:r>
          </w:p>
        </w:tc>
        <w:tc>
          <w:tcPr>
            <w:tcW w:w="142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$12,825</w:t>
            </w:r>
          </w:p>
        </w:tc>
        <w:tc>
          <w:tcPr>
            <w:tcW w:w="140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$90,585</w:t>
            </w:r>
          </w:p>
        </w:tc>
      </w:tr>
      <w:tr>
        <w:trPr>
          <w:trHeight w:val="230"/>
        </w:trPr>
        <w:tc>
          <w:tcPr>
            <w:tcW w:w="352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1140" w:type="dxa"/>
            <w:vAlign w:val="bottom"/>
          </w:tcPr>
          <w:p>
            <w:pPr>
              <w:jc w:val="center"/>
              <w:spacing w:after="0"/>
              <w:rPr>
                <w:sz w:val="20"/>
                <w:szCs w:val="20"/>
                <w:color w:val="auto"/>
              </w:rPr>
            </w:pPr>
            <w:r>
              <w:rPr>
                <w:rFonts w:ascii="Arial" w:cs="Arial" w:eastAsia="Arial" w:hAnsi="Arial"/>
                <w:sz w:val="14"/>
                <w:szCs w:val="14"/>
                <w:color w:val="auto"/>
              </w:rPr>
              <w:t>$24,675</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76,883</w:t>
            </w:r>
          </w:p>
        </w:tc>
        <w:tc>
          <w:tcPr>
            <w:tcW w:w="1420" w:type="dxa"/>
            <w:vAlign w:val="bottom"/>
          </w:tcPr>
          <w:p>
            <w:pPr>
              <w:jc w:val="center"/>
              <w:spacing w:after="0"/>
              <w:rPr>
                <w:sz w:val="20"/>
                <w:szCs w:val="20"/>
                <w:color w:val="auto"/>
              </w:rPr>
            </w:pPr>
            <w:r>
              <w:rPr>
                <w:rFonts w:ascii="Arial" w:cs="Arial" w:eastAsia="Arial" w:hAnsi="Arial"/>
                <w:sz w:val="14"/>
                <w:szCs w:val="14"/>
                <w:color w:val="auto"/>
              </w:rPr>
              <w:t>$12,825</w:t>
            </w:r>
          </w:p>
        </w:tc>
        <w:tc>
          <w:tcPr>
            <w:tcW w:w="1400" w:type="dxa"/>
            <w:vAlign w:val="bottom"/>
          </w:tcPr>
          <w:p>
            <w:pPr>
              <w:jc w:val="center"/>
              <w:spacing w:after="0"/>
              <w:rPr>
                <w:sz w:val="20"/>
                <w:szCs w:val="20"/>
                <w:color w:val="auto"/>
              </w:rPr>
            </w:pPr>
            <w:r>
              <w:rPr>
                <w:rFonts w:ascii="Arial" w:cs="Arial" w:eastAsia="Arial" w:hAnsi="Arial"/>
                <w:sz w:val="14"/>
                <w:szCs w:val="14"/>
                <w:color w:val="auto"/>
              </w:rPr>
              <w:t>$32,765</w:t>
            </w:r>
          </w:p>
        </w:tc>
      </w:tr>
      <w:tr>
        <w:trPr>
          <w:trHeight w:val="229"/>
        </w:trPr>
        <w:tc>
          <w:tcPr>
            <w:tcW w:w="352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14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$24,654</w:t>
            </w:r>
          </w:p>
        </w:tc>
        <w:tc>
          <w:tcPr>
            <w:tcW w:w="1640" w:type="dxa"/>
            <w:vAlign w:val="bottom"/>
            <w:gridSpan w:val="2"/>
            <w:shd w:val="clear" w:color="auto" w:fill="FCE9E8"/>
          </w:tcPr>
          <w:p>
            <w:pPr>
              <w:jc w:val="right"/>
              <w:ind w:right="448"/>
              <w:spacing w:after="0"/>
              <w:rPr>
                <w:sz w:val="20"/>
                <w:szCs w:val="20"/>
                <w:color w:val="auto"/>
              </w:rPr>
            </w:pPr>
            <w:r>
              <w:rPr>
                <w:rFonts w:ascii="Arial" w:cs="Arial" w:eastAsia="Arial" w:hAnsi="Arial"/>
                <w:sz w:val="14"/>
                <w:szCs w:val="14"/>
                <w:color w:val="auto"/>
              </w:rPr>
              <w:t>$105,766</w:t>
            </w:r>
          </w:p>
        </w:tc>
        <w:tc>
          <w:tcPr>
            <w:tcW w:w="142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$12,825</w:t>
            </w:r>
          </w:p>
        </w:tc>
        <w:tc>
          <w:tcPr>
            <w:tcW w:w="140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$45,135</w:t>
            </w:r>
          </w:p>
        </w:tc>
      </w:tr>
      <w:tr>
        <w:trPr>
          <w:trHeight w:val="230"/>
        </w:trPr>
        <w:tc>
          <w:tcPr>
            <w:tcW w:w="352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1140" w:type="dxa"/>
            <w:vAlign w:val="bottom"/>
          </w:tcPr>
          <w:p>
            <w:pPr>
              <w:jc w:val="center"/>
              <w:spacing w:after="0"/>
              <w:rPr>
                <w:sz w:val="20"/>
                <w:szCs w:val="20"/>
                <w:color w:val="auto"/>
              </w:rPr>
            </w:pPr>
            <w:r>
              <w:rPr>
                <w:rFonts w:ascii="Arial" w:cs="Arial" w:eastAsia="Arial" w:hAnsi="Arial"/>
                <w:sz w:val="14"/>
                <w:szCs w:val="14"/>
                <w:color w:val="auto"/>
              </w:rPr>
              <w:t>$21,519</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8"/>
              <w:spacing w:after="0"/>
              <w:rPr>
                <w:sz w:val="20"/>
                <w:szCs w:val="20"/>
                <w:color w:val="auto"/>
              </w:rPr>
            </w:pPr>
            <w:r>
              <w:rPr>
                <w:rFonts w:ascii="Arial" w:cs="Arial" w:eastAsia="Arial" w:hAnsi="Arial"/>
                <w:sz w:val="14"/>
                <w:szCs w:val="14"/>
                <w:color w:val="auto"/>
              </w:rPr>
              <w:t>70,016</w:t>
            </w:r>
          </w:p>
        </w:tc>
        <w:tc>
          <w:tcPr>
            <w:tcW w:w="1420" w:type="dxa"/>
            <w:vAlign w:val="bottom"/>
          </w:tcPr>
          <w:p>
            <w:pPr>
              <w:jc w:val="center"/>
              <w:spacing w:after="0"/>
              <w:rPr>
                <w:sz w:val="20"/>
                <w:szCs w:val="20"/>
                <w:color w:val="auto"/>
              </w:rPr>
            </w:pPr>
            <w:r>
              <w:rPr>
                <w:rFonts w:ascii="Arial" w:cs="Arial" w:eastAsia="Arial" w:hAnsi="Arial"/>
                <w:sz w:val="14"/>
                <w:szCs w:val="14"/>
                <w:color w:val="auto"/>
              </w:rPr>
              <w:t>$12,825</w:t>
            </w:r>
          </w:p>
        </w:tc>
        <w:tc>
          <w:tcPr>
            <w:tcW w:w="1400" w:type="dxa"/>
            <w:vAlign w:val="bottom"/>
          </w:tcPr>
          <w:p>
            <w:pPr>
              <w:jc w:val="center"/>
              <w:spacing w:after="0"/>
              <w:rPr>
                <w:sz w:val="20"/>
                <w:szCs w:val="20"/>
                <w:color w:val="auto"/>
              </w:rPr>
            </w:pPr>
            <w:r>
              <w:rPr>
                <w:rFonts w:ascii="Arial" w:cs="Arial" w:eastAsia="Arial" w:hAnsi="Arial"/>
                <w:sz w:val="14"/>
                <w:szCs w:val="14"/>
                <w:color w:val="auto"/>
              </w:rPr>
              <w:t>$35,008</w:t>
            </w:r>
          </w:p>
        </w:tc>
      </w:tr>
      <w:tr>
        <w:trPr>
          <w:trHeight w:val="229"/>
        </w:trPr>
        <w:tc>
          <w:tcPr>
            <w:tcW w:w="35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114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4"/>
                <w:szCs w:val="14"/>
                <w:color w:val="auto"/>
              </w:rPr>
              <w:t>$11,461</w:t>
            </w:r>
          </w:p>
        </w:tc>
        <w:tc>
          <w:tcPr>
            <w:tcW w:w="6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CE9E8"/>
          </w:tcPr>
          <w:p>
            <w:pPr>
              <w:jc w:val="right"/>
              <w:ind w:right="448"/>
              <w:spacing w:after="0"/>
              <w:rPr>
                <w:sz w:val="20"/>
                <w:szCs w:val="20"/>
                <w:color w:val="auto"/>
              </w:rPr>
            </w:pPr>
            <w:r>
              <w:rPr>
                <w:rFonts w:ascii="Arial" w:cs="Arial" w:eastAsia="Arial" w:hAnsi="Arial"/>
                <w:sz w:val="14"/>
                <w:szCs w:val="14"/>
                <w:color w:val="auto"/>
              </w:rPr>
              <w:t>72,035</w:t>
            </w:r>
          </w:p>
        </w:tc>
        <w:tc>
          <w:tcPr>
            <w:tcW w:w="142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4"/>
                <w:szCs w:val="14"/>
                <w:color w:val="auto"/>
              </w:rPr>
              <w:t>$ 8,942</w:t>
            </w:r>
          </w:p>
        </w:tc>
        <w:tc>
          <w:tcPr>
            <w:tcW w:w="140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4"/>
                <w:szCs w:val="14"/>
                <w:color w:val="auto"/>
              </w:rPr>
              <w:t>$38,308</w:t>
            </w:r>
          </w:p>
        </w:tc>
      </w:tr>
    </w:tbl>
    <w:p>
      <w:pPr>
        <w:spacing w:after="0" w:line="126" w:lineRule="exact"/>
        <w:rPr>
          <w:sz w:val="20"/>
          <w:szCs w:val="20"/>
          <w:color w:val="auto"/>
        </w:rPr>
      </w:pPr>
    </w:p>
    <w:p>
      <w:pPr>
        <w:ind w:left="1120" w:right="900" w:hanging="170"/>
        <w:spacing w:after="0" w:line="258" w:lineRule="auto"/>
        <w:tabs>
          <w:tab w:leader="none" w:pos="11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Scott, $3,612; Mr. Cardew, $1,932; Mr. Orsini, $1,260; Mr. DiDonato, $5,544; and Mr. Esposito, $1,932.</w:t>
      </w:r>
    </w:p>
    <w:p>
      <w:pPr>
        <w:spacing w:after="0" w:line="99" w:lineRule="exact"/>
        <w:rPr>
          <w:rFonts w:ascii="Arial" w:cs="Arial" w:eastAsia="Arial" w:hAnsi="Arial"/>
          <w:sz w:val="14"/>
          <w:szCs w:val="14"/>
          <w:color w:val="auto"/>
        </w:rPr>
      </w:pPr>
    </w:p>
    <w:p>
      <w:pPr>
        <w:ind w:left="1120" w:hanging="170"/>
        <w:spacing w:after="0"/>
        <w:tabs>
          <w:tab w:leader="none" w:pos="11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$405 in life insurance premiums paid by the Company on behalf of each of Messrs. Scott, Cardew, Orsini, DiDonato and Esposito.</w:t>
      </w:r>
    </w:p>
    <w:p>
      <w:pPr>
        <w:spacing w:after="0" w:line="122" w:lineRule="exact"/>
        <w:rPr>
          <w:rFonts w:ascii="Arial" w:cs="Arial" w:eastAsia="Arial" w:hAnsi="Arial"/>
          <w:sz w:val="14"/>
          <w:szCs w:val="14"/>
          <w:color w:val="auto"/>
        </w:rPr>
      </w:pPr>
    </w:p>
    <w:p>
      <w:pPr>
        <w:ind w:left="1120" w:hanging="170"/>
        <w:spacing w:after="0"/>
        <w:tabs>
          <w:tab w:leader="none" w:pos="1120"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aggregate incremental cost relating to Mr. Scott’s personal use of the Company’s aircraft of $45,165.</w:t>
      </w:r>
    </w:p>
    <w:p>
      <w:pPr>
        <w:spacing w:after="0" w:line="18" w:lineRule="exact"/>
        <w:rPr>
          <w:rFonts w:ascii="Arial" w:cs="Arial" w:eastAsia="Arial" w:hAnsi="Arial"/>
          <w:sz w:val="14"/>
          <w:szCs w:val="14"/>
          <w:color w:val="auto"/>
        </w:rPr>
      </w:pPr>
    </w:p>
    <w:p>
      <w:pPr>
        <w:ind w:left="960" w:hanging="291"/>
        <w:spacing w:after="0"/>
        <w:tabs>
          <w:tab w:leader="none" w:pos="96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Mr. Cardew was not a Named Executive Officer prior to 2019, and thus, no compensation information is reported for him in this table for 2018.</w:t>
      </w:r>
    </w:p>
    <w:p>
      <w:pPr>
        <w:spacing w:after="0" w:line="111" w:lineRule="exact"/>
        <w:rPr>
          <w:rFonts w:ascii="Arial" w:cs="Arial" w:eastAsia="Arial" w:hAnsi="Arial"/>
          <w:sz w:val="24"/>
          <w:szCs w:val="24"/>
          <w:color w:val="auto"/>
          <w:vertAlign w:val="superscript"/>
        </w:rPr>
      </w:pPr>
    </w:p>
    <w:p>
      <w:pPr>
        <w:ind w:left="960" w:hanging="291"/>
        <w:spacing w:after="0" w:line="189" w:lineRule="auto"/>
        <w:tabs>
          <w:tab w:leader="none" w:pos="96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Mr. Esposito was not a Named Executive Officer prior to 2019, and thus, no compensation information is reported for him in this table for 2018.</w:t>
      </w:r>
    </w:p>
    <w:p>
      <w:pPr>
        <w:sectPr>
          <w:pgSz w:w="11900" w:h="16838" w:orient="portrait"/>
          <w:cols w:equalWidth="0" w:num="1">
            <w:col w:w="10860"/>
          </w:cols>
          <w:pgMar w:left="320" w:top="459" w:right="719" w:bottom="1440" w:gutter="0" w:footer="0" w:header="0"/>
        </w:sectPr>
      </w:pP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96"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Under the Retirement Savings Plan, each eligible employee may elect to contribute, on a pre-tax basis, a portion of his or her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time to time, for senior executives of the Company generally. Under the employment agreements, if the Company reduces an executive’s base salary, adversely changes the manner of computing an executive’s incentive compensation opportunity, defers payment of his or her compensation or eliminates or substantially modifies his or her benefits, the executive would have a basis to invoke his or her rights under the agreement for termination for good reason. For a description of the severance provisions of the employment agreements, see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Company matching contributions generally become vested under the Retirement Savings Plan at a rate of 20% for each full year of service.</w:t>
      </w:r>
    </w:p>
    <w:p>
      <w:pPr>
        <w:spacing w:after="0" w:line="201" w:lineRule="exact"/>
        <w:rPr>
          <w:sz w:val="20"/>
          <w:szCs w:val="20"/>
          <w:color w:val="auto"/>
        </w:rPr>
      </w:pPr>
    </w:p>
    <w:p>
      <w:pPr>
        <w:ind w:right="360"/>
        <w:spacing w:after="0" w:line="246"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w:t>
      </w:r>
    </w:p>
    <w:p>
      <w:pPr>
        <w:spacing w:after="0" w:line="2" w:lineRule="exact"/>
        <w:rPr>
          <w:sz w:val="20"/>
          <w:szCs w:val="20"/>
          <w:color w:val="auto"/>
        </w:rPr>
      </w:pPr>
    </w:p>
    <w:p>
      <w:pPr>
        <w:ind w:right="360" w:firstLine="3"/>
        <w:spacing w:after="0" w:line="248" w:lineRule="auto"/>
        <w:tabs>
          <w:tab w:leader="none" w:pos="22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49</w:t>
      </w:r>
    </w:p>
    <w:p>
      <w:pPr>
        <w:sectPr>
          <w:pgSz w:w="11900" w:h="16838" w:orient="portrait"/>
          <w:cols w:equalWidth="0" w:num="1">
            <w:col w:w="10860"/>
          </w:cols>
          <w:pgMar w:left="320" w:top="459" w:right="71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197485</wp:posOffset>
            </wp:positionV>
            <wp:extent cx="6292215"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6"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FFFFFF"/>
        </w:rPr>
        <w:t>2020 Grants of Plan-Based Awards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the grants of plan-based awards made to our Named Executive Officers in 2020.</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left="25"/>
              <w:spacing w:after="0"/>
              <w:rPr>
                <w:sz w:val="20"/>
                <w:szCs w:val="20"/>
                <w:color w:val="auto"/>
              </w:rPr>
            </w:pPr>
            <w:r>
              <w:rPr>
                <w:rFonts w:ascii="Arial" w:cs="Arial" w:eastAsia="Arial" w:hAnsi="Arial"/>
                <w:sz w:val="11"/>
                <w:szCs w:val="11"/>
                <w:b w:val="1"/>
                <w:bCs w:val="1"/>
                <w:color w:val="E2231A"/>
                <w:w w:val="99"/>
              </w:rPr>
              <w:t>All</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284"/>
              <w:spacing w:after="0"/>
              <w:rPr>
                <w:sz w:val="20"/>
                <w:szCs w:val="20"/>
                <w:color w:val="auto"/>
              </w:rPr>
            </w:pPr>
            <w:r>
              <w:rPr>
                <w:rFonts w:ascii="Arial" w:cs="Arial" w:eastAsia="Arial" w:hAnsi="Arial"/>
                <w:sz w:val="11"/>
                <w:szCs w:val="11"/>
                <w:b w:val="1"/>
                <w:bCs w:val="1"/>
                <w:color w:val="E2231A"/>
                <w:w w:val="95"/>
              </w:rPr>
              <w:t>Grant</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left="5"/>
              <w:spacing w:after="0" w:line="122" w:lineRule="exact"/>
              <w:rPr>
                <w:sz w:val="20"/>
                <w:szCs w:val="20"/>
                <w:color w:val="auto"/>
              </w:rPr>
            </w:pPr>
            <w:r>
              <w:rPr>
                <w:rFonts w:ascii="Arial" w:cs="Arial" w:eastAsia="Arial" w:hAnsi="Arial"/>
                <w:sz w:val="11"/>
                <w:szCs w:val="11"/>
                <w:b w:val="1"/>
                <w:bCs w:val="1"/>
                <w:color w:val="E2231A"/>
                <w:w w:val="95"/>
              </w:rPr>
              <w:t>Other</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All Other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284"/>
              <w:spacing w:after="0" w:line="122" w:lineRule="exact"/>
              <w:rPr>
                <w:sz w:val="20"/>
                <w:szCs w:val="20"/>
                <w:color w:val="auto"/>
              </w:rPr>
            </w:pPr>
            <w:r>
              <w:rPr>
                <w:rFonts w:ascii="Arial" w:cs="Arial" w:eastAsia="Arial" w:hAnsi="Arial"/>
                <w:sz w:val="11"/>
                <w:szCs w:val="11"/>
                <w:b w:val="1"/>
                <w:bCs w:val="1"/>
                <w:color w:val="E2231A"/>
              </w:rPr>
              <w:t>Date</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vMerge w:val="restart"/>
          </w:tcPr>
          <w:p>
            <w:pPr>
              <w:jc w:val="center"/>
              <w:ind w:right="220"/>
              <w:spacing w:after="0"/>
              <w:rPr>
                <w:sz w:val="20"/>
                <w:szCs w:val="20"/>
                <w:color w:val="auto"/>
              </w:rPr>
            </w:pPr>
            <w:r>
              <w:rPr>
                <w:rFonts w:ascii="Arial" w:cs="Arial" w:eastAsia="Arial" w:hAnsi="Arial"/>
                <w:sz w:val="11"/>
                <w:szCs w:val="11"/>
                <w:b w:val="1"/>
                <w:bCs w:val="1"/>
                <w:color w:val="E2231A"/>
                <w:w w:val="98"/>
              </w:rPr>
              <w:t>Estimated Possible Payouts</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jc w:val="center"/>
              <w:ind w:left="5"/>
              <w:spacing w:after="0" w:line="122" w:lineRule="exact"/>
              <w:rPr>
                <w:sz w:val="20"/>
                <w:szCs w:val="20"/>
                <w:color w:val="auto"/>
              </w:rPr>
            </w:pPr>
            <w:r>
              <w:rPr>
                <w:rFonts w:ascii="Arial" w:cs="Arial" w:eastAsia="Arial" w:hAnsi="Arial"/>
                <w:sz w:val="11"/>
                <w:szCs w:val="11"/>
                <w:b w:val="1"/>
                <w:bCs w:val="1"/>
                <w:color w:val="E2231A"/>
                <w:w w:val="93"/>
              </w:rPr>
              <w:t>Stock</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Option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284"/>
              <w:spacing w:after="0" w:line="122" w:lineRule="exact"/>
              <w:rPr>
                <w:sz w:val="20"/>
                <w:szCs w:val="20"/>
                <w:color w:val="auto"/>
              </w:rPr>
            </w:pPr>
            <w:r>
              <w:rPr>
                <w:rFonts w:ascii="Arial" w:cs="Arial" w:eastAsia="Arial" w:hAnsi="Arial"/>
                <w:sz w:val="11"/>
                <w:szCs w:val="11"/>
                <w:b w:val="1"/>
                <w:bCs w:val="1"/>
                <w:color w:val="E2231A"/>
                <w:w w:val="98"/>
              </w:rPr>
              <w:t>Fair</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1720" w:type="dxa"/>
            <w:vAlign w:val="bottom"/>
            <w:gridSpan w:val="3"/>
          </w:tcPr>
          <w:p>
            <w:pPr>
              <w:jc w:val="center"/>
              <w:spacing w:after="0" w:line="110" w:lineRule="exact"/>
              <w:rPr>
                <w:sz w:val="20"/>
                <w:szCs w:val="20"/>
                <w:color w:val="auto"/>
              </w:rPr>
            </w:pPr>
            <w:r>
              <w:rPr>
                <w:rFonts w:ascii="Arial" w:cs="Arial" w:eastAsia="Arial" w:hAnsi="Arial"/>
                <w:sz w:val="11"/>
                <w:szCs w:val="11"/>
                <w:b w:val="1"/>
                <w:bCs w:val="1"/>
                <w:color w:val="E2231A"/>
                <w:w w:val="97"/>
              </w:rPr>
              <w:t>Estimated Future Payouts</w:t>
            </w:r>
          </w:p>
        </w:tc>
        <w:tc>
          <w:tcPr>
            <w:tcW w:w="700" w:type="dxa"/>
            <w:vAlign w:val="bottom"/>
          </w:tcPr>
          <w:p>
            <w:pPr>
              <w:jc w:val="center"/>
              <w:ind w:left="5"/>
              <w:spacing w:after="0" w:line="110" w:lineRule="exact"/>
              <w:rPr>
                <w:sz w:val="20"/>
                <w:szCs w:val="20"/>
                <w:color w:val="auto"/>
              </w:rPr>
            </w:pPr>
            <w:r>
              <w:rPr>
                <w:rFonts w:ascii="Arial" w:cs="Arial" w:eastAsia="Arial" w:hAnsi="Arial"/>
                <w:sz w:val="11"/>
                <w:szCs w:val="11"/>
                <w:b w:val="1"/>
                <w:bCs w:val="1"/>
                <w:color w:val="E2231A"/>
              </w:rPr>
              <w:t>Awards:</w:t>
            </w:r>
          </w:p>
        </w:tc>
        <w:tc>
          <w:tcPr>
            <w:tcW w:w="680" w:type="dxa"/>
            <w:vAlign w:val="bottom"/>
          </w:tcPr>
          <w:p>
            <w:pPr>
              <w:jc w:val="center"/>
              <w:spacing w:after="0" w:line="110" w:lineRule="exact"/>
              <w:rPr>
                <w:sz w:val="20"/>
                <w:szCs w:val="20"/>
                <w:color w:val="auto"/>
              </w:rPr>
            </w:pPr>
            <w:r>
              <w:rPr>
                <w:rFonts w:ascii="Arial" w:cs="Arial" w:eastAsia="Arial" w:hAnsi="Arial"/>
                <w:sz w:val="11"/>
                <w:szCs w:val="11"/>
                <w:b w:val="1"/>
                <w:bCs w:val="1"/>
                <w:color w:val="E2231A"/>
                <w:w w:val="96"/>
              </w:rPr>
              <w:t>Awards: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264"/>
              <w:spacing w:after="0" w:line="110" w:lineRule="exact"/>
              <w:rPr>
                <w:sz w:val="20"/>
                <w:szCs w:val="20"/>
                <w:color w:val="auto"/>
              </w:rPr>
            </w:pPr>
            <w:r>
              <w:rPr>
                <w:rFonts w:ascii="Arial" w:cs="Arial" w:eastAsia="Arial" w:hAnsi="Arial"/>
                <w:sz w:val="11"/>
                <w:szCs w:val="11"/>
                <w:b w:val="1"/>
                <w:bCs w:val="1"/>
                <w:color w:val="E2231A"/>
                <w:w w:val="98"/>
              </w:rPr>
              <w:t>Value of</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E2231A"/>
              </w:rPr>
              <w:t>Under Non-Equity Incentive Plan</w:t>
            </w:r>
          </w:p>
        </w:tc>
        <w:tc>
          <w:tcPr>
            <w:tcW w:w="17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E2231A"/>
                <w:w w:val="98"/>
              </w:rPr>
              <w:t>Under Equity Incentive Plan</w:t>
            </w:r>
          </w:p>
        </w:tc>
        <w:tc>
          <w:tcPr>
            <w:tcW w:w="700" w:type="dxa"/>
            <w:vAlign w:val="bottom"/>
          </w:tcPr>
          <w:p>
            <w:pPr>
              <w:jc w:val="center"/>
              <w:ind w:left="25"/>
              <w:spacing w:after="0" w:line="122" w:lineRule="exact"/>
              <w:rPr>
                <w:sz w:val="20"/>
                <w:szCs w:val="20"/>
                <w:color w:val="auto"/>
              </w:rPr>
            </w:pPr>
            <w:r>
              <w:rPr>
                <w:rFonts w:ascii="Arial" w:cs="Arial" w:eastAsia="Arial" w:hAnsi="Arial"/>
                <w:sz w:val="11"/>
                <w:szCs w:val="11"/>
                <w:b w:val="1"/>
                <w:bCs w:val="1"/>
                <w:color w:val="E2231A"/>
                <w:w w:val="98"/>
              </w:rPr>
              <w:t>Number of</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Exercise</w:t>
            </w:r>
          </w:p>
        </w:tc>
        <w:tc>
          <w:tcPr>
            <w:tcW w:w="120" w:type="dxa"/>
            <w:vAlign w:val="bottom"/>
          </w:tcPr>
          <w:p>
            <w:pPr>
              <w:spacing w:after="0"/>
              <w:rPr>
                <w:sz w:val="10"/>
                <w:szCs w:val="10"/>
                <w:color w:val="auto"/>
              </w:rPr>
            </w:pPr>
          </w:p>
        </w:tc>
        <w:tc>
          <w:tcPr>
            <w:tcW w:w="780" w:type="dxa"/>
            <w:vAlign w:val="bottom"/>
          </w:tcPr>
          <w:p>
            <w:pPr>
              <w:jc w:val="center"/>
              <w:ind w:right="264"/>
              <w:spacing w:after="0" w:line="122" w:lineRule="exact"/>
              <w:rPr>
                <w:sz w:val="20"/>
                <w:szCs w:val="20"/>
                <w:color w:val="auto"/>
              </w:rPr>
            </w:pPr>
            <w:r>
              <w:rPr>
                <w:rFonts w:ascii="Arial" w:cs="Arial" w:eastAsia="Arial" w:hAnsi="Arial"/>
                <w:sz w:val="11"/>
                <w:szCs w:val="11"/>
                <w:b w:val="1"/>
                <w:bCs w:val="1"/>
                <w:color w:val="E2231A"/>
                <w:w w:val="99"/>
              </w:rPr>
              <w:t>Stock</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E2231A"/>
                <w:w w:val="98"/>
              </w:rPr>
              <w:t>Awards</w:t>
            </w:r>
            <w:r>
              <w:rPr>
                <w:rFonts w:ascii="Arial" w:cs="Arial" w:eastAsia="Arial" w:hAnsi="Arial"/>
                <w:sz w:val="9"/>
                <w:szCs w:val="9"/>
                <w:b w:val="1"/>
                <w:bCs w:val="1"/>
                <w:color w:val="E2231A"/>
                <w:w w:val="98"/>
              </w:rPr>
              <w:t>(1)</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rPr>
              <w:t>Awards</w:t>
            </w:r>
          </w:p>
        </w:tc>
        <w:tc>
          <w:tcPr>
            <w:tcW w:w="600" w:type="dxa"/>
            <w:vAlign w:val="bottom"/>
            <w:tcBorders>
              <w:bottom w:val="single" w:sz="8" w:color="auto"/>
            </w:tcBorders>
          </w:tcPr>
          <w:p>
            <w:pPr>
              <w:spacing w:after="0"/>
              <w:rPr>
                <w:sz w:val="12"/>
                <w:szCs w:val="12"/>
                <w:color w:val="auto"/>
              </w:rPr>
            </w:pPr>
          </w:p>
        </w:tc>
        <w:tc>
          <w:tcPr>
            <w:tcW w:w="700" w:type="dxa"/>
            <w:vAlign w:val="bottom"/>
          </w:tcPr>
          <w:p>
            <w:pPr>
              <w:jc w:val="center"/>
              <w:ind w:left="5"/>
              <w:spacing w:after="0"/>
              <w:rPr>
                <w:sz w:val="20"/>
                <w:szCs w:val="20"/>
                <w:color w:val="auto"/>
              </w:rPr>
            </w:pPr>
            <w:r>
              <w:rPr>
                <w:rFonts w:ascii="Arial" w:cs="Arial" w:eastAsia="Arial" w:hAnsi="Arial"/>
                <w:sz w:val="11"/>
                <w:szCs w:val="11"/>
                <w:b w:val="1"/>
                <w:bCs w:val="1"/>
                <w:color w:val="E2231A"/>
                <w:w w:val="97"/>
              </w:rPr>
              <w:t>Shares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E2231A"/>
                <w:w w:val="98"/>
              </w:rPr>
              <w:t>Securities</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E2231A"/>
                <w:w w:val="99"/>
              </w:rPr>
              <w:t>Price of</w:t>
            </w:r>
          </w:p>
        </w:tc>
        <w:tc>
          <w:tcPr>
            <w:tcW w:w="120" w:type="dxa"/>
            <w:vAlign w:val="bottom"/>
          </w:tcPr>
          <w:p>
            <w:pPr>
              <w:spacing w:after="0"/>
              <w:rPr>
                <w:sz w:val="12"/>
                <w:szCs w:val="12"/>
                <w:color w:val="auto"/>
              </w:rPr>
            </w:pPr>
          </w:p>
        </w:tc>
        <w:tc>
          <w:tcPr>
            <w:tcW w:w="780" w:type="dxa"/>
            <w:vAlign w:val="bottom"/>
          </w:tcPr>
          <w:p>
            <w:pPr>
              <w:jc w:val="center"/>
              <w:ind w:right="284"/>
              <w:spacing w:after="0"/>
              <w:rPr>
                <w:sz w:val="20"/>
                <w:szCs w:val="20"/>
                <w:color w:val="auto"/>
              </w:rPr>
            </w:pPr>
            <w:r>
              <w:rPr>
                <w:rFonts w:ascii="Arial" w:cs="Arial" w:eastAsia="Arial" w:hAnsi="Arial"/>
                <w:sz w:val="11"/>
                <w:szCs w:val="11"/>
                <w:b w:val="1"/>
                <w:bCs w:val="1"/>
                <w:color w:val="E2231A"/>
              </w:rPr>
              <w:t>and</w:t>
            </w: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E2231A"/>
              </w:rPr>
              <w:t>Threshold</w:t>
            </w:r>
          </w:p>
        </w:tc>
        <w:tc>
          <w:tcPr>
            <w:tcW w:w="120" w:type="dxa"/>
            <w:vAlign w:val="bottom"/>
          </w:tcPr>
          <w:p>
            <w:pPr>
              <w:spacing w:after="0"/>
              <w:rPr>
                <w:sz w:val="8"/>
                <w:szCs w:val="8"/>
                <w:color w:val="auto"/>
              </w:rPr>
            </w:pPr>
          </w:p>
        </w:tc>
        <w:tc>
          <w:tcPr>
            <w:tcW w:w="580" w:type="dxa"/>
            <w:vAlign w:val="bottom"/>
            <w:vMerge w:val="restart"/>
          </w:tcPr>
          <w:p>
            <w:pPr>
              <w:jc w:val="center"/>
              <w:ind w:right="62"/>
              <w:spacing w:after="0"/>
              <w:rPr>
                <w:sz w:val="20"/>
                <w:szCs w:val="20"/>
                <w:color w:val="auto"/>
              </w:rPr>
            </w:pPr>
            <w:r>
              <w:rPr>
                <w:rFonts w:ascii="Arial" w:cs="Arial" w:eastAsia="Arial" w:hAnsi="Arial"/>
                <w:sz w:val="12"/>
                <w:szCs w:val="12"/>
                <w:b w:val="1"/>
                <w:bCs w:val="1"/>
                <w:color w:val="E2231A"/>
                <w:w w:val="92"/>
              </w:rPr>
              <w:t>Target</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E2231A"/>
                <w:w w:val="97"/>
              </w:rPr>
              <w:t>Maximum</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E2231A"/>
                <w:w w:val="93"/>
              </w:rPr>
              <w:t>Threshold</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2"/>
              </w:rPr>
              <w:t>Target</w:t>
            </w: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E2231A"/>
              </w:rPr>
              <w:t>Maximum</w:t>
            </w:r>
          </w:p>
        </w:tc>
        <w:tc>
          <w:tcPr>
            <w:tcW w:w="700" w:type="dxa"/>
            <w:vAlign w:val="bottom"/>
          </w:tcPr>
          <w:p>
            <w:pPr>
              <w:jc w:val="center"/>
              <w:ind w:left="5"/>
              <w:spacing w:after="0" w:line="93" w:lineRule="exact"/>
              <w:rPr>
                <w:sz w:val="20"/>
                <w:szCs w:val="20"/>
                <w:color w:val="auto"/>
              </w:rPr>
            </w:pPr>
            <w:r>
              <w:rPr>
                <w:rFonts w:ascii="Arial" w:cs="Arial" w:eastAsia="Arial" w:hAnsi="Arial"/>
                <w:sz w:val="10"/>
                <w:szCs w:val="10"/>
                <w:b w:val="1"/>
                <w:bCs w:val="1"/>
                <w:color w:val="E2231A"/>
              </w:rPr>
              <w:t>of Stock</w:t>
            </w:r>
          </w:p>
        </w:tc>
        <w:tc>
          <w:tcPr>
            <w:tcW w:w="680" w:type="dxa"/>
            <w:vAlign w:val="bottom"/>
          </w:tcPr>
          <w:p>
            <w:pPr>
              <w:jc w:val="center"/>
              <w:spacing w:after="0" w:line="93" w:lineRule="exact"/>
              <w:rPr>
                <w:sz w:val="20"/>
                <w:szCs w:val="20"/>
                <w:color w:val="auto"/>
              </w:rPr>
            </w:pPr>
            <w:r>
              <w:rPr>
                <w:rFonts w:ascii="Arial" w:cs="Arial" w:eastAsia="Arial" w:hAnsi="Arial"/>
                <w:sz w:val="10"/>
                <w:szCs w:val="10"/>
                <w:b w:val="1"/>
                <w:bCs w:val="1"/>
                <w:color w:val="E2231A"/>
              </w:rPr>
              <w:t>Underlying</w:t>
            </w:r>
          </w:p>
        </w:tc>
        <w:tc>
          <w:tcPr>
            <w:tcW w:w="560" w:type="dxa"/>
            <w:vAlign w:val="bottom"/>
          </w:tcPr>
          <w:p>
            <w:pPr>
              <w:jc w:val="center"/>
              <w:spacing w:after="0" w:line="93" w:lineRule="exact"/>
              <w:rPr>
                <w:sz w:val="20"/>
                <w:szCs w:val="20"/>
                <w:color w:val="auto"/>
              </w:rPr>
            </w:pPr>
            <w:r>
              <w:rPr>
                <w:rFonts w:ascii="Arial" w:cs="Arial" w:eastAsia="Arial" w:hAnsi="Arial"/>
                <w:sz w:val="10"/>
                <w:szCs w:val="10"/>
                <w:b w:val="1"/>
                <w:bCs w:val="1"/>
                <w:color w:val="E2231A"/>
              </w:rPr>
              <w:t>Option</w:t>
            </w:r>
          </w:p>
        </w:tc>
        <w:tc>
          <w:tcPr>
            <w:tcW w:w="120" w:type="dxa"/>
            <w:vAlign w:val="bottom"/>
          </w:tcPr>
          <w:p>
            <w:pPr>
              <w:spacing w:after="0"/>
              <w:rPr>
                <w:sz w:val="8"/>
                <w:szCs w:val="8"/>
                <w:color w:val="auto"/>
              </w:rPr>
            </w:pPr>
          </w:p>
        </w:tc>
        <w:tc>
          <w:tcPr>
            <w:tcW w:w="780" w:type="dxa"/>
            <w:vAlign w:val="bottom"/>
          </w:tcPr>
          <w:p>
            <w:pPr>
              <w:jc w:val="center"/>
              <w:ind w:right="264"/>
              <w:spacing w:after="0" w:line="93" w:lineRule="exact"/>
              <w:rPr>
                <w:sz w:val="20"/>
                <w:szCs w:val="20"/>
                <w:color w:val="auto"/>
              </w:rPr>
            </w:pPr>
            <w:r>
              <w:rPr>
                <w:rFonts w:ascii="Arial" w:cs="Arial" w:eastAsia="Arial" w:hAnsi="Arial"/>
                <w:sz w:val="10"/>
                <w:szCs w:val="10"/>
                <w:b w:val="1"/>
                <w:bCs w:val="1"/>
                <w:color w:val="E2231A"/>
              </w:rPr>
              <w:t>Option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540" w:type="dxa"/>
            <w:vAlign w:val="bottom"/>
          </w:tcPr>
          <w:p>
            <w:pPr>
              <w:jc w:val="right"/>
              <w:ind w:right="502"/>
              <w:spacing w:after="0" w:line="112" w:lineRule="exact"/>
              <w:rPr>
                <w:sz w:val="20"/>
                <w:szCs w:val="20"/>
                <w:color w:val="auto"/>
              </w:rPr>
            </w:pPr>
            <w:r>
              <w:rPr>
                <w:rFonts w:ascii="Arial" w:cs="Arial" w:eastAsia="Arial" w:hAnsi="Arial"/>
                <w:sz w:val="11"/>
                <w:szCs w:val="11"/>
                <w:b w:val="1"/>
                <w:bCs w:val="1"/>
                <w:color w:val="E2231A"/>
              </w:rPr>
              <w:t>Type of</w:t>
            </w:r>
          </w:p>
        </w:tc>
        <w:tc>
          <w:tcPr>
            <w:tcW w:w="720" w:type="dxa"/>
            <w:vAlign w:val="bottom"/>
          </w:tcPr>
          <w:p>
            <w:pPr>
              <w:jc w:val="right"/>
              <w:ind w:right="162"/>
              <w:spacing w:after="0" w:line="112" w:lineRule="exact"/>
              <w:rPr>
                <w:sz w:val="20"/>
                <w:szCs w:val="20"/>
                <w:color w:val="auto"/>
              </w:rPr>
            </w:pPr>
            <w:r>
              <w:rPr>
                <w:rFonts w:ascii="Arial" w:cs="Arial" w:eastAsia="Arial" w:hAnsi="Arial"/>
                <w:sz w:val="11"/>
                <w:szCs w:val="11"/>
                <w:b w:val="1"/>
                <w:bCs w:val="1"/>
                <w:color w:val="E2231A"/>
              </w:rPr>
              <w:t>Grant</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tcPr>
          <w:p>
            <w:pPr>
              <w:jc w:val="center"/>
              <w:ind w:left="5"/>
              <w:spacing w:after="0" w:line="112" w:lineRule="exact"/>
              <w:rPr>
                <w:sz w:val="20"/>
                <w:szCs w:val="20"/>
                <w:color w:val="auto"/>
              </w:rPr>
            </w:pPr>
            <w:r>
              <w:rPr>
                <w:rFonts w:ascii="Arial" w:cs="Arial" w:eastAsia="Arial" w:hAnsi="Arial"/>
                <w:sz w:val="11"/>
                <w:szCs w:val="11"/>
                <w:b w:val="1"/>
                <w:bCs w:val="1"/>
                <w:color w:val="E2231A"/>
                <w:w w:val="96"/>
              </w:rPr>
              <w:t>or Units</w:t>
            </w:r>
          </w:p>
        </w:tc>
        <w:tc>
          <w:tcPr>
            <w:tcW w:w="680" w:type="dxa"/>
            <w:vAlign w:val="bottom"/>
          </w:tcPr>
          <w:p>
            <w:pPr>
              <w:jc w:val="center"/>
              <w:spacing w:after="0" w:line="112" w:lineRule="exact"/>
              <w:rPr>
                <w:sz w:val="20"/>
                <w:szCs w:val="20"/>
                <w:color w:val="auto"/>
              </w:rPr>
            </w:pPr>
            <w:r>
              <w:rPr>
                <w:rFonts w:ascii="Arial" w:cs="Arial" w:eastAsia="Arial" w:hAnsi="Arial"/>
                <w:sz w:val="11"/>
                <w:szCs w:val="11"/>
                <w:b w:val="1"/>
                <w:bCs w:val="1"/>
                <w:color w:val="E2231A"/>
                <w:w w:val="96"/>
              </w:rPr>
              <w:t>Options</w:t>
            </w:r>
          </w:p>
        </w:tc>
        <w:tc>
          <w:tcPr>
            <w:tcW w:w="560" w:type="dxa"/>
            <w:vAlign w:val="bottom"/>
          </w:tcPr>
          <w:p>
            <w:pPr>
              <w:jc w:val="center"/>
              <w:spacing w:after="0" w:line="112" w:lineRule="exact"/>
              <w:rPr>
                <w:sz w:val="20"/>
                <w:szCs w:val="20"/>
                <w:color w:val="auto"/>
              </w:rPr>
            </w:pPr>
            <w:r>
              <w:rPr>
                <w:rFonts w:ascii="Arial" w:cs="Arial" w:eastAsia="Arial" w:hAnsi="Arial"/>
                <w:sz w:val="11"/>
                <w:szCs w:val="11"/>
                <w:b w:val="1"/>
                <w:bCs w:val="1"/>
                <w:color w:val="E2231A"/>
              </w:rPr>
              <w:t>Awards</w:t>
            </w:r>
          </w:p>
        </w:tc>
        <w:tc>
          <w:tcPr>
            <w:tcW w:w="900" w:type="dxa"/>
            <w:vAlign w:val="bottom"/>
            <w:gridSpan w:val="2"/>
          </w:tcPr>
          <w:p>
            <w:pPr>
              <w:jc w:val="center"/>
              <w:ind w:right="144"/>
              <w:spacing w:after="0" w:line="112" w:lineRule="exact"/>
              <w:rPr>
                <w:sz w:val="20"/>
                <w:szCs w:val="20"/>
                <w:color w:val="auto"/>
              </w:rPr>
            </w:pPr>
            <w:r>
              <w:rPr>
                <w:rFonts w:ascii="Arial" w:cs="Arial" w:eastAsia="Arial" w:hAnsi="Arial"/>
                <w:sz w:val="11"/>
                <w:szCs w:val="11"/>
                <w:b w:val="1"/>
                <w:bCs w:val="1"/>
                <w:color w:val="E2231A"/>
                <w:w w:val="98"/>
              </w:rPr>
              <w:t>Awards</w:t>
            </w:r>
            <w:r>
              <w:rPr>
                <w:rFonts w:ascii="Arial" w:cs="Arial" w:eastAsia="Arial" w:hAnsi="Arial"/>
                <w:sz w:val="9"/>
                <w:szCs w:val="9"/>
                <w:b w:val="1"/>
                <w:bCs w:val="1"/>
                <w:color w:val="E2231A"/>
                <w:w w:val="98"/>
              </w:rPr>
              <w:t>(2)</w:t>
            </w:r>
          </w:p>
        </w:tc>
        <w:tc>
          <w:tcPr>
            <w:tcW w:w="0" w:type="dxa"/>
            <w:vAlign w:val="bottom"/>
          </w:tcPr>
          <w:p>
            <w:pPr>
              <w:spacing w:after="0"/>
              <w:rPr>
                <w:sz w:val="1"/>
                <w:szCs w:val="1"/>
                <w:color w:val="auto"/>
              </w:rPr>
            </w:pPr>
          </w:p>
        </w:tc>
      </w:tr>
      <w:tr>
        <w:trPr>
          <w:trHeight w:val="154"/>
        </w:trPr>
        <w:tc>
          <w:tcPr>
            <w:tcW w:w="960" w:type="dxa"/>
            <w:vAlign w:val="bottom"/>
          </w:tcPr>
          <w:p>
            <w:pPr>
              <w:ind w:left="80"/>
              <w:spacing w:after="0"/>
              <w:rPr>
                <w:sz w:val="20"/>
                <w:szCs w:val="20"/>
                <w:color w:val="auto"/>
              </w:rPr>
            </w:pPr>
            <w:r>
              <w:rPr>
                <w:rFonts w:ascii="Arial" w:cs="Arial" w:eastAsia="Arial" w:hAnsi="Arial"/>
                <w:sz w:val="11"/>
                <w:szCs w:val="11"/>
                <w:b w:val="1"/>
                <w:bCs w:val="1"/>
                <w:color w:val="E2231A"/>
              </w:rPr>
              <w:t>Name</w:t>
            </w:r>
            <w:r>
              <w:rPr>
                <w:rFonts w:ascii="Arial" w:cs="Arial" w:eastAsia="Arial" w:hAnsi="Arial"/>
                <w:sz w:val="9"/>
                <w:szCs w:val="9"/>
                <w:b w:val="1"/>
                <w:bCs w:val="1"/>
                <w:color w:val="E2231A"/>
              </w:rPr>
              <w:t>(a)</w:t>
            </w:r>
          </w:p>
        </w:tc>
        <w:tc>
          <w:tcPr>
            <w:tcW w:w="1540" w:type="dxa"/>
            <w:vAlign w:val="bottom"/>
          </w:tcPr>
          <w:p>
            <w:pPr>
              <w:jc w:val="right"/>
              <w:ind w:right="522"/>
              <w:spacing w:after="0"/>
              <w:rPr>
                <w:sz w:val="20"/>
                <w:szCs w:val="20"/>
                <w:color w:val="auto"/>
              </w:rPr>
            </w:pPr>
            <w:r>
              <w:rPr>
                <w:rFonts w:ascii="Arial" w:cs="Arial" w:eastAsia="Arial" w:hAnsi="Arial"/>
                <w:sz w:val="11"/>
                <w:szCs w:val="11"/>
                <w:b w:val="1"/>
                <w:bCs w:val="1"/>
                <w:color w:val="E2231A"/>
              </w:rPr>
              <w:t>Award</w:t>
            </w:r>
          </w:p>
        </w:tc>
        <w:tc>
          <w:tcPr>
            <w:tcW w:w="720" w:type="dxa"/>
            <w:vAlign w:val="bottom"/>
          </w:tcPr>
          <w:p>
            <w:pPr>
              <w:jc w:val="right"/>
              <w:ind w:right="102"/>
              <w:spacing w:after="0"/>
              <w:rPr>
                <w:sz w:val="20"/>
                <w:szCs w:val="20"/>
                <w:color w:val="auto"/>
              </w:rPr>
            </w:pPr>
            <w:r>
              <w:rPr>
                <w:rFonts w:ascii="Arial" w:cs="Arial" w:eastAsia="Arial" w:hAnsi="Arial"/>
                <w:sz w:val="11"/>
                <w:szCs w:val="11"/>
                <w:b w:val="1"/>
                <w:bCs w:val="1"/>
                <w:color w:val="E2231A"/>
              </w:rPr>
              <w:t>Date (b)</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2"/>
                <w:szCs w:val="12"/>
                <w:b w:val="1"/>
                <w:bCs w:val="1"/>
                <w:color w:val="E2231A"/>
              </w:rPr>
              <w:t>(c)</w:t>
            </w:r>
          </w:p>
        </w:tc>
        <w:tc>
          <w:tcPr>
            <w:tcW w:w="120" w:type="dxa"/>
            <w:vAlign w:val="bottom"/>
          </w:tcPr>
          <w:p>
            <w:pPr>
              <w:spacing w:after="0"/>
              <w:rPr>
                <w:sz w:val="13"/>
                <w:szCs w:val="13"/>
                <w:color w:val="auto"/>
              </w:rPr>
            </w:pPr>
          </w:p>
        </w:tc>
        <w:tc>
          <w:tcPr>
            <w:tcW w:w="580" w:type="dxa"/>
            <w:vAlign w:val="bottom"/>
          </w:tcPr>
          <w:p>
            <w:pPr>
              <w:jc w:val="center"/>
              <w:ind w:right="62"/>
              <w:spacing w:after="0"/>
              <w:rPr>
                <w:sz w:val="20"/>
                <w:szCs w:val="20"/>
                <w:color w:val="auto"/>
              </w:rPr>
            </w:pPr>
            <w:r>
              <w:rPr>
                <w:rFonts w:ascii="Arial" w:cs="Arial" w:eastAsia="Arial" w:hAnsi="Arial"/>
                <w:sz w:val="12"/>
                <w:szCs w:val="12"/>
                <w:b w:val="1"/>
                <w:bCs w:val="1"/>
                <w:color w:val="E2231A"/>
                <w:w w:val="91"/>
              </w:rPr>
              <w:t>(d)</w:t>
            </w:r>
          </w:p>
        </w:tc>
        <w:tc>
          <w:tcPr>
            <w:tcW w:w="7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E2231A"/>
                <w:w w:val="95"/>
              </w:rPr>
              <w:t>(e)</w:t>
            </w:r>
          </w:p>
        </w:tc>
        <w:tc>
          <w:tcPr>
            <w:tcW w:w="620" w:type="dxa"/>
            <w:vAlign w:val="bottom"/>
          </w:tcPr>
          <w:p>
            <w:pPr>
              <w:jc w:val="right"/>
              <w:ind w:right="162"/>
              <w:spacing w:after="0"/>
              <w:rPr>
                <w:sz w:val="20"/>
                <w:szCs w:val="20"/>
                <w:color w:val="auto"/>
              </w:rPr>
            </w:pPr>
            <w:r>
              <w:rPr>
                <w:rFonts w:ascii="Arial" w:cs="Arial" w:eastAsia="Arial" w:hAnsi="Arial"/>
                <w:sz w:val="12"/>
                <w:szCs w:val="12"/>
                <w:b w:val="1"/>
                <w:bCs w:val="1"/>
                <w:color w:val="E2231A"/>
              </w:rPr>
              <w:t>(f)(#)</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E2231A"/>
                <w:w w:val="99"/>
              </w:rPr>
              <w:t>(g)(#)</w:t>
            </w:r>
          </w:p>
        </w:tc>
        <w:tc>
          <w:tcPr>
            <w:tcW w:w="600" w:type="dxa"/>
            <w:vAlign w:val="bottom"/>
          </w:tcPr>
          <w:p>
            <w:pPr>
              <w:jc w:val="right"/>
              <w:ind w:right="62"/>
              <w:spacing w:after="0"/>
              <w:rPr>
                <w:sz w:val="20"/>
                <w:szCs w:val="20"/>
                <w:color w:val="auto"/>
              </w:rPr>
            </w:pPr>
            <w:r>
              <w:rPr>
                <w:rFonts w:ascii="Arial" w:cs="Arial" w:eastAsia="Arial" w:hAnsi="Arial"/>
                <w:sz w:val="12"/>
                <w:szCs w:val="12"/>
                <w:b w:val="1"/>
                <w:bCs w:val="1"/>
                <w:color w:val="E2231A"/>
              </w:rPr>
              <w:t>(h)(#)</w:t>
            </w:r>
          </w:p>
        </w:tc>
        <w:tc>
          <w:tcPr>
            <w:tcW w:w="700" w:type="dxa"/>
            <w:vAlign w:val="bottom"/>
          </w:tcPr>
          <w:p>
            <w:pPr>
              <w:jc w:val="center"/>
              <w:ind w:left="5"/>
              <w:spacing w:after="0"/>
              <w:rPr>
                <w:sz w:val="20"/>
                <w:szCs w:val="20"/>
                <w:color w:val="auto"/>
              </w:rPr>
            </w:pPr>
            <w:r>
              <w:rPr>
                <w:rFonts w:ascii="Arial" w:cs="Arial" w:eastAsia="Arial" w:hAnsi="Arial"/>
                <w:sz w:val="11"/>
                <w:szCs w:val="11"/>
                <w:b w:val="1"/>
                <w:bCs w:val="1"/>
                <w:color w:val="E2231A"/>
              </w:rPr>
              <w:t>(i)(#)</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E2231A"/>
              </w:rPr>
              <w:t>(j)(#)</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E2231A"/>
                <w:w w:val="99"/>
              </w:rPr>
              <w:t>(k)($/Sh)</w:t>
            </w:r>
          </w:p>
        </w:tc>
        <w:tc>
          <w:tcPr>
            <w:tcW w:w="120" w:type="dxa"/>
            <w:vAlign w:val="bottom"/>
          </w:tcPr>
          <w:p>
            <w:pPr>
              <w:spacing w:after="0"/>
              <w:rPr>
                <w:sz w:val="13"/>
                <w:szCs w:val="13"/>
                <w:color w:val="auto"/>
              </w:rPr>
            </w:pPr>
          </w:p>
        </w:tc>
        <w:tc>
          <w:tcPr>
            <w:tcW w:w="780" w:type="dxa"/>
            <w:vAlign w:val="bottom"/>
          </w:tcPr>
          <w:p>
            <w:pPr>
              <w:jc w:val="center"/>
              <w:ind w:right="264"/>
              <w:spacing w:after="0"/>
              <w:rPr>
                <w:sz w:val="20"/>
                <w:szCs w:val="20"/>
                <w:color w:val="auto"/>
              </w:rPr>
            </w:pPr>
            <w:r>
              <w:rPr>
                <w:rFonts w:ascii="Arial" w:cs="Arial" w:eastAsia="Arial" w:hAnsi="Arial"/>
                <w:sz w:val="11"/>
                <w:szCs w:val="11"/>
                <w:b w:val="1"/>
                <w:bCs w:val="1"/>
                <w:color w:val="E2231A"/>
                <w:w w:val="95"/>
              </w:rPr>
              <w:t>(l)</w:t>
            </w:r>
          </w:p>
        </w:tc>
        <w:tc>
          <w:tcPr>
            <w:tcW w:w="0" w:type="dxa"/>
            <w:vAlign w:val="bottom"/>
          </w:tcPr>
          <w:p>
            <w:pPr>
              <w:spacing w:after="0"/>
              <w:rPr>
                <w:sz w:val="1"/>
                <w:szCs w:val="1"/>
                <w:color w:val="auto"/>
              </w:rPr>
            </w:pPr>
          </w:p>
        </w:tc>
      </w:tr>
      <w:tr>
        <w:trPr>
          <w:trHeight w:val="74"/>
        </w:trPr>
        <w:tc>
          <w:tcPr>
            <w:tcW w:w="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960" w:type="dxa"/>
            <w:vAlign w:val="bottom"/>
            <w:shd w:val="clear" w:color="auto" w:fill="FCE9E8"/>
          </w:tcPr>
          <w:p>
            <w:pPr>
              <w:ind w:left="80"/>
              <w:spacing w:after="0"/>
              <w:rPr>
                <w:sz w:val="20"/>
                <w:szCs w:val="20"/>
                <w:color w:val="auto"/>
              </w:rPr>
            </w:pPr>
            <w:r>
              <w:rPr>
                <w:rFonts w:ascii="Arial" w:cs="Arial" w:eastAsia="Arial" w:hAnsi="Arial"/>
                <w:sz w:val="12"/>
                <w:szCs w:val="12"/>
                <w:color w:val="auto"/>
              </w:rPr>
              <w:t>Raymond E.</w:t>
            </w:r>
          </w:p>
        </w:tc>
        <w:tc>
          <w:tcPr>
            <w:tcW w:w="1540" w:type="dxa"/>
            <w:vAlign w:val="bottom"/>
            <w:shd w:val="clear" w:color="auto" w:fill="FCE9E8"/>
          </w:tcPr>
          <w:p>
            <w:pPr>
              <w:spacing w:after="0"/>
              <w:rPr>
                <w:sz w:val="16"/>
                <w:szCs w:val="16"/>
                <w:color w:val="auto"/>
              </w:rPr>
            </w:pPr>
          </w:p>
        </w:tc>
        <w:tc>
          <w:tcPr>
            <w:tcW w:w="720" w:type="dxa"/>
            <w:vAlign w:val="bottom"/>
            <w:shd w:val="clear" w:color="auto" w:fill="FCE9E8"/>
          </w:tcPr>
          <w:p>
            <w:pPr>
              <w:spacing w:after="0"/>
              <w:rPr>
                <w:sz w:val="16"/>
                <w:szCs w:val="16"/>
                <w:color w:val="auto"/>
              </w:rPr>
            </w:pPr>
          </w:p>
        </w:tc>
        <w:tc>
          <w:tcPr>
            <w:tcW w:w="60" w:type="dxa"/>
            <w:vAlign w:val="bottom"/>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12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20" w:type="dxa"/>
            <w:vAlign w:val="bottom"/>
            <w:shd w:val="clear" w:color="auto" w:fill="FCE9E8"/>
          </w:tcPr>
          <w:p>
            <w:pPr>
              <w:spacing w:after="0"/>
              <w:rPr>
                <w:sz w:val="16"/>
                <w:szCs w:val="16"/>
                <w:color w:val="auto"/>
              </w:rPr>
            </w:pPr>
          </w:p>
        </w:tc>
        <w:tc>
          <w:tcPr>
            <w:tcW w:w="620" w:type="dxa"/>
            <w:vAlign w:val="bottom"/>
            <w:shd w:val="clear" w:color="auto" w:fill="FCE9E8"/>
          </w:tcPr>
          <w:p>
            <w:pPr>
              <w:spacing w:after="0"/>
              <w:rPr>
                <w:sz w:val="16"/>
                <w:szCs w:val="16"/>
                <w:color w:val="auto"/>
              </w:rPr>
            </w:pPr>
          </w:p>
        </w:tc>
        <w:tc>
          <w:tcPr>
            <w:tcW w:w="500" w:type="dxa"/>
            <w:vAlign w:val="bottom"/>
            <w:shd w:val="clear" w:color="auto" w:fill="FCE9E8"/>
          </w:tcPr>
          <w:p>
            <w:pPr>
              <w:spacing w:after="0"/>
              <w:rPr>
                <w:sz w:val="16"/>
                <w:szCs w:val="16"/>
                <w:color w:val="auto"/>
              </w:rPr>
            </w:pPr>
          </w:p>
        </w:tc>
        <w:tc>
          <w:tcPr>
            <w:tcW w:w="60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68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120" w:type="dxa"/>
            <w:vAlign w:val="bottom"/>
            <w:shd w:val="clear" w:color="auto" w:fill="FCE9E8"/>
          </w:tcPr>
          <w:p>
            <w:pPr>
              <w:spacing w:after="0"/>
              <w:rPr>
                <w:sz w:val="16"/>
                <w:szCs w:val="16"/>
                <w:color w:val="auto"/>
              </w:rPr>
            </w:pPr>
          </w:p>
        </w:tc>
        <w:tc>
          <w:tcPr>
            <w:tcW w:w="78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60" w:type="dxa"/>
            <w:vAlign w:val="bottom"/>
            <w:shd w:val="clear" w:color="auto" w:fill="FCE9E8"/>
          </w:tcPr>
          <w:p>
            <w:pPr>
              <w:ind w:left="80"/>
              <w:spacing w:after="0" w:line="133" w:lineRule="exact"/>
              <w:rPr>
                <w:sz w:val="20"/>
                <w:szCs w:val="20"/>
                <w:color w:val="auto"/>
              </w:rPr>
            </w:pPr>
            <w:r>
              <w:rPr>
                <w:rFonts w:ascii="Arial" w:cs="Arial" w:eastAsia="Arial" w:hAnsi="Arial"/>
                <w:sz w:val="12"/>
                <w:szCs w:val="12"/>
                <w:color w:val="auto"/>
              </w:rPr>
              <w:t>Scott</w:t>
            </w:r>
          </w:p>
        </w:tc>
        <w:tc>
          <w:tcPr>
            <w:tcW w:w="154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Annual Incentive Award</w:t>
            </w:r>
          </w:p>
        </w:tc>
        <w:tc>
          <w:tcPr>
            <w:tcW w:w="72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gridSpan w:val="2"/>
            <w:shd w:val="clear" w:color="auto" w:fill="FCE9E8"/>
          </w:tcPr>
          <w:p>
            <w:pPr>
              <w:ind w:left="60"/>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FCE9E8"/>
          </w:tcPr>
          <w:p>
            <w:pPr>
              <w:ind w:left="40"/>
              <w:spacing w:after="0" w:line="133" w:lineRule="exact"/>
              <w:rPr>
                <w:sz w:val="20"/>
                <w:szCs w:val="20"/>
                <w:color w:val="auto"/>
              </w:rPr>
            </w:pPr>
            <w:r>
              <w:rPr>
                <w:rFonts w:ascii="Arial" w:cs="Arial" w:eastAsia="Arial" w:hAnsi="Arial"/>
                <w:sz w:val="12"/>
                <w:szCs w:val="12"/>
                <w:color w:val="auto"/>
              </w:rPr>
              <w:t>900,000</w:t>
            </w:r>
          </w:p>
        </w:tc>
        <w:tc>
          <w:tcPr>
            <w:tcW w:w="120" w:type="dxa"/>
            <w:vAlign w:val="bottom"/>
            <w:shd w:val="clear" w:color="auto" w:fill="FCE9E8"/>
          </w:tcPr>
          <w:p>
            <w:pPr>
              <w:jc w:val="right"/>
              <w:spacing w:after="0" w:line="133" w:lineRule="exact"/>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ind w:right="2"/>
              <w:spacing w:after="0" w:line="133" w:lineRule="exact"/>
              <w:rPr>
                <w:sz w:val="20"/>
                <w:szCs w:val="20"/>
                <w:color w:val="auto"/>
              </w:rPr>
            </w:pPr>
            <w:r>
              <w:rPr>
                <w:rFonts w:ascii="Arial" w:cs="Arial" w:eastAsia="Arial" w:hAnsi="Arial"/>
                <w:sz w:val="12"/>
                <w:szCs w:val="12"/>
                <w:color w:val="auto"/>
                <w:w w:val="93"/>
              </w:rPr>
              <w:t>1,800,000</w:t>
            </w:r>
          </w:p>
        </w:tc>
        <w:tc>
          <w:tcPr>
            <w:tcW w:w="640" w:type="dxa"/>
            <w:vAlign w:val="bottom"/>
            <w:shd w:val="clear" w:color="auto" w:fill="FCE9E8"/>
          </w:tcPr>
          <w:p>
            <w:pPr>
              <w:jc w:val="center"/>
              <w:ind w:left="2"/>
              <w:spacing w:after="0" w:line="133" w:lineRule="exact"/>
              <w:rPr>
                <w:sz w:val="20"/>
                <w:szCs w:val="20"/>
                <w:color w:val="auto"/>
              </w:rPr>
            </w:pPr>
            <w:r>
              <w:rPr>
                <w:rFonts w:ascii="Arial" w:cs="Arial" w:eastAsia="Arial" w:hAnsi="Arial"/>
                <w:sz w:val="12"/>
                <w:szCs w:val="12"/>
                <w:color w:val="auto"/>
                <w:w w:val="96"/>
              </w:rPr>
              <w:t>$3,600,000</w:t>
            </w:r>
          </w:p>
        </w:tc>
        <w:tc>
          <w:tcPr>
            <w:tcW w:w="120" w:type="dxa"/>
            <w:vAlign w:val="bottom"/>
            <w:shd w:val="clear" w:color="auto" w:fill="FCE9E8"/>
          </w:tcPr>
          <w:p>
            <w:pPr>
              <w:spacing w:after="0"/>
              <w:rPr>
                <w:sz w:val="11"/>
                <w:szCs w:val="11"/>
                <w:color w:val="auto"/>
              </w:rPr>
            </w:pPr>
          </w:p>
        </w:tc>
        <w:tc>
          <w:tcPr>
            <w:tcW w:w="620" w:type="dxa"/>
            <w:vAlign w:val="bottom"/>
            <w:shd w:val="clear" w:color="auto" w:fill="FCE9E8"/>
          </w:tcPr>
          <w:p>
            <w:pPr>
              <w:spacing w:after="0"/>
              <w:rPr>
                <w:sz w:val="11"/>
                <w:szCs w:val="11"/>
                <w:color w:val="auto"/>
              </w:rPr>
            </w:pPr>
          </w:p>
        </w:tc>
        <w:tc>
          <w:tcPr>
            <w:tcW w:w="500" w:type="dxa"/>
            <w:vAlign w:val="bottom"/>
            <w:shd w:val="clear" w:color="auto" w:fill="FCE9E8"/>
          </w:tcPr>
          <w:p>
            <w:pPr>
              <w:spacing w:after="0"/>
              <w:rPr>
                <w:sz w:val="11"/>
                <w:szCs w:val="11"/>
                <w:color w:val="auto"/>
              </w:rPr>
            </w:pPr>
          </w:p>
        </w:tc>
        <w:tc>
          <w:tcPr>
            <w:tcW w:w="600" w:type="dxa"/>
            <w:vAlign w:val="bottom"/>
            <w:shd w:val="clear" w:color="auto" w:fill="FCE9E8"/>
          </w:tcPr>
          <w:p>
            <w:pPr>
              <w:spacing w:after="0"/>
              <w:rPr>
                <w:sz w:val="11"/>
                <w:szCs w:val="11"/>
                <w:color w:val="auto"/>
              </w:rPr>
            </w:pPr>
          </w:p>
        </w:tc>
        <w:tc>
          <w:tcPr>
            <w:tcW w:w="700" w:type="dxa"/>
            <w:vAlign w:val="bottom"/>
            <w:shd w:val="clear" w:color="auto" w:fill="FCE9E8"/>
          </w:tcPr>
          <w:p>
            <w:pPr>
              <w:spacing w:after="0"/>
              <w:rPr>
                <w:sz w:val="11"/>
                <w:szCs w:val="11"/>
                <w:color w:val="auto"/>
              </w:rPr>
            </w:pPr>
          </w:p>
        </w:tc>
        <w:tc>
          <w:tcPr>
            <w:tcW w:w="680" w:type="dxa"/>
            <w:vAlign w:val="bottom"/>
            <w:shd w:val="clear" w:color="auto" w:fill="FCE9E8"/>
          </w:tcPr>
          <w:p>
            <w:pPr>
              <w:spacing w:after="0"/>
              <w:rPr>
                <w:sz w:val="11"/>
                <w:szCs w:val="11"/>
                <w:color w:val="auto"/>
              </w:rPr>
            </w:pPr>
          </w:p>
        </w:tc>
        <w:tc>
          <w:tcPr>
            <w:tcW w:w="56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80" w:type="dxa"/>
            <w:vAlign w:val="bottom"/>
            <w:shd w:val="clear" w:color="auto" w:fill="FCE9E8"/>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17,988</w:t>
            </w:r>
          </w:p>
        </w:tc>
        <w:tc>
          <w:tcPr>
            <w:tcW w:w="5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35,976</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71,952</w:t>
            </w: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900" w:type="dxa"/>
            <w:vAlign w:val="bottom"/>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$5,680,850</w:t>
            </w: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50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11,992</w:t>
            </w: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900" w:type="dxa"/>
            <w:vAlign w:val="bottom"/>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$1,679,959</w:t>
            </w: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50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jc w:val="right"/>
              <w:ind w:right="5"/>
              <w:spacing w:after="0"/>
              <w:rPr>
                <w:sz w:val="20"/>
                <w:szCs w:val="20"/>
                <w:color w:val="auto"/>
              </w:rPr>
            </w:pPr>
            <w:r>
              <w:rPr>
                <w:rFonts w:ascii="Arial" w:cs="Arial" w:eastAsia="Arial" w:hAnsi="Arial"/>
                <w:sz w:val="12"/>
                <w:szCs w:val="12"/>
                <w:color w:val="auto"/>
              </w:rPr>
              <w:t>55,409</w:t>
            </w:r>
          </w:p>
        </w:tc>
        <w:tc>
          <w:tcPr>
            <w:tcW w:w="560" w:type="dxa"/>
            <w:vAlign w:val="bottom"/>
            <w:shd w:val="clear" w:color="auto" w:fill="FCE9E8"/>
          </w:tcPr>
          <w:p>
            <w:pPr>
              <w:jc w:val="center"/>
              <w:spacing w:after="0"/>
              <w:rPr>
                <w:sz w:val="20"/>
                <w:szCs w:val="20"/>
                <w:color w:val="auto"/>
              </w:rPr>
            </w:pPr>
            <w:r>
              <w:rPr>
                <w:rFonts w:ascii="Arial" w:cs="Arial" w:eastAsia="Arial" w:hAnsi="Arial"/>
                <w:sz w:val="12"/>
                <w:szCs w:val="12"/>
                <w:color w:val="auto"/>
                <w:w w:val="94"/>
              </w:rPr>
              <w:t>$ 140.09</w:t>
            </w:r>
          </w:p>
        </w:tc>
        <w:tc>
          <w:tcPr>
            <w:tcW w:w="900" w:type="dxa"/>
            <w:vAlign w:val="bottom"/>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$1,680,001</w:t>
            </w:r>
          </w:p>
        </w:tc>
        <w:tc>
          <w:tcPr>
            <w:tcW w:w="0" w:type="dxa"/>
            <w:vAlign w:val="bottom"/>
          </w:tcPr>
          <w:p>
            <w:pPr>
              <w:spacing w:after="0"/>
              <w:rPr>
                <w:sz w:val="1"/>
                <w:szCs w:val="1"/>
                <w:color w:val="auto"/>
              </w:rPr>
            </w:pPr>
          </w:p>
        </w:tc>
      </w:tr>
      <w:tr>
        <w:trPr>
          <w:trHeight w:val="205"/>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50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FCE9E8"/>
          </w:tcPr>
          <w:p>
            <w:pPr>
              <w:spacing w:after="0"/>
              <w:rPr>
                <w:sz w:val="9"/>
                <w:szCs w:val="9"/>
                <w:color w:val="auto"/>
              </w:rPr>
            </w:pPr>
          </w:p>
        </w:tc>
        <w:tc>
          <w:tcPr>
            <w:tcW w:w="1540" w:type="dxa"/>
            <w:vAlign w:val="bottom"/>
            <w:shd w:val="clear" w:color="auto" w:fill="FCE9E8"/>
          </w:tcPr>
          <w:p>
            <w:pPr>
              <w:jc w:val="right"/>
              <w:spacing w:after="0" w:line="110" w:lineRule="exact"/>
              <w:rPr>
                <w:sz w:val="20"/>
                <w:szCs w:val="20"/>
                <w:color w:val="auto"/>
              </w:rPr>
            </w:pPr>
            <w:r>
              <w:rPr>
                <w:rFonts w:ascii="Arial" w:cs="Arial" w:eastAsia="Arial" w:hAnsi="Arial"/>
                <w:sz w:val="12"/>
                <w:szCs w:val="12"/>
                <w:color w:val="auto"/>
              </w:rPr>
              <w:t>(Performance-Based</w:t>
            </w:r>
          </w:p>
        </w:tc>
        <w:tc>
          <w:tcPr>
            <w:tcW w:w="720" w:type="dxa"/>
            <w:vAlign w:val="bottom"/>
            <w:shd w:val="clear" w:color="auto" w:fill="FCE9E8"/>
          </w:tcPr>
          <w:p>
            <w:pPr>
              <w:spacing w:after="0"/>
              <w:rPr>
                <w:sz w:val="9"/>
                <w:szCs w:val="9"/>
                <w:color w:val="auto"/>
              </w:rPr>
            </w:pPr>
          </w:p>
        </w:tc>
        <w:tc>
          <w:tcPr>
            <w:tcW w:w="60" w:type="dxa"/>
            <w:vAlign w:val="bottom"/>
            <w:shd w:val="clear" w:color="auto" w:fill="FCE9E8"/>
          </w:tcPr>
          <w:p>
            <w:pPr>
              <w:spacing w:after="0"/>
              <w:rPr>
                <w:sz w:val="9"/>
                <w:szCs w:val="9"/>
                <w:color w:val="auto"/>
              </w:rPr>
            </w:pPr>
          </w:p>
        </w:tc>
        <w:tc>
          <w:tcPr>
            <w:tcW w:w="100" w:type="dxa"/>
            <w:vAlign w:val="bottom"/>
            <w:shd w:val="clear" w:color="auto" w:fill="FCE9E8"/>
          </w:tcPr>
          <w:p>
            <w:pPr>
              <w:spacing w:after="0"/>
              <w:rPr>
                <w:sz w:val="9"/>
                <w:szCs w:val="9"/>
                <w:color w:val="auto"/>
              </w:rPr>
            </w:pPr>
          </w:p>
        </w:tc>
        <w:tc>
          <w:tcPr>
            <w:tcW w:w="52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580" w:type="dxa"/>
            <w:vAlign w:val="bottom"/>
            <w:shd w:val="clear" w:color="auto" w:fill="FCE9E8"/>
          </w:tcPr>
          <w:p>
            <w:pPr>
              <w:spacing w:after="0"/>
              <w:rPr>
                <w:sz w:val="9"/>
                <w:szCs w:val="9"/>
                <w:color w:val="auto"/>
              </w:rPr>
            </w:pPr>
          </w:p>
        </w:tc>
        <w:tc>
          <w:tcPr>
            <w:tcW w:w="64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620" w:type="dxa"/>
            <w:vAlign w:val="bottom"/>
            <w:shd w:val="clear" w:color="auto" w:fill="FCE9E8"/>
          </w:tcPr>
          <w:p>
            <w:pPr>
              <w:spacing w:after="0"/>
              <w:rPr>
                <w:sz w:val="9"/>
                <w:szCs w:val="9"/>
                <w:color w:val="auto"/>
              </w:rPr>
            </w:pPr>
          </w:p>
        </w:tc>
        <w:tc>
          <w:tcPr>
            <w:tcW w:w="500" w:type="dxa"/>
            <w:vAlign w:val="bottom"/>
            <w:shd w:val="clear" w:color="auto" w:fill="FCE9E8"/>
          </w:tcPr>
          <w:p>
            <w:pPr>
              <w:spacing w:after="0"/>
              <w:rPr>
                <w:sz w:val="9"/>
                <w:szCs w:val="9"/>
                <w:color w:val="auto"/>
              </w:rPr>
            </w:pPr>
          </w:p>
        </w:tc>
        <w:tc>
          <w:tcPr>
            <w:tcW w:w="600" w:type="dxa"/>
            <w:vAlign w:val="bottom"/>
            <w:shd w:val="clear" w:color="auto" w:fill="FCE9E8"/>
          </w:tcPr>
          <w:p>
            <w:pPr>
              <w:spacing w:after="0"/>
              <w:rPr>
                <w:sz w:val="9"/>
                <w:szCs w:val="9"/>
                <w:color w:val="auto"/>
              </w:rPr>
            </w:pPr>
          </w:p>
        </w:tc>
        <w:tc>
          <w:tcPr>
            <w:tcW w:w="700" w:type="dxa"/>
            <w:vAlign w:val="bottom"/>
            <w:shd w:val="clear" w:color="auto" w:fill="FCE9E8"/>
          </w:tcPr>
          <w:p>
            <w:pPr>
              <w:spacing w:after="0"/>
              <w:rPr>
                <w:sz w:val="9"/>
                <w:szCs w:val="9"/>
                <w:color w:val="auto"/>
              </w:rPr>
            </w:pPr>
          </w:p>
        </w:tc>
        <w:tc>
          <w:tcPr>
            <w:tcW w:w="680" w:type="dxa"/>
            <w:vAlign w:val="bottom"/>
            <w:shd w:val="clear" w:color="auto" w:fill="FCE9E8"/>
          </w:tcPr>
          <w:p>
            <w:pPr>
              <w:spacing w:after="0"/>
              <w:rPr>
                <w:sz w:val="9"/>
                <w:szCs w:val="9"/>
                <w:color w:val="auto"/>
              </w:rPr>
            </w:pPr>
          </w:p>
        </w:tc>
        <w:tc>
          <w:tcPr>
            <w:tcW w:w="56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780" w:type="dxa"/>
            <w:vAlign w:val="bottom"/>
            <w:shd w:val="clear" w:color="auto" w:fill="FCE9E8"/>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Borders>
              <w:bottom w:val="single" w:sz="8" w:color="auto"/>
            </w:tcBorders>
            <w:shd w:val="clear" w:color="auto" w:fill="FCE9E8"/>
          </w:tcPr>
          <w:p>
            <w:pPr>
              <w:spacing w:after="0"/>
              <w:rPr>
                <w:sz w:val="16"/>
                <w:szCs w:val="16"/>
                <w:color w:val="auto"/>
              </w:rPr>
            </w:pPr>
          </w:p>
        </w:tc>
        <w:tc>
          <w:tcPr>
            <w:tcW w:w="1540" w:type="dxa"/>
            <w:vAlign w:val="bottom"/>
            <w:tcBorders>
              <w:bottom w:val="single" w:sz="8" w:color="auto"/>
            </w:tcBorders>
            <w:shd w:val="clear" w:color="auto" w:fill="FCE9E8"/>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11/18/2020</w:t>
            </w:r>
          </w:p>
        </w:tc>
        <w:tc>
          <w:tcPr>
            <w:tcW w:w="60" w:type="dxa"/>
            <w:vAlign w:val="bottom"/>
            <w:tcBorders>
              <w:bottom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520" w:type="dxa"/>
            <w:vAlign w:val="bottom"/>
            <w:tcBorders>
              <w:bottom w:val="single" w:sz="8" w:color="auto"/>
            </w:tcBorders>
            <w:shd w:val="clear" w:color="auto" w:fill="FCE9E8"/>
          </w:tcPr>
          <w:p>
            <w:pPr>
              <w:spacing w:after="0"/>
              <w:rPr>
                <w:sz w:val="16"/>
                <w:szCs w:val="16"/>
                <w:color w:val="auto"/>
              </w:rPr>
            </w:pPr>
          </w:p>
        </w:tc>
        <w:tc>
          <w:tcPr>
            <w:tcW w:w="120" w:type="dxa"/>
            <w:vAlign w:val="bottom"/>
            <w:tcBorders>
              <w:bottom w:val="single" w:sz="8" w:color="auto"/>
            </w:tcBorders>
            <w:shd w:val="clear" w:color="auto" w:fill="FCE9E8"/>
          </w:tcPr>
          <w:p>
            <w:pPr>
              <w:spacing w:after="0"/>
              <w:rPr>
                <w:sz w:val="16"/>
                <w:szCs w:val="16"/>
                <w:color w:val="auto"/>
              </w:rPr>
            </w:pPr>
          </w:p>
        </w:tc>
        <w:tc>
          <w:tcPr>
            <w:tcW w:w="580" w:type="dxa"/>
            <w:vAlign w:val="bottom"/>
            <w:tcBorders>
              <w:bottom w:val="single" w:sz="8" w:color="auto"/>
            </w:tcBorders>
            <w:shd w:val="clear" w:color="auto" w:fill="FCE9E8"/>
          </w:tcPr>
          <w:p>
            <w:pPr>
              <w:spacing w:after="0"/>
              <w:rPr>
                <w:sz w:val="16"/>
                <w:szCs w:val="16"/>
                <w:color w:val="auto"/>
              </w:rPr>
            </w:pPr>
          </w:p>
        </w:tc>
        <w:tc>
          <w:tcPr>
            <w:tcW w:w="640" w:type="dxa"/>
            <w:vAlign w:val="bottom"/>
            <w:tcBorders>
              <w:bottom w:val="single" w:sz="8" w:color="auto"/>
            </w:tcBorders>
            <w:shd w:val="clear" w:color="auto" w:fill="FCE9E8"/>
          </w:tcPr>
          <w:p>
            <w:pPr>
              <w:spacing w:after="0"/>
              <w:rPr>
                <w:sz w:val="16"/>
                <w:szCs w:val="16"/>
                <w:color w:val="auto"/>
              </w:rPr>
            </w:pPr>
          </w:p>
        </w:tc>
        <w:tc>
          <w:tcPr>
            <w:tcW w:w="120" w:type="dxa"/>
            <w:vAlign w:val="bottom"/>
            <w:tcBorders>
              <w:bottom w:val="single" w:sz="8" w:color="auto"/>
            </w:tcBorders>
            <w:shd w:val="clear" w:color="auto" w:fill="FCE9E8"/>
          </w:tcPr>
          <w:p>
            <w:pPr>
              <w:spacing w:after="0"/>
              <w:rPr>
                <w:sz w:val="16"/>
                <w:szCs w:val="16"/>
                <w:color w:val="auto"/>
              </w:rPr>
            </w:pPr>
          </w:p>
        </w:tc>
        <w:tc>
          <w:tcPr>
            <w:tcW w:w="620" w:type="dxa"/>
            <w:vAlign w:val="bottom"/>
            <w:tcBorders>
              <w:bottom w:val="single" w:sz="8" w:color="auto"/>
            </w:tcBorders>
            <w:shd w:val="clear" w:color="auto" w:fill="FCE9E8"/>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21,250</w:t>
            </w:r>
          </w:p>
        </w:tc>
        <w:tc>
          <w:tcPr>
            <w:tcW w:w="6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21,250</w:t>
            </w:r>
          </w:p>
        </w:tc>
        <w:tc>
          <w:tcPr>
            <w:tcW w:w="700" w:type="dxa"/>
            <w:vAlign w:val="bottom"/>
            <w:tcBorders>
              <w:bottom w:val="single" w:sz="8" w:color="auto"/>
            </w:tcBorders>
            <w:shd w:val="clear" w:color="auto" w:fill="FCE9E8"/>
          </w:tcPr>
          <w:p>
            <w:pPr>
              <w:spacing w:after="0"/>
              <w:rPr>
                <w:sz w:val="16"/>
                <w:szCs w:val="16"/>
                <w:color w:val="auto"/>
              </w:rPr>
            </w:pPr>
          </w:p>
        </w:tc>
        <w:tc>
          <w:tcPr>
            <w:tcW w:w="680" w:type="dxa"/>
            <w:vAlign w:val="bottom"/>
            <w:tcBorders>
              <w:bottom w:val="single" w:sz="8" w:color="auto"/>
            </w:tcBorders>
            <w:shd w:val="clear" w:color="auto" w:fill="FCE9E8"/>
          </w:tcPr>
          <w:p>
            <w:pPr>
              <w:spacing w:after="0"/>
              <w:rPr>
                <w:sz w:val="16"/>
                <w:szCs w:val="16"/>
                <w:color w:val="auto"/>
              </w:rPr>
            </w:pPr>
          </w:p>
        </w:tc>
        <w:tc>
          <w:tcPr>
            <w:tcW w:w="560" w:type="dxa"/>
            <w:vAlign w:val="bottom"/>
            <w:tcBorders>
              <w:bottom w:val="single" w:sz="8" w:color="auto"/>
            </w:tcBorders>
            <w:shd w:val="clear" w:color="auto" w:fill="FCE9E8"/>
          </w:tcPr>
          <w:p>
            <w:pPr>
              <w:spacing w:after="0"/>
              <w:rPr>
                <w:sz w:val="16"/>
                <w:szCs w:val="16"/>
                <w:color w:val="auto"/>
              </w:rPr>
            </w:pPr>
          </w:p>
        </w:tc>
        <w:tc>
          <w:tcPr>
            <w:tcW w:w="900" w:type="dxa"/>
            <w:vAlign w:val="bottom"/>
            <w:tcBorders>
              <w:bottom w:val="single" w:sz="8" w:color="auto"/>
            </w:tcBorders>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$2,660,020</w:t>
            </w:r>
          </w:p>
        </w:tc>
        <w:tc>
          <w:tcPr>
            <w:tcW w:w="0" w:type="dxa"/>
            <w:vAlign w:val="bottom"/>
          </w:tcPr>
          <w:p>
            <w:pPr>
              <w:spacing w:after="0"/>
              <w:rPr>
                <w:sz w:val="1"/>
                <w:szCs w:val="1"/>
                <w:color w:val="auto"/>
              </w:rPr>
            </w:pPr>
          </w:p>
        </w:tc>
      </w:tr>
      <w:tr>
        <w:trPr>
          <w:trHeight w:val="185"/>
        </w:trPr>
        <w:tc>
          <w:tcPr>
            <w:tcW w:w="960" w:type="dxa"/>
            <w:vAlign w:val="bottom"/>
          </w:tcPr>
          <w:p>
            <w:pPr>
              <w:ind w:left="80"/>
              <w:spacing w:after="0"/>
              <w:rPr>
                <w:sz w:val="20"/>
                <w:szCs w:val="20"/>
                <w:color w:val="auto"/>
              </w:rPr>
            </w:pPr>
            <w:r>
              <w:rPr>
                <w:rFonts w:ascii="Arial" w:cs="Arial" w:eastAsia="Arial" w:hAnsi="Arial"/>
                <w:sz w:val="12"/>
                <w:szCs w:val="12"/>
                <w:color w:val="auto"/>
              </w:rPr>
              <w:t>Jason M.</w:t>
            </w: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Pr>
          <w:p>
            <w:pPr>
              <w:ind w:left="80"/>
              <w:spacing w:after="0"/>
              <w:rPr>
                <w:sz w:val="20"/>
                <w:szCs w:val="20"/>
                <w:color w:val="auto"/>
              </w:rPr>
            </w:pPr>
            <w:r>
              <w:rPr>
                <w:rFonts w:ascii="Arial" w:cs="Arial" w:eastAsia="Arial" w:hAnsi="Arial"/>
                <w:sz w:val="12"/>
                <w:szCs w:val="12"/>
                <w:color w:val="auto"/>
              </w:rPr>
              <w:t>Cardew</w:t>
            </w:r>
          </w:p>
        </w:tc>
        <w:tc>
          <w:tcPr>
            <w:tcW w:w="1540" w:type="dxa"/>
            <w:vAlign w:val="bottom"/>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520" w:type="dxa"/>
            <w:vAlign w:val="bottom"/>
          </w:tcPr>
          <w:p>
            <w:pPr>
              <w:ind w:left="40"/>
              <w:spacing w:after="0"/>
              <w:rPr>
                <w:sz w:val="20"/>
                <w:szCs w:val="20"/>
                <w:color w:val="auto"/>
              </w:rPr>
            </w:pPr>
            <w:r>
              <w:rPr>
                <w:rFonts w:ascii="Arial" w:cs="Arial" w:eastAsia="Arial" w:hAnsi="Arial"/>
                <w:sz w:val="12"/>
                <w:szCs w:val="12"/>
                <w:color w:val="auto"/>
              </w:rPr>
              <w:t>315,000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630,000</w:t>
            </w:r>
          </w:p>
        </w:tc>
        <w:tc>
          <w:tcPr>
            <w:tcW w:w="640" w:type="dxa"/>
            <w:vAlign w:val="bottom"/>
          </w:tcPr>
          <w:p>
            <w:pPr>
              <w:jc w:val="center"/>
              <w:ind w:left="2"/>
              <w:spacing w:after="0"/>
              <w:rPr>
                <w:sz w:val="20"/>
                <w:szCs w:val="20"/>
                <w:color w:val="auto"/>
              </w:rPr>
            </w:pPr>
            <w:r>
              <w:rPr>
                <w:rFonts w:ascii="Arial" w:cs="Arial" w:eastAsia="Arial" w:hAnsi="Arial"/>
                <w:sz w:val="12"/>
                <w:szCs w:val="12"/>
                <w:color w:val="auto"/>
                <w:w w:val="96"/>
              </w:rPr>
              <w:t>$1,260,000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4,047</w:t>
            </w:r>
          </w:p>
        </w:tc>
        <w:tc>
          <w:tcPr>
            <w:tcW w:w="500" w:type="dxa"/>
            <w:vAlign w:val="bottom"/>
          </w:tcPr>
          <w:p>
            <w:pPr>
              <w:jc w:val="right"/>
              <w:spacing w:after="0"/>
              <w:rPr>
                <w:sz w:val="20"/>
                <w:szCs w:val="20"/>
                <w:color w:val="auto"/>
              </w:rPr>
            </w:pPr>
            <w:r>
              <w:rPr>
                <w:rFonts w:ascii="Arial" w:cs="Arial" w:eastAsia="Arial" w:hAnsi="Arial"/>
                <w:sz w:val="12"/>
                <w:szCs w:val="12"/>
                <w:color w:val="auto"/>
              </w:rPr>
              <w:t>8,094</w:t>
            </w:r>
          </w:p>
        </w:tc>
        <w:tc>
          <w:tcPr>
            <w:tcW w:w="600" w:type="dxa"/>
            <w:vAlign w:val="bottom"/>
          </w:tcPr>
          <w:p>
            <w:pPr>
              <w:jc w:val="right"/>
              <w:spacing w:after="0"/>
              <w:rPr>
                <w:sz w:val="20"/>
                <w:szCs w:val="20"/>
                <w:color w:val="auto"/>
              </w:rPr>
            </w:pPr>
            <w:r>
              <w:rPr>
                <w:rFonts w:ascii="Arial" w:cs="Arial" w:eastAsia="Arial" w:hAnsi="Arial"/>
                <w:sz w:val="12"/>
                <w:szCs w:val="12"/>
                <w:color w:val="auto"/>
              </w:rPr>
              <w:t>16,188</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gridSpan w:val="2"/>
          </w:tcPr>
          <w:p>
            <w:pPr>
              <w:jc w:val="right"/>
              <w:ind w:right="204"/>
              <w:spacing w:after="0"/>
              <w:rPr>
                <w:sz w:val="20"/>
                <w:szCs w:val="20"/>
                <w:color w:val="auto"/>
              </w:rPr>
            </w:pPr>
            <w:r>
              <w:rPr>
                <w:rFonts w:ascii="Arial" w:cs="Arial" w:eastAsia="Arial" w:hAnsi="Arial"/>
                <w:sz w:val="12"/>
                <w:szCs w:val="12"/>
                <w:color w:val="auto"/>
              </w:rPr>
              <w:t>$1,278,097</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2,698</w:t>
            </w: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4"/>
              <w:spacing w:after="0"/>
              <w:rPr>
                <w:sz w:val="20"/>
                <w:szCs w:val="20"/>
                <w:color w:val="auto"/>
              </w:rPr>
            </w:pPr>
            <w:r>
              <w:rPr>
                <w:rFonts w:ascii="Arial" w:cs="Arial" w:eastAsia="Arial" w:hAnsi="Arial"/>
                <w:sz w:val="12"/>
                <w:szCs w:val="12"/>
                <w:color w:val="auto"/>
              </w:rPr>
              <w:t>377,963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2"/>
                <w:szCs w:val="12"/>
                <w:color w:val="auto"/>
              </w:rPr>
              <w:t>12,468</w:t>
            </w:r>
          </w:p>
        </w:tc>
        <w:tc>
          <w:tcPr>
            <w:tcW w:w="560" w:type="dxa"/>
            <w:vAlign w:val="bottom"/>
          </w:tcPr>
          <w:p>
            <w:pPr>
              <w:jc w:val="center"/>
              <w:spacing w:after="0"/>
              <w:rPr>
                <w:sz w:val="20"/>
                <w:szCs w:val="20"/>
                <w:color w:val="auto"/>
              </w:rPr>
            </w:pPr>
            <w:r>
              <w:rPr>
                <w:rFonts w:ascii="Arial" w:cs="Arial" w:eastAsia="Arial" w:hAnsi="Arial"/>
                <w:sz w:val="12"/>
                <w:szCs w:val="12"/>
                <w:color w:val="auto"/>
                <w:w w:val="94"/>
              </w:rPr>
              <w:t>$ 140.09</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4"/>
              <w:spacing w:after="0"/>
              <w:rPr>
                <w:sz w:val="20"/>
                <w:szCs w:val="20"/>
                <w:color w:val="auto"/>
              </w:rPr>
            </w:pPr>
            <w:r>
              <w:rPr>
                <w:rFonts w:ascii="Arial" w:cs="Arial" w:eastAsia="Arial" w:hAnsi="Arial"/>
                <w:sz w:val="12"/>
                <w:szCs w:val="12"/>
                <w:color w:val="auto"/>
              </w:rPr>
              <w:t>378,030</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540" w:type="dxa"/>
            <w:vAlign w:val="bottom"/>
          </w:tcPr>
          <w:p>
            <w:pPr>
              <w:jc w:val="right"/>
              <w:spacing w:after="0" w:line="110" w:lineRule="exact"/>
              <w:rPr>
                <w:sz w:val="20"/>
                <w:szCs w:val="20"/>
                <w:color w:val="auto"/>
              </w:rPr>
            </w:pPr>
            <w:r>
              <w:rPr>
                <w:rFonts w:ascii="Arial" w:cs="Arial" w:eastAsia="Arial" w:hAnsi="Arial"/>
                <w:sz w:val="12"/>
                <w:szCs w:val="12"/>
                <w:color w:val="auto"/>
              </w:rPr>
              <w:t>(Performance-Based</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11/18/2020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8,500</w:t>
            </w: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2"/>
                <w:szCs w:val="12"/>
                <w:color w:val="auto"/>
              </w:rPr>
              <w:t>$1,064,018</w:t>
            </w:r>
          </w:p>
        </w:tc>
        <w:tc>
          <w:tcPr>
            <w:tcW w:w="0" w:type="dxa"/>
            <w:vAlign w:val="bottom"/>
          </w:tcPr>
          <w:p>
            <w:pPr>
              <w:spacing w:after="0"/>
              <w:rPr>
                <w:sz w:val="1"/>
                <w:szCs w:val="1"/>
                <w:color w:val="auto"/>
              </w:rPr>
            </w:pPr>
          </w:p>
        </w:tc>
      </w:tr>
      <w:tr>
        <w:trPr>
          <w:trHeight w:val="183"/>
        </w:trPr>
        <w:tc>
          <w:tcPr>
            <w:tcW w:w="960" w:type="dxa"/>
            <w:vAlign w:val="bottom"/>
            <w:shd w:val="clear" w:color="auto" w:fill="FCE9E8"/>
          </w:tcPr>
          <w:p>
            <w:pPr>
              <w:ind w:left="80"/>
              <w:spacing w:after="0"/>
              <w:rPr>
                <w:sz w:val="20"/>
                <w:szCs w:val="20"/>
                <w:color w:val="auto"/>
              </w:rPr>
            </w:pPr>
            <w:r>
              <w:rPr>
                <w:rFonts w:ascii="Arial" w:cs="Arial" w:eastAsia="Arial" w:hAnsi="Arial"/>
                <w:sz w:val="12"/>
                <w:szCs w:val="12"/>
                <w:color w:val="auto"/>
              </w:rPr>
              <w:t>Frank C. Orsini</w:t>
            </w: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FCE9E8"/>
          </w:tcPr>
          <w:p>
            <w:pPr>
              <w:ind w:left="60"/>
              <w:spacing w:after="0"/>
              <w:rPr>
                <w:sz w:val="20"/>
                <w:szCs w:val="20"/>
                <w:color w:val="auto"/>
              </w:rPr>
            </w:pPr>
            <w:r>
              <w:rPr>
                <w:rFonts w:ascii="Arial" w:cs="Arial" w:eastAsia="Arial" w:hAnsi="Arial"/>
                <w:sz w:val="12"/>
                <w:szCs w:val="12"/>
                <w:color w:val="auto"/>
              </w:rPr>
              <w:t>$</w:t>
            </w:r>
          </w:p>
        </w:tc>
        <w:tc>
          <w:tcPr>
            <w:tcW w:w="520" w:type="dxa"/>
            <w:vAlign w:val="bottom"/>
            <w:shd w:val="clear" w:color="auto" w:fill="FCE9E8"/>
          </w:tcPr>
          <w:p>
            <w:pPr>
              <w:ind w:left="40"/>
              <w:spacing w:after="0"/>
              <w:rPr>
                <w:sz w:val="20"/>
                <w:szCs w:val="20"/>
                <w:color w:val="auto"/>
              </w:rPr>
            </w:pPr>
            <w:r>
              <w:rPr>
                <w:rFonts w:ascii="Arial" w:cs="Arial" w:eastAsia="Arial" w:hAnsi="Arial"/>
                <w:sz w:val="12"/>
                <w:szCs w:val="12"/>
                <w:color w:val="auto"/>
              </w:rPr>
              <w:t>400,000</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800,000</w:t>
            </w:r>
          </w:p>
        </w:tc>
        <w:tc>
          <w:tcPr>
            <w:tcW w:w="640" w:type="dxa"/>
            <w:vAlign w:val="bottom"/>
            <w:shd w:val="clear" w:color="auto" w:fill="FCE9E8"/>
          </w:tcPr>
          <w:p>
            <w:pPr>
              <w:jc w:val="center"/>
              <w:ind w:left="2"/>
              <w:spacing w:after="0"/>
              <w:rPr>
                <w:sz w:val="20"/>
                <w:szCs w:val="20"/>
                <w:color w:val="auto"/>
              </w:rPr>
            </w:pPr>
            <w:r>
              <w:rPr>
                <w:rFonts w:ascii="Arial" w:cs="Arial" w:eastAsia="Arial" w:hAnsi="Arial"/>
                <w:sz w:val="12"/>
                <w:szCs w:val="12"/>
                <w:color w:val="auto"/>
                <w:w w:val="96"/>
              </w:rPr>
              <w:t>$1,600,000</w:t>
            </w:r>
          </w:p>
        </w:tc>
        <w:tc>
          <w:tcPr>
            <w:tcW w:w="120" w:type="dxa"/>
            <w:vAlign w:val="bottom"/>
            <w:shd w:val="clear" w:color="auto" w:fill="FCE9E8"/>
          </w:tcPr>
          <w:p>
            <w:pPr>
              <w:spacing w:after="0"/>
              <w:rPr>
                <w:sz w:val="15"/>
                <w:szCs w:val="15"/>
                <w:color w:val="auto"/>
              </w:rPr>
            </w:pPr>
          </w:p>
        </w:tc>
        <w:tc>
          <w:tcPr>
            <w:tcW w:w="620" w:type="dxa"/>
            <w:vAlign w:val="bottom"/>
            <w:shd w:val="clear" w:color="auto" w:fill="FCE9E8"/>
          </w:tcPr>
          <w:p>
            <w:pPr>
              <w:spacing w:after="0"/>
              <w:rPr>
                <w:sz w:val="15"/>
                <w:szCs w:val="15"/>
                <w:color w:val="auto"/>
              </w:rPr>
            </w:pPr>
          </w:p>
        </w:tc>
        <w:tc>
          <w:tcPr>
            <w:tcW w:w="50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70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560" w:type="dxa"/>
            <w:vAlign w:val="bottom"/>
            <w:shd w:val="clear" w:color="auto" w:fill="FCE9E8"/>
          </w:tcPr>
          <w:p>
            <w:pPr>
              <w:spacing w:after="0"/>
              <w:rPr>
                <w:sz w:val="15"/>
                <w:szCs w:val="15"/>
                <w:color w:val="auto"/>
              </w:rPr>
            </w:pPr>
          </w:p>
        </w:tc>
        <w:tc>
          <w:tcPr>
            <w:tcW w:w="120" w:type="dxa"/>
            <w:vAlign w:val="bottom"/>
            <w:shd w:val="clear" w:color="auto" w:fill="FCE9E8"/>
          </w:tcPr>
          <w:p>
            <w:pPr>
              <w:spacing w:after="0"/>
              <w:rPr>
                <w:sz w:val="15"/>
                <w:szCs w:val="15"/>
                <w:color w:val="auto"/>
              </w:rPr>
            </w:pPr>
          </w:p>
        </w:tc>
        <w:tc>
          <w:tcPr>
            <w:tcW w:w="7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5,139</w:t>
            </w:r>
          </w:p>
        </w:tc>
        <w:tc>
          <w:tcPr>
            <w:tcW w:w="5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10,279</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20,558</w:t>
            </w: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900" w:type="dxa"/>
            <w:vAlign w:val="bottom"/>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$1,623,105</w:t>
            </w:r>
          </w:p>
        </w:tc>
        <w:tc>
          <w:tcPr>
            <w:tcW w:w="0" w:type="dxa"/>
            <w:vAlign w:val="bottom"/>
          </w:tcPr>
          <w:p>
            <w:pPr>
              <w:spacing w:after="0"/>
              <w:rPr>
                <w:sz w:val="1"/>
                <w:szCs w:val="1"/>
                <w:color w:val="auto"/>
              </w:rPr>
            </w:pPr>
          </w:p>
        </w:tc>
      </w:tr>
      <w:tr>
        <w:trPr>
          <w:trHeight w:val="210"/>
        </w:trPr>
        <w:tc>
          <w:tcPr>
            <w:tcW w:w="960" w:type="dxa"/>
            <w:vAlign w:val="bottom"/>
            <w:shd w:val="clear" w:color="auto" w:fill="FCE9E8"/>
          </w:tcPr>
          <w:p>
            <w:pPr>
              <w:spacing w:after="0"/>
              <w:rPr>
                <w:sz w:val="18"/>
                <w:szCs w:val="18"/>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580" w:type="dxa"/>
            <w:vAlign w:val="bottom"/>
            <w:shd w:val="clear" w:color="auto" w:fill="FCE9E8"/>
          </w:tcPr>
          <w:p>
            <w:pPr>
              <w:spacing w:after="0"/>
              <w:rPr>
                <w:sz w:val="18"/>
                <w:szCs w:val="18"/>
                <w:color w:val="auto"/>
              </w:rPr>
            </w:pPr>
          </w:p>
        </w:tc>
        <w:tc>
          <w:tcPr>
            <w:tcW w:w="64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620" w:type="dxa"/>
            <w:vAlign w:val="bottom"/>
            <w:shd w:val="clear" w:color="auto" w:fill="FCE9E8"/>
          </w:tcPr>
          <w:p>
            <w:pPr>
              <w:spacing w:after="0"/>
              <w:rPr>
                <w:sz w:val="18"/>
                <w:szCs w:val="18"/>
                <w:color w:val="auto"/>
              </w:rPr>
            </w:pPr>
          </w:p>
        </w:tc>
        <w:tc>
          <w:tcPr>
            <w:tcW w:w="50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3,426</w:t>
            </w:r>
          </w:p>
        </w:tc>
        <w:tc>
          <w:tcPr>
            <w:tcW w:w="680" w:type="dxa"/>
            <w:vAlign w:val="bottom"/>
            <w:shd w:val="clear" w:color="auto" w:fill="FCE9E8"/>
          </w:tcPr>
          <w:p>
            <w:pPr>
              <w:spacing w:after="0"/>
              <w:rPr>
                <w:sz w:val="18"/>
                <w:szCs w:val="18"/>
                <w:color w:val="auto"/>
              </w:rPr>
            </w:pPr>
          </w:p>
        </w:tc>
        <w:tc>
          <w:tcPr>
            <w:tcW w:w="560" w:type="dxa"/>
            <w:vAlign w:val="bottom"/>
            <w:shd w:val="clear" w:color="auto" w:fill="FCE9E8"/>
          </w:tcPr>
          <w:p>
            <w:pPr>
              <w:spacing w:after="0"/>
              <w:rPr>
                <w:sz w:val="18"/>
                <w:szCs w:val="18"/>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204"/>
              <w:spacing w:after="0"/>
              <w:rPr>
                <w:sz w:val="20"/>
                <w:szCs w:val="20"/>
                <w:color w:val="auto"/>
              </w:rPr>
            </w:pPr>
            <w:r>
              <w:rPr>
                <w:rFonts w:ascii="Arial" w:cs="Arial" w:eastAsia="Arial" w:hAnsi="Arial"/>
                <w:sz w:val="12"/>
                <w:szCs w:val="12"/>
                <w:color w:val="auto"/>
              </w:rPr>
              <w:t>479,948</w:t>
            </w:r>
          </w:p>
        </w:tc>
        <w:tc>
          <w:tcPr>
            <w:tcW w:w="0" w:type="dxa"/>
            <w:vAlign w:val="bottom"/>
          </w:tcPr>
          <w:p>
            <w:pPr>
              <w:spacing w:after="0"/>
              <w:rPr>
                <w:sz w:val="1"/>
                <w:szCs w:val="1"/>
                <w:color w:val="auto"/>
              </w:rPr>
            </w:pPr>
          </w:p>
        </w:tc>
      </w:tr>
      <w:tr>
        <w:trPr>
          <w:trHeight w:val="216"/>
        </w:trPr>
        <w:tc>
          <w:tcPr>
            <w:tcW w:w="960" w:type="dxa"/>
            <w:vAlign w:val="bottom"/>
            <w:shd w:val="clear" w:color="auto" w:fill="FCE9E8"/>
          </w:tcPr>
          <w:p>
            <w:pPr>
              <w:spacing w:after="0"/>
              <w:rPr>
                <w:sz w:val="18"/>
                <w:szCs w:val="18"/>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580" w:type="dxa"/>
            <w:vAlign w:val="bottom"/>
            <w:shd w:val="clear" w:color="auto" w:fill="FCE9E8"/>
          </w:tcPr>
          <w:p>
            <w:pPr>
              <w:spacing w:after="0"/>
              <w:rPr>
                <w:sz w:val="18"/>
                <w:szCs w:val="18"/>
                <w:color w:val="auto"/>
              </w:rPr>
            </w:pPr>
          </w:p>
        </w:tc>
        <w:tc>
          <w:tcPr>
            <w:tcW w:w="64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620" w:type="dxa"/>
            <w:vAlign w:val="bottom"/>
            <w:shd w:val="clear" w:color="auto" w:fill="FCE9E8"/>
          </w:tcPr>
          <w:p>
            <w:pPr>
              <w:spacing w:after="0"/>
              <w:rPr>
                <w:sz w:val="18"/>
                <w:szCs w:val="18"/>
                <w:color w:val="auto"/>
              </w:rPr>
            </w:pPr>
          </w:p>
        </w:tc>
        <w:tc>
          <w:tcPr>
            <w:tcW w:w="50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700" w:type="dxa"/>
            <w:vAlign w:val="bottom"/>
            <w:shd w:val="clear" w:color="auto" w:fill="FCE9E8"/>
          </w:tcPr>
          <w:p>
            <w:pPr>
              <w:spacing w:after="0"/>
              <w:rPr>
                <w:sz w:val="18"/>
                <w:szCs w:val="18"/>
                <w:color w:val="auto"/>
              </w:rPr>
            </w:pPr>
          </w:p>
        </w:tc>
        <w:tc>
          <w:tcPr>
            <w:tcW w:w="680" w:type="dxa"/>
            <w:vAlign w:val="bottom"/>
            <w:shd w:val="clear" w:color="auto" w:fill="FCE9E8"/>
          </w:tcPr>
          <w:p>
            <w:pPr>
              <w:jc w:val="right"/>
              <w:ind w:right="5"/>
              <w:spacing w:after="0"/>
              <w:rPr>
                <w:sz w:val="20"/>
                <w:szCs w:val="20"/>
                <w:color w:val="auto"/>
              </w:rPr>
            </w:pPr>
            <w:r>
              <w:rPr>
                <w:rFonts w:ascii="Arial" w:cs="Arial" w:eastAsia="Arial" w:hAnsi="Arial"/>
                <w:sz w:val="12"/>
                <w:szCs w:val="12"/>
                <w:color w:val="auto"/>
              </w:rPr>
              <w:t>15,832</w:t>
            </w:r>
          </w:p>
        </w:tc>
        <w:tc>
          <w:tcPr>
            <w:tcW w:w="560" w:type="dxa"/>
            <w:vAlign w:val="bottom"/>
            <w:shd w:val="clear" w:color="auto" w:fill="FCE9E8"/>
          </w:tcPr>
          <w:p>
            <w:pPr>
              <w:jc w:val="center"/>
              <w:spacing w:after="0"/>
              <w:rPr>
                <w:sz w:val="20"/>
                <w:szCs w:val="20"/>
                <w:color w:val="auto"/>
              </w:rPr>
            </w:pPr>
            <w:r>
              <w:rPr>
                <w:rFonts w:ascii="Arial" w:cs="Arial" w:eastAsia="Arial" w:hAnsi="Arial"/>
                <w:sz w:val="12"/>
                <w:szCs w:val="12"/>
                <w:color w:val="auto"/>
                <w:w w:val="94"/>
              </w:rPr>
              <w:t>$ 140.09</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204"/>
              <w:spacing w:after="0"/>
              <w:rPr>
                <w:sz w:val="20"/>
                <w:szCs w:val="20"/>
                <w:color w:val="auto"/>
              </w:rPr>
            </w:pPr>
            <w:r>
              <w:rPr>
                <w:rFonts w:ascii="Arial" w:cs="Arial" w:eastAsia="Arial" w:hAnsi="Arial"/>
                <w:sz w:val="12"/>
                <w:szCs w:val="12"/>
                <w:color w:val="auto"/>
              </w:rPr>
              <w:t>480,026</w:t>
            </w:r>
          </w:p>
        </w:tc>
        <w:tc>
          <w:tcPr>
            <w:tcW w:w="0" w:type="dxa"/>
            <w:vAlign w:val="bottom"/>
          </w:tcPr>
          <w:p>
            <w:pPr>
              <w:spacing w:after="0"/>
              <w:rPr>
                <w:sz w:val="1"/>
                <w:szCs w:val="1"/>
                <w:color w:val="auto"/>
              </w:rPr>
            </w:pPr>
          </w:p>
        </w:tc>
      </w:tr>
      <w:tr>
        <w:trPr>
          <w:trHeight w:val="211"/>
        </w:trPr>
        <w:tc>
          <w:tcPr>
            <w:tcW w:w="960" w:type="dxa"/>
            <w:vAlign w:val="bottom"/>
            <w:shd w:val="clear" w:color="auto" w:fill="FCE9E8"/>
          </w:tcPr>
          <w:p>
            <w:pPr>
              <w:spacing w:after="0"/>
              <w:rPr>
                <w:sz w:val="18"/>
                <w:szCs w:val="18"/>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shd w:val="clear" w:color="auto" w:fill="FCE9E8"/>
          </w:tcPr>
          <w:p>
            <w:pPr>
              <w:spacing w:after="0"/>
              <w:rPr>
                <w:sz w:val="18"/>
                <w:szCs w:val="18"/>
                <w:color w:val="auto"/>
              </w:rPr>
            </w:pPr>
          </w:p>
        </w:tc>
        <w:tc>
          <w:tcPr>
            <w:tcW w:w="60" w:type="dxa"/>
            <w:vAlign w:val="bottom"/>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580" w:type="dxa"/>
            <w:vAlign w:val="bottom"/>
            <w:shd w:val="clear" w:color="auto" w:fill="FCE9E8"/>
          </w:tcPr>
          <w:p>
            <w:pPr>
              <w:spacing w:after="0"/>
              <w:rPr>
                <w:sz w:val="18"/>
                <w:szCs w:val="18"/>
                <w:color w:val="auto"/>
              </w:rPr>
            </w:pPr>
          </w:p>
        </w:tc>
        <w:tc>
          <w:tcPr>
            <w:tcW w:w="64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620" w:type="dxa"/>
            <w:vAlign w:val="bottom"/>
            <w:shd w:val="clear" w:color="auto" w:fill="FCE9E8"/>
          </w:tcPr>
          <w:p>
            <w:pPr>
              <w:spacing w:after="0"/>
              <w:rPr>
                <w:sz w:val="18"/>
                <w:szCs w:val="18"/>
                <w:color w:val="auto"/>
              </w:rPr>
            </w:pPr>
          </w:p>
        </w:tc>
        <w:tc>
          <w:tcPr>
            <w:tcW w:w="50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700" w:type="dxa"/>
            <w:vAlign w:val="bottom"/>
            <w:shd w:val="clear" w:color="auto" w:fill="FCE9E8"/>
          </w:tcPr>
          <w:p>
            <w:pPr>
              <w:spacing w:after="0"/>
              <w:rPr>
                <w:sz w:val="18"/>
                <w:szCs w:val="18"/>
                <w:color w:val="auto"/>
              </w:rPr>
            </w:pPr>
          </w:p>
        </w:tc>
        <w:tc>
          <w:tcPr>
            <w:tcW w:w="680" w:type="dxa"/>
            <w:vAlign w:val="bottom"/>
            <w:shd w:val="clear" w:color="auto" w:fill="FCE9E8"/>
          </w:tcPr>
          <w:p>
            <w:pPr>
              <w:spacing w:after="0"/>
              <w:rPr>
                <w:sz w:val="18"/>
                <w:szCs w:val="18"/>
                <w:color w:val="auto"/>
              </w:rPr>
            </w:pPr>
          </w:p>
        </w:tc>
        <w:tc>
          <w:tcPr>
            <w:tcW w:w="56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780" w:type="dxa"/>
            <w:vAlign w:val="bottom"/>
            <w:shd w:val="clear" w:color="auto" w:fill="FCE9E8"/>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FCE9E8"/>
          </w:tcPr>
          <w:p>
            <w:pPr>
              <w:spacing w:after="0"/>
              <w:rPr>
                <w:sz w:val="9"/>
                <w:szCs w:val="9"/>
                <w:color w:val="auto"/>
              </w:rPr>
            </w:pPr>
          </w:p>
        </w:tc>
        <w:tc>
          <w:tcPr>
            <w:tcW w:w="1540" w:type="dxa"/>
            <w:vAlign w:val="bottom"/>
            <w:shd w:val="clear" w:color="auto" w:fill="FCE9E8"/>
          </w:tcPr>
          <w:p>
            <w:pPr>
              <w:jc w:val="right"/>
              <w:spacing w:after="0" w:line="110" w:lineRule="exact"/>
              <w:rPr>
                <w:sz w:val="20"/>
                <w:szCs w:val="20"/>
                <w:color w:val="auto"/>
              </w:rPr>
            </w:pPr>
            <w:r>
              <w:rPr>
                <w:rFonts w:ascii="Arial" w:cs="Arial" w:eastAsia="Arial" w:hAnsi="Arial"/>
                <w:sz w:val="12"/>
                <w:szCs w:val="12"/>
                <w:color w:val="auto"/>
              </w:rPr>
              <w:t>(Performance-Based</w:t>
            </w:r>
          </w:p>
        </w:tc>
        <w:tc>
          <w:tcPr>
            <w:tcW w:w="720" w:type="dxa"/>
            <w:vAlign w:val="bottom"/>
            <w:shd w:val="clear" w:color="auto" w:fill="FCE9E8"/>
          </w:tcPr>
          <w:p>
            <w:pPr>
              <w:spacing w:after="0"/>
              <w:rPr>
                <w:sz w:val="9"/>
                <w:szCs w:val="9"/>
                <w:color w:val="auto"/>
              </w:rPr>
            </w:pPr>
          </w:p>
        </w:tc>
        <w:tc>
          <w:tcPr>
            <w:tcW w:w="60" w:type="dxa"/>
            <w:vAlign w:val="bottom"/>
            <w:shd w:val="clear" w:color="auto" w:fill="FCE9E8"/>
          </w:tcPr>
          <w:p>
            <w:pPr>
              <w:spacing w:after="0"/>
              <w:rPr>
                <w:sz w:val="9"/>
                <w:szCs w:val="9"/>
                <w:color w:val="auto"/>
              </w:rPr>
            </w:pPr>
          </w:p>
        </w:tc>
        <w:tc>
          <w:tcPr>
            <w:tcW w:w="100" w:type="dxa"/>
            <w:vAlign w:val="bottom"/>
            <w:shd w:val="clear" w:color="auto" w:fill="FCE9E8"/>
          </w:tcPr>
          <w:p>
            <w:pPr>
              <w:spacing w:after="0"/>
              <w:rPr>
                <w:sz w:val="9"/>
                <w:szCs w:val="9"/>
                <w:color w:val="auto"/>
              </w:rPr>
            </w:pPr>
          </w:p>
        </w:tc>
        <w:tc>
          <w:tcPr>
            <w:tcW w:w="52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580" w:type="dxa"/>
            <w:vAlign w:val="bottom"/>
            <w:shd w:val="clear" w:color="auto" w:fill="FCE9E8"/>
          </w:tcPr>
          <w:p>
            <w:pPr>
              <w:spacing w:after="0"/>
              <w:rPr>
                <w:sz w:val="9"/>
                <w:szCs w:val="9"/>
                <w:color w:val="auto"/>
              </w:rPr>
            </w:pPr>
          </w:p>
        </w:tc>
        <w:tc>
          <w:tcPr>
            <w:tcW w:w="64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620" w:type="dxa"/>
            <w:vAlign w:val="bottom"/>
            <w:shd w:val="clear" w:color="auto" w:fill="FCE9E8"/>
          </w:tcPr>
          <w:p>
            <w:pPr>
              <w:spacing w:after="0"/>
              <w:rPr>
                <w:sz w:val="9"/>
                <w:szCs w:val="9"/>
                <w:color w:val="auto"/>
              </w:rPr>
            </w:pPr>
          </w:p>
        </w:tc>
        <w:tc>
          <w:tcPr>
            <w:tcW w:w="500" w:type="dxa"/>
            <w:vAlign w:val="bottom"/>
            <w:shd w:val="clear" w:color="auto" w:fill="FCE9E8"/>
          </w:tcPr>
          <w:p>
            <w:pPr>
              <w:spacing w:after="0"/>
              <w:rPr>
                <w:sz w:val="9"/>
                <w:szCs w:val="9"/>
                <w:color w:val="auto"/>
              </w:rPr>
            </w:pPr>
          </w:p>
        </w:tc>
        <w:tc>
          <w:tcPr>
            <w:tcW w:w="600" w:type="dxa"/>
            <w:vAlign w:val="bottom"/>
            <w:shd w:val="clear" w:color="auto" w:fill="FCE9E8"/>
          </w:tcPr>
          <w:p>
            <w:pPr>
              <w:spacing w:after="0"/>
              <w:rPr>
                <w:sz w:val="9"/>
                <w:szCs w:val="9"/>
                <w:color w:val="auto"/>
              </w:rPr>
            </w:pPr>
          </w:p>
        </w:tc>
        <w:tc>
          <w:tcPr>
            <w:tcW w:w="700" w:type="dxa"/>
            <w:vAlign w:val="bottom"/>
            <w:shd w:val="clear" w:color="auto" w:fill="FCE9E8"/>
          </w:tcPr>
          <w:p>
            <w:pPr>
              <w:spacing w:after="0"/>
              <w:rPr>
                <w:sz w:val="9"/>
                <w:szCs w:val="9"/>
                <w:color w:val="auto"/>
              </w:rPr>
            </w:pPr>
          </w:p>
        </w:tc>
        <w:tc>
          <w:tcPr>
            <w:tcW w:w="680" w:type="dxa"/>
            <w:vAlign w:val="bottom"/>
            <w:shd w:val="clear" w:color="auto" w:fill="FCE9E8"/>
          </w:tcPr>
          <w:p>
            <w:pPr>
              <w:spacing w:after="0"/>
              <w:rPr>
                <w:sz w:val="9"/>
                <w:szCs w:val="9"/>
                <w:color w:val="auto"/>
              </w:rPr>
            </w:pPr>
          </w:p>
        </w:tc>
        <w:tc>
          <w:tcPr>
            <w:tcW w:w="56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780" w:type="dxa"/>
            <w:vAlign w:val="bottom"/>
            <w:shd w:val="clear" w:color="auto" w:fill="FCE9E8"/>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Borders>
              <w:bottom w:val="single" w:sz="8" w:color="auto"/>
            </w:tcBorders>
            <w:shd w:val="clear" w:color="auto" w:fill="FCE9E8"/>
          </w:tcPr>
          <w:p>
            <w:pPr>
              <w:spacing w:after="0"/>
              <w:rPr>
                <w:sz w:val="16"/>
                <w:szCs w:val="16"/>
                <w:color w:val="auto"/>
              </w:rPr>
            </w:pPr>
          </w:p>
        </w:tc>
        <w:tc>
          <w:tcPr>
            <w:tcW w:w="1540" w:type="dxa"/>
            <w:vAlign w:val="bottom"/>
            <w:tcBorders>
              <w:bottom w:val="single" w:sz="8" w:color="auto"/>
            </w:tcBorders>
            <w:shd w:val="clear" w:color="auto" w:fill="FCE9E8"/>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11/18/2020</w:t>
            </w:r>
          </w:p>
        </w:tc>
        <w:tc>
          <w:tcPr>
            <w:tcW w:w="60" w:type="dxa"/>
            <w:vAlign w:val="bottom"/>
            <w:tcBorders>
              <w:bottom w:val="single" w:sz="8" w:color="auto"/>
            </w:tcBorders>
            <w:shd w:val="clear" w:color="auto" w:fill="FCE9E8"/>
          </w:tcPr>
          <w:p>
            <w:pPr>
              <w:spacing w:after="0"/>
              <w:rPr>
                <w:sz w:val="16"/>
                <w:szCs w:val="16"/>
                <w:color w:val="auto"/>
              </w:rPr>
            </w:pPr>
          </w:p>
        </w:tc>
        <w:tc>
          <w:tcPr>
            <w:tcW w:w="100" w:type="dxa"/>
            <w:vAlign w:val="bottom"/>
            <w:tcBorders>
              <w:bottom w:val="single" w:sz="8" w:color="auto"/>
            </w:tcBorders>
            <w:shd w:val="clear" w:color="auto" w:fill="FCE9E8"/>
          </w:tcPr>
          <w:p>
            <w:pPr>
              <w:spacing w:after="0"/>
              <w:rPr>
                <w:sz w:val="16"/>
                <w:szCs w:val="16"/>
                <w:color w:val="auto"/>
              </w:rPr>
            </w:pPr>
          </w:p>
        </w:tc>
        <w:tc>
          <w:tcPr>
            <w:tcW w:w="520" w:type="dxa"/>
            <w:vAlign w:val="bottom"/>
            <w:tcBorders>
              <w:bottom w:val="single" w:sz="8" w:color="auto"/>
            </w:tcBorders>
            <w:shd w:val="clear" w:color="auto" w:fill="FCE9E8"/>
          </w:tcPr>
          <w:p>
            <w:pPr>
              <w:spacing w:after="0"/>
              <w:rPr>
                <w:sz w:val="16"/>
                <w:szCs w:val="16"/>
                <w:color w:val="auto"/>
              </w:rPr>
            </w:pPr>
          </w:p>
        </w:tc>
        <w:tc>
          <w:tcPr>
            <w:tcW w:w="120" w:type="dxa"/>
            <w:vAlign w:val="bottom"/>
            <w:tcBorders>
              <w:bottom w:val="single" w:sz="8" w:color="auto"/>
            </w:tcBorders>
            <w:shd w:val="clear" w:color="auto" w:fill="FCE9E8"/>
          </w:tcPr>
          <w:p>
            <w:pPr>
              <w:spacing w:after="0"/>
              <w:rPr>
                <w:sz w:val="16"/>
                <w:szCs w:val="16"/>
                <w:color w:val="auto"/>
              </w:rPr>
            </w:pPr>
          </w:p>
        </w:tc>
        <w:tc>
          <w:tcPr>
            <w:tcW w:w="580" w:type="dxa"/>
            <w:vAlign w:val="bottom"/>
            <w:tcBorders>
              <w:bottom w:val="single" w:sz="8" w:color="auto"/>
            </w:tcBorders>
            <w:shd w:val="clear" w:color="auto" w:fill="FCE9E8"/>
          </w:tcPr>
          <w:p>
            <w:pPr>
              <w:spacing w:after="0"/>
              <w:rPr>
                <w:sz w:val="16"/>
                <w:szCs w:val="16"/>
                <w:color w:val="auto"/>
              </w:rPr>
            </w:pPr>
          </w:p>
        </w:tc>
        <w:tc>
          <w:tcPr>
            <w:tcW w:w="640" w:type="dxa"/>
            <w:vAlign w:val="bottom"/>
            <w:tcBorders>
              <w:bottom w:val="single" w:sz="8" w:color="auto"/>
            </w:tcBorders>
            <w:shd w:val="clear" w:color="auto" w:fill="FCE9E8"/>
          </w:tcPr>
          <w:p>
            <w:pPr>
              <w:spacing w:after="0"/>
              <w:rPr>
                <w:sz w:val="16"/>
                <w:szCs w:val="16"/>
                <w:color w:val="auto"/>
              </w:rPr>
            </w:pPr>
          </w:p>
        </w:tc>
        <w:tc>
          <w:tcPr>
            <w:tcW w:w="120" w:type="dxa"/>
            <w:vAlign w:val="bottom"/>
            <w:tcBorders>
              <w:bottom w:val="single" w:sz="8" w:color="auto"/>
            </w:tcBorders>
            <w:shd w:val="clear" w:color="auto" w:fill="FCE9E8"/>
          </w:tcPr>
          <w:p>
            <w:pPr>
              <w:spacing w:after="0"/>
              <w:rPr>
                <w:sz w:val="16"/>
                <w:szCs w:val="16"/>
                <w:color w:val="auto"/>
              </w:rPr>
            </w:pPr>
          </w:p>
        </w:tc>
        <w:tc>
          <w:tcPr>
            <w:tcW w:w="620" w:type="dxa"/>
            <w:vAlign w:val="bottom"/>
            <w:tcBorders>
              <w:bottom w:val="single" w:sz="8" w:color="auto"/>
            </w:tcBorders>
            <w:shd w:val="clear" w:color="auto" w:fill="FCE9E8"/>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12,042</w:t>
            </w:r>
          </w:p>
        </w:tc>
        <w:tc>
          <w:tcPr>
            <w:tcW w:w="6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12,042</w:t>
            </w:r>
          </w:p>
        </w:tc>
        <w:tc>
          <w:tcPr>
            <w:tcW w:w="700" w:type="dxa"/>
            <w:vAlign w:val="bottom"/>
            <w:tcBorders>
              <w:bottom w:val="single" w:sz="8" w:color="auto"/>
            </w:tcBorders>
            <w:shd w:val="clear" w:color="auto" w:fill="FCE9E8"/>
          </w:tcPr>
          <w:p>
            <w:pPr>
              <w:spacing w:after="0"/>
              <w:rPr>
                <w:sz w:val="16"/>
                <w:szCs w:val="16"/>
                <w:color w:val="auto"/>
              </w:rPr>
            </w:pPr>
          </w:p>
        </w:tc>
        <w:tc>
          <w:tcPr>
            <w:tcW w:w="680" w:type="dxa"/>
            <w:vAlign w:val="bottom"/>
            <w:tcBorders>
              <w:bottom w:val="single" w:sz="8" w:color="auto"/>
            </w:tcBorders>
            <w:shd w:val="clear" w:color="auto" w:fill="FCE9E8"/>
          </w:tcPr>
          <w:p>
            <w:pPr>
              <w:spacing w:after="0"/>
              <w:rPr>
                <w:sz w:val="16"/>
                <w:szCs w:val="16"/>
                <w:color w:val="auto"/>
              </w:rPr>
            </w:pPr>
          </w:p>
        </w:tc>
        <w:tc>
          <w:tcPr>
            <w:tcW w:w="560" w:type="dxa"/>
            <w:vAlign w:val="bottom"/>
            <w:tcBorders>
              <w:bottom w:val="single" w:sz="8" w:color="auto"/>
            </w:tcBorders>
            <w:shd w:val="clear" w:color="auto" w:fill="FCE9E8"/>
          </w:tcPr>
          <w:p>
            <w:pPr>
              <w:spacing w:after="0"/>
              <w:rPr>
                <w:sz w:val="16"/>
                <w:szCs w:val="16"/>
                <w:color w:val="auto"/>
              </w:rPr>
            </w:pPr>
          </w:p>
        </w:tc>
        <w:tc>
          <w:tcPr>
            <w:tcW w:w="900" w:type="dxa"/>
            <w:vAlign w:val="bottom"/>
            <w:tcBorders>
              <w:bottom w:val="single" w:sz="8" w:color="auto"/>
            </w:tcBorders>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$1,507,377</w:t>
            </w:r>
          </w:p>
        </w:tc>
        <w:tc>
          <w:tcPr>
            <w:tcW w:w="0" w:type="dxa"/>
            <w:vAlign w:val="bottom"/>
          </w:tcPr>
          <w:p>
            <w:pPr>
              <w:spacing w:after="0"/>
              <w:rPr>
                <w:sz w:val="1"/>
                <w:szCs w:val="1"/>
                <w:color w:val="auto"/>
              </w:rPr>
            </w:pPr>
          </w:p>
        </w:tc>
      </w:tr>
      <w:tr>
        <w:trPr>
          <w:trHeight w:val="185"/>
        </w:trPr>
        <w:tc>
          <w:tcPr>
            <w:tcW w:w="960" w:type="dxa"/>
            <w:vAlign w:val="bottom"/>
          </w:tcPr>
          <w:p>
            <w:pPr>
              <w:ind w:left="80"/>
              <w:spacing w:after="0"/>
              <w:rPr>
                <w:sz w:val="20"/>
                <w:szCs w:val="20"/>
                <w:color w:val="auto"/>
              </w:rPr>
            </w:pPr>
            <w:r>
              <w:rPr>
                <w:rFonts w:ascii="Arial" w:cs="Arial" w:eastAsia="Arial" w:hAnsi="Arial"/>
                <w:sz w:val="12"/>
                <w:szCs w:val="12"/>
                <w:color w:val="auto"/>
              </w:rPr>
              <w:t>Thomas A.</w:t>
            </w:r>
          </w:p>
        </w:tc>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Pr>
          <w:p>
            <w:pPr>
              <w:ind w:left="80"/>
              <w:spacing w:after="0"/>
              <w:rPr>
                <w:sz w:val="20"/>
                <w:szCs w:val="20"/>
                <w:color w:val="auto"/>
              </w:rPr>
            </w:pPr>
            <w:r>
              <w:rPr>
                <w:rFonts w:ascii="Arial" w:cs="Arial" w:eastAsia="Arial" w:hAnsi="Arial"/>
                <w:sz w:val="12"/>
                <w:szCs w:val="12"/>
                <w:color w:val="auto"/>
              </w:rPr>
              <w:t>DiDonato</w:t>
            </w:r>
          </w:p>
        </w:tc>
        <w:tc>
          <w:tcPr>
            <w:tcW w:w="1540" w:type="dxa"/>
            <w:vAlign w:val="bottom"/>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520" w:type="dxa"/>
            <w:vAlign w:val="bottom"/>
          </w:tcPr>
          <w:p>
            <w:pPr>
              <w:ind w:left="40"/>
              <w:spacing w:after="0"/>
              <w:rPr>
                <w:sz w:val="20"/>
                <w:szCs w:val="20"/>
                <w:color w:val="auto"/>
              </w:rPr>
            </w:pPr>
            <w:r>
              <w:rPr>
                <w:rFonts w:ascii="Arial" w:cs="Arial" w:eastAsia="Arial" w:hAnsi="Arial"/>
                <w:sz w:val="12"/>
                <w:szCs w:val="12"/>
                <w:color w:val="auto"/>
              </w:rPr>
              <w:t>350,000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700,000</w:t>
            </w:r>
          </w:p>
        </w:tc>
        <w:tc>
          <w:tcPr>
            <w:tcW w:w="640" w:type="dxa"/>
            <w:vAlign w:val="bottom"/>
          </w:tcPr>
          <w:p>
            <w:pPr>
              <w:jc w:val="center"/>
              <w:ind w:left="2"/>
              <w:spacing w:after="0"/>
              <w:rPr>
                <w:sz w:val="20"/>
                <w:szCs w:val="20"/>
                <w:color w:val="auto"/>
              </w:rPr>
            </w:pPr>
            <w:r>
              <w:rPr>
                <w:rFonts w:ascii="Arial" w:cs="Arial" w:eastAsia="Arial" w:hAnsi="Arial"/>
                <w:sz w:val="12"/>
                <w:szCs w:val="12"/>
                <w:color w:val="auto"/>
                <w:w w:val="96"/>
              </w:rPr>
              <w:t>$1,400,000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4,272</w:t>
            </w:r>
          </w:p>
        </w:tc>
        <w:tc>
          <w:tcPr>
            <w:tcW w:w="500" w:type="dxa"/>
            <w:vAlign w:val="bottom"/>
          </w:tcPr>
          <w:p>
            <w:pPr>
              <w:jc w:val="right"/>
              <w:spacing w:after="0"/>
              <w:rPr>
                <w:sz w:val="20"/>
                <w:szCs w:val="20"/>
                <w:color w:val="auto"/>
              </w:rPr>
            </w:pPr>
            <w:r>
              <w:rPr>
                <w:rFonts w:ascii="Arial" w:cs="Arial" w:eastAsia="Arial" w:hAnsi="Arial"/>
                <w:sz w:val="12"/>
                <w:szCs w:val="12"/>
                <w:color w:val="auto"/>
              </w:rPr>
              <w:t>8,544</w:t>
            </w:r>
          </w:p>
        </w:tc>
        <w:tc>
          <w:tcPr>
            <w:tcW w:w="600" w:type="dxa"/>
            <w:vAlign w:val="bottom"/>
          </w:tcPr>
          <w:p>
            <w:pPr>
              <w:jc w:val="right"/>
              <w:spacing w:after="0"/>
              <w:rPr>
                <w:sz w:val="20"/>
                <w:szCs w:val="20"/>
                <w:color w:val="auto"/>
              </w:rPr>
            </w:pPr>
            <w:r>
              <w:rPr>
                <w:rFonts w:ascii="Arial" w:cs="Arial" w:eastAsia="Arial" w:hAnsi="Arial"/>
                <w:sz w:val="12"/>
                <w:szCs w:val="12"/>
                <w:color w:val="auto"/>
              </w:rPr>
              <w:t>17,088</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gridSpan w:val="2"/>
          </w:tcPr>
          <w:p>
            <w:pPr>
              <w:jc w:val="right"/>
              <w:ind w:right="204"/>
              <w:spacing w:after="0"/>
              <w:rPr>
                <w:sz w:val="20"/>
                <w:szCs w:val="20"/>
                <w:color w:val="auto"/>
              </w:rPr>
            </w:pPr>
            <w:r>
              <w:rPr>
                <w:rFonts w:ascii="Arial" w:cs="Arial" w:eastAsia="Arial" w:hAnsi="Arial"/>
                <w:sz w:val="12"/>
                <w:szCs w:val="12"/>
                <w:color w:val="auto"/>
              </w:rPr>
              <w:t>$1,349,155</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2,848</w:t>
            </w: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4"/>
              <w:spacing w:after="0"/>
              <w:rPr>
                <w:sz w:val="20"/>
                <w:szCs w:val="20"/>
                <w:color w:val="auto"/>
              </w:rPr>
            </w:pPr>
            <w:r>
              <w:rPr>
                <w:rFonts w:ascii="Arial" w:cs="Arial" w:eastAsia="Arial" w:hAnsi="Arial"/>
                <w:sz w:val="12"/>
                <w:szCs w:val="12"/>
                <w:color w:val="auto"/>
              </w:rPr>
              <w:t>398,976</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2"/>
                <w:szCs w:val="12"/>
                <w:color w:val="auto"/>
              </w:rPr>
              <w:t>13,160</w:t>
            </w:r>
          </w:p>
        </w:tc>
        <w:tc>
          <w:tcPr>
            <w:tcW w:w="560" w:type="dxa"/>
            <w:vAlign w:val="bottom"/>
          </w:tcPr>
          <w:p>
            <w:pPr>
              <w:jc w:val="center"/>
              <w:spacing w:after="0"/>
              <w:rPr>
                <w:sz w:val="20"/>
                <w:szCs w:val="20"/>
                <w:color w:val="auto"/>
              </w:rPr>
            </w:pPr>
            <w:r>
              <w:rPr>
                <w:rFonts w:ascii="Arial" w:cs="Arial" w:eastAsia="Arial" w:hAnsi="Arial"/>
                <w:sz w:val="12"/>
                <w:szCs w:val="12"/>
                <w:color w:val="auto"/>
                <w:w w:val="94"/>
              </w:rPr>
              <w:t>$ 140.09</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04"/>
              <w:spacing w:after="0"/>
              <w:rPr>
                <w:sz w:val="20"/>
                <w:szCs w:val="20"/>
                <w:color w:val="auto"/>
              </w:rPr>
            </w:pPr>
            <w:r>
              <w:rPr>
                <w:rFonts w:ascii="Arial" w:cs="Arial" w:eastAsia="Arial" w:hAnsi="Arial"/>
                <w:sz w:val="12"/>
                <w:szCs w:val="12"/>
                <w:color w:val="auto"/>
              </w:rPr>
              <w:t>399,011</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540" w:type="dxa"/>
            <w:vAlign w:val="bottom"/>
          </w:tcPr>
          <w:p>
            <w:pPr>
              <w:jc w:val="right"/>
              <w:spacing w:after="0" w:line="110" w:lineRule="exact"/>
              <w:rPr>
                <w:sz w:val="20"/>
                <w:szCs w:val="20"/>
                <w:color w:val="auto"/>
              </w:rPr>
            </w:pPr>
            <w:r>
              <w:rPr>
                <w:rFonts w:ascii="Arial" w:cs="Arial" w:eastAsia="Arial" w:hAnsi="Arial"/>
                <w:sz w:val="12"/>
                <w:szCs w:val="12"/>
                <w:color w:val="auto"/>
              </w:rPr>
              <w:t>(Performance-Based</w:t>
            </w: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11/18/2020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7,083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7,083</w:t>
            </w: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color w:val="auto"/>
              </w:rPr>
              <w:t>886,626</w:t>
            </w:r>
          </w:p>
        </w:tc>
        <w:tc>
          <w:tcPr>
            <w:tcW w:w="0" w:type="dxa"/>
            <w:vAlign w:val="bottom"/>
          </w:tcPr>
          <w:p>
            <w:pPr>
              <w:spacing w:after="0"/>
              <w:rPr>
                <w:sz w:val="1"/>
                <w:szCs w:val="1"/>
                <w:color w:val="auto"/>
              </w:rPr>
            </w:pPr>
          </w:p>
        </w:tc>
      </w:tr>
      <w:tr>
        <w:trPr>
          <w:trHeight w:val="183"/>
        </w:trPr>
        <w:tc>
          <w:tcPr>
            <w:tcW w:w="960" w:type="dxa"/>
            <w:vAlign w:val="bottom"/>
            <w:shd w:val="clear" w:color="auto" w:fill="FCE9E8"/>
          </w:tcPr>
          <w:p>
            <w:pPr>
              <w:ind w:left="80"/>
              <w:spacing w:after="0"/>
              <w:rPr>
                <w:sz w:val="20"/>
                <w:szCs w:val="20"/>
                <w:color w:val="auto"/>
              </w:rPr>
            </w:pPr>
            <w:r>
              <w:rPr>
                <w:rFonts w:ascii="Arial" w:cs="Arial" w:eastAsia="Arial" w:hAnsi="Arial"/>
                <w:sz w:val="12"/>
                <w:szCs w:val="12"/>
                <w:color w:val="auto"/>
                <w:w w:val="99"/>
              </w:rPr>
              <w:t>Carl A. Esposito</w:t>
            </w: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FCE9E8"/>
          </w:tcPr>
          <w:p>
            <w:pPr>
              <w:ind w:left="60"/>
              <w:spacing w:after="0"/>
              <w:rPr>
                <w:sz w:val="20"/>
                <w:szCs w:val="20"/>
                <w:color w:val="auto"/>
              </w:rPr>
            </w:pPr>
            <w:r>
              <w:rPr>
                <w:rFonts w:ascii="Arial" w:cs="Arial" w:eastAsia="Arial" w:hAnsi="Arial"/>
                <w:sz w:val="12"/>
                <w:szCs w:val="12"/>
                <w:color w:val="auto"/>
              </w:rPr>
              <w:t>$</w:t>
            </w:r>
          </w:p>
        </w:tc>
        <w:tc>
          <w:tcPr>
            <w:tcW w:w="520" w:type="dxa"/>
            <w:vAlign w:val="bottom"/>
            <w:shd w:val="clear" w:color="auto" w:fill="FCE9E8"/>
          </w:tcPr>
          <w:p>
            <w:pPr>
              <w:ind w:left="40"/>
              <w:spacing w:after="0"/>
              <w:rPr>
                <w:sz w:val="20"/>
                <w:szCs w:val="20"/>
                <w:color w:val="auto"/>
              </w:rPr>
            </w:pPr>
            <w:r>
              <w:rPr>
                <w:rFonts w:ascii="Arial" w:cs="Arial" w:eastAsia="Arial" w:hAnsi="Arial"/>
                <w:sz w:val="12"/>
                <w:szCs w:val="12"/>
                <w:color w:val="auto"/>
              </w:rPr>
              <w:t>260,000</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520,000</w:t>
            </w:r>
          </w:p>
        </w:tc>
        <w:tc>
          <w:tcPr>
            <w:tcW w:w="640" w:type="dxa"/>
            <w:vAlign w:val="bottom"/>
            <w:shd w:val="clear" w:color="auto" w:fill="FCE9E8"/>
          </w:tcPr>
          <w:p>
            <w:pPr>
              <w:jc w:val="center"/>
              <w:ind w:left="2"/>
              <w:spacing w:after="0"/>
              <w:rPr>
                <w:sz w:val="20"/>
                <w:szCs w:val="20"/>
                <w:color w:val="auto"/>
              </w:rPr>
            </w:pPr>
            <w:r>
              <w:rPr>
                <w:rFonts w:ascii="Arial" w:cs="Arial" w:eastAsia="Arial" w:hAnsi="Arial"/>
                <w:sz w:val="12"/>
                <w:szCs w:val="12"/>
                <w:color w:val="auto"/>
                <w:w w:val="96"/>
              </w:rPr>
              <w:t>$1,040,000</w:t>
            </w:r>
          </w:p>
        </w:tc>
        <w:tc>
          <w:tcPr>
            <w:tcW w:w="120" w:type="dxa"/>
            <w:vAlign w:val="bottom"/>
            <w:shd w:val="clear" w:color="auto" w:fill="FCE9E8"/>
          </w:tcPr>
          <w:p>
            <w:pPr>
              <w:spacing w:after="0"/>
              <w:rPr>
                <w:sz w:val="15"/>
                <w:szCs w:val="15"/>
                <w:color w:val="auto"/>
              </w:rPr>
            </w:pPr>
          </w:p>
        </w:tc>
        <w:tc>
          <w:tcPr>
            <w:tcW w:w="620" w:type="dxa"/>
            <w:vAlign w:val="bottom"/>
            <w:shd w:val="clear" w:color="auto" w:fill="FCE9E8"/>
          </w:tcPr>
          <w:p>
            <w:pPr>
              <w:spacing w:after="0"/>
              <w:rPr>
                <w:sz w:val="15"/>
                <w:szCs w:val="15"/>
                <w:color w:val="auto"/>
              </w:rPr>
            </w:pPr>
          </w:p>
        </w:tc>
        <w:tc>
          <w:tcPr>
            <w:tcW w:w="50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700" w:type="dxa"/>
            <w:vAlign w:val="bottom"/>
            <w:shd w:val="clear" w:color="auto" w:fill="FCE9E8"/>
          </w:tcPr>
          <w:p>
            <w:pPr>
              <w:spacing w:after="0"/>
              <w:rPr>
                <w:sz w:val="15"/>
                <w:szCs w:val="15"/>
                <w:color w:val="auto"/>
              </w:rPr>
            </w:pPr>
          </w:p>
        </w:tc>
        <w:tc>
          <w:tcPr>
            <w:tcW w:w="680" w:type="dxa"/>
            <w:vAlign w:val="bottom"/>
            <w:shd w:val="clear" w:color="auto" w:fill="FCE9E8"/>
          </w:tcPr>
          <w:p>
            <w:pPr>
              <w:spacing w:after="0"/>
              <w:rPr>
                <w:sz w:val="15"/>
                <w:szCs w:val="15"/>
                <w:color w:val="auto"/>
              </w:rPr>
            </w:pPr>
          </w:p>
        </w:tc>
        <w:tc>
          <w:tcPr>
            <w:tcW w:w="560" w:type="dxa"/>
            <w:vAlign w:val="bottom"/>
            <w:shd w:val="clear" w:color="auto" w:fill="FCE9E8"/>
          </w:tcPr>
          <w:p>
            <w:pPr>
              <w:spacing w:after="0"/>
              <w:rPr>
                <w:sz w:val="15"/>
                <w:szCs w:val="15"/>
                <w:color w:val="auto"/>
              </w:rPr>
            </w:pPr>
          </w:p>
        </w:tc>
        <w:tc>
          <w:tcPr>
            <w:tcW w:w="120" w:type="dxa"/>
            <w:vAlign w:val="bottom"/>
            <w:shd w:val="clear" w:color="auto" w:fill="FCE9E8"/>
          </w:tcPr>
          <w:p>
            <w:pPr>
              <w:spacing w:after="0"/>
              <w:rPr>
                <w:sz w:val="15"/>
                <w:szCs w:val="15"/>
                <w:color w:val="auto"/>
              </w:rPr>
            </w:pPr>
          </w:p>
        </w:tc>
        <w:tc>
          <w:tcPr>
            <w:tcW w:w="78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9"/>
              </w:rPr>
              <w:t>Performance Share Award</w:t>
            </w:r>
            <w:r>
              <w:rPr>
                <w:rFonts w:ascii="Arial" w:cs="Arial" w:eastAsia="Arial" w:hAnsi="Arial"/>
                <w:sz w:val="9"/>
                <w:szCs w:val="9"/>
                <w:color w:val="auto"/>
                <w:w w:val="99"/>
              </w:rPr>
              <w:t>(3)</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3,758</w:t>
            </w:r>
          </w:p>
        </w:tc>
        <w:tc>
          <w:tcPr>
            <w:tcW w:w="5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7,516</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15,032</w:t>
            </w: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900" w:type="dxa"/>
            <w:vAlign w:val="bottom"/>
            <w:gridSpan w:val="2"/>
            <w:shd w:val="clear" w:color="auto" w:fill="FCE9E8"/>
          </w:tcPr>
          <w:p>
            <w:pPr>
              <w:jc w:val="right"/>
              <w:ind w:right="204"/>
              <w:spacing w:after="0"/>
              <w:rPr>
                <w:sz w:val="20"/>
                <w:szCs w:val="20"/>
                <w:color w:val="auto"/>
              </w:rPr>
            </w:pPr>
            <w:r>
              <w:rPr>
                <w:rFonts w:ascii="Arial" w:cs="Arial" w:eastAsia="Arial" w:hAnsi="Arial"/>
                <w:sz w:val="12"/>
                <w:szCs w:val="12"/>
                <w:color w:val="auto"/>
              </w:rPr>
              <w:t>$1,186,809</w:t>
            </w: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9"/>
                <w:szCs w:val="9"/>
                <w:color w:val="auto"/>
              </w:rPr>
              <w:t>(4)</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50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2,505</w:t>
            </w: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204"/>
              <w:spacing w:after="0"/>
              <w:rPr>
                <w:sz w:val="20"/>
                <w:szCs w:val="20"/>
                <w:color w:val="auto"/>
              </w:rPr>
            </w:pPr>
            <w:r>
              <w:rPr>
                <w:rFonts w:ascii="Arial" w:cs="Arial" w:eastAsia="Arial" w:hAnsi="Arial"/>
                <w:sz w:val="12"/>
                <w:szCs w:val="12"/>
                <w:color w:val="auto"/>
              </w:rPr>
              <w:t>350,925</w:t>
            </w:r>
          </w:p>
        </w:tc>
        <w:tc>
          <w:tcPr>
            <w:tcW w:w="0" w:type="dxa"/>
            <w:vAlign w:val="bottom"/>
          </w:tcPr>
          <w:p>
            <w:pPr>
              <w:spacing w:after="0"/>
              <w:rPr>
                <w:sz w:val="1"/>
                <w:szCs w:val="1"/>
                <w:color w:val="auto"/>
              </w:rPr>
            </w:pPr>
          </w:p>
        </w:tc>
      </w:tr>
      <w:tr>
        <w:trPr>
          <w:trHeight w:val="203"/>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Stock Option Award</w:t>
            </w:r>
            <w:r>
              <w:rPr>
                <w:rFonts w:ascii="Arial" w:cs="Arial" w:eastAsia="Arial" w:hAnsi="Arial"/>
                <w:sz w:val="9"/>
                <w:szCs w:val="9"/>
                <w:color w:val="auto"/>
              </w:rPr>
              <w:t>(5)</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1/2/2020</w:t>
            </w: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50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jc w:val="right"/>
              <w:ind w:right="5"/>
              <w:spacing w:after="0"/>
              <w:rPr>
                <w:sz w:val="20"/>
                <w:szCs w:val="20"/>
                <w:color w:val="auto"/>
              </w:rPr>
            </w:pPr>
            <w:r>
              <w:rPr>
                <w:rFonts w:ascii="Arial" w:cs="Arial" w:eastAsia="Arial" w:hAnsi="Arial"/>
                <w:sz w:val="12"/>
                <w:szCs w:val="12"/>
                <w:color w:val="auto"/>
              </w:rPr>
              <w:t>11,577</w:t>
            </w:r>
          </w:p>
        </w:tc>
        <w:tc>
          <w:tcPr>
            <w:tcW w:w="560" w:type="dxa"/>
            <w:vAlign w:val="bottom"/>
            <w:shd w:val="clear" w:color="auto" w:fill="FCE9E8"/>
          </w:tcPr>
          <w:p>
            <w:pPr>
              <w:jc w:val="center"/>
              <w:spacing w:after="0"/>
              <w:rPr>
                <w:sz w:val="20"/>
                <w:szCs w:val="20"/>
                <w:color w:val="auto"/>
              </w:rPr>
            </w:pPr>
            <w:r>
              <w:rPr>
                <w:rFonts w:ascii="Arial" w:cs="Arial" w:eastAsia="Arial" w:hAnsi="Arial"/>
                <w:sz w:val="12"/>
                <w:szCs w:val="12"/>
                <w:color w:val="auto"/>
                <w:w w:val="94"/>
              </w:rPr>
              <w:t>$ 140.09</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204"/>
              <w:spacing w:after="0"/>
              <w:rPr>
                <w:sz w:val="20"/>
                <w:szCs w:val="20"/>
                <w:color w:val="auto"/>
              </w:rPr>
            </w:pPr>
            <w:r>
              <w:rPr>
                <w:rFonts w:ascii="Arial" w:cs="Arial" w:eastAsia="Arial" w:hAnsi="Arial"/>
                <w:sz w:val="12"/>
                <w:szCs w:val="12"/>
                <w:color w:val="auto"/>
              </w:rPr>
              <w:t>351,015</w:t>
            </w:r>
          </w:p>
        </w:tc>
        <w:tc>
          <w:tcPr>
            <w:tcW w:w="0" w:type="dxa"/>
            <w:vAlign w:val="bottom"/>
          </w:tcPr>
          <w:p>
            <w:pPr>
              <w:spacing w:after="0"/>
              <w:rPr>
                <w:sz w:val="1"/>
                <w:szCs w:val="1"/>
                <w:color w:val="auto"/>
              </w:rPr>
            </w:pPr>
          </w:p>
        </w:tc>
      </w:tr>
      <w:tr>
        <w:trPr>
          <w:trHeight w:val="205"/>
        </w:trPr>
        <w:tc>
          <w:tcPr>
            <w:tcW w:w="960" w:type="dxa"/>
            <w:vAlign w:val="bottom"/>
            <w:shd w:val="clear" w:color="auto" w:fill="FCE9E8"/>
          </w:tcPr>
          <w:p>
            <w:pPr>
              <w:spacing w:after="0"/>
              <w:rPr>
                <w:sz w:val="17"/>
                <w:szCs w:val="17"/>
                <w:color w:val="auto"/>
              </w:rPr>
            </w:pPr>
          </w:p>
        </w:tc>
        <w:tc>
          <w:tcPr>
            <w:tcW w:w="15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20" w:type="dxa"/>
            <w:vAlign w:val="bottom"/>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100" w:type="dxa"/>
            <w:vAlign w:val="bottom"/>
            <w:shd w:val="clear" w:color="auto" w:fill="FCE9E8"/>
          </w:tcPr>
          <w:p>
            <w:pPr>
              <w:spacing w:after="0"/>
              <w:rPr>
                <w:sz w:val="17"/>
                <w:szCs w:val="17"/>
                <w:color w:val="auto"/>
              </w:rPr>
            </w:pPr>
          </w:p>
        </w:tc>
        <w:tc>
          <w:tcPr>
            <w:tcW w:w="52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58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20" w:type="dxa"/>
            <w:vAlign w:val="bottom"/>
            <w:shd w:val="clear" w:color="auto" w:fill="FCE9E8"/>
          </w:tcPr>
          <w:p>
            <w:pPr>
              <w:spacing w:after="0"/>
              <w:rPr>
                <w:sz w:val="17"/>
                <w:szCs w:val="17"/>
                <w:color w:val="auto"/>
              </w:rPr>
            </w:pPr>
          </w:p>
        </w:tc>
        <w:tc>
          <w:tcPr>
            <w:tcW w:w="50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00" w:type="dxa"/>
            <w:vAlign w:val="bottom"/>
            <w:shd w:val="clear" w:color="auto" w:fill="FCE9E8"/>
          </w:tcPr>
          <w:p>
            <w:pPr>
              <w:spacing w:after="0"/>
              <w:rPr>
                <w:sz w:val="17"/>
                <w:szCs w:val="17"/>
                <w:color w:val="auto"/>
              </w:rPr>
            </w:pPr>
          </w:p>
        </w:tc>
        <w:tc>
          <w:tcPr>
            <w:tcW w:w="680" w:type="dxa"/>
            <w:vAlign w:val="bottom"/>
            <w:shd w:val="clear" w:color="auto" w:fill="FCE9E8"/>
          </w:tcPr>
          <w:p>
            <w:pPr>
              <w:spacing w:after="0"/>
              <w:rPr>
                <w:sz w:val="17"/>
                <w:szCs w:val="17"/>
                <w:color w:val="auto"/>
              </w:rPr>
            </w:pPr>
          </w:p>
        </w:tc>
        <w:tc>
          <w:tcPr>
            <w:tcW w:w="56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960" w:type="dxa"/>
            <w:vAlign w:val="bottom"/>
            <w:shd w:val="clear" w:color="auto" w:fill="FCE9E8"/>
          </w:tcPr>
          <w:p>
            <w:pPr>
              <w:spacing w:after="0"/>
              <w:rPr>
                <w:sz w:val="9"/>
                <w:szCs w:val="9"/>
                <w:color w:val="auto"/>
              </w:rPr>
            </w:pPr>
          </w:p>
        </w:tc>
        <w:tc>
          <w:tcPr>
            <w:tcW w:w="1540" w:type="dxa"/>
            <w:vAlign w:val="bottom"/>
            <w:shd w:val="clear" w:color="auto" w:fill="FCE9E8"/>
          </w:tcPr>
          <w:p>
            <w:pPr>
              <w:jc w:val="right"/>
              <w:spacing w:after="0" w:line="110" w:lineRule="exact"/>
              <w:rPr>
                <w:sz w:val="20"/>
                <w:szCs w:val="20"/>
                <w:color w:val="auto"/>
              </w:rPr>
            </w:pPr>
            <w:r>
              <w:rPr>
                <w:rFonts w:ascii="Arial" w:cs="Arial" w:eastAsia="Arial" w:hAnsi="Arial"/>
                <w:sz w:val="12"/>
                <w:szCs w:val="12"/>
                <w:color w:val="auto"/>
              </w:rPr>
              <w:t>(Performance-Based</w:t>
            </w:r>
          </w:p>
        </w:tc>
        <w:tc>
          <w:tcPr>
            <w:tcW w:w="720" w:type="dxa"/>
            <w:vAlign w:val="bottom"/>
            <w:shd w:val="clear" w:color="auto" w:fill="FCE9E8"/>
          </w:tcPr>
          <w:p>
            <w:pPr>
              <w:spacing w:after="0"/>
              <w:rPr>
                <w:sz w:val="9"/>
                <w:szCs w:val="9"/>
                <w:color w:val="auto"/>
              </w:rPr>
            </w:pPr>
          </w:p>
        </w:tc>
        <w:tc>
          <w:tcPr>
            <w:tcW w:w="60" w:type="dxa"/>
            <w:vAlign w:val="bottom"/>
            <w:shd w:val="clear" w:color="auto" w:fill="FCE9E8"/>
          </w:tcPr>
          <w:p>
            <w:pPr>
              <w:spacing w:after="0"/>
              <w:rPr>
                <w:sz w:val="9"/>
                <w:szCs w:val="9"/>
                <w:color w:val="auto"/>
              </w:rPr>
            </w:pPr>
          </w:p>
        </w:tc>
        <w:tc>
          <w:tcPr>
            <w:tcW w:w="100" w:type="dxa"/>
            <w:vAlign w:val="bottom"/>
            <w:shd w:val="clear" w:color="auto" w:fill="FCE9E8"/>
          </w:tcPr>
          <w:p>
            <w:pPr>
              <w:spacing w:after="0"/>
              <w:rPr>
                <w:sz w:val="9"/>
                <w:szCs w:val="9"/>
                <w:color w:val="auto"/>
              </w:rPr>
            </w:pPr>
          </w:p>
        </w:tc>
        <w:tc>
          <w:tcPr>
            <w:tcW w:w="52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580" w:type="dxa"/>
            <w:vAlign w:val="bottom"/>
            <w:shd w:val="clear" w:color="auto" w:fill="FCE9E8"/>
          </w:tcPr>
          <w:p>
            <w:pPr>
              <w:spacing w:after="0"/>
              <w:rPr>
                <w:sz w:val="9"/>
                <w:szCs w:val="9"/>
                <w:color w:val="auto"/>
              </w:rPr>
            </w:pPr>
          </w:p>
        </w:tc>
        <w:tc>
          <w:tcPr>
            <w:tcW w:w="64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620" w:type="dxa"/>
            <w:vAlign w:val="bottom"/>
            <w:shd w:val="clear" w:color="auto" w:fill="FCE9E8"/>
          </w:tcPr>
          <w:p>
            <w:pPr>
              <w:spacing w:after="0"/>
              <w:rPr>
                <w:sz w:val="9"/>
                <w:szCs w:val="9"/>
                <w:color w:val="auto"/>
              </w:rPr>
            </w:pPr>
          </w:p>
        </w:tc>
        <w:tc>
          <w:tcPr>
            <w:tcW w:w="500" w:type="dxa"/>
            <w:vAlign w:val="bottom"/>
            <w:shd w:val="clear" w:color="auto" w:fill="FCE9E8"/>
          </w:tcPr>
          <w:p>
            <w:pPr>
              <w:spacing w:after="0"/>
              <w:rPr>
                <w:sz w:val="9"/>
                <w:szCs w:val="9"/>
                <w:color w:val="auto"/>
              </w:rPr>
            </w:pPr>
          </w:p>
        </w:tc>
        <w:tc>
          <w:tcPr>
            <w:tcW w:w="600" w:type="dxa"/>
            <w:vAlign w:val="bottom"/>
            <w:shd w:val="clear" w:color="auto" w:fill="FCE9E8"/>
          </w:tcPr>
          <w:p>
            <w:pPr>
              <w:spacing w:after="0"/>
              <w:rPr>
                <w:sz w:val="9"/>
                <w:szCs w:val="9"/>
                <w:color w:val="auto"/>
              </w:rPr>
            </w:pPr>
          </w:p>
        </w:tc>
        <w:tc>
          <w:tcPr>
            <w:tcW w:w="700" w:type="dxa"/>
            <w:vAlign w:val="bottom"/>
            <w:shd w:val="clear" w:color="auto" w:fill="FCE9E8"/>
          </w:tcPr>
          <w:p>
            <w:pPr>
              <w:spacing w:after="0"/>
              <w:rPr>
                <w:sz w:val="9"/>
                <w:szCs w:val="9"/>
                <w:color w:val="auto"/>
              </w:rPr>
            </w:pPr>
          </w:p>
        </w:tc>
        <w:tc>
          <w:tcPr>
            <w:tcW w:w="680" w:type="dxa"/>
            <w:vAlign w:val="bottom"/>
            <w:shd w:val="clear" w:color="auto" w:fill="FCE9E8"/>
          </w:tcPr>
          <w:p>
            <w:pPr>
              <w:spacing w:after="0"/>
              <w:rPr>
                <w:sz w:val="9"/>
                <w:szCs w:val="9"/>
                <w:color w:val="auto"/>
              </w:rPr>
            </w:pPr>
          </w:p>
        </w:tc>
        <w:tc>
          <w:tcPr>
            <w:tcW w:w="560" w:type="dxa"/>
            <w:vAlign w:val="bottom"/>
            <w:shd w:val="clear" w:color="auto" w:fill="FCE9E8"/>
          </w:tcPr>
          <w:p>
            <w:pPr>
              <w:spacing w:after="0"/>
              <w:rPr>
                <w:sz w:val="9"/>
                <w:szCs w:val="9"/>
                <w:color w:val="auto"/>
              </w:rPr>
            </w:pPr>
          </w:p>
        </w:tc>
        <w:tc>
          <w:tcPr>
            <w:tcW w:w="120" w:type="dxa"/>
            <w:vAlign w:val="bottom"/>
            <w:shd w:val="clear" w:color="auto" w:fill="FCE9E8"/>
          </w:tcPr>
          <w:p>
            <w:pPr>
              <w:spacing w:after="0"/>
              <w:rPr>
                <w:sz w:val="9"/>
                <w:szCs w:val="9"/>
                <w:color w:val="auto"/>
              </w:rPr>
            </w:pPr>
          </w:p>
        </w:tc>
        <w:tc>
          <w:tcPr>
            <w:tcW w:w="780" w:type="dxa"/>
            <w:vAlign w:val="bottom"/>
            <w:shd w:val="clear" w:color="auto" w:fill="FCE9E8"/>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shd w:val="clear" w:color="auto" w:fill="FCE9E8"/>
          </w:tcPr>
          <w:p>
            <w:pPr>
              <w:spacing w:after="0"/>
              <w:rPr>
                <w:sz w:val="16"/>
                <w:szCs w:val="16"/>
                <w:color w:val="auto"/>
              </w:rPr>
            </w:pPr>
          </w:p>
        </w:tc>
        <w:tc>
          <w:tcPr>
            <w:tcW w:w="1540" w:type="dxa"/>
            <w:vAlign w:val="bottom"/>
            <w:shd w:val="clear" w:color="auto" w:fill="FCE9E8"/>
          </w:tcPr>
          <w:p>
            <w:pPr>
              <w:jc w:val="right"/>
              <w:spacing w:after="0" w:line="184" w:lineRule="exact"/>
              <w:rPr>
                <w:sz w:val="20"/>
                <w:szCs w:val="20"/>
                <w:color w:val="auto"/>
              </w:rPr>
            </w:pPr>
            <w:r>
              <w:rPr>
                <w:rFonts w:ascii="Arial" w:cs="Arial" w:eastAsia="Arial" w:hAnsi="Arial"/>
                <w:sz w:val="12"/>
                <w:szCs w:val="12"/>
                <w:color w:val="auto"/>
              </w:rPr>
              <w:t>Career Shares)</w:t>
            </w:r>
            <w:r>
              <w:rPr>
                <w:rFonts w:ascii="Arial" w:cs="Arial" w:eastAsia="Arial" w:hAnsi="Arial"/>
                <w:sz w:val="19"/>
                <w:szCs w:val="19"/>
                <w:color w:val="auto"/>
                <w:vertAlign w:val="superscript"/>
              </w:rPr>
              <w:t>(6)</w:t>
            </w:r>
          </w:p>
        </w:tc>
        <w:tc>
          <w:tcPr>
            <w:tcW w:w="7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11/18/2020</w:t>
            </w:r>
          </w:p>
        </w:tc>
        <w:tc>
          <w:tcPr>
            <w:tcW w:w="60" w:type="dxa"/>
            <w:vAlign w:val="bottom"/>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120" w:type="dxa"/>
            <w:vAlign w:val="bottom"/>
            <w:shd w:val="clear" w:color="auto" w:fill="FCE9E8"/>
          </w:tcPr>
          <w:p>
            <w:pPr>
              <w:spacing w:after="0"/>
              <w:rPr>
                <w:sz w:val="16"/>
                <w:szCs w:val="16"/>
                <w:color w:val="auto"/>
              </w:rPr>
            </w:pPr>
          </w:p>
        </w:tc>
        <w:tc>
          <w:tcPr>
            <w:tcW w:w="580" w:type="dxa"/>
            <w:vAlign w:val="bottom"/>
            <w:shd w:val="clear" w:color="auto" w:fill="FCE9E8"/>
          </w:tcPr>
          <w:p>
            <w:pPr>
              <w:spacing w:after="0"/>
              <w:rPr>
                <w:sz w:val="16"/>
                <w:szCs w:val="16"/>
                <w:color w:val="auto"/>
              </w:rPr>
            </w:pPr>
          </w:p>
        </w:tc>
        <w:tc>
          <w:tcPr>
            <w:tcW w:w="640" w:type="dxa"/>
            <w:vAlign w:val="bottom"/>
            <w:shd w:val="clear" w:color="auto" w:fill="FCE9E8"/>
          </w:tcPr>
          <w:p>
            <w:pPr>
              <w:spacing w:after="0"/>
              <w:rPr>
                <w:sz w:val="16"/>
                <w:szCs w:val="16"/>
                <w:color w:val="auto"/>
              </w:rPr>
            </w:pPr>
          </w:p>
        </w:tc>
        <w:tc>
          <w:tcPr>
            <w:tcW w:w="12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w:t>
            </w:r>
          </w:p>
        </w:tc>
        <w:tc>
          <w:tcPr>
            <w:tcW w:w="5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5,312</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5,312</w:t>
            </w:r>
          </w:p>
        </w:tc>
        <w:tc>
          <w:tcPr>
            <w:tcW w:w="700" w:type="dxa"/>
            <w:vAlign w:val="bottom"/>
            <w:shd w:val="clear" w:color="auto" w:fill="FCE9E8"/>
          </w:tcPr>
          <w:p>
            <w:pPr>
              <w:spacing w:after="0"/>
              <w:rPr>
                <w:sz w:val="16"/>
                <w:szCs w:val="16"/>
                <w:color w:val="auto"/>
              </w:rPr>
            </w:pPr>
          </w:p>
        </w:tc>
        <w:tc>
          <w:tcPr>
            <w:tcW w:w="680" w:type="dxa"/>
            <w:vAlign w:val="bottom"/>
            <w:shd w:val="clear" w:color="auto" w:fill="FCE9E8"/>
          </w:tcPr>
          <w:p>
            <w:pPr>
              <w:spacing w:after="0"/>
              <w:rPr>
                <w:sz w:val="16"/>
                <w:szCs w:val="16"/>
                <w:color w:val="auto"/>
              </w:rPr>
            </w:pPr>
          </w:p>
        </w:tc>
        <w:tc>
          <w:tcPr>
            <w:tcW w:w="560" w:type="dxa"/>
            <w:vAlign w:val="bottom"/>
            <w:shd w:val="clear" w:color="auto" w:fill="FCE9E8"/>
          </w:tcPr>
          <w:p>
            <w:pPr>
              <w:spacing w:after="0"/>
              <w:rPr>
                <w:sz w:val="16"/>
                <w:szCs w:val="16"/>
                <w:color w:val="auto"/>
              </w:rPr>
            </w:pP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204"/>
              <w:spacing w:after="0"/>
              <w:rPr>
                <w:sz w:val="20"/>
                <w:szCs w:val="20"/>
                <w:color w:val="auto"/>
              </w:rPr>
            </w:pPr>
            <w:r>
              <w:rPr>
                <w:rFonts w:ascii="Arial" w:cs="Arial" w:eastAsia="Arial" w:hAnsi="Arial"/>
                <w:sz w:val="12"/>
                <w:szCs w:val="12"/>
                <w:color w:val="auto"/>
              </w:rPr>
              <w:t>664,970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right="60" w:hanging="293"/>
        <w:spacing w:after="0" w:line="223" w:lineRule="auto"/>
        <w:tabs>
          <w:tab w:leader="none" w:pos="96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Named Executive Officer. As indicated above under “—2020 Incentive Programs – Annual Incentives,” in August 2020, our Compensation Committee implemented revised AIP goals based solely on Adjusted Operating Income as a result of the effects of the COVID-19 pandemic. The revised full-year AIP goals are lower than those set in January 2020 with commensurately reduced potential payouts. If actual performance falls between threshold and target or between target and maximum, the award would be calculated using linear interpolation. For the Annual Incentive Award, the target bonus opportunity for the Named Executive Officers was also based on a percentage of base salary, which is 150% for Mr. Scott, 100% for Messrs. Orsini, and DiDonato, 90% for Mr. Cardew and 80% for Mr. Esposito. The Target Amount is generally the Named Executive Officer’s base salary multiplied by his respective Target Opportunity.</w:t>
      </w:r>
    </w:p>
    <w:p>
      <w:pPr>
        <w:spacing w:after="0" w:line="113" w:lineRule="exact"/>
        <w:rPr>
          <w:rFonts w:ascii="Arial" w:cs="Arial" w:eastAsia="Arial" w:hAnsi="Arial"/>
          <w:sz w:val="24"/>
          <w:szCs w:val="24"/>
          <w:color w:val="auto"/>
          <w:vertAlign w:val="superscript"/>
        </w:rPr>
      </w:pPr>
    </w:p>
    <w:p>
      <w:pPr>
        <w:ind w:left="960" w:right="100" w:hanging="293"/>
        <w:spacing w:after="0" w:line="183" w:lineRule="auto"/>
        <w:tabs>
          <w:tab w:leader="none" w:pos="96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See Note 13, “Stock-Based Compensation,” to the Company’s consolidated financial statements included in our 2020 Annual Report on Form 10-K for the assumptions made in determining values.</w:t>
      </w:r>
    </w:p>
    <w:p>
      <w:pPr>
        <w:spacing w:after="0" w:line="8" w:lineRule="exact"/>
        <w:rPr>
          <w:rFonts w:ascii="Arial" w:cs="Arial" w:eastAsia="Arial" w:hAnsi="Arial"/>
          <w:sz w:val="24"/>
          <w:szCs w:val="24"/>
          <w:color w:val="auto"/>
          <w:vertAlign w:val="superscript"/>
        </w:rPr>
      </w:pPr>
    </w:p>
    <w:p>
      <w:pPr>
        <w:ind w:left="960" w:hanging="293"/>
        <w:spacing w:after="0"/>
        <w:tabs>
          <w:tab w:leader="none" w:pos="96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See “— Performance Shares” below for an explanation regarding the vesting and distribution of the Performance Shares.</w:t>
      </w:r>
    </w:p>
    <w:p>
      <w:pPr>
        <w:spacing w:after="0" w:line="111" w:lineRule="exact"/>
        <w:rPr>
          <w:rFonts w:ascii="Arial" w:cs="Arial" w:eastAsia="Arial" w:hAnsi="Arial"/>
          <w:sz w:val="24"/>
          <w:szCs w:val="24"/>
          <w:color w:val="auto"/>
          <w:vertAlign w:val="superscript"/>
        </w:rPr>
      </w:pPr>
    </w:p>
    <w:p>
      <w:pPr>
        <w:ind w:left="960" w:hanging="293"/>
        <w:spacing w:after="0" w:line="189" w:lineRule="auto"/>
        <w:tabs>
          <w:tab w:leader="none" w:pos="960" w:val="left"/>
        </w:tabs>
        <w:numPr>
          <w:ilvl w:val="0"/>
          <w:numId w:val="101"/>
        </w:numPr>
        <w:rPr>
          <w:rFonts w:ascii="Arial" w:cs="Arial" w:eastAsia="Arial" w:hAnsi="Arial"/>
          <w:sz w:val="19"/>
          <w:szCs w:val="19"/>
          <w:color w:val="auto"/>
          <w:vertAlign w:val="superscript"/>
        </w:rPr>
      </w:pPr>
      <w:r>
        <w:rPr>
          <w:rFonts w:ascii="Arial" w:cs="Arial" w:eastAsia="Arial" w:hAnsi="Arial"/>
          <w:sz w:val="12"/>
          <w:szCs w:val="12"/>
          <w:color w:val="auto"/>
        </w:rPr>
        <w:t>The RSUs generally vest and are paid in shares of Lear common stock on the third anniversary of the grant date.</w:t>
      </w:r>
    </w:p>
    <w:p>
      <w:pPr>
        <w:spacing w:after="0" w:line="111" w:lineRule="exact"/>
        <w:rPr>
          <w:rFonts w:ascii="Arial" w:cs="Arial" w:eastAsia="Arial" w:hAnsi="Arial"/>
          <w:sz w:val="19"/>
          <w:szCs w:val="19"/>
          <w:color w:val="auto"/>
          <w:vertAlign w:val="superscript"/>
        </w:rPr>
      </w:pPr>
    </w:p>
    <w:p>
      <w:pPr>
        <w:ind w:left="960" w:hanging="293"/>
        <w:spacing w:after="0" w:line="189" w:lineRule="auto"/>
        <w:tabs>
          <w:tab w:leader="none" w:pos="960" w:val="left"/>
        </w:tabs>
        <w:numPr>
          <w:ilvl w:val="0"/>
          <w:numId w:val="101"/>
        </w:numPr>
        <w:rPr>
          <w:rFonts w:ascii="Arial" w:cs="Arial" w:eastAsia="Arial" w:hAnsi="Arial"/>
          <w:sz w:val="19"/>
          <w:szCs w:val="19"/>
          <w:color w:val="auto"/>
          <w:vertAlign w:val="superscript"/>
        </w:rPr>
      </w:pPr>
      <w:r>
        <w:rPr>
          <w:rFonts w:ascii="Arial" w:cs="Arial" w:eastAsia="Arial" w:hAnsi="Arial"/>
          <w:sz w:val="12"/>
          <w:szCs w:val="12"/>
          <w:color w:val="auto"/>
        </w:rPr>
        <w:t>The stock options vest ratably on the anniversary of the grant date over three years.</w:t>
      </w:r>
    </w:p>
    <w:p>
      <w:pPr>
        <w:spacing w:after="0" w:line="200" w:lineRule="exact"/>
        <w:rPr>
          <w:sz w:val="20"/>
          <w:szCs w:val="20"/>
          <w:color w:val="auto"/>
        </w:rPr>
      </w:pPr>
    </w:p>
    <w:p>
      <w:pPr>
        <w:spacing w:after="0" w:line="208" w:lineRule="exact"/>
        <w:rPr>
          <w:sz w:val="20"/>
          <w:szCs w:val="20"/>
          <w:color w:val="auto"/>
        </w:rPr>
      </w:pPr>
    </w:p>
    <w:p>
      <w:pPr>
        <w:ind w:left="780" w:hanging="393"/>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9" w:lineRule="exact"/>
        <w:rPr>
          <w:sz w:val="20"/>
          <w:szCs w:val="20"/>
          <w:color w:val="auto"/>
        </w:rPr>
      </w:pPr>
    </w:p>
    <w:p>
      <w:pPr>
        <w:ind w:left="960" w:hanging="291"/>
        <w:spacing w:after="0"/>
        <w:tabs>
          <w:tab w:leader="none" w:pos="96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See “—Performance-Based Career Shares” below for an explanation regarding the vesting and distribution of the Performance-Based Career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28" w:lineRule="exact"/>
        <w:rPr>
          <w:sz w:val="20"/>
          <w:szCs w:val="20"/>
          <w:color w:val="auto"/>
        </w:rPr>
      </w:pPr>
    </w:p>
    <w:p>
      <w:pPr>
        <w:ind w:left="660" w:right="420"/>
        <w:spacing w:after="0" w:line="260" w:lineRule="auto"/>
        <w:rPr>
          <w:sz w:val="20"/>
          <w:szCs w:val="20"/>
          <w:color w:val="auto"/>
        </w:rPr>
      </w:pPr>
      <w:r>
        <w:rPr>
          <w:rFonts w:ascii="Arial" w:cs="Arial" w:eastAsia="Arial" w:hAnsi="Arial"/>
          <w:sz w:val="16"/>
          <w:szCs w:val="16"/>
          <w:color w:val="auto"/>
        </w:rPr>
        <w:t>A summary description of the Company’s AIP is included above under the heading “Compensation Discussion and Analysis — Elements of Compensation — Annual Incentives.”</w:t>
      </w:r>
    </w:p>
    <w:p>
      <w:pPr>
        <w:sectPr>
          <w:pgSz w:w="11900" w:h="16838" w:orient="portrait"/>
          <w:cols w:equalWidth="0" w:num="1">
            <w:col w:w="10860"/>
          </w:cols>
          <w:pgMar w:left="320" w:top="459" w:right="71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9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Performance Shares, RSUs, stock options, and Performance-Based Career Shares were all granted pursuant to the LTSIP, a summary description of which is included above under the heading “Compensation Discussion and Analysis — Elements of Compensation — Long-Term Incentives.”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Shares</w:t>
      </w:r>
    </w:p>
    <w:p>
      <w:pPr>
        <w:spacing w:after="0" w:line="124" w:lineRule="exact"/>
        <w:rPr>
          <w:sz w:val="20"/>
          <w:szCs w:val="20"/>
          <w:color w:val="auto"/>
        </w:rPr>
      </w:pPr>
    </w:p>
    <w:p>
      <w:pPr>
        <w:ind w:left="660" w:right="60"/>
        <w:spacing w:after="0" w:line="247" w:lineRule="auto"/>
        <w:rPr>
          <w:sz w:val="20"/>
          <w:szCs w:val="20"/>
          <w:color w:val="auto"/>
        </w:rPr>
      </w:pPr>
      <w:r>
        <w:rPr>
          <w:rFonts w:ascii="Arial" w:cs="Arial" w:eastAsia="Arial" w:hAnsi="Arial"/>
          <w:sz w:val="16"/>
          <w:szCs w:val="16"/>
          <w:color w:val="auto"/>
        </w:rPr>
        <w:t>Payment of each Performance Share award is contingent on the Company attaining certain levels of Cumulative Adjusted Pre-Tax Income and Relative TSR in the 2020-2022 performance period. Two-thirds of each Performance Share award can be earned based on Cumulative Adjusted Pre-Tax Income performance and one-third can be earned based on Relative TSR performance. If threshold, target or maximum performance goals are attained in a performance period, 50%, 100% or 200% of the target amount, respectively, may be earned. If actual performance falls between threshold and maximum, the award would be 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211" w:lineRule="exact"/>
        <w:rPr>
          <w:sz w:val="20"/>
          <w:szCs w:val="20"/>
          <w:color w:val="auto"/>
        </w:rPr>
      </w:pPr>
    </w:p>
    <w:p>
      <w:pPr>
        <w:ind w:left="660" w:right="80"/>
        <w:spacing w:after="0" w:line="251"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 Company’s common stock; however, the dollar amount of these dividend equivalents is not paid unless and until the</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Career Shares</w:t>
      </w:r>
    </w:p>
    <w:p>
      <w:pPr>
        <w:spacing w:after="0" w:line="124" w:lineRule="exact"/>
        <w:rPr>
          <w:sz w:val="20"/>
          <w:szCs w:val="20"/>
          <w:color w:val="auto"/>
        </w:rPr>
      </w:pPr>
    </w:p>
    <w:p>
      <w:pPr>
        <w:ind w:left="660" w:right="80"/>
        <w:spacing w:after="0" w:line="246" w:lineRule="auto"/>
        <w:rPr>
          <w:sz w:val="20"/>
          <w:szCs w:val="20"/>
          <w:color w:val="auto"/>
        </w:rPr>
      </w:pPr>
      <w:r>
        <w:rPr>
          <w:rFonts w:ascii="Arial" w:cs="Arial" w:eastAsia="Arial" w:hAnsi="Arial"/>
          <w:sz w:val="16"/>
          <w:szCs w:val="16"/>
          <w:color w:val="auto"/>
        </w:rPr>
        <w:t>The Performance-Based Career Shares will be earned only if specific performance goals are achieved at the end of 2021, following which the awards will continue to be subject to a time-vesting requirement and delayed settlement, as described below:</w:t>
      </w:r>
    </w:p>
    <w:p>
      <w:pPr>
        <w:spacing w:after="0" w:line="2" w:lineRule="exact"/>
        <w:rPr>
          <w:sz w:val="20"/>
          <w:szCs w:val="20"/>
          <w:color w:val="auto"/>
        </w:rPr>
      </w:pPr>
    </w:p>
    <w:p>
      <w:pPr>
        <w:ind w:left="860" w:hanging="191"/>
        <w:spacing w:after="0"/>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liquidity (weighted 1/3), (ii) sales backlog (weighted (1/3), and</w:t>
      </w:r>
    </w:p>
    <w:p>
      <w:pPr>
        <w:spacing w:after="0" w:line="5" w:lineRule="exact"/>
        <w:rPr>
          <w:rFonts w:ascii="Arial" w:cs="Arial" w:eastAsia="Arial" w:hAnsi="Arial"/>
          <w:sz w:val="16"/>
          <w:szCs w:val="16"/>
          <w:color w:val="auto"/>
        </w:rPr>
      </w:pPr>
    </w:p>
    <w:p>
      <w:pPr>
        <w:ind w:left="660" w:right="40" w:firstLine="9"/>
        <w:spacing w:after="0" w:line="250" w:lineRule="auto"/>
        <w:tabs>
          <w:tab w:leader="none" w:pos="91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Relative TSR (weighted 1/3), measured from November 1, 2020 through the end of the 2021 calendar year. Any Performance-Based Career Shares that are earned based on the achievement of these performance goals will otherwise be subject to terms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right="1040"/>
        <w:spacing w:after="0" w:line="260" w:lineRule="auto"/>
        <w:rPr>
          <w:sz w:val="20"/>
          <w:szCs w:val="20"/>
          <w:color w:val="auto"/>
        </w:rPr>
      </w:pPr>
      <w:r>
        <w:rPr>
          <w:rFonts w:ascii="Arial" w:cs="Arial" w:eastAsia="Arial" w:hAnsi="Arial"/>
          <w:sz w:val="16"/>
          <w:szCs w:val="16"/>
          <w:color w:val="auto"/>
        </w:rPr>
        <w:t>performance goals are met with respect to the underlying Performance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24"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In general, the RSUs vest and settle in shares of common stock on the third anniversary of the grant date, generally subject to the executive’s continued employment. For a description of the effect of a termination of employment or a change in control on the vesting of RSUs, please see “Executive Compensation — Potential Payments Upon Termination or Change in Control.”</w:t>
      </w:r>
    </w:p>
    <w:p>
      <w:pPr>
        <w:spacing w:after="0" w:line="205"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4"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color w:val="auto"/>
        </w:rPr>
        <w:t>In general, the stock options vest over three years on each anniversary of the grant date, generally subject to the executive’s continued employment. For a description of the effect of a termination of employment or a change in control on the vesting of stock options, please see “Executive Compensation —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conditions under the LTSIP that are generally consistent with those applicable to the Career Shares previously awarded to the Named Executive Officers, which includes a time-vesting schedule (vesting on the third anniversary of the grant date) and delayed settlement. In general, the underlying shares of common stock for the vested Performance-Based Career Shares are not distributed until the later of (i) age 62 or (ii) the vesting date. If the executive terminates due to a Performance-Based Career Share “qualifying retirement” (i.e., voluntary termination at or after age 62 or the date that the executive attains a combined number of age and years of</w:t>
      </w:r>
    </w:p>
    <w:p>
      <w:pPr>
        <w:spacing w:after="0" w:line="512"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34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51</w:t>
      </w:r>
    </w:p>
    <w:p>
      <w:pPr>
        <w:sectPr>
          <w:pgSz w:w="11900" w:h="16838" w:orient="portrait"/>
          <w:cols w:equalWidth="0" w:num="1">
            <w:col w:w="10860"/>
          </w:cols>
          <w:pgMar w:left="320" w:top="459" w:right="7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4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service of 65, with a minimum age of 55 and minimum service of five years), the underlying shares of common stock for the vested Performance-Based Career Shares are not distributed until the earlier of (i) age 62 (or such later vesting date) or (ii) three years after the executive’s qualifying retirement. If the executive has attained a combined number of age and years of service of at least 65, with a minimum age of 55 and</w:t>
      </w:r>
    </w:p>
    <w:p>
      <w:pPr>
        <w:spacing w:after="0" w:line="200" w:lineRule="exact"/>
        <w:rPr>
          <w:sz w:val="20"/>
          <w:szCs w:val="20"/>
          <w:color w:val="auto"/>
        </w:rPr>
      </w:pPr>
    </w:p>
    <w:p>
      <w:pPr>
        <w:spacing w:after="0" w:line="361" w:lineRule="exact"/>
        <w:rPr>
          <w:sz w:val="20"/>
          <w:szCs w:val="20"/>
          <w:color w:val="auto"/>
        </w:rPr>
      </w:pPr>
    </w:p>
    <w:p>
      <w:pPr>
        <w:ind w:left="780" w:hanging="393"/>
        <w:spacing w:after="0"/>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minimum service of five years, or the executive is terminated without “cause” or resigns for “good reason,” in each case after the first anniversary of the grant date, the underlying shares of common stock for the vested Performance-Based Career Shares are not distributed until the later of (i) age 62 (or such later vesting date) or (ii) three years after the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-1593850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5340" w:space="380"/>
            <w:col w:w="4860"/>
          </w:cols>
          <w:pgMar w:left="320" w:top="459" w:right="9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195580</wp:posOffset>
            </wp:positionV>
            <wp:extent cx="6292215"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3"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FFFFFF"/>
        </w:rPr>
        <w:t>2020 Outstanding Equity Awards At Fiscal Year-End</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outstanding equity awards as of December 31, 2020, for each Named Executive Officer.</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2"/>
        </w:trPr>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E2231A"/>
              </w:rPr>
              <w:t>Option Awards</w:t>
            </w: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gridSpan w:val="2"/>
            <w:vMerge w:val="restart"/>
          </w:tcPr>
          <w:p>
            <w:pPr>
              <w:jc w:val="right"/>
              <w:ind w:right="570"/>
              <w:spacing w:after="0"/>
              <w:rPr>
                <w:sz w:val="20"/>
                <w:szCs w:val="20"/>
                <w:color w:val="auto"/>
              </w:rPr>
            </w:pPr>
            <w:r>
              <w:rPr>
                <w:rFonts w:ascii="Arial" w:cs="Arial" w:eastAsia="Arial" w:hAnsi="Arial"/>
                <w:sz w:val="13"/>
                <w:szCs w:val="13"/>
                <w:b w:val="1"/>
                <w:bCs w:val="1"/>
                <w:color w:val="E2231A"/>
              </w:rPr>
              <w:t>Stock Awards</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vMerge w:val="continue"/>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8"/>
              </w:rPr>
              <w:t>Equity Incentive</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E2231A"/>
              </w:rPr>
              <w:t>Equity Incentive</w:t>
            </w:r>
          </w:p>
        </w:tc>
        <w:tc>
          <w:tcPr>
            <w:tcW w:w="0" w:type="dxa"/>
            <w:vAlign w:val="bottom"/>
          </w:tcPr>
          <w:p>
            <w:pPr>
              <w:spacing w:after="0"/>
              <w:rPr>
                <w:sz w:val="1"/>
                <w:szCs w:val="1"/>
                <w:color w:val="auto"/>
              </w:rPr>
            </w:pPr>
          </w:p>
        </w:tc>
      </w:tr>
      <w:tr>
        <w:trPr>
          <w:trHeight w:val="130"/>
        </w:trPr>
        <w:tc>
          <w:tcPr>
            <w:tcW w:w="2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2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E2231A"/>
                <w:w w:val="94"/>
              </w:rPr>
              <w:t>Plan Awards: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Number of</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Number of</w:t>
            </w:r>
          </w:p>
        </w:tc>
        <w:tc>
          <w:tcPr>
            <w:tcW w:w="7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Plan Awards:</w:t>
            </w:r>
          </w:p>
        </w:tc>
        <w:tc>
          <w:tcPr>
            <w:tcW w:w="180" w:type="dxa"/>
            <w:vAlign w:val="bottom"/>
          </w:tcPr>
          <w:p>
            <w:pPr>
              <w:spacing w:after="0"/>
              <w:rPr>
                <w:sz w:val="11"/>
                <w:szCs w:val="11"/>
                <w:color w:val="auto"/>
              </w:rPr>
            </w:pPr>
          </w:p>
        </w:tc>
        <w:tc>
          <w:tcPr>
            <w:tcW w:w="84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E2231A"/>
                <w:w w:val="99"/>
              </w:rPr>
              <w:t>Market or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w:t>
            </w:r>
          </w:p>
        </w:tc>
        <w:tc>
          <w:tcPr>
            <w:tcW w:w="7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Number of</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5"/>
              </w:rPr>
              <w:t>Payout Value</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Underlying</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Underlying</w:t>
            </w:r>
          </w:p>
        </w:tc>
        <w:tc>
          <w:tcPr>
            <w:tcW w:w="7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Number of</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Market Value</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Unearned Shares,</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7"/>
              </w:rPr>
              <w:t>of Unearned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Unexercised</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Unexercised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Option</w:t>
            </w:r>
          </w:p>
        </w:tc>
        <w:tc>
          <w:tcPr>
            <w:tcW w:w="840" w:type="dxa"/>
            <w:vAlign w:val="bottom"/>
            <w:tcBorders>
              <w:right w:val="single" w:sz="8" w:color="auto"/>
            </w:tcBorders>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9"/>
              </w:rPr>
              <w:t>Shares or</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of Shares or</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Units or Other</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8"/>
              </w:rPr>
              <w:t>Shares, Units or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Options (#)</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9"/>
              </w:rPr>
              <w:t>Options (#)</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Exercise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E2231A"/>
                <w:w w:val="95"/>
              </w:rPr>
              <w:t>Option</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Units of Stock</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Units of Stock</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Rights that</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6"/>
              </w:rPr>
              <w:t>Other Rights</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Exercisable</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Unexercisable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Price</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E2231A"/>
                <w:w w:val="97"/>
              </w:rPr>
              <w:t>Expiration</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That Have</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That Have Not</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have Not</w:t>
            </w:r>
          </w:p>
        </w:tc>
        <w:tc>
          <w:tcPr>
            <w:tcW w:w="180" w:type="dxa"/>
            <w:vAlign w:val="bottom"/>
          </w:tcPr>
          <w:p>
            <w:pPr>
              <w:spacing w:after="0"/>
              <w:rPr>
                <w:sz w:val="11"/>
                <w:szCs w:val="11"/>
                <w:color w:val="auto"/>
              </w:rPr>
            </w:pPr>
          </w:p>
        </w:tc>
        <w:tc>
          <w:tcPr>
            <w:tcW w:w="84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E2231A"/>
                <w:w w:val="94"/>
              </w:rPr>
              <w:t>that have</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(b)</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(c)</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8"/>
              </w:rPr>
              <w:t>($)(d)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Date (e)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9"/>
              </w:rPr>
              <w:t>Not Vested</w:t>
            </w:r>
            <w:r>
              <w:rPr>
                <w:rFonts w:ascii="Arial" w:cs="Arial" w:eastAsia="Arial" w:hAnsi="Arial"/>
                <w:sz w:val="10"/>
                <w:szCs w:val="10"/>
                <w:b w:val="1"/>
                <w:bCs w:val="1"/>
                <w:color w:val="E2231A"/>
                <w:w w:val="99"/>
              </w:rPr>
              <w:t>(1)</w:t>
            </w:r>
            <w:r>
              <w:rPr>
                <w:rFonts w:ascii="Arial" w:cs="Arial" w:eastAsia="Arial" w:hAnsi="Arial"/>
                <w:sz w:val="13"/>
                <w:szCs w:val="13"/>
                <w:b w:val="1"/>
                <w:bCs w:val="1"/>
                <w:color w:val="E2231A"/>
                <w:w w:val="99"/>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7"/>
              </w:rPr>
              <w:t>Vested</w:t>
            </w:r>
            <w:r>
              <w:rPr>
                <w:rFonts w:ascii="Arial" w:cs="Arial" w:eastAsia="Arial" w:hAnsi="Arial"/>
                <w:sz w:val="10"/>
                <w:szCs w:val="10"/>
                <w:b w:val="1"/>
                <w:bCs w:val="1"/>
                <w:color w:val="E2231A"/>
                <w:w w:val="97"/>
              </w:rPr>
              <w:t>(2)</w:t>
            </w:r>
            <w:r>
              <w:rPr>
                <w:rFonts w:ascii="Arial" w:cs="Arial" w:eastAsia="Arial" w:hAnsi="Arial"/>
                <w:sz w:val="13"/>
                <w:szCs w:val="13"/>
                <w:b w:val="1"/>
                <w:bCs w:val="1"/>
                <w:color w:val="E2231A"/>
                <w:w w:val="97"/>
              </w:rPr>
              <w:t>(h)</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8"/>
              </w:rPr>
              <w:t>Vested</w:t>
            </w:r>
            <w:r>
              <w:rPr>
                <w:rFonts w:ascii="Arial" w:cs="Arial" w:eastAsia="Arial" w:hAnsi="Arial"/>
                <w:sz w:val="10"/>
                <w:szCs w:val="10"/>
                <w:b w:val="1"/>
                <w:bCs w:val="1"/>
                <w:color w:val="E2231A"/>
                <w:w w:val="98"/>
              </w:rPr>
              <w:t>(3)</w:t>
            </w:r>
            <w:r>
              <w:rPr>
                <w:rFonts w:ascii="Arial" w:cs="Arial" w:eastAsia="Arial" w:hAnsi="Arial"/>
                <w:sz w:val="13"/>
                <w:szCs w:val="13"/>
                <w:b w:val="1"/>
                <w:bCs w:val="1"/>
                <w:color w:val="E2231A"/>
                <w:w w:val="98"/>
              </w:rPr>
              <w:t>(i)</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w w:val="97"/>
              </w:rPr>
              <w:t>Not Vested</w:t>
            </w:r>
            <w:r>
              <w:rPr>
                <w:rFonts w:ascii="Arial" w:cs="Arial" w:eastAsia="Arial" w:hAnsi="Arial"/>
                <w:sz w:val="10"/>
                <w:szCs w:val="10"/>
                <w:b w:val="1"/>
                <w:bCs w:val="1"/>
                <w:color w:val="E2231A"/>
                <w:w w:val="97"/>
              </w:rPr>
              <w:t>(3)</w:t>
            </w:r>
            <w:r>
              <w:rPr>
                <w:rFonts w:ascii="Arial" w:cs="Arial" w:eastAsia="Arial" w:hAnsi="Arial"/>
                <w:sz w:val="13"/>
                <w:szCs w:val="13"/>
                <w:b w:val="1"/>
                <w:bCs w:val="1"/>
                <w:color w:val="E2231A"/>
                <w:w w:val="97"/>
              </w:rPr>
              <w:t>(j)</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90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8"/>
              </w:rPr>
              <w:t>55,409</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$140.09</w:t>
            </w:r>
          </w:p>
        </w:tc>
        <w:tc>
          <w:tcPr>
            <w:tcW w:w="84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1/2/2030</w:t>
            </w:r>
          </w:p>
        </w:tc>
        <w:tc>
          <w:tcPr>
            <w:tcW w:w="1060" w:type="dxa"/>
            <w:vAlign w:val="bottom"/>
            <w:tcBorders>
              <w:bottom w:val="single" w:sz="8" w:color="FCE9E8"/>
            </w:tcBorders>
            <w:shd w:val="clear" w:color="auto" w:fill="FCE9E8"/>
          </w:tcPr>
          <w:p>
            <w:pPr>
              <w:jc w:val="right"/>
              <w:ind w:right="208"/>
              <w:spacing w:after="0"/>
              <w:rPr>
                <w:sz w:val="20"/>
                <w:szCs w:val="20"/>
                <w:color w:val="auto"/>
              </w:rPr>
            </w:pPr>
            <w:r>
              <w:rPr>
                <w:rFonts w:ascii="Arial" w:cs="Arial" w:eastAsia="Arial" w:hAnsi="Arial"/>
                <w:sz w:val="16"/>
                <w:szCs w:val="16"/>
                <w:color w:val="auto"/>
              </w:rPr>
              <w:t>45,122</w:t>
            </w:r>
          </w:p>
        </w:tc>
        <w:tc>
          <w:tcPr>
            <w:tcW w:w="9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$7,348,943</w:t>
            </w:r>
          </w:p>
        </w:tc>
        <w:tc>
          <w:tcPr>
            <w:tcW w:w="1180" w:type="dxa"/>
            <w:vAlign w:val="bottom"/>
            <w:tcBorders>
              <w:bottom w:val="single" w:sz="8" w:color="FCE9E8"/>
            </w:tcBorders>
            <w:shd w:val="clear" w:color="auto" w:fill="FCE9E8"/>
          </w:tcPr>
          <w:p>
            <w:pPr>
              <w:jc w:val="right"/>
              <w:ind w:right="230"/>
              <w:spacing w:after="0"/>
              <w:rPr>
                <w:sz w:val="20"/>
                <w:szCs w:val="20"/>
                <w:color w:val="auto"/>
              </w:rPr>
            </w:pPr>
            <w:r>
              <w:rPr>
                <w:rFonts w:ascii="Arial" w:cs="Arial" w:eastAsia="Arial" w:hAnsi="Arial"/>
                <w:sz w:val="16"/>
                <w:szCs w:val="16"/>
                <w:color w:val="auto"/>
              </w:rPr>
              <w:t>117,887</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7"/>
              </w:rPr>
              <w:t>18,931,857</w:t>
            </w:r>
          </w:p>
        </w:tc>
        <w:tc>
          <w:tcPr>
            <w:tcW w:w="0" w:type="dxa"/>
            <w:vAlign w:val="bottom"/>
          </w:tcPr>
          <w:p>
            <w:pPr>
              <w:spacing w:after="0"/>
              <w:rPr>
                <w:sz w:val="1"/>
                <w:szCs w:val="1"/>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12,468</w:t>
            </w:r>
          </w:p>
        </w:tc>
        <w:tc>
          <w:tcPr>
            <w:tcW w:w="720" w:type="dxa"/>
            <w:vAlign w:val="bottom"/>
          </w:tcPr>
          <w:p>
            <w:pPr>
              <w:jc w:val="center"/>
              <w:spacing w:after="0"/>
              <w:rPr>
                <w:sz w:val="20"/>
                <w:szCs w:val="20"/>
                <w:color w:val="auto"/>
              </w:rPr>
            </w:pPr>
            <w:r>
              <w:rPr>
                <w:rFonts w:ascii="Arial" w:cs="Arial" w:eastAsia="Arial" w:hAnsi="Arial"/>
                <w:sz w:val="16"/>
                <w:szCs w:val="16"/>
                <w:color w:val="auto"/>
              </w:rPr>
              <w:t>$140.09</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1/2/2030</w:t>
            </w:r>
          </w:p>
        </w:tc>
        <w:tc>
          <w:tcPr>
            <w:tcW w:w="1060" w:type="dxa"/>
            <w:vAlign w:val="bottom"/>
          </w:tcPr>
          <w:p>
            <w:pPr>
              <w:jc w:val="right"/>
              <w:ind w:right="208"/>
              <w:spacing w:after="0"/>
              <w:rPr>
                <w:sz w:val="20"/>
                <w:szCs w:val="20"/>
                <w:color w:val="auto"/>
              </w:rPr>
            </w:pPr>
            <w:r>
              <w:rPr>
                <w:rFonts w:ascii="Arial" w:cs="Arial" w:eastAsia="Arial" w:hAnsi="Arial"/>
                <w:sz w:val="16"/>
                <w:szCs w:val="16"/>
                <w:color w:val="auto"/>
              </w:rPr>
              <w:t>8,290</w:t>
            </w:r>
          </w:p>
        </w:tc>
        <w:tc>
          <w:tcPr>
            <w:tcW w:w="940" w:type="dxa"/>
            <w:vAlign w:val="bottom"/>
          </w:tcPr>
          <w:p>
            <w:pPr>
              <w:jc w:val="center"/>
              <w:spacing w:after="0"/>
              <w:rPr>
                <w:sz w:val="20"/>
                <w:szCs w:val="20"/>
                <w:color w:val="auto"/>
              </w:rPr>
            </w:pPr>
            <w:r>
              <w:rPr>
                <w:rFonts w:ascii="Arial" w:cs="Arial" w:eastAsia="Arial" w:hAnsi="Arial"/>
                <w:sz w:val="16"/>
                <w:szCs w:val="16"/>
                <w:color w:val="auto"/>
              </w:rPr>
              <w:t>$1,344,126</w:t>
            </w:r>
          </w:p>
        </w:tc>
        <w:tc>
          <w:tcPr>
            <w:tcW w:w="1180" w:type="dxa"/>
            <w:vAlign w:val="bottom"/>
          </w:tcPr>
          <w:p>
            <w:pPr>
              <w:jc w:val="right"/>
              <w:ind w:right="230"/>
              <w:spacing w:after="0"/>
              <w:rPr>
                <w:sz w:val="20"/>
                <w:szCs w:val="20"/>
                <w:color w:val="auto"/>
              </w:rPr>
            </w:pPr>
            <w:r>
              <w:rPr>
                <w:rFonts w:ascii="Arial" w:cs="Arial" w:eastAsia="Arial" w:hAnsi="Arial"/>
                <w:sz w:val="16"/>
                <w:szCs w:val="16"/>
                <w:color w:val="auto"/>
              </w:rPr>
              <w:t>28,015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4,488,225</w:t>
            </w:r>
          </w:p>
        </w:tc>
        <w:tc>
          <w:tcPr>
            <w:tcW w:w="0" w:type="dxa"/>
            <w:vAlign w:val="bottom"/>
          </w:tcPr>
          <w:p>
            <w:pPr>
              <w:spacing w:after="0"/>
              <w:rPr>
                <w:sz w:val="1"/>
                <w:szCs w:val="1"/>
                <w:color w:val="auto"/>
              </w:rPr>
            </w:pPr>
          </w:p>
        </w:tc>
      </w:tr>
      <w:tr>
        <w:trPr>
          <w:trHeight w:val="60"/>
        </w:trPr>
        <w:tc>
          <w:tcPr>
            <w:tcW w:w="2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3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90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8"/>
              </w:rPr>
              <w:t>15,832</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$140.09</w:t>
            </w:r>
          </w:p>
        </w:tc>
        <w:tc>
          <w:tcPr>
            <w:tcW w:w="84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1/2/2030</w:t>
            </w:r>
          </w:p>
        </w:tc>
        <w:tc>
          <w:tcPr>
            <w:tcW w:w="1060" w:type="dxa"/>
            <w:vAlign w:val="bottom"/>
            <w:tcBorders>
              <w:bottom w:val="single" w:sz="8" w:color="FCE9E8"/>
            </w:tcBorders>
            <w:shd w:val="clear" w:color="auto" w:fill="FCE9E8"/>
          </w:tcPr>
          <w:p>
            <w:pPr>
              <w:jc w:val="right"/>
              <w:ind w:right="208"/>
              <w:spacing w:after="0"/>
              <w:rPr>
                <w:sz w:val="20"/>
                <w:szCs w:val="20"/>
                <w:color w:val="auto"/>
              </w:rPr>
            </w:pPr>
            <w:r>
              <w:rPr>
                <w:rFonts w:ascii="Arial" w:cs="Arial" w:eastAsia="Arial" w:hAnsi="Arial"/>
                <w:sz w:val="16"/>
                <w:szCs w:val="16"/>
                <w:color w:val="auto"/>
              </w:rPr>
              <w:t>14,524</w:t>
            </w:r>
          </w:p>
        </w:tc>
        <w:tc>
          <w:tcPr>
            <w:tcW w:w="9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$2,367,233</w:t>
            </w:r>
          </w:p>
        </w:tc>
        <w:tc>
          <w:tcPr>
            <w:tcW w:w="1180" w:type="dxa"/>
            <w:vAlign w:val="bottom"/>
            <w:tcBorders>
              <w:bottom w:val="single" w:sz="8" w:color="FCE9E8"/>
            </w:tcBorders>
            <w:shd w:val="clear" w:color="auto" w:fill="FCE9E8"/>
          </w:tcPr>
          <w:p>
            <w:pPr>
              <w:jc w:val="right"/>
              <w:ind w:right="230"/>
              <w:spacing w:after="0"/>
              <w:rPr>
                <w:sz w:val="20"/>
                <w:szCs w:val="20"/>
                <w:color w:val="auto"/>
              </w:rPr>
            </w:pPr>
            <w:r>
              <w:rPr>
                <w:rFonts w:ascii="Arial" w:cs="Arial" w:eastAsia="Arial" w:hAnsi="Arial"/>
                <w:sz w:val="16"/>
                <w:szCs w:val="16"/>
                <w:color w:val="auto"/>
              </w:rPr>
              <w:t>39,860</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6,393,956</w:t>
            </w:r>
          </w:p>
        </w:tc>
        <w:tc>
          <w:tcPr>
            <w:tcW w:w="0" w:type="dxa"/>
            <w:vAlign w:val="bottom"/>
          </w:tcPr>
          <w:p>
            <w:pPr>
              <w:spacing w:after="0"/>
              <w:rPr>
                <w:sz w:val="1"/>
                <w:szCs w:val="1"/>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13,160</w:t>
            </w:r>
          </w:p>
        </w:tc>
        <w:tc>
          <w:tcPr>
            <w:tcW w:w="720" w:type="dxa"/>
            <w:vAlign w:val="bottom"/>
          </w:tcPr>
          <w:p>
            <w:pPr>
              <w:jc w:val="center"/>
              <w:spacing w:after="0"/>
              <w:rPr>
                <w:sz w:val="20"/>
                <w:szCs w:val="20"/>
                <w:color w:val="auto"/>
              </w:rPr>
            </w:pPr>
            <w:r>
              <w:rPr>
                <w:rFonts w:ascii="Arial" w:cs="Arial" w:eastAsia="Arial" w:hAnsi="Arial"/>
                <w:sz w:val="16"/>
                <w:szCs w:val="16"/>
                <w:color w:val="auto"/>
              </w:rPr>
              <w:t>$140.09</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1/2/2030</w:t>
            </w:r>
          </w:p>
        </w:tc>
        <w:tc>
          <w:tcPr>
            <w:tcW w:w="1060" w:type="dxa"/>
            <w:vAlign w:val="bottom"/>
          </w:tcPr>
          <w:p>
            <w:pPr>
              <w:jc w:val="right"/>
              <w:ind w:right="208"/>
              <w:spacing w:after="0"/>
              <w:rPr>
                <w:sz w:val="20"/>
                <w:szCs w:val="20"/>
                <w:color w:val="auto"/>
              </w:rPr>
            </w:pPr>
            <w:r>
              <w:rPr>
                <w:rFonts w:ascii="Arial" w:cs="Arial" w:eastAsia="Arial" w:hAnsi="Arial"/>
                <w:sz w:val="16"/>
                <w:szCs w:val="16"/>
                <w:color w:val="auto"/>
              </w:rPr>
              <w:t>14,029</w:t>
            </w:r>
          </w:p>
        </w:tc>
        <w:tc>
          <w:tcPr>
            <w:tcW w:w="940" w:type="dxa"/>
            <w:vAlign w:val="bottom"/>
          </w:tcPr>
          <w:p>
            <w:pPr>
              <w:jc w:val="center"/>
              <w:spacing w:after="0"/>
              <w:rPr>
                <w:sz w:val="20"/>
                <w:szCs w:val="20"/>
                <w:color w:val="auto"/>
              </w:rPr>
            </w:pPr>
            <w:r>
              <w:rPr>
                <w:rFonts w:ascii="Arial" w:cs="Arial" w:eastAsia="Arial" w:hAnsi="Arial"/>
                <w:sz w:val="16"/>
                <w:szCs w:val="16"/>
                <w:color w:val="auto"/>
              </w:rPr>
              <w:t>$2,284,849</w:t>
            </w:r>
          </w:p>
        </w:tc>
        <w:tc>
          <w:tcPr>
            <w:tcW w:w="1180" w:type="dxa"/>
            <w:vAlign w:val="bottom"/>
          </w:tcPr>
          <w:p>
            <w:pPr>
              <w:jc w:val="right"/>
              <w:ind w:right="230"/>
              <w:spacing w:after="0"/>
              <w:rPr>
                <w:sz w:val="20"/>
                <w:szCs w:val="20"/>
                <w:color w:val="auto"/>
              </w:rPr>
            </w:pPr>
            <w:r>
              <w:rPr>
                <w:rFonts w:ascii="Arial" w:cs="Arial" w:eastAsia="Arial" w:hAnsi="Arial"/>
                <w:sz w:val="16"/>
                <w:szCs w:val="16"/>
                <w:color w:val="auto"/>
              </w:rPr>
              <w:t>30,206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4,848,663</w:t>
            </w:r>
          </w:p>
        </w:tc>
        <w:tc>
          <w:tcPr>
            <w:tcW w:w="0" w:type="dxa"/>
            <w:vAlign w:val="bottom"/>
          </w:tcPr>
          <w:p>
            <w:pPr>
              <w:spacing w:after="0"/>
              <w:rPr>
                <w:sz w:val="1"/>
                <w:szCs w:val="1"/>
                <w:color w:val="auto"/>
              </w:rPr>
            </w:pPr>
          </w:p>
        </w:tc>
      </w:tr>
      <w:tr>
        <w:trPr>
          <w:trHeight w:val="60"/>
        </w:trPr>
        <w:tc>
          <w:tcPr>
            <w:tcW w:w="2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3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90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w w:val="98"/>
              </w:rPr>
              <w:t>11,577</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$140.09</w:t>
            </w:r>
          </w:p>
        </w:tc>
        <w:tc>
          <w:tcPr>
            <w:tcW w:w="84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1/2/2030</w:t>
            </w:r>
          </w:p>
        </w:tc>
        <w:tc>
          <w:tcPr>
            <w:tcW w:w="1060" w:type="dxa"/>
            <w:vAlign w:val="bottom"/>
            <w:tcBorders>
              <w:bottom w:val="single" w:sz="8" w:color="FCE9E8"/>
            </w:tcBorders>
            <w:shd w:val="clear" w:color="auto" w:fill="FCE9E8"/>
          </w:tcPr>
          <w:p>
            <w:pPr>
              <w:jc w:val="right"/>
              <w:ind w:right="208"/>
              <w:spacing w:after="0"/>
              <w:rPr>
                <w:sz w:val="20"/>
                <w:szCs w:val="20"/>
                <w:color w:val="auto"/>
              </w:rPr>
            </w:pPr>
            <w:r>
              <w:rPr>
                <w:rFonts w:ascii="Arial" w:cs="Arial" w:eastAsia="Arial" w:hAnsi="Arial"/>
                <w:sz w:val="16"/>
                <w:szCs w:val="16"/>
                <w:color w:val="auto"/>
              </w:rPr>
              <w:t>58,631</w:t>
            </w:r>
          </w:p>
        </w:tc>
        <w:tc>
          <w:tcPr>
            <w:tcW w:w="94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6"/>
                <w:szCs w:val="16"/>
                <w:color w:val="auto"/>
              </w:rPr>
              <w:t>$9,428,770</w:t>
            </w:r>
          </w:p>
        </w:tc>
        <w:tc>
          <w:tcPr>
            <w:tcW w:w="1180" w:type="dxa"/>
            <w:vAlign w:val="bottom"/>
            <w:tcBorders>
              <w:bottom w:val="single" w:sz="8" w:color="FCE9E8"/>
            </w:tcBorders>
            <w:shd w:val="clear" w:color="auto" w:fill="FCE9E8"/>
          </w:tcPr>
          <w:p>
            <w:pPr>
              <w:jc w:val="right"/>
              <w:ind w:right="230"/>
              <w:spacing w:after="0"/>
              <w:rPr>
                <w:sz w:val="20"/>
                <w:szCs w:val="20"/>
                <w:color w:val="auto"/>
              </w:rPr>
            </w:pPr>
            <w:r>
              <w:rPr>
                <w:rFonts w:ascii="Arial" w:cs="Arial" w:eastAsia="Arial" w:hAnsi="Arial"/>
                <w:sz w:val="16"/>
                <w:szCs w:val="16"/>
                <w:color w:val="auto"/>
              </w:rPr>
              <w:t>20,344</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3,252,274</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960" w:right="420" w:hanging="291"/>
        <w:spacing w:after="0" w:line="183" w:lineRule="auto"/>
        <w:tabs>
          <w:tab w:leader="none" w:pos="9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The figures in column (g) represent the following RSU awards granted under the LTSIP (other than the Performance-Based Career Shares, which are reported in column (j) and are described in footnote 3 below):</w:t>
      </w:r>
    </w:p>
    <w:p>
      <w:pPr>
        <w:spacing w:after="0" w:line="211"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E2231A"/>
                <w:w w:val="98"/>
              </w:rPr>
              <w:t>Number of</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E2231A"/>
              </w:rPr>
              <w:t>Number</w:t>
            </w:r>
          </w:p>
        </w:tc>
      </w:tr>
      <w:tr>
        <w:trPr>
          <w:trHeight w:val="122"/>
        </w:trPr>
        <w:tc>
          <w:tcPr>
            <w:tcW w:w="800" w:type="dxa"/>
            <w:vAlign w:val="bottom"/>
          </w:tcPr>
          <w:p>
            <w:pPr>
              <w:spacing w:after="0"/>
              <w:rPr>
                <w:sz w:val="10"/>
                <w:szCs w:val="10"/>
                <w:color w:val="auto"/>
              </w:rPr>
            </w:pPr>
          </w:p>
        </w:tc>
        <w:tc>
          <w:tcPr>
            <w:tcW w:w="920" w:type="dxa"/>
            <w:vAlign w:val="bottom"/>
          </w:tcPr>
          <w:p>
            <w:pPr>
              <w:jc w:val="center"/>
              <w:ind w:right="78"/>
              <w:spacing w:after="0" w:line="122" w:lineRule="exact"/>
              <w:rPr>
                <w:sz w:val="20"/>
                <w:szCs w:val="20"/>
                <w:color w:val="auto"/>
              </w:rPr>
            </w:pPr>
            <w:r>
              <w:rPr>
                <w:rFonts w:ascii="Arial" w:cs="Arial" w:eastAsia="Arial" w:hAnsi="Arial"/>
                <w:sz w:val="11"/>
                <w:szCs w:val="11"/>
                <w:b w:val="1"/>
                <w:bCs w:val="1"/>
                <w:color w:val="E2231A"/>
                <w:w w:val="98"/>
              </w:rPr>
              <w:t>Number of</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1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2018</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of 2019</w:t>
            </w:r>
          </w:p>
        </w:tc>
      </w:tr>
      <w:tr>
        <w:trPr>
          <w:trHeight w:val="122"/>
        </w:trPr>
        <w:tc>
          <w:tcPr>
            <w:tcW w:w="800" w:type="dxa"/>
            <w:vAlign w:val="bottom"/>
          </w:tcPr>
          <w:p>
            <w:pPr>
              <w:spacing w:after="0"/>
              <w:rPr>
                <w:sz w:val="10"/>
                <w:szCs w:val="10"/>
                <w:color w:val="auto"/>
              </w:rPr>
            </w:pPr>
          </w:p>
        </w:tc>
        <w:tc>
          <w:tcPr>
            <w:tcW w:w="92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E2231A"/>
                <w:w w:val="97"/>
              </w:rPr>
              <w:t>2018</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2019</w:t>
            </w:r>
          </w:p>
        </w:tc>
        <w:tc>
          <w:tcPr>
            <w:tcW w:w="1060" w:type="dxa"/>
            <w:vAlign w:val="bottom"/>
          </w:tcPr>
          <w:p>
            <w:pPr>
              <w:ind w:left="420"/>
              <w:spacing w:after="0" w:line="122" w:lineRule="exact"/>
              <w:rPr>
                <w:sz w:val="20"/>
                <w:szCs w:val="20"/>
                <w:color w:val="auto"/>
              </w:rPr>
            </w:pPr>
            <w:r>
              <w:rPr>
                <w:rFonts w:ascii="Arial" w:cs="Arial" w:eastAsia="Arial" w:hAnsi="Arial"/>
                <w:sz w:val="11"/>
                <w:szCs w:val="11"/>
                <w:b w:val="1"/>
                <w:bCs w:val="1"/>
                <w:color w:val="E2231A"/>
              </w:rPr>
              <w:t>2020</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c>
          <w:tcPr>
            <w:tcW w:w="1100" w:type="dxa"/>
            <w:vAlign w:val="bottom"/>
          </w:tcPr>
          <w:p>
            <w:pPr>
              <w:ind w:left="400"/>
              <w:spacing w:after="0" w:line="122" w:lineRule="exact"/>
              <w:rPr>
                <w:sz w:val="20"/>
                <w:szCs w:val="20"/>
                <w:color w:val="auto"/>
              </w:rPr>
            </w:pPr>
            <w:r>
              <w:rPr>
                <w:rFonts w:ascii="Arial" w:cs="Arial" w:eastAsia="Arial" w:hAnsi="Arial"/>
                <w:sz w:val="11"/>
                <w:szCs w:val="11"/>
                <w:b w:val="1"/>
                <w:bCs w:val="1"/>
                <w:color w:val="E2231A"/>
              </w:rPr>
              <w:t>Career</w:t>
            </w:r>
          </w:p>
        </w:tc>
      </w:tr>
      <w:tr>
        <w:trPr>
          <w:trHeight w:val="122"/>
        </w:trPr>
        <w:tc>
          <w:tcPr>
            <w:tcW w:w="800" w:type="dxa"/>
            <w:vAlign w:val="bottom"/>
          </w:tcPr>
          <w:p>
            <w:pPr>
              <w:spacing w:after="0"/>
              <w:rPr>
                <w:sz w:val="10"/>
                <w:szCs w:val="10"/>
                <w:color w:val="auto"/>
              </w:rPr>
            </w:pPr>
          </w:p>
        </w:tc>
        <w:tc>
          <w:tcPr>
            <w:tcW w:w="92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E2231A"/>
                <w:w w:val="95"/>
              </w:rPr>
              <w:t>RSUs</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RSUs</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RSUs</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1100" w:type="dxa"/>
            <w:vAlign w:val="bottom"/>
          </w:tcPr>
          <w:p>
            <w:pPr>
              <w:ind w:left="380"/>
              <w:spacing w:after="0" w:line="122" w:lineRule="exact"/>
              <w:rPr>
                <w:sz w:val="20"/>
                <w:szCs w:val="20"/>
                <w:color w:val="auto"/>
              </w:rPr>
            </w:pPr>
            <w:r>
              <w:rPr>
                <w:rFonts w:ascii="Arial" w:cs="Arial" w:eastAsia="Arial" w:hAnsi="Arial"/>
                <w:sz w:val="11"/>
                <w:szCs w:val="11"/>
                <w:b w:val="1"/>
                <w:bCs w:val="1"/>
                <w:color w:val="E2231A"/>
              </w:rPr>
              <w:t>Shares</w:t>
            </w:r>
          </w:p>
        </w:tc>
      </w:tr>
      <w:tr>
        <w:trPr>
          <w:trHeight w:val="121"/>
        </w:trPr>
        <w:tc>
          <w:tcPr>
            <w:tcW w:w="800" w:type="dxa"/>
            <w:vAlign w:val="bottom"/>
          </w:tcPr>
          <w:p>
            <w:pPr>
              <w:spacing w:after="0"/>
              <w:rPr>
                <w:sz w:val="10"/>
                <w:szCs w:val="10"/>
                <w:color w:val="auto"/>
              </w:rPr>
            </w:pPr>
          </w:p>
        </w:tc>
        <w:tc>
          <w:tcPr>
            <w:tcW w:w="92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E2231A"/>
                <w:w w:val="99"/>
              </w:rPr>
              <w:t>Vested</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Vesting</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r>
      <w:tr>
        <w:trPr>
          <w:trHeight w:val="122"/>
        </w:trPr>
        <w:tc>
          <w:tcPr>
            <w:tcW w:w="800" w:type="dxa"/>
            <w:vAlign w:val="bottom"/>
          </w:tcPr>
          <w:p>
            <w:pPr>
              <w:spacing w:after="0"/>
              <w:rPr>
                <w:sz w:val="10"/>
                <w:szCs w:val="10"/>
                <w:color w:val="auto"/>
              </w:rPr>
            </w:pPr>
          </w:p>
        </w:tc>
        <w:tc>
          <w:tcPr>
            <w:tcW w:w="92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E2231A"/>
                <w:w w:val="95"/>
              </w:rPr>
              <w:t>January 2,</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November 14,</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November 14,</w:t>
            </w:r>
          </w:p>
        </w:tc>
      </w:tr>
      <w:tr>
        <w:trPr>
          <w:trHeight w:val="148"/>
        </w:trPr>
        <w:tc>
          <w:tcPr>
            <w:tcW w:w="8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E2231A"/>
                <w:w w:val="97"/>
              </w:rPr>
              <w:t>2021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E2231A"/>
              </w:rPr>
              <w:t>2023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2022</w:t>
            </w:r>
          </w:p>
        </w:tc>
      </w:tr>
      <w:tr>
        <w:trPr>
          <w:trHeight w:val="201"/>
        </w:trPr>
        <w:tc>
          <w:tcPr>
            <w:tcW w:w="800" w:type="dxa"/>
            <w:vAlign w:val="bottom"/>
            <w:shd w:val="clear" w:color="auto" w:fill="FCE9E8"/>
          </w:tcPr>
          <w:p>
            <w:pPr>
              <w:ind w:left="60"/>
              <w:spacing w:after="0"/>
              <w:rPr>
                <w:sz w:val="20"/>
                <w:szCs w:val="20"/>
                <w:color w:val="auto"/>
              </w:rPr>
            </w:pPr>
            <w:r>
              <w:rPr>
                <w:rFonts w:ascii="Arial" w:cs="Arial" w:eastAsia="Arial" w:hAnsi="Arial"/>
                <w:sz w:val="14"/>
                <w:szCs w:val="14"/>
                <w:color w:val="auto"/>
              </w:rPr>
              <w:t>Raymond</w:t>
            </w:r>
          </w:p>
        </w:tc>
        <w:tc>
          <w:tcPr>
            <w:tcW w:w="920" w:type="dxa"/>
            <w:vAlign w:val="bottom"/>
            <w:shd w:val="clear" w:color="auto" w:fill="FCE9E8"/>
          </w:tcPr>
          <w:p>
            <w:pPr>
              <w:spacing w:after="0"/>
              <w:rPr>
                <w:sz w:val="17"/>
                <w:szCs w:val="17"/>
                <w:color w:val="auto"/>
              </w:rPr>
            </w:pPr>
          </w:p>
        </w:tc>
        <w:tc>
          <w:tcPr>
            <w:tcW w:w="1040" w:type="dxa"/>
            <w:vAlign w:val="bottom"/>
            <w:shd w:val="clear" w:color="auto" w:fill="FCE9E8"/>
          </w:tcPr>
          <w:p>
            <w:pPr>
              <w:spacing w:after="0"/>
              <w:rPr>
                <w:sz w:val="17"/>
                <w:szCs w:val="17"/>
                <w:color w:val="auto"/>
              </w:rPr>
            </w:pPr>
          </w:p>
        </w:tc>
        <w:tc>
          <w:tcPr>
            <w:tcW w:w="1060" w:type="dxa"/>
            <w:vAlign w:val="bottom"/>
            <w:shd w:val="clear" w:color="auto" w:fill="FCE9E8"/>
          </w:tcPr>
          <w:p>
            <w:pPr>
              <w:spacing w:after="0"/>
              <w:rPr>
                <w:sz w:val="17"/>
                <w:szCs w:val="17"/>
                <w:color w:val="auto"/>
              </w:rPr>
            </w:pPr>
          </w:p>
        </w:tc>
        <w:tc>
          <w:tcPr>
            <w:tcW w:w="1180" w:type="dxa"/>
            <w:vAlign w:val="bottom"/>
            <w:shd w:val="clear" w:color="auto" w:fill="FCE9E8"/>
          </w:tcPr>
          <w:p>
            <w:pPr>
              <w:spacing w:after="0"/>
              <w:rPr>
                <w:sz w:val="17"/>
                <w:szCs w:val="17"/>
                <w:color w:val="auto"/>
              </w:rPr>
            </w:pPr>
          </w:p>
        </w:tc>
        <w:tc>
          <w:tcPr>
            <w:tcW w:w="1180" w:type="dxa"/>
            <w:vAlign w:val="bottom"/>
            <w:shd w:val="clear" w:color="auto" w:fill="FCE9E8"/>
          </w:tcPr>
          <w:p>
            <w:pPr>
              <w:spacing w:after="0"/>
              <w:rPr>
                <w:sz w:val="17"/>
                <w:szCs w:val="17"/>
                <w:color w:val="auto"/>
              </w:rPr>
            </w:pPr>
          </w:p>
        </w:tc>
        <w:tc>
          <w:tcPr>
            <w:tcW w:w="1140" w:type="dxa"/>
            <w:vAlign w:val="bottom"/>
            <w:shd w:val="clear" w:color="auto" w:fill="FCE9E8"/>
          </w:tcPr>
          <w:p>
            <w:pPr>
              <w:spacing w:after="0"/>
              <w:rPr>
                <w:sz w:val="17"/>
                <w:szCs w:val="17"/>
                <w:color w:val="auto"/>
              </w:rPr>
            </w:pPr>
          </w:p>
        </w:tc>
        <w:tc>
          <w:tcPr>
            <w:tcW w:w="1140" w:type="dxa"/>
            <w:vAlign w:val="bottom"/>
            <w:shd w:val="clear" w:color="auto" w:fill="FCE9E8"/>
          </w:tcPr>
          <w:p>
            <w:pPr>
              <w:spacing w:after="0"/>
              <w:rPr>
                <w:sz w:val="17"/>
                <w:szCs w:val="17"/>
                <w:color w:val="auto"/>
              </w:rPr>
            </w:pPr>
          </w:p>
        </w:tc>
        <w:tc>
          <w:tcPr>
            <w:tcW w:w="1100" w:type="dxa"/>
            <w:vAlign w:val="bottom"/>
            <w:shd w:val="clear" w:color="auto" w:fill="FCE9E8"/>
          </w:tcPr>
          <w:p>
            <w:pPr>
              <w:spacing w:after="0"/>
              <w:rPr>
                <w:sz w:val="17"/>
                <w:szCs w:val="17"/>
                <w:color w:val="auto"/>
              </w:rPr>
            </w:pPr>
          </w:p>
        </w:tc>
      </w:tr>
      <w:tr>
        <w:trPr>
          <w:trHeight w:val="205"/>
        </w:trPr>
        <w:tc>
          <w:tcPr>
            <w:tcW w:w="80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E. Scott</w:t>
            </w:r>
          </w:p>
        </w:tc>
        <w:tc>
          <w:tcPr>
            <w:tcW w:w="920" w:type="dxa"/>
            <w:vAlign w:val="bottom"/>
            <w:tcBorders>
              <w:bottom w:val="single" w:sz="8" w:color="FCE9E8"/>
            </w:tcBorders>
            <w:shd w:val="clear" w:color="auto" w:fill="FCE9E8"/>
          </w:tcPr>
          <w:p>
            <w:pPr>
              <w:jc w:val="right"/>
              <w:ind w:right="258"/>
              <w:spacing w:after="0"/>
              <w:rPr>
                <w:sz w:val="20"/>
                <w:szCs w:val="20"/>
                <w:color w:val="auto"/>
              </w:rPr>
            </w:pPr>
            <w:r>
              <w:rPr>
                <w:rFonts w:ascii="Arial" w:cs="Arial" w:eastAsia="Arial" w:hAnsi="Arial"/>
                <w:sz w:val="14"/>
                <w:szCs w:val="14"/>
                <w:color w:val="auto"/>
              </w:rPr>
              <w:t>8,970</w:t>
            </w:r>
          </w:p>
        </w:tc>
        <w:tc>
          <w:tcPr>
            <w:tcW w:w="1040" w:type="dxa"/>
            <w:vAlign w:val="bottom"/>
            <w:tcBorders>
              <w:bottom w:val="single" w:sz="8" w:color="FCE9E8"/>
            </w:tcBorders>
            <w:shd w:val="clear" w:color="auto" w:fill="FCE9E8"/>
          </w:tcPr>
          <w:p>
            <w:pPr>
              <w:jc w:val="right"/>
              <w:ind w:right="238"/>
              <w:spacing w:after="0"/>
              <w:rPr>
                <w:sz w:val="20"/>
                <w:szCs w:val="20"/>
                <w:color w:val="auto"/>
              </w:rPr>
            </w:pPr>
            <w:r>
              <w:rPr>
                <w:rFonts w:ascii="Arial" w:cs="Arial" w:eastAsia="Arial" w:hAnsi="Arial"/>
                <w:sz w:val="14"/>
                <w:szCs w:val="14"/>
                <w:color w:val="auto"/>
              </w:rPr>
              <w:t>16,456</w:t>
            </w:r>
          </w:p>
        </w:tc>
        <w:tc>
          <w:tcPr>
            <w:tcW w:w="1060" w:type="dxa"/>
            <w:vAlign w:val="bottom"/>
            <w:tcBorders>
              <w:bottom w:val="single" w:sz="8" w:color="FCE9E8"/>
            </w:tcBorders>
            <w:shd w:val="clear" w:color="auto" w:fill="FCE9E8"/>
          </w:tcPr>
          <w:p>
            <w:pPr>
              <w:ind w:left="340"/>
              <w:spacing w:after="0"/>
              <w:rPr>
                <w:sz w:val="20"/>
                <w:szCs w:val="20"/>
                <w:color w:val="auto"/>
              </w:rPr>
            </w:pPr>
            <w:r>
              <w:rPr>
                <w:rFonts w:ascii="Arial" w:cs="Arial" w:eastAsia="Arial" w:hAnsi="Arial"/>
                <w:sz w:val="14"/>
                <w:szCs w:val="14"/>
                <w:color w:val="auto"/>
              </w:rPr>
              <w:t>11,992</w:t>
            </w:r>
          </w:p>
        </w:tc>
        <w:tc>
          <w:tcPr>
            <w:tcW w:w="1180" w:type="dxa"/>
            <w:vAlign w:val="bottom"/>
            <w:tcBorders>
              <w:bottom w:val="single" w:sz="8" w:color="FCE9E8"/>
            </w:tcBorders>
            <w:shd w:val="clear" w:color="auto" w:fill="FCE9E8"/>
          </w:tcPr>
          <w:p>
            <w:pPr>
              <w:jc w:val="right"/>
              <w:ind w:right="277"/>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CE9E8"/>
            </w:tcBorders>
            <w:shd w:val="clear" w:color="auto" w:fill="FCE9E8"/>
          </w:tcPr>
          <w:p>
            <w:pPr>
              <w:jc w:val="right"/>
              <w:ind w:right="297"/>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CE9E8"/>
            </w:tcBorders>
            <w:shd w:val="clear" w:color="auto" w:fill="FCE9E8"/>
          </w:tcPr>
          <w:p>
            <w:pPr>
              <w:jc w:val="right"/>
              <w:ind w:right="257"/>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CE9E8"/>
            </w:tcBorders>
            <w:shd w:val="clear" w:color="auto" w:fill="FCE9E8"/>
          </w:tcPr>
          <w:p>
            <w:pPr>
              <w:jc w:val="right"/>
              <w:ind w:right="279"/>
              <w:spacing w:after="0"/>
              <w:rPr>
                <w:sz w:val="20"/>
                <w:szCs w:val="20"/>
                <w:color w:val="auto"/>
              </w:rPr>
            </w:pPr>
            <w:r>
              <w:rPr>
                <w:rFonts w:ascii="Arial" w:cs="Arial" w:eastAsia="Arial" w:hAnsi="Arial"/>
                <w:sz w:val="14"/>
                <w:szCs w:val="14"/>
                <w:color w:val="auto"/>
              </w:rPr>
              <w:t>3,611</w:t>
            </w:r>
          </w:p>
        </w:tc>
        <w:tc>
          <w:tcPr>
            <w:tcW w:w="1100" w:type="dxa"/>
            <w:vAlign w:val="bottom"/>
            <w:tcBorders>
              <w:bottom w:val="single" w:sz="8" w:color="FCE9E8"/>
            </w:tcBorders>
            <w:shd w:val="clear" w:color="auto" w:fill="FCE9E8"/>
          </w:tcPr>
          <w:p>
            <w:pPr>
              <w:ind w:left="420"/>
              <w:spacing w:after="0"/>
              <w:rPr>
                <w:sz w:val="20"/>
                <w:szCs w:val="20"/>
                <w:color w:val="auto"/>
              </w:rPr>
            </w:pPr>
            <w:r>
              <w:rPr>
                <w:rFonts w:ascii="Arial" w:cs="Arial" w:eastAsia="Arial" w:hAnsi="Arial"/>
                <w:sz w:val="14"/>
                <w:szCs w:val="14"/>
                <w:color w:val="auto"/>
              </w:rPr>
              <w:t>4,093</w:t>
            </w:r>
          </w:p>
        </w:tc>
      </w:tr>
      <w:tr>
        <w:trPr>
          <w:trHeight w:val="221"/>
        </w:trPr>
        <w:tc>
          <w:tcPr>
            <w:tcW w:w="800" w:type="dxa"/>
            <w:vAlign w:val="bottom"/>
          </w:tcPr>
          <w:p>
            <w:pPr>
              <w:ind w:left="60"/>
              <w:spacing w:after="0"/>
              <w:rPr>
                <w:sz w:val="20"/>
                <w:szCs w:val="20"/>
                <w:color w:val="auto"/>
              </w:rPr>
            </w:pPr>
            <w:r>
              <w:rPr>
                <w:rFonts w:ascii="Arial" w:cs="Arial" w:eastAsia="Arial" w:hAnsi="Arial"/>
                <w:sz w:val="14"/>
                <w:szCs w:val="14"/>
                <w:color w:val="auto"/>
              </w:rPr>
              <w:t>Jason M.</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2"/>
        </w:trPr>
        <w:tc>
          <w:tcPr>
            <w:tcW w:w="800" w:type="dxa"/>
            <w:vAlign w:val="bottom"/>
          </w:tcPr>
          <w:p>
            <w:pPr>
              <w:ind w:left="60"/>
              <w:spacing w:after="0"/>
              <w:rPr>
                <w:sz w:val="20"/>
                <w:szCs w:val="20"/>
                <w:color w:val="auto"/>
              </w:rPr>
            </w:pPr>
            <w:r>
              <w:rPr>
                <w:rFonts w:ascii="Arial" w:cs="Arial" w:eastAsia="Arial" w:hAnsi="Arial"/>
                <w:sz w:val="14"/>
                <w:szCs w:val="14"/>
                <w:color w:val="auto"/>
              </w:rPr>
              <w:t>Cardew</w:t>
            </w:r>
          </w:p>
        </w:tc>
        <w:tc>
          <w:tcPr>
            <w:tcW w:w="920" w:type="dxa"/>
            <w:vAlign w:val="bottom"/>
          </w:tcPr>
          <w:p>
            <w:pPr>
              <w:jc w:val="right"/>
              <w:ind w:right="258"/>
              <w:spacing w:after="0"/>
              <w:rPr>
                <w:sz w:val="20"/>
                <w:szCs w:val="20"/>
                <w:color w:val="auto"/>
              </w:rPr>
            </w:pPr>
            <w:r>
              <w:rPr>
                <w:rFonts w:ascii="Arial" w:cs="Arial" w:eastAsia="Arial" w:hAnsi="Arial"/>
                <w:sz w:val="14"/>
                <w:szCs w:val="14"/>
                <w:color w:val="auto"/>
              </w:rPr>
              <w:t>835</w:t>
            </w:r>
          </w:p>
        </w:tc>
        <w:tc>
          <w:tcPr>
            <w:tcW w:w="1040" w:type="dxa"/>
            <w:vAlign w:val="bottom"/>
          </w:tcPr>
          <w:p>
            <w:pPr>
              <w:jc w:val="right"/>
              <w:ind w:right="238"/>
              <w:spacing w:after="0"/>
              <w:rPr>
                <w:sz w:val="20"/>
                <w:szCs w:val="20"/>
                <w:color w:val="auto"/>
              </w:rPr>
            </w:pPr>
            <w:r>
              <w:rPr>
                <w:rFonts w:ascii="Arial" w:cs="Arial" w:eastAsia="Arial" w:hAnsi="Arial"/>
                <w:sz w:val="14"/>
                <w:szCs w:val="14"/>
                <w:color w:val="auto"/>
              </w:rPr>
              <w:t>2,218</w:t>
            </w:r>
          </w:p>
        </w:tc>
        <w:tc>
          <w:tcPr>
            <w:tcW w:w="1060" w:type="dxa"/>
            <w:vAlign w:val="bottom"/>
          </w:tcPr>
          <w:p>
            <w:pPr>
              <w:ind w:left="420"/>
              <w:spacing w:after="0"/>
              <w:rPr>
                <w:sz w:val="20"/>
                <w:szCs w:val="20"/>
                <w:color w:val="auto"/>
              </w:rPr>
            </w:pPr>
            <w:r>
              <w:rPr>
                <w:rFonts w:ascii="Arial" w:cs="Arial" w:eastAsia="Arial" w:hAnsi="Arial"/>
                <w:sz w:val="14"/>
                <w:szCs w:val="14"/>
                <w:color w:val="auto"/>
              </w:rPr>
              <w:t>2,698</w:t>
            </w:r>
          </w:p>
        </w:tc>
        <w:tc>
          <w:tcPr>
            <w:tcW w:w="1180" w:type="dxa"/>
            <w:vAlign w:val="bottom"/>
          </w:tcPr>
          <w:p>
            <w:pPr>
              <w:jc w:val="right"/>
              <w:ind w:right="277"/>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7"/>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57"/>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79"/>
              <w:spacing w:after="0"/>
              <w:rPr>
                <w:sz w:val="20"/>
                <w:szCs w:val="20"/>
                <w:color w:val="auto"/>
              </w:rPr>
            </w:pPr>
            <w:r>
              <w:rPr>
                <w:rFonts w:ascii="Arial" w:cs="Arial" w:eastAsia="Arial" w:hAnsi="Arial"/>
                <w:sz w:val="14"/>
                <w:szCs w:val="14"/>
                <w:color w:val="auto"/>
              </w:rPr>
              <w:t>902</w:t>
            </w:r>
          </w:p>
        </w:tc>
        <w:tc>
          <w:tcPr>
            <w:tcW w:w="1100" w:type="dxa"/>
            <w:vAlign w:val="bottom"/>
          </w:tcPr>
          <w:p>
            <w:pPr>
              <w:ind w:left="420"/>
              <w:spacing w:after="0"/>
              <w:rPr>
                <w:sz w:val="20"/>
                <w:szCs w:val="20"/>
                <w:color w:val="auto"/>
              </w:rPr>
            </w:pPr>
            <w:r>
              <w:rPr>
                <w:rFonts w:ascii="Arial" w:cs="Arial" w:eastAsia="Arial" w:hAnsi="Arial"/>
                <w:sz w:val="14"/>
                <w:szCs w:val="14"/>
                <w:color w:val="auto"/>
              </w:rPr>
              <w:t>1,637</w:t>
            </w:r>
          </w:p>
        </w:tc>
      </w:tr>
      <w:tr>
        <w:trPr>
          <w:trHeight w:val="52"/>
        </w:trPr>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1"/>
        </w:trPr>
        <w:tc>
          <w:tcPr>
            <w:tcW w:w="800" w:type="dxa"/>
            <w:vAlign w:val="bottom"/>
            <w:shd w:val="clear" w:color="auto" w:fill="FCE9E8"/>
          </w:tcPr>
          <w:p>
            <w:pPr>
              <w:ind w:left="60"/>
              <w:spacing w:after="0"/>
              <w:rPr>
                <w:sz w:val="20"/>
                <w:szCs w:val="20"/>
                <w:color w:val="auto"/>
              </w:rPr>
            </w:pPr>
            <w:r>
              <w:rPr>
                <w:rFonts w:ascii="Arial" w:cs="Arial" w:eastAsia="Arial" w:hAnsi="Arial"/>
                <w:sz w:val="14"/>
                <w:szCs w:val="14"/>
                <w:color w:val="auto"/>
              </w:rPr>
              <w:t>Frank C.</w:t>
            </w:r>
          </w:p>
        </w:tc>
        <w:tc>
          <w:tcPr>
            <w:tcW w:w="920" w:type="dxa"/>
            <w:vAlign w:val="bottom"/>
            <w:shd w:val="clear" w:color="auto" w:fill="FCE9E8"/>
          </w:tcPr>
          <w:p>
            <w:pPr>
              <w:spacing w:after="0"/>
              <w:rPr>
                <w:sz w:val="19"/>
                <w:szCs w:val="19"/>
                <w:color w:val="auto"/>
              </w:rPr>
            </w:pPr>
          </w:p>
        </w:tc>
        <w:tc>
          <w:tcPr>
            <w:tcW w:w="1040" w:type="dxa"/>
            <w:vAlign w:val="bottom"/>
            <w:shd w:val="clear" w:color="auto" w:fill="FCE9E8"/>
          </w:tcPr>
          <w:p>
            <w:pPr>
              <w:spacing w:after="0"/>
              <w:rPr>
                <w:sz w:val="19"/>
                <w:szCs w:val="19"/>
                <w:color w:val="auto"/>
              </w:rPr>
            </w:pPr>
          </w:p>
        </w:tc>
        <w:tc>
          <w:tcPr>
            <w:tcW w:w="1060" w:type="dxa"/>
            <w:vAlign w:val="bottom"/>
            <w:shd w:val="clear" w:color="auto" w:fill="FCE9E8"/>
          </w:tcPr>
          <w:p>
            <w:pPr>
              <w:spacing w:after="0"/>
              <w:rPr>
                <w:sz w:val="19"/>
                <w:szCs w:val="19"/>
                <w:color w:val="auto"/>
              </w:rPr>
            </w:pPr>
          </w:p>
        </w:tc>
        <w:tc>
          <w:tcPr>
            <w:tcW w:w="1180" w:type="dxa"/>
            <w:vAlign w:val="bottom"/>
            <w:shd w:val="clear" w:color="auto" w:fill="FCE9E8"/>
          </w:tcPr>
          <w:p>
            <w:pPr>
              <w:spacing w:after="0"/>
              <w:rPr>
                <w:sz w:val="19"/>
                <w:szCs w:val="19"/>
                <w:color w:val="auto"/>
              </w:rPr>
            </w:pPr>
          </w:p>
        </w:tc>
        <w:tc>
          <w:tcPr>
            <w:tcW w:w="1180" w:type="dxa"/>
            <w:vAlign w:val="bottom"/>
            <w:shd w:val="clear" w:color="auto" w:fill="FCE9E8"/>
          </w:tcPr>
          <w:p>
            <w:pPr>
              <w:spacing w:after="0"/>
              <w:rPr>
                <w:sz w:val="19"/>
                <w:szCs w:val="19"/>
                <w:color w:val="auto"/>
              </w:rPr>
            </w:pPr>
          </w:p>
        </w:tc>
        <w:tc>
          <w:tcPr>
            <w:tcW w:w="1140" w:type="dxa"/>
            <w:vAlign w:val="bottom"/>
            <w:shd w:val="clear" w:color="auto" w:fill="FCE9E8"/>
          </w:tcPr>
          <w:p>
            <w:pPr>
              <w:spacing w:after="0"/>
              <w:rPr>
                <w:sz w:val="19"/>
                <w:szCs w:val="19"/>
                <w:color w:val="auto"/>
              </w:rPr>
            </w:pPr>
          </w:p>
        </w:tc>
        <w:tc>
          <w:tcPr>
            <w:tcW w:w="1140" w:type="dxa"/>
            <w:vAlign w:val="bottom"/>
            <w:shd w:val="clear" w:color="auto" w:fill="FCE9E8"/>
          </w:tcPr>
          <w:p>
            <w:pPr>
              <w:spacing w:after="0"/>
              <w:rPr>
                <w:sz w:val="19"/>
                <w:szCs w:val="19"/>
                <w:color w:val="auto"/>
              </w:rPr>
            </w:pPr>
          </w:p>
        </w:tc>
        <w:tc>
          <w:tcPr>
            <w:tcW w:w="1100" w:type="dxa"/>
            <w:vAlign w:val="bottom"/>
            <w:shd w:val="clear" w:color="auto" w:fill="FCE9E8"/>
          </w:tcPr>
          <w:p>
            <w:pPr>
              <w:spacing w:after="0"/>
              <w:rPr>
                <w:sz w:val="19"/>
                <w:szCs w:val="19"/>
                <w:color w:val="auto"/>
              </w:rPr>
            </w:pPr>
          </w:p>
        </w:tc>
      </w:tr>
      <w:tr>
        <w:trPr>
          <w:trHeight w:val="205"/>
        </w:trPr>
        <w:tc>
          <w:tcPr>
            <w:tcW w:w="80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Orsini</w:t>
            </w:r>
          </w:p>
        </w:tc>
        <w:tc>
          <w:tcPr>
            <w:tcW w:w="920" w:type="dxa"/>
            <w:vAlign w:val="bottom"/>
            <w:tcBorders>
              <w:bottom w:val="single" w:sz="8" w:color="FCE9E8"/>
            </w:tcBorders>
            <w:shd w:val="clear" w:color="auto" w:fill="FCE9E8"/>
          </w:tcPr>
          <w:p>
            <w:pPr>
              <w:jc w:val="right"/>
              <w:ind w:right="258"/>
              <w:spacing w:after="0"/>
              <w:rPr>
                <w:sz w:val="20"/>
                <w:szCs w:val="20"/>
                <w:color w:val="auto"/>
              </w:rPr>
            </w:pPr>
            <w:r>
              <w:rPr>
                <w:rFonts w:ascii="Arial" w:cs="Arial" w:eastAsia="Arial" w:hAnsi="Arial"/>
                <w:sz w:val="14"/>
                <w:szCs w:val="14"/>
                <w:color w:val="auto"/>
              </w:rPr>
              <w:t>3,177</w:t>
            </w:r>
          </w:p>
        </w:tc>
        <w:tc>
          <w:tcPr>
            <w:tcW w:w="1040" w:type="dxa"/>
            <w:vAlign w:val="bottom"/>
            <w:tcBorders>
              <w:bottom w:val="single" w:sz="8" w:color="FCE9E8"/>
            </w:tcBorders>
            <w:shd w:val="clear" w:color="auto" w:fill="FCE9E8"/>
          </w:tcPr>
          <w:p>
            <w:pPr>
              <w:jc w:val="right"/>
              <w:ind w:right="238"/>
              <w:spacing w:after="0"/>
              <w:rPr>
                <w:sz w:val="20"/>
                <w:szCs w:val="20"/>
                <w:color w:val="auto"/>
              </w:rPr>
            </w:pPr>
            <w:r>
              <w:rPr>
                <w:rFonts w:ascii="Arial" w:cs="Arial" w:eastAsia="Arial" w:hAnsi="Arial"/>
                <w:sz w:val="14"/>
                <w:szCs w:val="14"/>
                <w:color w:val="auto"/>
              </w:rPr>
              <w:t>4,840</w:t>
            </w:r>
          </w:p>
        </w:tc>
        <w:tc>
          <w:tcPr>
            <w:tcW w:w="1060" w:type="dxa"/>
            <w:vAlign w:val="bottom"/>
            <w:tcBorders>
              <w:bottom w:val="single" w:sz="8" w:color="FCE9E8"/>
            </w:tcBorders>
            <w:shd w:val="clear" w:color="auto" w:fill="FCE9E8"/>
          </w:tcPr>
          <w:p>
            <w:pPr>
              <w:ind w:left="420"/>
              <w:spacing w:after="0"/>
              <w:rPr>
                <w:sz w:val="20"/>
                <w:szCs w:val="20"/>
                <w:color w:val="auto"/>
              </w:rPr>
            </w:pPr>
            <w:r>
              <w:rPr>
                <w:rFonts w:ascii="Arial" w:cs="Arial" w:eastAsia="Arial" w:hAnsi="Arial"/>
                <w:sz w:val="14"/>
                <w:szCs w:val="14"/>
                <w:color w:val="auto"/>
              </w:rPr>
              <w:t>3,426</w:t>
            </w:r>
          </w:p>
        </w:tc>
        <w:tc>
          <w:tcPr>
            <w:tcW w:w="1180" w:type="dxa"/>
            <w:vAlign w:val="bottom"/>
            <w:tcBorders>
              <w:bottom w:val="single" w:sz="8" w:color="FCE9E8"/>
            </w:tcBorders>
            <w:shd w:val="clear" w:color="auto" w:fill="FCE9E8"/>
          </w:tcPr>
          <w:p>
            <w:pPr>
              <w:jc w:val="right"/>
              <w:ind w:right="277"/>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CE9E8"/>
            </w:tcBorders>
            <w:shd w:val="clear" w:color="auto" w:fill="FCE9E8"/>
          </w:tcPr>
          <w:p>
            <w:pPr>
              <w:jc w:val="right"/>
              <w:ind w:right="297"/>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CE9E8"/>
            </w:tcBorders>
            <w:shd w:val="clear" w:color="auto" w:fill="FCE9E8"/>
          </w:tcPr>
          <w:p>
            <w:pPr>
              <w:jc w:val="right"/>
              <w:ind w:right="257"/>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CE9E8"/>
            </w:tcBorders>
            <w:shd w:val="clear" w:color="auto" w:fill="FCE9E8"/>
          </w:tcPr>
          <w:p>
            <w:pPr>
              <w:jc w:val="right"/>
              <w:ind w:right="279"/>
              <w:spacing w:after="0"/>
              <w:rPr>
                <w:sz w:val="20"/>
                <w:szCs w:val="20"/>
                <w:color w:val="auto"/>
              </w:rPr>
            </w:pPr>
            <w:r>
              <w:rPr>
                <w:rFonts w:ascii="Arial" w:cs="Arial" w:eastAsia="Arial" w:hAnsi="Arial"/>
                <w:sz w:val="14"/>
                <w:szCs w:val="14"/>
                <w:color w:val="auto"/>
              </w:rPr>
              <w:t>1,444</w:t>
            </w:r>
          </w:p>
        </w:tc>
        <w:tc>
          <w:tcPr>
            <w:tcW w:w="1100" w:type="dxa"/>
            <w:vAlign w:val="bottom"/>
            <w:tcBorders>
              <w:bottom w:val="single" w:sz="8" w:color="FCE9E8"/>
            </w:tcBorders>
            <w:shd w:val="clear" w:color="auto" w:fill="FCE9E8"/>
          </w:tcPr>
          <w:p>
            <w:pPr>
              <w:ind w:left="420"/>
              <w:spacing w:after="0"/>
              <w:rPr>
                <w:sz w:val="20"/>
                <w:szCs w:val="20"/>
                <w:color w:val="auto"/>
              </w:rPr>
            </w:pPr>
            <w:r>
              <w:rPr>
                <w:rFonts w:ascii="Arial" w:cs="Arial" w:eastAsia="Arial" w:hAnsi="Arial"/>
                <w:sz w:val="14"/>
                <w:szCs w:val="14"/>
                <w:color w:val="auto"/>
              </w:rPr>
              <w:t>1,637</w:t>
            </w:r>
          </w:p>
        </w:tc>
      </w:tr>
      <w:tr>
        <w:trPr>
          <w:trHeight w:val="221"/>
        </w:trPr>
        <w:tc>
          <w:tcPr>
            <w:tcW w:w="800" w:type="dxa"/>
            <w:vAlign w:val="bottom"/>
          </w:tcPr>
          <w:p>
            <w:pPr>
              <w:ind w:left="60"/>
              <w:spacing w:after="0"/>
              <w:rPr>
                <w:sz w:val="20"/>
                <w:szCs w:val="20"/>
                <w:color w:val="auto"/>
              </w:rPr>
            </w:pPr>
            <w:r>
              <w:rPr>
                <w:rFonts w:ascii="Arial" w:cs="Arial" w:eastAsia="Arial" w:hAnsi="Arial"/>
                <w:sz w:val="14"/>
                <w:szCs w:val="14"/>
                <w:color w:val="auto"/>
              </w:rPr>
              <w:t>Thomas</w:t>
            </w: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62"/>
        </w:trPr>
        <w:tc>
          <w:tcPr>
            <w:tcW w:w="800" w:type="dxa"/>
            <w:vAlign w:val="bottom"/>
          </w:tcPr>
          <w:p>
            <w:pPr>
              <w:ind w:left="60"/>
              <w:spacing w:after="0"/>
              <w:rPr>
                <w:sz w:val="20"/>
                <w:szCs w:val="20"/>
                <w:color w:val="auto"/>
              </w:rPr>
            </w:pPr>
            <w:r>
              <w:rPr>
                <w:rFonts w:ascii="Arial" w:cs="Arial" w:eastAsia="Arial" w:hAnsi="Arial"/>
                <w:sz w:val="14"/>
                <w:szCs w:val="14"/>
                <w:color w:val="auto"/>
              </w:rPr>
              <w:t>A.</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00" w:type="dxa"/>
            <w:vAlign w:val="bottom"/>
          </w:tcPr>
          <w:p>
            <w:pPr>
              <w:ind w:left="60"/>
              <w:spacing w:after="0"/>
              <w:rPr>
                <w:sz w:val="20"/>
                <w:szCs w:val="20"/>
                <w:color w:val="auto"/>
              </w:rPr>
            </w:pPr>
            <w:r>
              <w:rPr>
                <w:rFonts w:ascii="Arial" w:cs="Arial" w:eastAsia="Arial" w:hAnsi="Arial"/>
                <w:sz w:val="14"/>
                <w:szCs w:val="14"/>
                <w:color w:val="auto"/>
              </w:rPr>
              <w:t>DiDonato</w:t>
            </w:r>
          </w:p>
        </w:tc>
        <w:tc>
          <w:tcPr>
            <w:tcW w:w="920" w:type="dxa"/>
            <w:vAlign w:val="bottom"/>
          </w:tcPr>
          <w:p>
            <w:pPr>
              <w:jc w:val="right"/>
              <w:ind w:right="258"/>
              <w:spacing w:after="0"/>
              <w:rPr>
                <w:sz w:val="20"/>
                <w:szCs w:val="20"/>
                <w:color w:val="auto"/>
              </w:rPr>
            </w:pPr>
            <w:r>
              <w:rPr>
                <w:rFonts w:ascii="Arial" w:cs="Arial" w:eastAsia="Arial" w:hAnsi="Arial"/>
                <w:sz w:val="14"/>
                <w:szCs w:val="14"/>
                <w:color w:val="auto"/>
              </w:rPr>
              <w:t>2,536</w:t>
            </w:r>
          </w:p>
        </w:tc>
        <w:tc>
          <w:tcPr>
            <w:tcW w:w="1040" w:type="dxa"/>
            <w:vAlign w:val="bottom"/>
          </w:tcPr>
          <w:p>
            <w:pPr>
              <w:jc w:val="right"/>
              <w:ind w:right="238"/>
              <w:spacing w:after="0"/>
              <w:rPr>
                <w:sz w:val="20"/>
                <w:szCs w:val="20"/>
                <w:color w:val="auto"/>
              </w:rPr>
            </w:pPr>
            <w:r>
              <w:rPr>
                <w:rFonts w:ascii="Arial" w:cs="Arial" w:eastAsia="Arial" w:hAnsi="Arial"/>
                <w:sz w:val="14"/>
                <w:szCs w:val="14"/>
                <w:color w:val="auto"/>
              </w:rPr>
              <w:t>4,023</w:t>
            </w:r>
          </w:p>
        </w:tc>
        <w:tc>
          <w:tcPr>
            <w:tcW w:w="1060" w:type="dxa"/>
            <w:vAlign w:val="bottom"/>
          </w:tcPr>
          <w:p>
            <w:pPr>
              <w:ind w:left="420"/>
              <w:spacing w:after="0"/>
              <w:rPr>
                <w:sz w:val="20"/>
                <w:szCs w:val="20"/>
                <w:color w:val="auto"/>
              </w:rPr>
            </w:pPr>
            <w:r>
              <w:rPr>
                <w:rFonts w:ascii="Arial" w:cs="Arial" w:eastAsia="Arial" w:hAnsi="Arial"/>
                <w:sz w:val="14"/>
                <w:szCs w:val="14"/>
                <w:color w:val="auto"/>
              </w:rPr>
              <w:t>2,848</w:t>
            </w:r>
          </w:p>
        </w:tc>
        <w:tc>
          <w:tcPr>
            <w:tcW w:w="1180" w:type="dxa"/>
            <w:vAlign w:val="bottom"/>
          </w:tcPr>
          <w:p>
            <w:pPr>
              <w:jc w:val="right"/>
              <w:ind w:right="277"/>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7"/>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57"/>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79"/>
              <w:spacing w:after="0"/>
              <w:rPr>
                <w:sz w:val="20"/>
                <w:szCs w:val="20"/>
                <w:color w:val="auto"/>
              </w:rPr>
            </w:pPr>
            <w:r>
              <w:rPr>
                <w:rFonts w:ascii="Arial" w:cs="Arial" w:eastAsia="Arial" w:hAnsi="Arial"/>
                <w:sz w:val="14"/>
                <w:szCs w:val="14"/>
                <w:color w:val="auto"/>
              </w:rPr>
              <w:t>2,167</w:t>
            </w:r>
          </w:p>
        </w:tc>
        <w:tc>
          <w:tcPr>
            <w:tcW w:w="1100" w:type="dxa"/>
            <w:vAlign w:val="bottom"/>
          </w:tcPr>
          <w:p>
            <w:pPr>
              <w:ind w:left="420"/>
              <w:spacing w:after="0"/>
              <w:rPr>
                <w:sz w:val="20"/>
                <w:szCs w:val="20"/>
                <w:color w:val="auto"/>
              </w:rPr>
            </w:pPr>
            <w:r>
              <w:rPr>
                <w:rFonts w:ascii="Arial" w:cs="Arial" w:eastAsia="Arial" w:hAnsi="Arial"/>
                <w:sz w:val="14"/>
                <w:szCs w:val="14"/>
                <w:color w:val="auto"/>
              </w:rPr>
              <w:t>2,455</w:t>
            </w:r>
          </w:p>
        </w:tc>
      </w:tr>
      <w:tr>
        <w:trPr>
          <w:trHeight w:val="52"/>
        </w:trPr>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1"/>
        </w:trPr>
        <w:tc>
          <w:tcPr>
            <w:tcW w:w="800" w:type="dxa"/>
            <w:vAlign w:val="bottom"/>
            <w:shd w:val="clear" w:color="auto" w:fill="FCE9E8"/>
          </w:tcPr>
          <w:p>
            <w:pPr>
              <w:ind w:left="60"/>
              <w:spacing w:after="0"/>
              <w:rPr>
                <w:sz w:val="20"/>
                <w:szCs w:val="20"/>
                <w:color w:val="auto"/>
              </w:rPr>
            </w:pPr>
            <w:r>
              <w:rPr>
                <w:rFonts w:ascii="Arial" w:cs="Arial" w:eastAsia="Arial" w:hAnsi="Arial"/>
                <w:sz w:val="14"/>
                <w:szCs w:val="14"/>
                <w:color w:val="auto"/>
              </w:rPr>
              <w:t>Carl A.</w:t>
            </w:r>
          </w:p>
        </w:tc>
        <w:tc>
          <w:tcPr>
            <w:tcW w:w="920" w:type="dxa"/>
            <w:vAlign w:val="bottom"/>
            <w:shd w:val="clear" w:color="auto" w:fill="FCE9E8"/>
          </w:tcPr>
          <w:p>
            <w:pPr>
              <w:spacing w:after="0"/>
              <w:rPr>
                <w:sz w:val="19"/>
                <w:szCs w:val="19"/>
                <w:color w:val="auto"/>
              </w:rPr>
            </w:pPr>
          </w:p>
        </w:tc>
        <w:tc>
          <w:tcPr>
            <w:tcW w:w="1040" w:type="dxa"/>
            <w:vAlign w:val="bottom"/>
            <w:shd w:val="clear" w:color="auto" w:fill="FCE9E8"/>
          </w:tcPr>
          <w:p>
            <w:pPr>
              <w:spacing w:after="0"/>
              <w:rPr>
                <w:sz w:val="19"/>
                <w:szCs w:val="19"/>
                <w:color w:val="auto"/>
              </w:rPr>
            </w:pPr>
          </w:p>
        </w:tc>
        <w:tc>
          <w:tcPr>
            <w:tcW w:w="1060" w:type="dxa"/>
            <w:vAlign w:val="bottom"/>
            <w:shd w:val="clear" w:color="auto" w:fill="FCE9E8"/>
          </w:tcPr>
          <w:p>
            <w:pPr>
              <w:spacing w:after="0"/>
              <w:rPr>
                <w:sz w:val="19"/>
                <w:szCs w:val="19"/>
                <w:color w:val="auto"/>
              </w:rPr>
            </w:pPr>
          </w:p>
        </w:tc>
        <w:tc>
          <w:tcPr>
            <w:tcW w:w="1180" w:type="dxa"/>
            <w:vAlign w:val="bottom"/>
            <w:shd w:val="clear" w:color="auto" w:fill="FCE9E8"/>
          </w:tcPr>
          <w:p>
            <w:pPr>
              <w:spacing w:after="0"/>
              <w:rPr>
                <w:sz w:val="19"/>
                <w:szCs w:val="19"/>
                <w:color w:val="auto"/>
              </w:rPr>
            </w:pPr>
          </w:p>
        </w:tc>
        <w:tc>
          <w:tcPr>
            <w:tcW w:w="1180" w:type="dxa"/>
            <w:vAlign w:val="bottom"/>
            <w:shd w:val="clear" w:color="auto" w:fill="FCE9E8"/>
          </w:tcPr>
          <w:p>
            <w:pPr>
              <w:spacing w:after="0"/>
              <w:rPr>
                <w:sz w:val="19"/>
                <w:szCs w:val="19"/>
                <w:color w:val="auto"/>
              </w:rPr>
            </w:pPr>
          </w:p>
        </w:tc>
        <w:tc>
          <w:tcPr>
            <w:tcW w:w="1140" w:type="dxa"/>
            <w:vAlign w:val="bottom"/>
            <w:shd w:val="clear" w:color="auto" w:fill="FCE9E8"/>
          </w:tcPr>
          <w:p>
            <w:pPr>
              <w:spacing w:after="0"/>
              <w:rPr>
                <w:sz w:val="19"/>
                <w:szCs w:val="19"/>
                <w:color w:val="auto"/>
              </w:rPr>
            </w:pPr>
          </w:p>
        </w:tc>
        <w:tc>
          <w:tcPr>
            <w:tcW w:w="1140" w:type="dxa"/>
            <w:vAlign w:val="bottom"/>
            <w:shd w:val="clear" w:color="auto" w:fill="FCE9E8"/>
          </w:tcPr>
          <w:p>
            <w:pPr>
              <w:spacing w:after="0"/>
              <w:rPr>
                <w:sz w:val="19"/>
                <w:szCs w:val="19"/>
                <w:color w:val="auto"/>
              </w:rPr>
            </w:pPr>
          </w:p>
        </w:tc>
        <w:tc>
          <w:tcPr>
            <w:tcW w:w="1100" w:type="dxa"/>
            <w:vAlign w:val="bottom"/>
            <w:shd w:val="clear" w:color="auto" w:fill="FCE9E8"/>
          </w:tcPr>
          <w:p>
            <w:pPr>
              <w:spacing w:after="0"/>
              <w:rPr>
                <w:sz w:val="19"/>
                <w:szCs w:val="19"/>
                <w:color w:val="auto"/>
              </w:rPr>
            </w:pPr>
          </w:p>
        </w:tc>
      </w:tr>
      <w:tr>
        <w:trPr>
          <w:trHeight w:val="205"/>
        </w:trPr>
        <w:tc>
          <w:tcPr>
            <w:tcW w:w="80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4"/>
                <w:szCs w:val="14"/>
                <w:color w:val="auto"/>
              </w:rPr>
              <w:t>Esposito</w:t>
            </w:r>
          </w:p>
        </w:tc>
        <w:tc>
          <w:tcPr>
            <w:tcW w:w="920" w:type="dxa"/>
            <w:vAlign w:val="bottom"/>
            <w:tcBorders>
              <w:bottom w:val="single" w:sz="8" w:color="FCE9E8"/>
            </w:tcBorders>
            <w:shd w:val="clear" w:color="auto" w:fill="FCE9E8"/>
          </w:tcPr>
          <w:p>
            <w:pPr>
              <w:jc w:val="right"/>
              <w:ind w:right="25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CE9E8"/>
            </w:tcBorders>
            <w:shd w:val="clear" w:color="auto" w:fill="FCE9E8"/>
          </w:tcPr>
          <w:p>
            <w:pPr>
              <w:jc w:val="right"/>
              <w:ind w:right="23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CE9E8"/>
            </w:tcBorders>
            <w:shd w:val="clear" w:color="auto" w:fill="FCE9E8"/>
          </w:tcPr>
          <w:p>
            <w:pPr>
              <w:ind w:left="420"/>
              <w:spacing w:after="0"/>
              <w:rPr>
                <w:sz w:val="20"/>
                <w:szCs w:val="20"/>
                <w:color w:val="auto"/>
              </w:rPr>
            </w:pPr>
            <w:r>
              <w:rPr>
                <w:rFonts w:ascii="Arial" w:cs="Arial" w:eastAsia="Arial" w:hAnsi="Arial"/>
                <w:sz w:val="14"/>
                <w:szCs w:val="14"/>
                <w:color w:val="auto"/>
              </w:rPr>
              <w:t>2,505</w:t>
            </w:r>
          </w:p>
        </w:tc>
        <w:tc>
          <w:tcPr>
            <w:tcW w:w="1180" w:type="dxa"/>
            <w:vAlign w:val="bottom"/>
            <w:tcBorders>
              <w:bottom w:val="single" w:sz="8" w:color="FCE9E8"/>
            </w:tcBorders>
            <w:shd w:val="clear" w:color="auto" w:fill="FCE9E8"/>
          </w:tcPr>
          <w:p>
            <w:pPr>
              <w:jc w:val="right"/>
              <w:ind w:right="277"/>
              <w:spacing w:after="0"/>
              <w:rPr>
                <w:sz w:val="20"/>
                <w:szCs w:val="20"/>
                <w:color w:val="auto"/>
              </w:rPr>
            </w:pPr>
            <w:r>
              <w:rPr>
                <w:rFonts w:ascii="Arial" w:cs="Arial" w:eastAsia="Arial" w:hAnsi="Arial"/>
                <w:sz w:val="14"/>
                <w:szCs w:val="14"/>
                <w:color w:val="auto"/>
              </w:rPr>
              <w:t>18,300</w:t>
            </w:r>
          </w:p>
        </w:tc>
        <w:tc>
          <w:tcPr>
            <w:tcW w:w="1180" w:type="dxa"/>
            <w:vAlign w:val="bottom"/>
            <w:tcBorders>
              <w:bottom w:val="single" w:sz="8" w:color="FCE9E8"/>
            </w:tcBorders>
            <w:shd w:val="clear" w:color="auto" w:fill="FCE9E8"/>
          </w:tcPr>
          <w:p>
            <w:pPr>
              <w:jc w:val="right"/>
              <w:ind w:right="277"/>
              <w:spacing w:after="0"/>
              <w:rPr>
                <w:sz w:val="20"/>
                <w:szCs w:val="20"/>
                <w:color w:val="auto"/>
              </w:rPr>
            </w:pPr>
            <w:r>
              <w:rPr>
                <w:rFonts w:ascii="Arial" w:cs="Arial" w:eastAsia="Arial" w:hAnsi="Arial"/>
                <w:sz w:val="14"/>
                <w:szCs w:val="14"/>
                <w:color w:val="auto"/>
              </w:rPr>
              <w:t>18,300</w:t>
            </w:r>
          </w:p>
        </w:tc>
        <w:tc>
          <w:tcPr>
            <w:tcW w:w="1140" w:type="dxa"/>
            <w:vAlign w:val="bottom"/>
            <w:tcBorders>
              <w:bottom w:val="single" w:sz="8" w:color="FCE9E8"/>
            </w:tcBorders>
            <w:shd w:val="clear" w:color="auto" w:fill="FCE9E8"/>
          </w:tcPr>
          <w:p>
            <w:pPr>
              <w:jc w:val="right"/>
              <w:ind w:right="257"/>
              <w:spacing w:after="0"/>
              <w:rPr>
                <w:sz w:val="20"/>
                <w:szCs w:val="20"/>
                <w:color w:val="auto"/>
              </w:rPr>
            </w:pPr>
            <w:r>
              <w:rPr>
                <w:rFonts w:ascii="Arial" w:cs="Arial" w:eastAsia="Arial" w:hAnsi="Arial"/>
                <w:sz w:val="14"/>
                <w:szCs w:val="14"/>
                <w:color w:val="auto"/>
              </w:rPr>
              <w:t>18,299</w:t>
            </w:r>
          </w:p>
        </w:tc>
        <w:tc>
          <w:tcPr>
            <w:tcW w:w="1140" w:type="dxa"/>
            <w:vAlign w:val="bottom"/>
            <w:tcBorders>
              <w:bottom w:val="single" w:sz="8" w:color="FCE9E8"/>
            </w:tcBorders>
            <w:shd w:val="clear" w:color="auto" w:fill="FCE9E8"/>
          </w:tcPr>
          <w:p>
            <w:pPr>
              <w:jc w:val="right"/>
              <w:ind w:right="27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CE9E8"/>
            </w:tcBorders>
            <w:shd w:val="clear" w:color="auto" w:fill="FCE9E8"/>
          </w:tcPr>
          <w:p>
            <w:pPr>
              <w:ind w:left="420"/>
              <w:spacing w:after="0"/>
              <w:rPr>
                <w:sz w:val="20"/>
                <w:szCs w:val="20"/>
                <w:color w:val="auto"/>
              </w:rPr>
            </w:pPr>
            <w:r>
              <w:rPr>
                <w:rFonts w:ascii="Arial" w:cs="Arial" w:eastAsia="Arial" w:hAnsi="Arial"/>
                <w:sz w:val="14"/>
                <w:szCs w:val="14"/>
                <w:color w:val="auto"/>
              </w:rPr>
              <w:t>1,227</w:t>
            </w:r>
          </w:p>
        </w:tc>
      </w:tr>
      <w:tr>
        <w:trPr>
          <w:trHeight w:val="20"/>
        </w:trPr>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26" w:lineRule="exact"/>
        <w:rPr>
          <w:sz w:val="20"/>
          <w:szCs w:val="20"/>
          <w:color w:val="auto"/>
        </w:rPr>
      </w:pPr>
    </w:p>
    <w:p>
      <w:pPr>
        <w:ind w:left="960" w:right="560" w:hanging="291"/>
        <w:spacing w:after="0" w:line="199" w:lineRule="auto"/>
        <w:tabs>
          <w:tab w:leader="none" w:pos="9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The total values in column (h) equal the total number of RSUs (other than the Performance-Based Career Shares) held by each Named Executive Officer multiplied by the market price of Company common stock at the close of the last trading day in 2020, which was $159.03 per share, plus the following accrued dividend equivalents and interest at the prime rate (which are paid if and when the underlying RSUs vest and are paid):</w:t>
      </w:r>
    </w:p>
    <w:p>
      <w:pPr>
        <w:spacing w:after="0" w:line="21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gridSpan w:val="2"/>
          </w:tcPr>
          <w:p>
            <w:pPr>
              <w:jc w:val="center"/>
              <w:ind w:left="64"/>
              <w:spacing w:after="0"/>
              <w:rPr>
                <w:sz w:val="20"/>
                <w:szCs w:val="20"/>
                <w:color w:val="auto"/>
              </w:rPr>
            </w:pPr>
            <w:r>
              <w:rPr>
                <w:rFonts w:ascii="Arial" w:cs="Arial" w:eastAsia="Arial" w:hAnsi="Arial"/>
                <w:sz w:val="14"/>
                <w:szCs w:val="14"/>
                <w:b w:val="1"/>
                <w:bCs w:val="1"/>
                <w:color w:val="E2231A"/>
              </w:rPr>
              <w:t>2018</w:t>
            </w: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E2231A"/>
              </w:rPr>
              <w:t>2019</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gridSpan w:val="2"/>
          </w:tcPr>
          <w:p>
            <w:pPr>
              <w:jc w:val="center"/>
              <w:ind w:left="44"/>
              <w:spacing w:after="0"/>
              <w:rPr>
                <w:sz w:val="20"/>
                <w:szCs w:val="20"/>
                <w:color w:val="auto"/>
              </w:rPr>
            </w:pPr>
            <w:r>
              <w:rPr>
                <w:rFonts w:ascii="Arial" w:cs="Arial" w:eastAsia="Arial" w:hAnsi="Arial"/>
                <w:sz w:val="14"/>
                <w:szCs w:val="14"/>
                <w:b w:val="1"/>
                <w:bCs w:val="1"/>
                <w:color w:val="E2231A"/>
              </w:rPr>
              <w:t>Career</w:t>
            </w:r>
          </w:p>
        </w:tc>
        <w:tc>
          <w:tcPr>
            <w:tcW w:w="1080" w:type="dxa"/>
            <w:vAlign w:val="bottom"/>
          </w:tcPr>
          <w:p>
            <w:pPr>
              <w:jc w:val="center"/>
              <w:ind w:right="104"/>
              <w:spacing w:after="0"/>
              <w:rPr>
                <w:sz w:val="20"/>
                <w:szCs w:val="20"/>
                <w:color w:val="auto"/>
              </w:rPr>
            </w:pPr>
            <w:r>
              <w:rPr>
                <w:rFonts w:ascii="Arial" w:cs="Arial" w:eastAsia="Arial" w:hAnsi="Arial"/>
                <w:sz w:val="14"/>
                <w:szCs w:val="14"/>
                <w:b w:val="1"/>
                <w:bCs w:val="1"/>
                <w:color w:val="E2231A"/>
              </w:rPr>
              <w:t>Career</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2018 RSU</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2019 RSU</w:t>
            </w:r>
          </w:p>
        </w:tc>
        <w:tc>
          <w:tcPr>
            <w:tcW w:w="1320" w:type="dxa"/>
            <w:vAlign w:val="bottom"/>
            <w:gridSpan w:val="2"/>
          </w:tcPr>
          <w:p>
            <w:pPr>
              <w:jc w:val="center"/>
              <w:ind w:left="66"/>
              <w:spacing w:after="0"/>
              <w:rPr>
                <w:sz w:val="20"/>
                <w:szCs w:val="20"/>
                <w:color w:val="auto"/>
              </w:rPr>
            </w:pPr>
            <w:r>
              <w:rPr>
                <w:rFonts w:ascii="Arial" w:cs="Arial" w:eastAsia="Arial" w:hAnsi="Arial"/>
                <w:sz w:val="14"/>
                <w:szCs w:val="14"/>
                <w:b w:val="1"/>
                <w:bCs w:val="1"/>
                <w:color w:val="E2231A"/>
              </w:rPr>
              <w:t>2020 RSU</w:t>
            </w:r>
          </w:p>
        </w:tc>
        <w:tc>
          <w:tcPr>
            <w:tcW w:w="1060" w:type="dxa"/>
            <w:vAlign w:val="bottom"/>
            <w:gridSpan w:val="2"/>
          </w:tcPr>
          <w:p>
            <w:pPr>
              <w:jc w:val="center"/>
              <w:ind w:left="64"/>
              <w:spacing w:after="0"/>
              <w:rPr>
                <w:sz w:val="20"/>
                <w:szCs w:val="20"/>
                <w:color w:val="auto"/>
              </w:rPr>
            </w:pPr>
            <w:r>
              <w:rPr>
                <w:rFonts w:ascii="Arial" w:cs="Arial" w:eastAsia="Arial" w:hAnsi="Arial"/>
                <w:sz w:val="14"/>
                <w:szCs w:val="14"/>
                <w:b w:val="1"/>
                <w:bCs w:val="1"/>
                <w:color w:val="E2231A"/>
              </w:rPr>
              <w:t>Shares</w:t>
            </w: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E2231A"/>
              </w:rPr>
              <w:t>Shares</w:t>
            </w:r>
          </w:p>
        </w:tc>
        <w:tc>
          <w:tcPr>
            <w:tcW w:w="380" w:type="dxa"/>
            <w:vAlign w:val="bottom"/>
          </w:tcPr>
          <w:p>
            <w:pPr>
              <w:spacing w:after="0"/>
              <w:rPr>
                <w:sz w:val="14"/>
                <w:szCs w:val="14"/>
                <w:color w:val="auto"/>
              </w:rPr>
            </w:pPr>
          </w:p>
        </w:tc>
        <w:tc>
          <w:tcPr>
            <w:tcW w:w="980" w:type="dxa"/>
            <w:vAlign w:val="bottom"/>
          </w:tcPr>
          <w:p>
            <w:pPr>
              <w:jc w:val="center"/>
              <w:ind w:right="401"/>
              <w:spacing w:after="0"/>
              <w:rPr>
                <w:sz w:val="20"/>
                <w:szCs w:val="20"/>
                <w:color w:val="auto"/>
              </w:rPr>
            </w:pPr>
            <w:r>
              <w:rPr>
                <w:rFonts w:ascii="Arial" w:cs="Arial" w:eastAsia="Arial" w:hAnsi="Arial"/>
                <w:sz w:val="14"/>
                <w:szCs w:val="14"/>
                <w:b w:val="1"/>
                <w:bCs w:val="1"/>
                <w:color w:val="E2231A"/>
              </w:rPr>
              <w:t>Total</w:t>
            </w:r>
          </w:p>
        </w:tc>
      </w:tr>
      <w:tr>
        <w:trPr>
          <w:trHeight w:val="162"/>
        </w:trPr>
        <w:tc>
          <w:tcPr>
            <w:tcW w:w="1300" w:type="dxa"/>
            <w:vAlign w:val="bottom"/>
          </w:tcPr>
          <w:p>
            <w:pPr>
              <w:spacing w:after="0"/>
              <w:rPr>
                <w:sz w:val="14"/>
                <w:szCs w:val="14"/>
                <w:color w:val="auto"/>
              </w:rPr>
            </w:pP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E2231A"/>
              </w:rPr>
              <w:t>Dividend</w:t>
            </w:r>
          </w:p>
        </w:tc>
        <w:tc>
          <w:tcPr>
            <w:tcW w:w="1480" w:type="dxa"/>
            <w:vAlign w:val="bottom"/>
            <w:gridSpan w:val="2"/>
          </w:tcPr>
          <w:p>
            <w:pPr>
              <w:ind w:left="440"/>
              <w:spacing w:after="0"/>
              <w:rPr>
                <w:sz w:val="20"/>
                <w:szCs w:val="20"/>
                <w:color w:val="auto"/>
              </w:rPr>
            </w:pPr>
            <w:r>
              <w:rPr>
                <w:rFonts w:ascii="Arial" w:cs="Arial" w:eastAsia="Arial" w:hAnsi="Arial"/>
                <w:sz w:val="14"/>
                <w:szCs w:val="14"/>
                <w:b w:val="1"/>
                <w:bCs w:val="1"/>
                <w:color w:val="E2231A"/>
              </w:rPr>
              <w:t>Dividend</w:t>
            </w:r>
          </w:p>
        </w:tc>
        <w:tc>
          <w:tcPr>
            <w:tcW w:w="1320" w:type="dxa"/>
            <w:vAlign w:val="bottom"/>
            <w:gridSpan w:val="2"/>
          </w:tcPr>
          <w:p>
            <w:pPr>
              <w:ind w:left="420"/>
              <w:spacing w:after="0"/>
              <w:rPr>
                <w:sz w:val="20"/>
                <w:szCs w:val="20"/>
                <w:color w:val="auto"/>
              </w:rPr>
            </w:pPr>
            <w:r>
              <w:rPr>
                <w:rFonts w:ascii="Arial" w:cs="Arial" w:eastAsia="Arial" w:hAnsi="Arial"/>
                <w:sz w:val="14"/>
                <w:szCs w:val="14"/>
                <w:b w:val="1"/>
                <w:bCs w:val="1"/>
                <w:color w:val="E2231A"/>
              </w:rPr>
              <w:t>Dividend</w:t>
            </w:r>
          </w:p>
        </w:tc>
        <w:tc>
          <w:tcPr>
            <w:tcW w:w="1060" w:type="dxa"/>
            <w:vAlign w:val="bottom"/>
            <w:gridSpan w:val="2"/>
          </w:tcPr>
          <w:p>
            <w:pPr>
              <w:jc w:val="center"/>
              <w:ind w:left="64"/>
              <w:spacing w:after="0"/>
              <w:rPr>
                <w:sz w:val="20"/>
                <w:szCs w:val="20"/>
                <w:color w:val="auto"/>
              </w:rPr>
            </w:pPr>
            <w:r>
              <w:rPr>
                <w:rFonts w:ascii="Arial" w:cs="Arial" w:eastAsia="Arial" w:hAnsi="Arial"/>
                <w:sz w:val="14"/>
                <w:szCs w:val="14"/>
                <w:b w:val="1"/>
                <w:bCs w:val="1"/>
                <w:color w:val="E2231A"/>
              </w:rPr>
              <w:t>Dividend</w:t>
            </w: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E2231A"/>
              </w:rPr>
              <w:t>Dividend</w:t>
            </w:r>
          </w:p>
        </w:tc>
        <w:tc>
          <w:tcPr>
            <w:tcW w:w="13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E2231A"/>
              </w:rPr>
              <w:t>Dividend</w:t>
            </w:r>
          </w:p>
        </w:tc>
      </w:tr>
      <w:tr>
        <w:trPr>
          <w:trHeight w:val="175"/>
        </w:trPr>
        <w:tc>
          <w:tcPr>
            <w:tcW w:w="1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320" w:type="dxa"/>
            <w:vAlign w:val="bottom"/>
            <w:tcBorders>
              <w:bottom w:val="single" w:sz="8" w:color="auto"/>
            </w:tcBorders>
            <w:gridSpan w:val="2"/>
          </w:tcPr>
          <w:p>
            <w:pPr>
              <w:jc w:val="center"/>
              <w:ind w:left="66"/>
              <w:spacing w:after="0"/>
              <w:rPr>
                <w:sz w:val="20"/>
                <w:szCs w:val="20"/>
                <w:color w:val="auto"/>
              </w:rPr>
            </w:pPr>
            <w:r>
              <w:rPr>
                <w:rFonts w:ascii="Arial" w:cs="Arial" w:eastAsia="Arial" w:hAnsi="Arial"/>
                <w:sz w:val="14"/>
                <w:szCs w:val="14"/>
                <w:b w:val="1"/>
                <w:bCs w:val="1"/>
                <w:color w:val="E2231A"/>
              </w:rPr>
              <w:t>Equivalents</w:t>
            </w:r>
          </w:p>
        </w:tc>
        <w:tc>
          <w:tcPr>
            <w:tcW w:w="106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E2231A"/>
              </w:rPr>
              <w:t>Equivalents</w:t>
            </w: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E2231A"/>
              </w:rPr>
              <w:t>Equivalents</w:t>
            </w:r>
          </w:p>
        </w:tc>
        <w:tc>
          <w:tcPr>
            <w:tcW w:w="136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E2231A"/>
              </w:rPr>
              <w:t>Equivalents</w:t>
            </w:r>
          </w:p>
        </w:tc>
      </w:tr>
      <w:tr>
        <w:trPr>
          <w:trHeight w:val="225"/>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w:t>
            </w:r>
          </w:p>
        </w:tc>
        <w:tc>
          <w:tcPr>
            <w:tcW w:w="580" w:type="dxa"/>
            <w:vAlign w:val="bottom"/>
            <w:shd w:val="clear" w:color="auto" w:fill="FCE9E8"/>
          </w:tcPr>
          <w:p>
            <w:pPr>
              <w:spacing w:after="0"/>
              <w:rPr>
                <w:sz w:val="19"/>
                <w:szCs w:val="19"/>
                <w:color w:val="auto"/>
              </w:rPr>
            </w:pPr>
          </w:p>
        </w:tc>
        <w:tc>
          <w:tcPr>
            <w:tcW w:w="940" w:type="dxa"/>
            <w:vAlign w:val="bottom"/>
            <w:shd w:val="clear" w:color="auto" w:fill="FCE9E8"/>
          </w:tcPr>
          <w:p>
            <w:pPr>
              <w:spacing w:after="0"/>
              <w:rPr>
                <w:sz w:val="19"/>
                <w:szCs w:val="19"/>
                <w:color w:val="auto"/>
              </w:rPr>
            </w:pPr>
          </w:p>
        </w:tc>
        <w:tc>
          <w:tcPr>
            <w:tcW w:w="540" w:type="dxa"/>
            <w:vAlign w:val="bottom"/>
            <w:shd w:val="clear" w:color="auto" w:fill="FCE9E8"/>
          </w:tcPr>
          <w:p>
            <w:pPr>
              <w:spacing w:after="0"/>
              <w:rPr>
                <w:sz w:val="19"/>
                <w:szCs w:val="19"/>
                <w:color w:val="auto"/>
              </w:rPr>
            </w:pPr>
          </w:p>
        </w:tc>
        <w:tc>
          <w:tcPr>
            <w:tcW w:w="940" w:type="dxa"/>
            <w:vAlign w:val="bottom"/>
            <w:shd w:val="clear" w:color="auto" w:fill="FCE9E8"/>
          </w:tcPr>
          <w:p>
            <w:pPr>
              <w:spacing w:after="0"/>
              <w:rPr>
                <w:sz w:val="19"/>
                <w:szCs w:val="19"/>
                <w:color w:val="auto"/>
              </w:rPr>
            </w:pPr>
          </w:p>
        </w:tc>
        <w:tc>
          <w:tcPr>
            <w:tcW w:w="520" w:type="dxa"/>
            <w:vAlign w:val="bottom"/>
            <w:shd w:val="clear" w:color="auto" w:fill="FCE9E8"/>
          </w:tcPr>
          <w:p>
            <w:pPr>
              <w:spacing w:after="0"/>
              <w:rPr>
                <w:sz w:val="19"/>
                <w:szCs w:val="19"/>
                <w:color w:val="auto"/>
              </w:rPr>
            </w:pPr>
          </w:p>
        </w:tc>
        <w:tc>
          <w:tcPr>
            <w:tcW w:w="800" w:type="dxa"/>
            <w:vAlign w:val="bottom"/>
            <w:shd w:val="clear" w:color="auto" w:fill="FCE9E8"/>
          </w:tcPr>
          <w:p>
            <w:pPr>
              <w:spacing w:after="0"/>
              <w:rPr>
                <w:sz w:val="19"/>
                <w:szCs w:val="19"/>
                <w:color w:val="auto"/>
              </w:rPr>
            </w:pPr>
          </w:p>
        </w:tc>
        <w:tc>
          <w:tcPr>
            <w:tcW w:w="500" w:type="dxa"/>
            <w:vAlign w:val="bottom"/>
            <w:shd w:val="clear" w:color="auto" w:fill="FCE9E8"/>
          </w:tcPr>
          <w:p>
            <w:pPr>
              <w:spacing w:after="0"/>
              <w:rPr>
                <w:sz w:val="19"/>
                <w:szCs w:val="19"/>
                <w:color w:val="auto"/>
              </w:rPr>
            </w:pPr>
          </w:p>
        </w:tc>
        <w:tc>
          <w:tcPr>
            <w:tcW w:w="560" w:type="dxa"/>
            <w:vAlign w:val="bottom"/>
            <w:shd w:val="clear" w:color="auto" w:fill="FCE9E8"/>
          </w:tcPr>
          <w:p>
            <w:pPr>
              <w:spacing w:after="0"/>
              <w:rPr>
                <w:sz w:val="19"/>
                <w:szCs w:val="19"/>
                <w:color w:val="auto"/>
              </w:rPr>
            </w:pPr>
          </w:p>
        </w:tc>
        <w:tc>
          <w:tcPr>
            <w:tcW w:w="1080" w:type="dxa"/>
            <w:vAlign w:val="bottom"/>
            <w:shd w:val="clear" w:color="auto" w:fill="FCE9E8"/>
          </w:tcPr>
          <w:p>
            <w:pPr>
              <w:spacing w:after="0"/>
              <w:rPr>
                <w:sz w:val="19"/>
                <w:szCs w:val="19"/>
                <w:color w:val="auto"/>
              </w:rPr>
            </w:pPr>
          </w:p>
        </w:tc>
        <w:tc>
          <w:tcPr>
            <w:tcW w:w="380" w:type="dxa"/>
            <w:vAlign w:val="bottom"/>
            <w:shd w:val="clear" w:color="auto" w:fill="FCE9E8"/>
          </w:tcPr>
          <w:p>
            <w:pPr>
              <w:spacing w:after="0"/>
              <w:rPr>
                <w:sz w:val="19"/>
                <w:szCs w:val="19"/>
                <w:color w:val="auto"/>
              </w:rPr>
            </w:pPr>
          </w:p>
        </w:tc>
        <w:tc>
          <w:tcPr>
            <w:tcW w:w="980" w:type="dxa"/>
            <w:vAlign w:val="bottom"/>
            <w:shd w:val="clear" w:color="auto" w:fill="FCE9E8"/>
          </w:tcPr>
          <w:p>
            <w:pPr>
              <w:spacing w:after="0"/>
              <w:rPr>
                <w:sz w:val="19"/>
                <w:szCs w:val="19"/>
                <w:color w:val="auto"/>
              </w:rPr>
            </w:pPr>
          </w:p>
        </w:tc>
      </w:tr>
      <w:tr>
        <w:trPr>
          <w:trHeight w:val="235"/>
        </w:trPr>
        <w:tc>
          <w:tcPr>
            <w:tcW w:w="13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Scott</w:t>
            </w:r>
          </w:p>
        </w:tc>
        <w:tc>
          <w:tcPr>
            <w:tcW w:w="580" w:type="dxa"/>
            <w:vAlign w:val="bottom"/>
            <w:tcBorders>
              <w:bottom w:val="single" w:sz="8" w:color="FCE9E8"/>
            </w:tcBorders>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w w:val="98"/>
              </w:rPr>
              <w:t>65,868</w:t>
            </w:r>
          </w:p>
        </w:tc>
        <w:tc>
          <w:tcPr>
            <w:tcW w:w="54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w w:val="98"/>
              </w:rPr>
              <w:t>69,405</w:t>
            </w:r>
          </w:p>
        </w:tc>
        <w:tc>
          <w:tcPr>
            <w:tcW w:w="52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FCE9E8"/>
            </w:tcBorders>
            <w:shd w:val="clear" w:color="auto" w:fill="FCE9E8"/>
          </w:tcPr>
          <w:p>
            <w:pPr>
              <w:jc w:val="right"/>
              <w:ind w:right="219"/>
              <w:spacing w:after="0"/>
              <w:rPr>
                <w:sz w:val="20"/>
                <w:szCs w:val="20"/>
                <w:color w:val="auto"/>
              </w:rPr>
            </w:pPr>
            <w:r>
              <w:rPr>
                <w:rFonts w:ascii="Arial" w:cs="Arial" w:eastAsia="Arial" w:hAnsi="Arial"/>
                <w:sz w:val="16"/>
                <w:szCs w:val="16"/>
                <w:color w:val="auto"/>
                <w:w w:val="98"/>
              </w:rPr>
              <w:t>12,477</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8"/>
              </w:rPr>
              <w:t>17,997</w:t>
            </w:r>
          </w:p>
        </w:tc>
        <w:tc>
          <w:tcPr>
            <w:tcW w:w="1080" w:type="dxa"/>
            <w:vAlign w:val="bottom"/>
            <w:tcBorders>
              <w:bottom w:val="single" w:sz="8" w:color="FCE9E8"/>
            </w:tcBorders>
            <w:shd w:val="clear" w:color="auto" w:fill="FCE9E8"/>
          </w:tcPr>
          <w:p>
            <w:pPr>
              <w:jc w:val="right"/>
              <w:ind w:right="164"/>
              <w:spacing w:after="0"/>
              <w:rPr>
                <w:sz w:val="20"/>
                <w:szCs w:val="20"/>
                <w:color w:val="auto"/>
              </w:rPr>
            </w:pPr>
            <w:r>
              <w:rPr>
                <w:rFonts w:ascii="Arial" w:cs="Arial" w:eastAsia="Arial" w:hAnsi="Arial"/>
                <w:sz w:val="16"/>
                <w:szCs w:val="16"/>
                <w:color w:val="auto"/>
              </w:rPr>
              <w:t>$ 7,444</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FCE9E8"/>
            </w:tcBorders>
            <w:shd w:val="clear" w:color="auto" w:fill="FCE9E8"/>
          </w:tcPr>
          <w:p>
            <w:pPr>
              <w:jc w:val="right"/>
              <w:ind w:right="321"/>
              <w:spacing w:after="0"/>
              <w:rPr>
                <w:sz w:val="20"/>
                <w:szCs w:val="20"/>
                <w:color w:val="auto"/>
              </w:rPr>
            </w:pPr>
            <w:r>
              <w:rPr>
                <w:rFonts w:ascii="Arial" w:cs="Arial" w:eastAsia="Arial" w:hAnsi="Arial"/>
                <w:sz w:val="16"/>
                <w:szCs w:val="16"/>
                <w:color w:val="auto"/>
                <w:w w:val="96"/>
              </w:rPr>
              <w:t>173,191</w:t>
            </w:r>
          </w:p>
        </w:tc>
      </w:tr>
      <w:tr>
        <w:trPr>
          <w:trHeight w:val="245"/>
        </w:trPr>
        <w:tc>
          <w:tcPr>
            <w:tcW w:w="1300" w:type="dxa"/>
            <w:vAlign w:val="bottom"/>
          </w:tcPr>
          <w:p>
            <w:pPr>
              <w:ind w:left="80"/>
              <w:spacing w:after="0"/>
              <w:rPr>
                <w:sz w:val="20"/>
                <w:szCs w:val="20"/>
                <w:color w:val="auto"/>
              </w:rPr>
            </w:pPr>
            <w:r>
              <w:rPr>
                <w:rFonts w:ascii="Arial" w:cs="Arial" w:eastAsia="Arial" w:hAnsi="Arial"/>
                <w:sz w:val="16"/>
                <w:szCs w:val="16"/>
                <w:color w:val="auto"/>
              </w:rPr>
              <w:t>Jason M.</w:t>
            </w: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5"/>
        </w:trPr>
        <w:tc>
          <w:tcPr>
            <w:tcW w:w="1300" w:type="dxa"/>
            <w:vAlign w:val="bottom"/>
          </w:tcPr>
          <w:p>
            <w:pPr>
              <w:ind w:left="80"/>
              <w:spacing w:after="0"/>
              <w:rPr>
                <w:sz w:val="20"/>
                <w:szCs w:val="20"/>
                <w:color w:val="auto"/>
              </w:rPr>
            </w:pPr>
            <w:r>
              <w:rPr>
                <w:rFonts w:ascii="Arial" w:cs="Arial" w:eastAsia="Arial" w:hAnsi="Arial"/>
                <w:sz w:val="16"/>
                <w:szCs w:val="16"/>
                <w:color w:val="auto"/>
              </w:rPr>
              <w:t>Cardew</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6,132</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9,355</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2,807</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4,496</w:t>
            </w:r>
          </w:p>
        </w:tc>
        <w:tc>
          <w:tcPr>
            <w:tcW w:w="1080" w:type="dxa"/>
            <w:vAlign w:val="bottom"/>
          </w:tcPr>
          <w:p>
            <w:pPr>
              <w:jc w:val="right"/>
              <w:ind w:right="164"/>
              <w:spacing w:after="0"/>
              <w:rPr>
                <w:sz w:val="20"/>
                <w:szCs w:val="20"/>
                <w:color w:val="auto"/>
              </w:rPr>
            </w:pPr>
            <w:r>
              <w:rPr>
                <w:rFonts w:ascii="Arial" w:cs="Arial" w:eastAsia="Arial" w:hAnsi="Arial"/>
                <w:sz w:val="16"/>
                <w:szCs w:val="16"/>
                <w:color w:val="auto"/>
              </w:rPr>
              <w:t>$ 2,977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21"/>
              <w:spacing w:after="0"/>
              <w:rPr>
                <w:sz w:val="20"/>
                <w:szCs w:val="20"/>
                <w:color w:val="auto"/>
              </w:rPr>
            </w:pPr>
            <w:r>
              <w:rPr>
                <w:rFonts w:ascii="Arial" w:cs="Arial" w:eastAsia="Arial" w:hAnsi="Arial"/>
                <w:sz w:val="16"/>
                <w:szCs w:val="16"/>
                <w:color w:val="auto"/>
              </w:rPr>
              <w:t>25,767</w:t>
            </w:r>
          </w:p>
        </w:tc>
      </w:tr>
      <w:tr>
        <w:trPr>
          <w:trHeight w:val="60"/>
        </w:trPr>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1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580" w:type="dxa"/>
            <w:vAlign w:val="bottom"/>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w w:val="98"/>
              </w:rPr>
              <w:t>23,329</w:t>
            </w:r>
          </w:p>
        </w:tc>
        <w:tc>
          <w:tcPr>
            <w:tcW w:w="540" w:type="dxa"/>
            <w:vAlign w:val="bottom"/>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CE9E8"/>
          </w:tcPr>
          <w:p>
            <w:pPr>
              <w:jc w:val="right"/>
              <w:ind w:right="359"/>
              <w:spacing w:after="0"/>
              <w:rPr>
                <w:sz w:val="20"/>
                <w:szCs w:val="20"/>
                <w:color w:val="auto"/>
              </w:rPr>
            </w:pPr>
            <w:r>
              <w:rPr>
                <w:rFonts w:ascii="Arial" w:cs="Arial" w:eastAsia="Arial" w:hAnsi="Arial"/>
                <w:sz w:val="16"/>
                <w:szCs w:val="16"/>
                <w:color w:val="auto"/>
                <w:w w:val="98"/>
              </w:rPr>
              <w:t>20,413</w:t>
            </w:r>
          </w:p>
        </w:tc>
        <w:tc>
          <w:tcPr>
            <w:tcW w:w="520" w:type="dxa"/>
            <w:vAlign w:val="bottom"/>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rPr>
              <w:t>3,565</w:t>
            </w:r>
          </w:p>
        </w:tc>
        <w:tc>
          <w:tcPr>
            <w:tcW w:w="5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7,197</w:t>
            </w:r>
          </w:p>
        </w:tc>
        <w:tc>
          <w:tcPr>
            <w:tcW w:w="1080" w:type="dxa"/>
            <w:vAlign w:val="bottom"/>
            <w:shd w:val="clear" w:color="auto" w:fill="FCE9E8"/>
          </w:tcPr>
          <w:p>
            <w:pPr>
              <w:jc w:val="right"/>
              <w:ind w:right="164"/>
              <w:spacing w:after="0"/>
              <w:rPr>
                <w:sz w:val="20"/>
                <w:szCs w:val="20"/>
                <w:color w:val="auto"/>
              </w:rPr>
            </w:pPr>
            <w:r>
              <w:rPr>
                <w:rFonts w:ascii="Arial" w:cs="Arial" w:eastAsia="Arial" w:hAnsi="Arial"/>
                <w:sz w:val="16"/>
                <w:szCs w:val="16"/>
                <w:color w:val="auto"/>
              </w:rPr>
              <w:t>$ 2,977</w:t>
            </w:r>
          </w:p>
        </w:tc>
        <w:tc>
          <w:tcPr>
            <w:tcW w:w="3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57,481</w:t>
            </w:r>
          </w:p>
        </w:tc>
      </w:tr>
      <w:tr>
        <w:trPr>
          <w:trHeight w:val="60"/>
        </w:trPr>
        <w:tc>
          <w:tcPr>
            <w:tcW w:w="1300" w:type="dxa"/>
            <w:vAlign w:val="bottom"/>
            <w:shd w:val="clear" w:color="auto" w:fill="FCE9E8"/>
          </w:tcPr>
          <w:p>
            <w:pPr>
              <w:spacing w:after="0"/>
              <w:rPr>
                <w:sz w:val="5"/>
                <w:szCs w:val="5"/>
                <w:color w:val="auto"/>
              </w:rPr>
            </w:pPr>
          </w:p>
        </w:tc>
        <w:tc>
          <w:tcPr>
            <w:tcW w:w="580" w:type="dxa"/>
            <w:vAlign w:val="bottom"/>
            <w:shd w:val="clear" w:color="auto" w:fill="FCE9E8"/>
          </w:tcPr>
          <w:p>
            <w:pPr>
              <w:spacing w:after="0"/>
              <w:rPr>
                <w:sz w:val="5"/>
                <w:szCs w:val="5"/>
                <w:color w:val="auto"/>
              </w:rPr>
            </w:pPr>
          </w:p>
        </w:tc>
        <w:tc>
          <w:tcPr>
            <w:tcW w:w="940" w:type="dxa"/>
            <w:vAlign w:val="bottom"/>
            <w:shd w:val="clear" w:color="auto" w:fill="FCE9E8"/>
          </w:tcPr>
          <w:p>
            <w:pPr>
              <w:spacing w:after="0"/>
              <w:rPr>
                <w:sz w:val="5"/>
                <w:szCs w:val="5"/>
                <w:color w:val="auto"/>
              </w:rPr>
            </w:pPr>
          </w:p>
        </w:tc>
        <w:tc>
          <w:tcPr>
            <w:tcW w:w="540" w:type="dxa"/>
            <w:vAlign w:val="bottom"/>
            <w:shd w:val="clear" w:color="auto" w:fill="FCE9E8"/>
          </w:tcPr>
          <w:p>
            <w:pPr>
              <w:spacing w:after="0"/>
              <w:rPr>
                <w:sz w:val="5"/>
                <w:szCs w:val="5"/>
                <w:color w:val="auto"/>
              </w:rPr>
            </w:pPr>
          </w:p>
        </w:tc>
        <w:tc>
          <w:tcPr>
            <w:tcW w:w="940" w:type="dxa"/>
            <w:vAlign w:val="bottom"/>
            <w:shd w:val="clear" w:color="auto" w:fill="FCE9E8"/>
          </w:tcPr>
          <w:p>
            <w:pPr>
              <w:spacing w:after="0"/>
              <w:rPr>
                <w:sz w:val="5"/>
                <w:szCs w:val="5"/>
                <w:color w:val="auto"/>
              </w:rPr>
            </w:pPr>
          </w:p>
        </w:tc>
        <w:tc>
          <w:tcPr>
            <w:tcW w:w="520" w:type="dxa"/>
            <w:vAlign w:val="bottom"/>
            <w:shd w:val="clear" w:color="auto" w:fill="FCE9E8"/>
          </w:tcPr>
          <w:p>
            <w:pPr>
              <w:spacing w:after="0"/>
              <w:rPr>
                <w:sz w:val="5"/>
                <w:szCs w:val="5"/>
                <w:color w:val="auto"/>
              </w:rPr>
            </w:pPr>
          </w:p>
        </w:tc>
        <w:tc>
          <w:tcPr>
            <w:tcW w:w="800" w:type="dxa"/>
            <w:vAlign w:val="bottom"/>
            <w:shd w:val="clear" w:color="auto" w:fill="FCE9E8"/>
          </w:tcPr>
          <w:p>
            <w:pPr>
              <w:spacing w:after="0"/>
              <w:rPr>
                <w:sz w:val="5"/>
                <w:szCs w:val="5"/>
                <w:color w:val="auto"/>
              </w:rPr>
            </w:pPr>
          </w:p>
        </w:tc>
        <w:tc>
          <w:tcPr>
            <w:tcW w:w="500" w:type="dxa"/>
            <w:vAlign w:val="bottom"/>
            <w:shd w:val="clear" w:color="auto" w:fill="FCE9E8"/>
          </w:tcPr>
          <w:p>
            <w:pPr>
              <w:spacing w:after="0"/>
              <w:rPr>
                <w:sz w:val="5"/>
                <w:szCs w:val="5"/>
                <w:color w:val="auto"/>
              </w:rPr>
            </w:pPr>
          </w:p>
        </w:tc>
        <w:tc>
          <w:tcPr>
            <w:tcW w:w="560" w:type="dxa"/>
            <w:vAlign w:val="bottom"/>
            <w:shd w:val="clear" w:color="auto" w:fill="FCE9E8"/>
          </w:tcPr>
          <w:p>
            <w:pPr>
              <w:spacing w:after="0"/>
              <w:rPr>
                <w:sz w:val="5"/>
                <w:szCs w:val="5"/>
                <w:color w:val="auto"/>
              </w:rPr>
            </w:pPr>
          </w:p>
        </w:tc>
        <w:tc>
          <w:tcPr>
            <w:tcW w:w="1080" w:type="dxa"/>
            <w:vAlign w:val="bottom"/>
            <w:shd w:val="clear" w:color="auto" w:fill="FCE9E8"/>
          </w:tcPr>
          <w:p>
            <w:pPr>
              <w:spacing w:after="0"/>
              <w:rPr>
                <w:sz w:val="5"/>
                <w:szCs w:val="5"/>
                <w:color w:val="auto"/>
              </w:rPr>
            </w:pPr>
          </w:p>
        </w:tc>
        <w:tc>
          <w:tcPr>
            <w:tcW w:w="380" w:type="dxa"/>
            <w:vAlign w:val="bottom"/>
            <w:shd w:val="clear" w:color="auto" w:fill="FCE9E8"/>
          </w:tcPr>
          <w:p>
            <w:pPr>
              <w:spacing w:after="0"/>
              <w:rPr>
                <w:sz w:val="5"/>
                <w:szCs w:val="5"/>
                <w:color w:val="auto"/>
              </w:rPr>
            </w:pPr>
          </w:p>
        </w:tc>
        <w:tc>
          <w:tcPr>
            <w:tcW w:w="980" w:type="dxa"/>
            <w:vAlign w:val="bottom"/>
            <w:shd w:val="clear" w:color="auto" w:fill="FCE9E8"/>
          </w:tcPr>
          <w:p>
            <w:pPr>
              <w:spacing w:after="0"/>
              <w:rPr>
                <w:sz w:val="5"/>
                <w:szCs w:val="5"/>
                <w:color w:val="auto"/>
              </w:rPr>
            </w:pPr>
          </w:p>
        </w:tc>
      </w:tr>
      <w:tr>
        <w:trPr>
          <w:trHeight w:val="245"/>
        </w:trPr>
        <w:tc>
          <w:tcPr>
            <w:tcW w:w="1300" w:type="dxa"/>
            <w:vAlign w:val="bottom"/>
          </w:tcPr>
          <w:p>
            <w:pPr>
              <w:ind w:left="80"/>
              <w:spacing w:after="0"/>
              <w:rPr>
                <w:sz w:val="20"/>
                <w:szCs w:val="20"/>
                <w:color w:val="auto"/>
              </w:rPr>
            </w:pPr>
            <w:r>
              <w:rPr>
                <w:rFonts w:ascii="Arial" w:cs="Arial" w:eastAsia="Arial" w:hAnsi="Arial"/>
                <w:sz w:val="16"/>
                <w:szCs w:val="16"/>
                <w:color w:val="auto"/>
              </w:rPr>
              <w:t>Thomas A.</w:t>
            </w: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5"/>
        </w:trPr>
        <w:tc>
          <w:tcPr>
            <w:tcW w:w="1300" w:type="dxa"/>
            <w:vAlign w:val="bottom"/>
          </w:tcPr>
          <w:p>
            <w:pPr>
              <w:ind w:left="80"/>
              <w:spacing w:after="0"/>
              <w:rPr>
                <w:sz w:val="20"/>
                <w:szCs w:val="20"/>
                <w:color w:val="auto"/>
              </w:rPr>
            </w:pPr>
            <w:r>
              <w:rPr>
                <w:rFonts w:ascii="Arial" w:cs="Arial" w:eastAsia="Arial" w:hAnsi="Arial"/>
                <w:sz w:val="16"/>
                <w:szCs w:val="16"/>
                <w:color w:val="auto"/>
              </w:rPr>
              <w:t>DiDonato</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18,622</w:t>
            </w:r>
          </w:p>
        </w:tc>
        <w:tc>
          <w:tcPr>
            <w:tcW w:w="540" w:type="dxa"/>
            <w:vAlign w:val="bottom"/>
          </w:tcPr>
          <w:p>
            <w:pPr>
              <w:ind w:left="4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16,967</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2,963</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10,800</w:t>
            </w:r>
          </w:p>
        </w:tc>
        <w:tc>
          <w:tcPr>
            <w:tcW w:w="1080" w:type="dxa"/>
            <w:vAlign w:val="bottom"/>
          </w:tcPr>
          <w:p>
            <w:pPr>
              <w:jc w:val="right"/>
              <w:ind w:right="164"/>
              <w:spacing w:after="0"/>
              <w:rPr>
                <w:sz w:val="20"/>
                <w:szCs w:val="20"/>
                <w:color w:val="auto"/>
              </w:rPr>
            </w:pPr>
            <w:r>
              <w:rPr>
                <w:rFonts w:ascii="Arial" w:cs="Arial" w:eastAsia="Arial" w:hAnsi="Arial"/>
                <w:sz w:val="16"/>
                <w:szCs w:val="16"/>
                <w:color w:val="auto"/>
              </w:rPr>
              <w:t>$ 4,465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21"/>
              <w:spacing w:after="0"/>
              <w:rPr>
                <w:sz w:val="20"/>
                <w:szCs w:val="20"/>
                <w:color w:val="auto"/>
              </w:rPr>
            </w:pPr>
            <w:r>
              <w:rPr>
                <w:rFonts w:ascii="Arial" w:cs="Arial" w:eastAsia="Arial" w:hAnsi="Arial"/>
                <w:sz w:val="16"/>
                <w:szCs w:val="16"/>
                <w:color w:val="auto"/>
              </w:rPr>
              <w:t>53,817</w:t>
            </w:r>
          </w:p>
        </w:tc>
      </w:tr>
      <w:tr>
        <w:trPr>
          <w:trHeight w:val="60"/>
        </w:trPr>
        <w:tc>
          <w:tcPr>
            <w:tcW w:w="1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90"/>
        </w:trPr>
        <w:tc>
          <w:tcPr>
            <w:tcW w:w="13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580" w:type="dxa"/>
            <w:vAlign w:val="bottom"/>
            <w:tcBorders>
              <w:bottom w:val="single" w:sz="8" w:color="FCE9E8"/>
            </w:tcBorders>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w w:val="98"/>
              </w:rPr>
              <w:t>99,844</w:t>
            </w:r>
          </w:p>
        </w:tc>
        <w:tc>
          <w:tcPr>
            <w:tcW w:w="52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FCE9E8"/>
            </w:tcBorders>
            <w:shd w:val="clear" w:color="auto" w:fill="FCE9E8"/>
          </w:tcPr>
          <w:p>
            <w:pPr>
              <w:jc w:val="right"/>
              <w:ind w:right="219"/>
              <w:spacing w:after="0"/>
              <w:rPr>
                <w:sz w:val="20"/>
                <w:szCs w:val="20"/>
                <w:color w:val="auto"/>
              </w:rPr>
            </w:pPr>
            <w:r>
              <w:rPr>
                <w:rFonts w:ascii="Arial" w:cs="Arial" w:eastAsia="Arial" w:hAnsi="Arial"/>
                <w:sz w:val="16"/>
                <w:szCs w:val="16"/>
                <w:color w:val="auto"/>
              </w:rPr>
              <w:t>2,606</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CE9E8"/>
            </w:tcBorders>
            <w:shd w:val="clear" w:color="auto" w:fill="FCE9E8"/>
          </w:tcPr>
          <w:p>
            <w:pPr>
              <w:jc w:val="right"/>
              <w:ind w:right="164"/>
              <w:spacing w:after="0"/>
              <w:rPr>
                <w:sz w:val="20"/>
                <w:szCs w:val="20"/>
                <w:color w:val="auto"/>
              </w:rPr>
            </w:pPr>
            <w:r>
              <w:rPr>
                <w:rFonts w:ascii="Arial" w:cs="Arial" w:eastAsia="Arial" w:hAnsi="Arial"/>
                <w:sz w:val="16"/>
                <w:szCs w:val="16"/>
                <w:color w:val="auto"/>
              </w:rPr>
              <w:t>$ 2,232</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FCE9E8"/>
            </w:tcBorders>
            <w:shd w:val="clear" w:color="auto" w:fill="FCE9E8"/>
          </w:tcPr>
          <w:p>
            <w:pPr>
              <w:jc w:val="right"/>
              <w:ind w:right="321"/>
              <w:spacing w:after="0"/>
              <w:rPr>
                <w:sz w:val="20"/>
                <w:szCs w:val="20"/>
                <w:color w:val="auto"/>
              </w:rPr>
            </w:pPr>
            <w:r>
              <w:rPr>
                <w:rFonts w:ascii="Arial" w:cs="Arial" w:eastAsia="Arial" w:hAnsi="Arial"/>
                <w:sz w:val="16"/>
                <w:szCs w:val="16"/>
                <w:color w:val="auto"/>
                <w:w w:val="96"/>
              </w:rPr>
              <w:t>104,682</w:t>
            </w:r>
          </w:p>
        </w:tc>
      </w:tr>
      <w:tr>
        <w:trPr>
          <w:trHeight w:val="20"/>
        </w:trPr>
        <w:tc>
          <w:tcPr>
            <w:tcW w:w="1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53</w:t>
      </w:r>
    </w:p>
    <w:p>
      <w:pPr>
        <w:sectPr>
          <w:pgSz w:w="11900" w:h="16838" w:orient="portrait"/>
          <w:cols w:equalWidth="0" w:num="1">
            <w:col w:w="10860"/>
          </w:cols>
          <w:pgMar w:left="320" w:top="459" w:right="7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96" w:lineRule="exact"/>
        <w:rPr>
          <w:sz w:val="20"/>
          <w:szCs w:val="20"/>
          <w:color w:val="auto"/>
        </w:rPr>
      </w:pPr>
    </w:p>
    <w:p>
      <w:pPr>
        <w:ind w:left="960" w:right="20" w:hanging="291"/>
        <w:spacing w:after="0" w:line="230" w:lineRule="auto"/>
        <w:tabs>
          <w:tab w:leader="none" w:pos="960" w:val="left"/>
        </w:tabs>
        <w:numPr>
          <w:ilvl w:val="0"/>
          <w:numId w:val="109"/>
        </w:numPr>
        <w:rPr>
          <w:rFonts w:ascii="Arial" w:cs="Arial" w:eastAsia="Arial" w:hAnsi="Arial"/>
          <w:sz w:val="24"/>
          <w:szCs w:val="24"/>
          <w:color w:val="auto"/>
          <w:vertAlign w:val="superscript"/>
        </w:rPr>
      </w:pPr>
      <w:r>
        <w:rPr>
          <w:rFonts w:ascii="Arial" w:cs="Arial" w:eastAsia="Arial" w:hAnsi="Arial"/>
          <w:sz w:val="14"/>
          <w:szCs w:val="14"/>
          <w:color w:val="auto"/>
        </w:rPr>
        <w:t>The total amounts and values in columns (i) and (j) represent the total number of (a) Performance Shares, at the maximum level for the 2020-2022 performance period and at the threshold level for the 2019-2021 performance period, and (b) Performance-Based Career Shares awarded in 2020, which remain subject to the achievement of the applicable performance goals, held by each Named Executive Officer multiplied by the market price of Company common stock at the close of the last trading day in 2020, which was $159.03 per share. These amounts exclude the Performance Shares for the 2018-2020 performance period that vested based on performance through December 31, 2020 and are reported in the “2020 Option Exercises and Stock Vested” table. In calculating the number of Performance Shares and their value, we are required by SEC rules to compare our performance through 2020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Based on performance through the end of the first year of the 2020-2022 performance period and the second year of the 2019-2021 performance period, we have reported the following Performance Shares at the maximum award level and at the threshold level, respectively, for each of these two performance periods. The maximum number of Performance-Based Career Shares that may be earned are reported in the table below. Amounts also include the following accrued dividend equivalents (for the Performance Shares, at the maximum level or threshold level, as applicable, and for the Performance-Based Career Shares, at the maximum level, which are not paid unless the performance goals are met with respect to the underlying Performance Shares or Performance-Based Career Shares):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2020</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380" w:type="dxa"/>
            <w:vAlign w:val="bottom"/>
          </w:tcPr>
          <w:p>
            <w:pPr>
              <w:spacing w:after="0"/>
              <w:rPr>
                <w:sz w:val="14"/>
                <w:szCs w:val="14"/>
                <w:color w:val="auto"/>
              </w:rPr>
            </w:pPr>
          </w:p>
        </w:tc>
        <w:tc>
          <w:tcPr>
            <w:tcW w:w="1020" w:type="dxa"/>
            <w:vAlign w:val="bottom"/>
          </w:tcPr>
          <w:p>
            <w:pPr>
              <w:jc w:val="right"/>
              <w:ind w:right="542"/>
              <w:spacing w:after="0"/>
              <w:rPr>
                <w:sz w:val="20"/>
                <w:szCs w:val="20"/>
                <w:color w:val="auto"/>
              </w:rPr>
            </w:pPr>
            <w:r>
              <w:rPr>
                <w:rFonts w:ascii="Arial" w:cs="Arial" w:eastAsia="Arial" w:hAnsi="Arial"/>
                <w:sz w:val="14"/>
                <w:szCs w:val="14"/>
                <w:b w:val="1"/>
                <w:bCs w:val="1"/>
                <w:color w:val="E2231A"/>
              </w:rPr>
              <w:t>2019</w:t>
            </w:r>
          </w:p>
        </w:tc>
        <w:tc>
          <w:tcPr>
            <w:tcW w:w="1400" w:type="dxa"/>
            <w:vAlign w:val="bottom"/>
          </w:tcPr>
          <w:p>
            <w:pPr>
              <w:jc w:val="center"/>
              <w:ind w:left="84"/>
              <w:spacing w:after="0"/>
              <w:rPr>
                <w:sz w:val="20"/>
                <w:szCs w:val="20"/>
                <w:color w:val="auto"/>
              </w:rPr>
            </w:pPr>
            <w:r>
              <w:rPr>
                <w:rFonts w:ascii="Arial" w:cs="Arial" w:eastAsia="Arial" w:hAnsi="Arial"/>
                <w:sz w:val="14"/>
                <w:szCs w:val="14"/>
                <w:b w:val="1"/>
                <w:bCs w:val="1"/>
                <w:color w:val="E2231A"/>
              </w:rPr>
              <w:t>2020</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Based Career</w:t>
            </w:r>
          </w:p>
        </w:tc>
        <w:tc>
          <w:tcPr>
            <w:tcW w:w="140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E2231A"/>
              </w:rPr>
              <w:t>Performance</w:t>
            </w:r>
          </w:p>
        </w:tc>
        <w:tc>
          <w:tcPr>
            <w:tcW w:w="1400" w:type="dxa"/>
            <w:vAlign w:val="bottom"/>
          </w:tcPr>
          <w:p>
            <w:pPr>
              <w:jc w:val="center"/>
              <w:ind w:left="84"/>
              <w:spacing w:after="0"/>
              <w:rPr>
                <w:sz w:val="20"/>
                <w:szCs w:val="20"/>
                <w:color w:val="auto"/>
              </w:rPr>
            </w:pPr>
            <w:r>
              <w:rPr>
                <w:rFonts w:ascii="Arial" w:cs="Arial" w:eastAsia="Arial" w:hAnsi="Arial"/>
                <w:sz w:val="14"/>
                <w:szCs w:val="14"/>
                <w:b w:val="1"/>
                <w:bCs w:val="1"/>
                <w:color w:val="E2231A"/>
              </w:rPr>
              <w:t>Performance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2020</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340" w:type="dxa"/>
            <w:vAlign w:val="bottom"/>
          </w:tcPr>
          <w:p>
            <w:pPr>
              <w:jc w:val="center"/>
              <w:ind w:left="64"/>
              <w:spacing w:after="0"/>
              <w:rPr>
                <w:sz w:val="20"/>
                <w:szCs w:val="20"/>
                <w:color w:val="auto"/>
              </w:rPr>
            </w:pPr>
            <w:r>
              <w:rPr>
                <w:rFonts w:ascii="Arial" w:cs="Arial" w:eastAsia="Arial" w:hAnsi="Arial"/>
                <w:sz w:val="14"/>
                <w:szCs w:val="14"/>
                <w:b w:val="1"/>
                <w:bCs w:val="1"/>
                <w:color w:val="E2231A"/>
              </w:rPr>
              <w:t>Number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380" w:type="dxa"/>
            <w:vAlign w:val="bottom"/>
          </w:tcPr>
          <w:p>
            <w:pPr>
              <w:spacing w:after="0"/>
              <w:rPr>
                <w:sz w:val="14"/>
                <w:szCs w:val="14"/>
                <w:color w:val="auto"/>
              </w:rPr>
            </w:pPr>
          </w:p>
        </w:tc>
        <w:tc>
          <w:tcPr>
            <w:tcW w:w="1020" w:type="dxa"/>
            <w:vAlign w:val="bottom"/>
          </w:tcPr>
          <w:p>
            <w:pPr>
              <w:jc w:val="center"/>
              <w:ind w:right="462"/>
              <w:spacing w:after="0"/>
              <w:rPr>
                <w:sz w:val="20"/>
                <w:szCs w:val="20"/>
                <w:color w:val="auto"/>
              </w:rPr>
            </w:pPr>
            <w:r>
              <w:rPr>
                <w:rFonts w:ascii="Arial" w:cs="Arial" w:eastAsia="Arial" w:hAnsi="Arial"/>
                <w:sz w:val="14"/>
                <w:szCs w:val="14"/>
                <w:b w:val="1"/>
                <w:bCs w:val="1"/>
                <w:color w:val="E2231A"/>
              </w:rPr>
              <w:t>Share</w:t>
            </w:r>
          </w:p>
        </w:tc>
        <w:tc>
          <w:tcPr>
            <w:tcW w:w="1400" w:type="dxa"/>
            <w:vAlign w:val="bottom"/>
          </w:tcPr>
          <w:p>
            <w:pPr>
              <w:jc w:val="center"/>
              <w:ind w:left="84"/>
              <w:spacing w:after="0"/>
              <w:rPr>
                <w:sz w:val="20"/>
                <w:szCs w:val="20"/>
                <w:color w:val="auto"/>
              </w:rPr>
            </w:pPr>
            <w:r>
              <w:rPr>
                <w:rFonts w:ascii="Arial" w:cs="Arial" w:eastAsia="Arial" w:hAnsi="Arial"/>
                <w:sz w:val="14"/>
                <w:szCs w:val="14"/>
                <w:b w:val="1"/>
                <w:bCs w:val="1"/>
                <w:color w:val="E2231A"/>
              </w:rPr>
              <w:t>Share</w:t>
            </w:r>
          </w:p>
        </w:tc>
        <w:tc>
          <w:tcPr>
            <w:tcW w:w="1300" w:type="dxa"/>
            <w:vAlign w:val="bottom"/>
          </w:tcPr>
          <w:p>
            <w:pPr>
              <w:jc w:val="right"/>
              <w:ind w:right="124"/>
              <w:spacing w:after="0"/>
              <w:rPr>
                <w:sz w:val="20"/>
                <w:szCs w:val="20"/>
                <w:color w:val="auto"/>
              </w:rPr>
            </w:pPr>
            <w:r>
              <w:rPr>
                <w:rFonts w:ascii="Arial" w:cs="Arial" w:eastAsia="Arial" w:hAnsi="Arial"/>
                <w:sz w:val="14"/>
                <w:szCs w:val="14"/>
                <w:b w:val="1"/>
                <w:bCs w:val="1"/>
                <w:color w:val="E2231A"/>
              </w:rPr>
              <w:t>Performance-</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2019</w:t>
            </w:r>
          </w:p>
        </w:tc>
        <w:tc>
          <w:tcPr>
            <w:tcW w:w="1340" w:type="dxa"/>
            <w:vAlign w:val="bottom"/>
          </w:tcPr>
          <w:p>
            <w:pPr>
              <w:jc w:val="center"/>
              <w:ind w:left="64"/>
              <w:spacing w:after="0"/>
              <w:rPr>
                <w:sz w:val="20"/>
                <w:szCs w:val="20"/>
                <w:color w:val="auto"/>
              </w:rPr>
            </w:pPr>
            <w:r>
              <w:rPr>
                <w:rFonts w:ascii="Arial" w:cs="Arial" w:eastAsia="Arial" w:hAnsi="Arial"/>
                <w:sz w:val="14"/>
                <w:szCs w:val="14"/>
                <w:b w:val="1"/>
                <w:bCs w:val="1"/>
                <w:color w:val="E2231A"/>
              </w:rPr>
              <w:t>2020</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40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E2231A"/>
              </w:rPr>
              <w:t>Dividend</w:t>
            </w:r>
          </w:p>
        </w:tc>
        <w:tc>
          <w:tcPr>
            <w:tcW w:w="1400" w:type="dxa"/>
            <w:vAlign w:val="bottom"/>
          </w:tcPr>
          <w:p>
            <w:pPr>
              <w:jc w:val="center"/>
              <w:ind w:left="104"/>
              <w:spacing w:after="0"/>
              <w:rPr>
                <w:sz w:val="20"/>
                <w:szCs w:val="20"/>
                <w:color w:val="auto"/>
              </w:rPr>
            </w:pPr>
            <w:r>
              <w:rPr>
                <w:rFonts w:ascii="Arial" w:cs="Arial" w:eastAsia="Arial" w:hAnsi="Arial"/>
                <w:sz w:val="14"/>
                <w:szCs w:val="14"/>
                <w:b w:val="1"/>
                <w:bCs w:val="1"/>
                <w:color w:val="E2231A"/>
              </w:rPr>
              <w:t>Dividend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Based</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1340" w:type="dxa"/>
            <w:vAlign w:val="bottom"/>
          </w:tcPr>
          <w:p>
            <w:pPr>
              <w:jc w:val="center"/>
              <w:ind w:left="64"/>
              <w:spacing w:after="0"/>
              <w:rPr>
                <w:sz w:val="20"/>
                <w:szCs w:val="20"/>
                <w:color w:val="auto"/>
              </w:rPr>
            </w:pPr>
            <w:r>
              <w:rPr>
                <w:rFonts w:ascii="Arial" w:cs="Arial" w:eastAsia="Arial" w:hAnsi="Arial"/>
                <w:sz w:val="14"/>
                <w:szCs w:val="14"/>
                <w:b w:val="1"/>
                <w:bCs w:val="1"/>
                <w:color w:val="E2231A"/>
              </w:rPr>
              <w:t>Performance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November 14,</w:t>
            </w:r>
          </w:p>
        </w:tc>
        <w:tc>
          <w:tcPr>
            <w:tcW w:w="140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E2231A"/>
              </w:rPr>
              <w:t>Equivalents</w:t>
            </w:r>
          </w:p>
        </w:tc>
        <w:tc>
          <w:tcPr>
            <w:tcW w:w="1400" w:type="dxa"/>
            <w:vAlign w:val="bottom"/>
          </w:tcPr>
          <w:p>
            <w:pPr>
              <w:jc w:val="center"/>
              <w:ind w:left="104"/>
              <w:spacing w:after="0"/>
              <w:rPr>
                <w:sz w:val="20"/>
                <w:szCs w:val="20"/>
                <w:color w:val="auto"/>
              </w:rPr>
            </w:pPr>
            <w:r>
              <w:rPr>
                <w:rFonts w:ascii="Arial" w:cs="Arial" w:eastAsia="Arial" w:hAnsi="Arial"/>
                <w:sz w:val="14"/>
                <w:szCs w:val="14"/>
                <w:b w:val="1"/>
                <w:bCs w:val="1"/>
                <w:color w:val="E2231A"/>
              </w:rPr>
              <w:t>Equivalents</w:t>
            </w:r>
          </w:p>
        </w:tc>
        <w:tc>
          <w:tcPr>
            <w:tcW w:w="1300" w:type="dxa"/>
            <w:vAlign w:val="bottom"/>
          </w:tcPr>
          <w:p>
            <w:pPr>
              <w:jc w:val="right"/>
              <w:ind w:right="144"/>
              <w:spacing w:after="0"/>
              <w:rPr>
                <w:sz w:val="20"/>
                <w:szCs w:val="20"/>
                <w:color w:val="auto"/>
              </w:rPr>
            </w:pPr>
            <w:r>
              <w:rPr>
                <w:rFonts w:ascii="Arial" w:cs="Arial" w:eastAsia="Arial" w:hAnsi="Arial"/>
                <w:sz w:val="14"/>
                <w:szCs w:val="14"/>
                <w:b w:val="1"/>
                <w:bCs w:val="1"/>
                <w:color w:val="E2231A"/>
              </w:rPr>
              <w:t>Career Share</w:t>
            </w:r>
          </w:p>
        </w:tc>
        <w:tc>
          <w:tcPr>
            <w:tcW w:w="340" w:type="dxa"/>
            <w:vAlign w:val="bottom"/>
          </w:tcPr>
          <w:p>
            <w:pPr>
              <w:spacing w:after="0"/>
              <w:rPr>
                <w:sz w:val="14"/>
                <w:szCs w:val="14"/>
                <w:color w:val="auto"/>
              </w:rPr>
            </w:pPr>
          </w:p>
        </w:tc>
        <w:tc>
          <w:tcPr>
            <w:tcW w:w="560" w:type="dxa"/>
            <w:vAlign w:val="bottom"/>
          </w:tcPr>
          <w:p>
            <w:pPr>
              <w:jc w:val="right"/>
              <w:ind w:right="61"/>
              <w:spacing w:after="0"/>
              <w:rPr>
                <w:sz w:val="20"/>
                <w:szCs w:val="20"/>
                <w:color w:val="auto"/>
              </w:rPr>
            </w:pPr>
            <w:r>
              <w:rPr>
                <w:rFonts w:ascii="Arial" w:cs="Arial" w:eastAsia="Arial" w:hAnsi="Arial"/>
                <w:sz w:val="14"/>
                <w:szCs w:val="14"/>
                <w:b w:val="1"/>
                <w:bCs w:val="1"/>
                <w:color w:val="E2231A"/>
              </w:rPr>
              <w:t>Total</w:t>
            </w:r>
          </w:p>
        </w:tc>
      </w:tr>
      <w:tr>
        <w:trPr>
          <w:trHeight w:val="162"/>
        </w:trPr>
        <w:tc>
          <w:tcPr>
            <w:tcW w:w="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340" w:type="dxa"/>
            <w:vAlign w:val="bottom"/>
          </w:tcPr>
          <w:p>
            <w:pPr>
              <w:ind w:left="500"/>
              <w:spacing w:after="0"/>
              <w:rPr>
                <w:sz w:val="20"/>
                <w:szCs w:val="20"/>
                <w:color w:val="auto"/>
              </w:rPr>
            </w:pPr>
            <w:r>
              <w:rPr>
                <w:rFonts w:ascii="Arial" w:cs="Arial" w:eastAsia="Arial" w:hAnsi="Arial"/>
                <w:sz w:val="14"/>
                <w:szCs w:val="14"/>
                <w:b w:val="1"/>
                <w:bCs w:val="1"/>
                <w:color w:val="E2231A"/>
              </w:rPr>
              <w:t>Shares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2023</w:t>
            </w:r>
          </w:p>
        </w:tc>
        <w:tc>
          <w:tcPr>
            <w:tcW w:w="140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E2231A"/>
              </w:rPr>
              <w:t>(2019-2021</w:t>
            </w:r>
          </w:p>
        </w:tc>
        <w:tc>
          <w:tcPr>
            <w:tcW w:w="1400" w:type="dxa"/>
            <w:vAlign w:val="bottom"/>
          </w:tcPr>
          <w:p>
            <w:pPr>
              <w:jc w:val="center"/>
              <w:ind w:left="104"/>
              <w:spacing w:after="0"/>
              <w:rPr>
                <w:sz w:val="20"/>
                <w:szCs w:val="20"/>
                <w:color w:val="auto"/>
              </w:rPr>
            </w:pPr>
            <w:r>
              <w:rPr>
                <w:rFonts w:ascii="Arial" w:cs="Arial" w:eastAsia="Arial" w:hAnsi="Arial"/>
                <w:sz w:val="14"/>
                <w:szCs w:val="14"/>
                <w:b w:val="1"/>
                <w:bCs w:val="1"/>
                <w:color w:val="E2231A"/>
              </w:rPr>
              <w:t>(2020-2022</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E2231A"/>
              </w:rPr>
              <w:t>Dividend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E2231A"/>
              </w:rPr>
              <w:t>Dividend</w:t>
            </w:r>
          </w:p>
        </w:tc>
      </w:tr>
      <w:tr>
        <w:trPr>
          <w:trHeight w:val="189"/>
        </w:trPr>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(Threshold)</w:t>
            </w:r>
          </w:p>
        </w:tc>
        <w:tc>
          <w:tcPr>
            <w:tcW w:w="134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b w:val="1"/>
                <w:bCs w:val="1"/>
                <w:color w:val="E2231A"/>
              </w:rPr>
              <w:t>(Maximum)</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(Maximum)</w:t>
            </w:r>
          </w:p>
        </w:tc>
        <w:tc>
          <w:tcPr>
            <w:tcW w:w="140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E2231A"/>
              </w:rPr>
              <w:t>Awards)</w:t>
            </w:r>
          </w:p>
        </w:tc>
        <w:tc>
          <w:tcPr>
            <w:tcW w:w="140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E2231A"/>
              </w:rPr>
              <w:t>Awards)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Equivalents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E2231A"/>
              </w:rPr>
              <w:t>Equivalent</w:t>
            </w:r>
          </w:p>
        </w:tc>
      </w:tr>
      <w:tr>
        <w:trPr>
          <w:trHeight w:val="22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w w:val="99"/>
              </w:rPr>
              <w:t>Raymond</w:t>
            </w:r>
          </w:p>
        </w:tc>
        <w:tc>
          <w:tcPr>
            <w:tcW w:w="1500" w:type="dxa"/>
            <w:vAlign w:val="bottom"/>
            <w:shd w:val="clear" w:color="auto" w:fill="FCE9E8"/>
          </w:tcPr>
          <w:p>
            <w:pPr>
              <w:spacing w:after="0"/>
              <w:rPr>
                <w:sz w:val="19"/>
                <w:szCs w:val="19"/>
                <w:color w:val="auto"/>
              </w:rPr>
            </w:pPr>
          </w:p>
        </w:tc>
        <w:tc>
          <w:tcPr>
            <w:tcW w:w="1340" w:type="dxa"/>
            <w:vAlign w:val="bottom"/>
            <w:shd w:val="clear" w:color="auto" w:fill="FCE9E8"/>
          </w:tcPr>
          <w:p>
            <w:pPr>
              <w:spacing w:after="0"/>
              <w:rPr>
                <w:sz w:val="19"/>
                <w:szCs w:val="19"/>
                <w:color w:val="auto"/>
              </w:rPr>
            </w:pPr>
          </w:p>
        </w:tc>
        <w:tc>
          <w:tcPr>
            <w:tcW w:w="1300" w:type="dxa"/>
            <w:vAlign w:val="bottom"/>
            <w:shd w:val="clear" w:color="auto" w:fill="FCE9E8"/>
          </w:tcPr>
          <w:p>
            <w:pPr>
              <w:spacing w:after="0"/>
              <w:rPr>
                <w:sz w:val="19"/>
                <w:szCs w:val="19"/>
                <w:color w:val="auto"/>
              </w:rPr>
            </w:pPr>
          </w:p>
        </w:tc>
        <w:tc>
          <w:tcPr>
            <w:tcW w:w="380" w:type="dxa"/>
            <w:vAlign w:val="bottom"/>
            <w:shd w:val="clear" w:color="auto" w:fill="FCE9E8"/>
          </w:tcPr>
          <w:p>
            <w:pPr>
              <w:spacing w:after="0"/>
              <w:rPr>
                <w:sz w:val="19"/>
                <w:szCs w:val="19"/>
                <w:color w:val="auto"/>
              </w:rPr>
            </w:pPr>
          </w:p>
        </w:tc>
        <w:tc>
          <w:tcPr>
            <w:tcW w:w="1020" w:type="dxa"/>
            <w:vAlign w:val="bottom"/>
            <w:shd w:val="clear" w:color="auto" w:fill="FCE9E8"/>
          </w:tcPr>
          <w:p>
            <w:pPr>
              <w:spacing w:after="0"/>
              <w:rPr>
                <w:sz w:val="19"/>
                <w:szCs w:val="19"/>
                <w:color w:val="auto"/>
              </w:rPr>
            </w:pPr>
          </w:p>
        </w:tc>
        <w:tc>
          <w:tcPr>
            <w:tcW w:w="1400" w:type="dxa"/>
            <w:vAlign w:val="bottom"/>
            <w:shd w:val="clear" w:color="auto" w:fill="FCE9E8"/>
          </w:tcPr>
          <w:p>
            <w:pPr>
              <w:spacing w:after="0"/>
              <w:rPr>
                <w:sz w:val="19"/>
                <w:szCs w:val="19"/>
                <w:color w:val="auto"/>
              </w:rPr>
            </w:pPr>
          </w:p>
        </w:tc>
        <w:tc>
          <w:tcPr>
            <w:tcW w:w="1300" w:type="dxa"/>
            <w:vAlign w:val="bottom"/>
            <w:shd w:val="clear" w:color="auto" w:fill="FCE9E8"/>
          </w:tcPr>
          <w:p>
            <w:pPr>
              <w:spacing w:after="0"/>
              <w:rPr>
                <w:sz w:val="19"/>
                <w:szCs w:val="19"/>
                <w:color w:val="auto"/>
              </w:rPr>
            </w:pPr>
          </w:p>
        </w:tc>
        <w:tc>
          <w:tcPr>
            <w:tcW w:w="340" w:type="dxa"/>
            <w:vAlign w:val="bottom"/>
            <w:shd w:val="clear" w:color="auto" w:fill="FCE9E8"/>
          </w:tcPr>
          <w:p>
            <w:pPr>
              <w:spacing w:after="0"/>
              <w:rPr>
                <w:sz w:val="19"/>
                <w:szCs w:val="19"/>
                <w:color w:val="auto"/>
              </w:rPr>
            </w:pPr>
          </w:p>
        </w:tc>
        <w:tc>
          <w:tcPr>
            <w:tcW w:w="560" w:type="dxa"/>
            <w:vAlign w:val="bottom"/>
            <w:shd w:val="clear" w:color="auto" w:fill="FCE9E8"/>
          </w:tcPr>
          <w:p>
            <w:pPr>
              <w:spacing w:after="0"/>
              <w:rPr>
                <w:sz w:val="19"/>
                <w:szCs w:val="19"/>
                <w:color w:val="auto"/>
              </w:rPr>
            </w:pPr>
          </w:p>
        </w:tc>
      </w:tr>
      <w:tr>
        <w:trPr>
          <w:trHeight w:val="235"/>
        </w:trPr>
        <w:tc>
          <w:tcPr>
            <w:tcW w:w="7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E. Scott</w:t>
            </w:r>
          </w:p>
        </w:tc>
        <w:tc>
          <w:tcPr>
            <w:tcW w:w="1500" w:type="dxa"/>
            <w:vAlign w:val="bottom"/>
            <w:tcBorders>
              <w:bottom w:val="single" w:sz="8" w:color="FCE9E8"/>
            </w:tcBorders>
            <w:shd w:val="clear" w:color="auto" w:fill="FCE9E8"/>
          </w:tcPr>
          <w:p>
            <w:pPr>
              <w:jc w:val="right"/>
              <w:ind w:right="384"/>
              <w:spacing w:after="0"/>
              <w:rPr>
                <w:sz w:val="20"/>
                <w:szCs w:val="20"/>
                <w:color w:val="auto"/>
              </w:rPr>
            </w:pPr>
            <w:r>
              <w:rPr>
                <w:rFonts w:ascii="Arial" w:cs="Arial" w:eastAsia="Arial" w:hAnsi="Arial"/>
                <w:sz w:val="16"/>
                <w:szCs w:val="16"/>
                <w:color w:val="auto"/>
              </w:rPr>
              <w:t>24,685</w:t>
            </w:r>
          </w:p>
        </w:tc>
        <w:tc>
          <w:tcPr>
            <w:tcW w:w="1340" w:type="dxa"/>
            <w:vAlign w:val="bottom"/>
            <w:tcBorders>
              <w:bottom w:val="single" w:sz="8" w:color="FCE9E8"/>
            </w:tcBorders>
            <w:shd w:val="clear" w:color="auto" w:fill="FCE9E8"/>
          </w:tcPr>
          <w:p>
            <w:pPr>
              <w:ind w:left="520"/>
              <w:spacing w:after="0"/>
              <w:rPr>
                <w:sz w:val="20"/>
                <w:szCs w:val="20"/>
                <w:color w:val="auto"/>
              </w:rPr>
            </w:pPr>
            <w:r>
              <w:rPr>
                <w:rFonts w:ascii="Arial" w:cs="Arial" w:eastAsia="Arial" w:hAnsi="Arial"/>
                <w:sz w:val="16"/>
                <w:szCs w:val="16"/>
                <w:color w:val="auto"/>
              </w:rPr>
              <w:t>71,952</w:t>
            </w:r>
          </w:p>
        </w:tc>
        <w:tc>
          <w:tcPr>
            <w:tcW w:w="1300" w:type="dxa"/>
            <w:vAlign w:val="bottom"/>
            <w:tcBorders>
              <w:bottom w:val="single" w:sz="8" w:color="FCE9E8"/>
            </w:tcBorders>
            <w:shd w:val="clear" w:color="auto" w:fill="FCE9E8"/>
          </w:tcPr>
          <w:p>
            <w:pPr>
              <w:jc w:val="right"/>
              <w:ind w:right="145"/>
              <w:spacing w:after="0"/>
              <w:rPr>
                <w:sz w:val="20"/>
                <w:szCs w:val="20"/>
                <w:color w:val="auto"/>
              </w:rPr>
            </w:pPr>
            <w:r>
              <w:rPr>
                <w:rFonts w:ascii="Arial" w:cs="Arial" w:eastAsia="Arial" w:hAnsi="Arial"/>
                <w:sz w:val="16"/>
                <w:szCs w:val="16"/>
                <w:color w:val="auto"/>
              </w:rPr>
              <w:t>21,250</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CE9E8"/>
            </w:tcBorders>
            <w:shd w:val="clear" w:color="auto" w:fill="FCE9E8"/>
          </w:tcPr>
          <w:p>
            <w:pPr>
              <w:jc w:val="right"/>
              <w:ind w:right="342"/>
              <w:spacing w:after="0"/>
              <w:rPr>
                <w:sz w:val="20"/>
                <w:szCs w:val="20"/>
                <w:color w:val="auto"/>
              </w:rPr>
            </w:pPr>
            <w:r>
              <w:rPr>
                <w:rFonts w:ascii="Arial" w:cs="Arial" w:eastAsia="Arial" w:hAnsi="Arial"/>
                <w:sz w:val="16"/>
                <w:szCs w:val="16"/>
                <w:color w:val="auto"/>
              </w:rPr>
              <w:t>104,112</w:t>
            </w:r>
          </w:p>
        </w:tc>
        <w:tc>
          <w:tcPr>
            <w:tcW w:w="1400" w:type="dxa"/>
            <w:vAlign w:val="bottom"/>
            <w:tcBorders>
              <w:bottom w:val="single" w:sz="8" w:color="FCE9E8"/>
            </w:tcBorders>
            <w:shd w:val="clear" w:color="auto" w:fill="FCE9E8"/>
          </w:tcPr>
          <w:p>
            <w:pPr>
              <w:jc w:val="center"/>
              <w:ind w:left="104"/>
              <w:spacing w:after="0"/>
              <w:rPr>
                <w:sz w:val="20"/>
                <w:szCs w:val="20"/>
                <w:color w:val="auto"/>
              </w:rPr>
            </w:pPr>
            <w:r>
              <w:rPr>
                <w:rFonts w:ascii="Arial" w:cs="Arial" w:eastAsia="Arial" w:hAnsi="Arial"/>
                <w:sz w:val="16"/>
                <w:szCs w:val="16"/>
                <w:color w:val="auto"/>
              </w:rPr>
              <w:t>$74,862</w:t>
            </w:r>
          </w:p>
        </w:tc>
        <w:tc>
          <w:tcPr>
            <w:tcW w:w="1300" w:type="dxa"/>
            <w:vAlign w:val="bottom"/>
            <w:tcBorders>
              <w:bottom w:val="single" w:sz="8" w:color="FCE9E8"/>
            </w:tcBorders>
            <w:shd w:val="clear" w:color="auto" w:fill="FCE9E8"/>
          </w:tcPr>
          <w:p>
            <w:pPr>
              <w:jc w:val="right"/>
              <w:ind w:right="124"/>
              <w:spacing w:after="0"/>
              <w:rPr>
                <w:sz w:val="20"/>
                <w:szCs w:val="20"/>
                <w:color w:val="auto"/>
              </w:rPr>
            </w:pPr>
            <w:r>
              <w:rPr>
                <w:rFonts w:ascii="Arial" w:cs="Arial" w:eastAsia="Arial" w:hAnsi="Arial"/>
                <w:sz w:val="16"/>
                <w:szCs w:val="16"/>
                <w:color w:val="auto"/>
              </w:rPr>
              <w:t>$ 5,313</w:t>
            </w:r>
          </w:p>
        </w:tc>
        <w:tc>
          <w:tcPr>
            <w:tcW w:w="3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3"/>
              </w:rPr>
              <w:t>184,287</w:t>
            </w:r>
          </w:p>
        </w:tc>
      </w:tr>
      <w:tr>
        <w:trPr>
          <w:trHeight w:val="245"/>
        </w:trPr>
        <w:tc>
          <w:tcPr>
            <w:tcW w:w="780" w:type="dxa"/>
            <w:vAlign w:val="bottom"/>
          </w:tcPr>
          <w:p>
            <w:pPr>
              <w:ind w:left="80"/>
              <w:spacing w:after="0"/>
              <w:rPr>
                <w:sz w:val="20"/>
                <w:szCs w:val="20"/>
                <w:color w:val="auto"/>
              </w:rPr>
            </w:pPr>
            <w:r>
              <w:rPr>
                <w:rFonts w:ascii="Arial" w:cs="Arial" w:eastAsia="Arial" w:hAnsi="Arial"/>
                <w:sz w:val="16"/>
                <w:szCs w:val="16"/>
                <w:color w:val="auto"/>
              </w:rPr>
              <w:t>Jason M.</w:t>
            </w:r>
          </w:p>
        </w:tc>
        <w:tc>
          <w:tcPr>
            <w:tcW w:w="1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95"/>
        </w:trPr>
        <w:tc>
          <w:tcPr>
            <w:tcW w:w="780" w:type="dxa"/>
            <w:vAlign w:val="bottom"/>
          </w:tcPr>
          <w:p>
            <w:pPr>
              <w:ind w:left="80"/>
              <w:spacing w:after="0"/>
              <w:rPr>
                <w:sz w:val="20"/>
                <w:szCs w:val="20"/>
                <w:color w:val="auto"/>
              </w:rPr>
            </w:pPr>
            <w:r>
              <w:rPr>
                <w:rFonts w:ascii="Arial" w:cs="Arial" w:eastAsia="Arial" w:hAnsi="Arial"/>
                <w:sz w:val="16"/>
                <w:szCs w:val="16"/>
                <w:color w:val="auto"/>
              </w:rPr>
              <w:t>Cardew</w:t>
            </w:r>
          </w:p>
        </w:tc>
        <w:tc>
          <w:tcPr>
            <w:tcW w:w="1500" w:type="dxa"/>
            <w:vAlign w:val="bottom"/>
          </w:tcPr>
          <w:p>
            <w:pPr>
              <w:jc w:val="right"/>
              <w:ind w:right="384"/>
              <w:spacing w:after="0"/>
              <w:rPr>
                <w:sz w:val="20"/>
                <w:szCs w:val="20"/>
                <w:color w:val="auto"/>
              </w:rPr>
            </w:pPr>
            <w:r>
              <w:rPr>
                <w:rFonts w:ascii="Arial" w:cs="Arial" w:eastAsia="Arial" w:hAnsi="Arial"/>
                <w:sz w:val="16"/>
                <w:szCs w:val="16"/>
                <w:color w:val="auto"/>
              </w:rPr>
              <w:t>3,327</w:t>
            </w:r>
          </w:p>
        </w:tc>
        <w:tc>
          <w:tcPr>
            <w:tcW w:w="1340" w:type="dxa"/>
            <w:vAlign w:val="bottom"/>
          </w:tcPr>
          <w:p>
            <w:pPr>
              <w:ind w:left="520"/>
              <w:spacing w:after="0"/>
              <w:rPr>
                <w:sz w:val="20"/>
                <w:szCs w:val="20"/>
                <w:color w:val="auto"/>
              </w:rPr>
            </w:pPr>
            <w:r>
              <w:rPr>
                <w:rFonts w:ascii="Arial" w:cs="Arial" w:eastAsia="Arial" w:hAnsi="Arial"/>
                <w:sz w:val="16"/>
                <w:szCs w:val="16"/>
                <w:color w:val="auto"/>
              </w:rPr>
              <w:t>16,188</w:t>
            </w:r>
          </w:p>
        </w:tc>
        <w:tc>
          <w:tcPr>
            <w:tcW w:w="1300" w:type="dxa"/>
            <w:vAlign w:val="bottom"/>
          </w:tcPr>
          <w:p>
            <w:pPr>
              <w:jc w:val="right"/>
              <w:ind w:right="145"/>
              <w:spacing w:after="0"/>
              <w:rPr>
                <w:sz w:val="20"/>
                <w:szCs w:val="20"/>
                <w:color w:val="auto"/>
              </w:rPr>
            </w:pPr>
            <w:r>
              <w:rPr>
                <w:rFonts w:ascii="Arial" w:cs="Arial" w:eastAsia="Arial" w:hAnsi="Arial"/>
                <w:sz w:val="16"/>
                <w:szCs w:val="16"/>
                <w:color w:val="auto"/>
              </w:rPr>
              <w:t>8,500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42"/>
              <w:spacing w:after="0"/>
              <w:rPr>
                <w:sz w:val="20"/>
                <w:szCs w:val="20"/>
                <w:color w:val="auto"/>
              </w:rPr>
            </w:pPr>
            <w:r>
              <w:rPr>
                <w:rFonts w:ascii="Arial" w:cs="Arial" w:eastAsia="Arial" w:hAnsi="Arial"/>
                <w:sz w:val="16"/>
                <w:szCs w:val="16"/>
                <w:color w:val="auto"/>
              </w:rPr>
              <w:t>14,032</w:t>
            </w:r>
          </w:p>
        </w:tc>
        <w:tc>
          <w:tcPr>
            <w:tcW w:w="1400" w:type="dxa"/>
            <w:vAlign w:val="bottom"/>
          </w:tcPr>
          <w:p>
            <w:pPr>
              <w:jc w:val="center"/>
              <w:ind w:left="104"/>
              <w:spacing w:after="0"/>
              <w:rPr>
                <w:sz w:val="20"/>
                <w:szCs w:val="20"/>
                <w:color w:val="auto"/>
              </w:rPr>
            </w:pPr>
            <w:r>
              <w:rPr>
                <w:rFonts w:ascii="Arial" w:cs="Arial" w:eastAsia="Arial" w:hAnsi="Arial"/>
                <w:sz w:val="16"/>
                <w:szCs w:val="16"/>
                <w:color w:val="auto"/>
              </w:rPr>
              <w:t>$16,843</w:t>
            </w:r>
          </w:p>
        </w:tc>
        <w:tc>
          <w:tcPr>
            <w:tcW w:w="1300" w:type="dxa"/>
            <w:vAlign w:val="bottom"/>
          </w:tcPr>
          <w:p>
            <w:pPr>
              <w:jc w:val="right"/>
              <w:ind w:right="124"/>
              <w:spacing w:after="0"/>
              <w:rPr>
                <w:sz w:val="20"/>
                <w:szCs w:val="20"/>
                <w:color w:val="auto"/>
              </w:rPr>
            </w:pPr>
            <w:r>
              <w:rPr>
                <w:rFonts w:ascii="Arial" w:cs="Arial" w:eastAsia="Arial" w:hAnsi="Arial"/>
                <w:sz w:val="16"/>
                <w:szCs w:val="16"/>
                <w:color w:val="auto"/>
              </w:rPr>
              <w:t>$ 2,125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33,000</w:t>
            </w:r>
          </w:p>
        </w:tc>
      </w:tr>
      <w:tr>
        <w:trPr>
          <w:trHeight w:val="60"/>
        </w:trPr>
        <w:tc>
          <w:tcPr>
            <w:tcW w:w="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4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w:t>
            </w:r>
          </w:p>
        </w:tc>
        <w:tc>
          <w:tcPr>
            <w:tcW w:w="1500" w:type="dxa"/>
            <w:vAlign w:val="bottom"/>
            <w:shd w:val="clear" w:color="auto" w:fill="FCE9E8"/>
          </w:tcPr>
          <w:p>
            <w:pPr>
              <w:spacing w:after="0"/>
              <w:rPr>
                <w:sz w:val="21"/>
                <w:szCs w:val="21"/>
                <w:color w:val="auto"/>
              </w:rPr>
            </w:pPr>
          </w:p>
        </w:tc>
        <w:tc>
          <w:tcPr>
            <w:tcW w:w="1340" w:type="dxa"/>
            <w:vAlign w:val="bottom"/>
            <w:shd w:val="clear" w:color="auto" w:fill="FCE9E8"/>
          </w:tcPr>
          <w:p>
            <w:pPr>
              <w:spacing w:after="0"/>
              <w:rPr>
                <w:sz w:val="21"/>
                <w:szCs w:val="21"/>
                <w:color w:val="auto"/>
              </w:rPr>
            </w:pPr>
          </w:p>
        </w:tc>
        <w:tc>
          <w:tcPr>
            <w:tcW w:w="1300" w:type="dxa"/>
            <w:vAlign w:val="bottom"/>
            <w:shd w:val="clear" w:color="auto" w:fill="FCE9E8"/>
          </w:tcPr>
          <w:p>
            <w:pPr>
              <w:spacing w:after="0"/>
              <w:rPr>
                <w:sz w:val="21"/>
                <w:szCs w:val="21"/>
                <w:color w:val="auto"/>
              </w:rPr>
            </w:pPr>
          </w:p>
        </w:tc>
        <w:tc>
          <w:tcPr>
            <w:tcW w:w="380" w:type="dxa"/>
            <w:vAlign w:val="bottom"/>
            <w:shd w:val="clear" w:color="auto" w:fill="FCE9E8"/>
          </w:tcPr>
          <w:p>
            <w:pPr>
              <w:spacing w:after="0"/>
              <w:rPr>
                <w:sz w:val="21"/>
                <w:szCs w:val="21"/>
                <w:color w:val="auto"/>
              </w:rPr>
            </w:pPr>
          </w:p>
        </w:tc>
        <w:tc>
          <w:tcPr>
            <w:tcW w:w="1020" w:type="dxa"/>
            <w:vAlign w:val="bottom"/>
            <w:shd w:val="clear" w:color="auto" w:fill="FCE9E8"/>
          </w:tcPr>
          <w:p>
            <w:pPr>
              <w:spacing w:after="0"/>
              <w:rPr>
                <w:sz w:val="21"/>
                <w:szCs w:val="21"/>
                <w:color w:val="auto"/>
              </w:rPr>
            </w:pPr>
          </w:p>
        </w:tc>
        <w:tc>
          <w:tcPr>
            <w:tcW w:w="1400" w:type="dxa"/>
            <w:vAlign w:val="bottom"/>
            <w:shd w:val="clear" w:color="auto" w:fill="FCE9E8"/>
          </w:tcPr>
          <w:p>
            <w:pPr>
              <w:spacing w:after="0"/>
              <w:rPr>
                <w:sz w:val="21"/>
                <w:szCs w:val="21"/>
                <w:color w:val="auto"/>
              </w:rPr>
            </w:pPr>
          </w:p>
        </w:tc>
        <w:tc>
          <w:tcPr>
            <w:tcW w:w="1300" w:type="dxa"/>
            <w:vAlign w:val="bottom"/>
            <w:shd w:val="clear" w:color="auto" w:fill="FCE9E8"/>
          </w:tcPr>
          <w:p>
            <w:pPr>
              <w:spacing w:after="0"/>
              <w:rPr>
                <w:sz w:val="21"/>
                <w:szCs w:val="21"/>
                <w:color w:val="auto"/>
              </w:rPr>
            </w:pPr>
          </w:p>
        </w:tc>
        <w:tc>
          <w:tcPr>
            <w:tcW w:w="340" w:type="dxa"/>
            <w:vAlign w:val="bottom"/>
            <w:shd w:val="clear" w:color="auto" w:fill="FCE9E8"/>
          </w:tcPr>
          <w:p>
            <w:pPr>
              <w:spacing w:after="0"/>
              <w:rPr>
                <w:sz w:val="21"/>
                <w:szCs w:val="21"/>
                <w:color w:val="auto"/>
              </w:rPr>
            </w:pPr>
          </w:p>
        </w:tc>
        <w:tc>
          <w:tcPr>
            <w:tcW w:w="560" w:type="dxa"/>
            <w:vAlign w:val="bottom"/>
            <w:shd w:val="clear" w:color="auto" w:fill="FCE9E8"/>
          </w:tcPr>
          <w:p>
            <w:pPr>
              <w:spacing w:after="0"/>
              <w:rPr>
                <w:sz w:val="21"/>
                <w:szCs w:val="21"/>
                <w:color w:val="auto"/>
              </w:rPr>
            </w:pPr>
          </w:p>
        </w:tc>
      </w:tr>
      <w:tr>
        <w:trPr>
          <w:trHeight w:val="235"/>
        </w:trPr>
        <w:tc>
          <w:tcPr>
            <w:tcW w:w="7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Orsini</w:t>
            </w:r>
          </w:p>
        </w:tc>
        <w:tc>
          <w:tcPr>
            <w:tcW w:w="1500" w:type="dxa"/>
            <w:vAlign w:val="bottom"/>
            <w:tcBorders>
              <w:bottom w:val="single" w:sz="8" w:color="FCE9E8"/>
            </w:tcBorders>
            <w:shd w:val="clear" w:color="auto" w:fill="FCE9E8"/>
          </w:tcPr>
          <w:p>
            <w:pPr>
              <w:jc w:val="right"/>
              <w:ind w:right="384"/>
              <w:spacing w:after="0"/>
              <w:rPr>
                <w:sz w:val="20"/>
                <w:szCs w:val="20"/>
                <w:color w:val="auto"/>
              </w:rPr>
            </w:pPr>
            <w:r>
              <w:rPr>
                <w:rFonts w:ascii="Arial" w:cs="Arial" w:eastAsia="Arial" w:hAnsi="Arial"/>
                <w:sz w:val="16"/>
                <w:szCs w:val="16"/>
                <w:color w:val="auto"/>
              </w:rPr>
              <w:t>7,260</w:t>
            </w:r>
          </w:p>
        </w:tc>
        <w:tc>
          <w:tcPr>
            <w:tcW w:w="1340" w:type="dxa"/>
            <w:vAlign w:val="bottom"/>
            <w:tcBorders>
              <w:bottom w:val="single" w:sz="8" w:color="FCE9E8"/>
            </w:tcBorders>
            <w:shd w:val="clear" w:color="auto" w:fill="FCE9E8"/>
          </w:tcPr>
          <w:p>
            <w:pPr>
              <w:ind w:left="520"/>
              <w:spacing w:after="0"/>
              <w:rPr>
                <w:sz w:val="20"/>
                <w:szCs w:val="20"/>
                <w:color w:val="auto"/>
              </w:rPr>
            </w:pPr>
            <w:r>
              <w:rPr>
                <w:rFonts w:ascii="Arial" w:cs="Arial" w:eastAsia="Arial" w:hAnsi="Arial"/>
                <w:sz w:val="16"/>
                <w:szCs w:val="16"/>
                <w:color w:val="auto"/>
              </w:rPr>
              <w:t>20,558</w:t>
            </w:r>
          </w:p>
        </w:tc>
        <w:tc>
          <w:tcPr>
            <w:tcW w:w="1300" w:type="dxa"/>
            <w:vAlign w:val="bottom"/>
            <w:tcBorders>
              <w:bottom w:val="single" w:sz="8" w:color="FCE9E8"/>
            </w:tcBorders>
            <w:shd w:val="clear" w:color="auto" w:fill="FCE9E8"/>
          </w:tcPr>
          <w:p>
            <w:pPr>
              <w:jc w:val="right"/>
              <w:ind w:right="145"/>
              <w:spacing w:after="0"/>
              <w:rPr>
                <w:sz w:val="20"/>
                <w:szCs w:val="20"/>
                <w:color w:val="auto"/>
              </w:rPr>
            </w:pPr>
            <w:r>
              <w:rPr>
                <w:rFonts w:ascii="Arial" w:cs="Arial" w:eastAsia="Arial" w:hAnsi="Arial"/>
                <w:sz w:val="16"/>
                <w:szCs w:val="16"/>
                <w:color w:val="auto"/>
              </w:rPr>
              <w:t>12,042</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CE9E8"/>
            </w:tcBorders>
            <w:shd w:val="clear" w:color="auto" w:fill="FCE9E8"/>
          </w:tcPr>
          <w:p>
            <w:pPr>
              <w:jc w:val="right"/>
              <w:ind w:right="342"/>
              <w:spacing w:after="0"/>
              <w:rPr>
                <w:sz w:val="20"/>
                <w:szCs w:val="20"/>
                <w:color w:val="auto"/>
              </w:rPr>
            </w:pPr>
            <w:r>
              <w:rPr>
                <w:rFonts w:ascii="Arial" w:cs="Arial" w:eastAsia="Arial" w:hAnsi="Arial"/>
                <w:sz w:val="16"/>
                <w:szCs w:val="16"/>
                <w:color w:val="auto"/>
              </w:rPr>
              <w:t>30,620</w:t>
            </w:r>
          </w:p>
        </w:tc>
        <w:tc>
          <w:tcPr>
            <w:tcW w:w="1400" w:type="dxa"/>
            <w:vAlign w:val="bottom"/>
            <w:tcBorders>
              <w:bottom w:val="single" w:sz="8" w:color="FCE9E8"/>
            </w:tcBorders>
            <w:shd w:val="clear" w:color="auto" w:fill="FCE9E8"/>
          </w:tcPr>
          <w:p>
            <w:pPr>
              <w:jc w:val="center"/>
              <w:ind w:left="104"/>
              <w:spacing w:after="0"/>
              <w:rPr>
                <w:sz w:val="20"/>
                <w:szCs w:val="20"/>
                <w:color w:val="auto"/>
              </w:rPr>
            </w:pPr>
            <w:r>
              <w:rPr>
                <w:rFonts w:ascii="Arial" w:cs="Arial" w:eastAsia="Arial" w:hAnsi="Arial"/>
                <w:sz w:val="16"/>
                <w:szCs w:val="16"/>
                <w:color w:val="auto"/>
              </w:rPr>
              <w:t>$21,389</w:t>
            </w:r>
          </w:p>
        </w:tc>
        <w:tc>
          <w:tcPr>
            <w:tcW w:w="1300" w:type="dxa"/>
            <w:vAlign w:val="bottom"/>
            <w:tcBorders>
              <w:bottom w:val="single" w:sz="8" w:color="FCE9E8"/>
            </w:tcBorders>
            <w:shd w:val="clear" w:color="auto" w:fill="FCE9E8"/>
          </w:tcPr>
          <w:p>
            <w:pPr>
              <w:jc w:val="right"/>
              <w:ind w:right="124"/>
              <w:spacing w:after="0"/>
              <w:rPr>
                <w:sz w:val="20"/>
                <w:szCs w:val="20"/>
                <w:color w:val="auto"/>
              </w:rPr>
            </w:pPr>
            <w:r>
              <w:rPr>
                <w:rFonts w:ascii="Arial" w:cs="Arial" w:eastAsia="Arial" w:hAnsi="Arial"/>
                <w:sz w:val="16"/>
                <w:szCs w:val="16"/>
                <w:color w:val="auto"/>
              </w:rPr>
              <w:t>$ 3,011</w:t>
            </w:r>
          </w:p>
        </w:tc>
        <w:tc>
          <w:tcPr>
            <w:tcW w:w="3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55,020</w:t>
            </w:r>
          </w:p>
        </w:tc>
      </w:tr>
      <w:tr>
        <w:trPr>
          <w:trHeight w:val="245"/>
        </w:trPr>
        <w:tc>
          <w:tcPr>
            <w:tcW w:w="780" w:type="dxa"/>
            <w:vAlign w:val="bottom"/>
          </w:tcPr>
          <w:p>
            <w:pPr>
              <w:ind w:left="80"/>
              <w:spacing w:after="0"/>
              <w:rPr>
                <w:sz w:val="20"/>
                <w:szCs w:val="20"/>
                <w:color w:val="auto"/>
              </w:rPr>
            </w:pPr>
            <w:r>
              <w:rPr>
                <w:rFonts w:ascii="Arial" w:cs="Arial" w:eastAsia="Arial" w:hAnsi="Arial"/>
                <w:sz w:val="16"/>
                <w:szCs w:val="16"/>
                <w:color w:val="auto"/>
              </w:rPr>
              <w:t>Thomas</w:t>
            </w:r>
          </w:p>
        </w:tc>
        <w:tc>
          <w:tcPr>
            <w:tcW w:w="1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89"/>
        </w:trPr>
        <w:tc>
          <w:tcPr>
            <w:tcW w:w="780" w:type="dxa"/>
            <w:vAlign w:val="bottom"/>
          </w:tcPr>
          <w:p>
            <w:pPr>
              <w:ind w:left="80"/>
              <w:spacing w:after="0"/>
              <w:rPr>
                <w:sz w:val="20"/>
                <w:szCs w:val="20"/>
                <w:color w:val="auto"/>
              </w:rPr>
            </w:pPr>
            <w:r>
              <w:rPr>
                <w:rFonts w:ascii="Arial" w:cs="Arial" w:eastAsia="Arial" w:hAnsi="Arial"/>
                <w:sz w:val="16"/>
                <w:szCs w:val="16"/>
                <w:color w:val="auto"/>
              </w:rPr>
              <w:t>A.</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5"/>
        </w:trPr>
        <w:tc>
          <w:tcPr>
            <w:tcW w:w="780" w:type="dxa"/>
            <w:vAlign w:val="bottom"/>
          </w:tcPr>
          <w:p>
            <w:pPr>
              <w:ind w:left="80"/>
              <w:spacing w:after="0"/>
              <w:rPr>
                <w:sz w:val="20"/>
                <w:szCs w:val="20"/>
                <w:color w:val="auto"/>
              </w:rPr>
            </w:pPr>
            <w:r>
              <w:rPr>
                <w:rFonts w:ascii="Arial" w:cs="Arial" w:eastAsia="Arial" w:hAnsi="Arial"/>
                <w:sz w:val="16"/>
                <w:szCs w:val="16"/>
                <w:color w:val="auto"/>
              </w:rPr>
              <w:t>DiDonato</w:t>
            </w:r>
          </w:p>
        </w:tc>
        <w:tc>
          <w:tcPr>
            <w:tcW w:w="1500" w:type="dxa"/>
            <w:vAlign w:val="bottom"/>
          </w:tcPr>
          <w:p>
            <w:pPr>
              <w:jc w:val="right"/>
              <w:ind w:right="384"/>
              <w:spacing w:after="0"/>
              <w:rPr>
                <w:sz w:val="20"/>
                <w:szCs w:val="20"/>
                <w:color w:val="auto"/>
              </w:rPr>
            </w:pPr>
            <w:r>
              <w:rPr>
                <w:rFonts w:ascii="Arial" w:cs="Arial" w:eastAsia="Arial" w:hAnsi="Arial"/>
                <w:sz w:val="16"/>
                <w:szCs w:val="16"/>
                <w:color w:val="auto"/>
              </w:rPr>
              <w:t>6,035</w:t>
            </w:r>
          </w:p>
        </w:tc>
        <w:tc>
          <w:tcPr>
            <w:tcW w:w="1340" w:type="dxa"/>
            <w:vAlign w:val="bottom"/>
          </w:tcPr>
          <w:p>
            <w:pPr>
              <w:ind w:left="520"/>
              <w:spacing w:after="0"/>
              <w:rPr>
                <w:sz w:val="20"/>
                <w:szCs w:val="20"/>
                <w:color w:val="auto"/>
              </w:rPr>
            </w:pPr>
            <w:r>
              <w:rPr>
                <w:rFonts w:ascii="Arial" w:cs="Arial" w:eastAsia="Arial" w:hAnsi="Arial"/>
                <w:sz w:val="16"/>
                <w:szCs w:val="16"/>
                <w:color w:val="auto"/>
              </w:rPr>
              <w:t>17,088</w:t>
            </w:r>
          </w:p>
        </w:tc>
        <w:tc>
          <w:tcPr>
            <w:tcW w:w="1300" w:type="dxa"/>
            <w:vAlign w:val="bottom"/>
          </w:tcPr>
          <w:p>
            <w:pPr>
              <w:jc w:val="right"/>
              <w:ind w:right="145"/>
              <w:spacing w:after="0"/>
              <w:rPr>
                <w:sz w:val="20"/>
                <w:szCs w:val="20"/>
                <w:color w:val="auto"/>
              </w:rPr>
            </w:pPr>
            <w:r>
              <w:rPr>
                <w:rFonts w:ascii="Arial" w:cs="Arial" w:eastAsia="Arial" w:hAnsi="Arial"/>
                <w:sz w:val="16"/>
                <w:szCs w:val="16"/>
                <w:color w:val="auto"/>
              </w:rPr>
              <w:t>7,083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42"/>
              <w:spacing w:after="0"/>
              <w:rPr>
                <w:sz w:val="20"/>
                <w:szCs w:val="20"/>
                <w:color w:val="auto"/>
              </w:rPr>
            </w:pPr>
            <w:r>
              <w:rPr>
                <w:rFonts w:ascii="Arial" w:cs="Arial" w:eastAsia="Arial" w:hAnsi="Arial"/>
                <w:sz w:val="16"/>
                <w:szCs w:val="16"/>
                <w:color w:val="auto"/>
              </w:rPr>
              <w:t>25,453</w:t>
            </w:r>
          </w:p>
        </w:tc>
        <w:tc>
          <w:tcPr>
            <w:tcW w:w="1400" w:type="dxa"/>
            <w:vAlign w:val="bottom"/>
          </w:tcPr>
          <w:p>
            <w:pPr>
              <w:jc w:val="center"/>
              <w:ind w:left="104"/>
              <w:spacing w:after="0"/>
              <w:rPr>
                <w:sz w:val="20"/>
                <w:szCs w:val="20"/>
                <w:color w:val="auto"/>
              </w:rPr>
            </w:pPr>
            <w:r>
              <w:rPr>
                <w:rFonts w:ascii="Arial" w:cs="Arial" w:eastAsia="Arial" w:hAnsi="Arial"/>
                <w:sz w:val="16"/>
                <w:szCs w:val="16"/>
                <w:color w:val="auto"/>
              </w:rPr>
              <w:t>$17,779</w:t>
            </w:r>
          </w:p>
        </w:tc>
        <w:tc>
          <w:tcPr>
            <w:tcW w:w="1300" w:type="dxa"/>
            <w:vAlign w:val="bottom"/>
          </w:tcPr>
          <w:p>
            <w:pPr>
              <w:jc w:val="right"/>
              <w:ind w:right="124"/>
              <w:spacing w:after="0"/>
              <w:rPr>
                <w:sz w:val="20"/>
                <w:szCs w:val="20"/>
                <w:color w:val="auto"/>
              </w:rPr>
            </w:pPr>
            <w:r>
              <w:rPr>
                <w:rFonts w:ascii="Arial" w:cs="Arial" w:eastAsia="Arial" w:hAnsi="Arial"/>
                <w:sz w:val="16"/>
                <w:szCs w:val="16"/>
                <w:color w:val="auto"/>
              </w:rPr>
              <w:t>$ 1,771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45,003</w:t>
            </w:r>
          </w:p>
        </w:tc>
      </w:tr>
      <w:tr>
        <w:trPr>
          <w:trHeight w:val="60"/>
        </w:trPr>
        <w:tc>
          <w:tcPr>
            <w:tcW w:w="7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4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w:t>
            </w:r>
          </w:p>
        </w:tc>
        <w:tc>
          <w:tcPr>
            <w:tcW w:w="1500" w:type="dxa"/>
            <w:vAlign w:val="bottom"/>
            <w:shd w:val="clear" w:color="auto" w:fill="FCE9E8"/>
          </w:tcPr>
          <w:p>
            <w:pPr>
              <w:spacing w:after="0"/>
              <w:rPr>
                <w:sz w:val="21"/>
                <w:szCs w:val="21"/>
                <w:color w:val="auto"/>
              </w:rPr>
            </w:pPr>
          </w:p>
        </w:tc>
        <w:tc>
          <w:tcPr>
            <w:tcW w:w="1340" w:type="dxa"/>
            <w:vAlign w:val="bottom"/>
            <w:shd w:val="clear" w:color="auto" w:fill="FCE9E8"/>
          </w:tcPr>
          <w:p>
            <w:pPr>
              <w:spacing w:after="0"/>
              <w:rPr>
                <w:sz w:val="21"/>
                <w:szCs w:val="21"/>
                <w:color w:val="auto"/>
              </w:rPr>
            </w:pPr>
          </w:p>
        </w:tc>
        <w:tc>
          <w:tcPr>
            <w:tcW w:w="1300" w:type="dxa"/>
            <w:vAlign w:val="bottom"/>
            <w:shd w:val="clear" w:color="auto" w:fill="FCE9E8"/>
          </w:tcPr>
          <w:p>
            <w:pPr>
              <w:spacing w:after="0"/>
              <w:rPr>
                <w:sz w:val="21"/>
                <w:szCs w:val="21"/>
                <w:color w:val="auto"/>
              </w:rPr>
            </w:pPr>
          </w:p>
        </w:tc>
        <w:tc>
          <w:tcPr>
            <w:tcW w:w="380" w:type="dxa"/>
            <w:vAlign w:val="bottom"/>
            <w:shd w:val="clear" w:color="auto" w:fill="FCE9E8"/>
          </w:tcPr>
          <w:p>
            <w:pPr>
              <w:spacing w:after="0"/>
              <w:rPr>
                <w:sz w:val="21"/>
                <w:szCs w:val="21"/>
                <w:color w:val="auto"/>
              </w:rPr>
            </w:pPr>
          </w:p>
        </w:tc>
        <w:tc>
          <w:tcPr>
            <w:tcW w:w="1020" w:type="dxa"/>
            <w:vAlign w:val="bottom"/>
            <w:shd w:val="clear" w:color="auto" w:fill="FCE9E8"/>
          </w:tcPr>
          <w:p>
            <w:pPr>
              <w:spacing w:after="0"/>
              <w:rPr>
                <w:sz w:val="21"/>
                <w:szCs w:val="21"/>
                <w:color w:val="auto"/>
              </w:rPr>
            </w:pPr>
          </w:p>
        </w:tc>
        <w:tc>
          <w:tcPr>
            <w:tcW w:w="1400" w:type="dxa"/>
            <w:vAlign w:val="bottom"/>
            <w:shd w:val="clear" w:color="auto" w:fill="FCE9E8"/>
          </w:tcPr>
          <w:p>
            <w:pPr>
              <w:spacing w:after="0"/>
              <w:rPr>
                <w:sz w:val="21"/>
                <w:szCs w:val="21"/>
                <w:color w:val="auto"/>
              </w:rPr>
            </w:pPr>
          </w:p>
        </w:tc>
        <w:tc>
          <w:tcPr>
            <w:tcW w:w="1300" w:type="dxa"/>
            <w:vAlign w:val="bottom"/>
            <w:shd w:val="clear" w:color="auto" w:fill="FCE9E8"/>
          </w:tcPr>
          <w:p>
            <w:pPr>
              <w:spacing w:after="0"/>
              <w:rPr>
                <w:sz w:val="21"/>
                <w:szCs w:val="21"/>
                <w:color w:val="auto"/>
              </w:rPr>
            </w:pPr>
          </w:p>
        </w:tc>
        <w:tc>
          <w:tcPr>
            <w:tcW w:w="340" w:type="dxa"/>
            <w:vAlign w:val="bottom"/>
            <w:shd w:val="clear" w:color="auto" w:fill="FCE9E8"/>
          </w:tcPr>
          <w:p>
            <w:pPr>
              <w:spacing w:after="0"/>
              <w:rPr>
                <w:sz w:val="21"/>
                <w:szCs w:val="21"/>
                <w:color w:val="auto"/>
              </w:rPr>
            </w:pPr>
          </w:p>
        </w:tc>
        <w:tc>
          <w:tcPr>
            <w:tcW w:w="560" w:type="dxa"/>
            <w:vAlign w:val="bottom"/>
            <w:shd w:val="clear" w:color="auto" w:fill="FCE9E8"/>
          </w:tcPr>
          <w:p>
            <w:pPr>
              <w:spacing w:after="0"/>
              <w:rPr>
                <w:sz w:val="21"/>
                <w:szCs w:val="21"/>
                <w:color w:val="auto"/>
              </w:rPr>
            </w:pPr>
          </w:p>
        </w:tc>
      </w:tr>
      <w:tr>
        <w:trPr>
          <w:trHeight w:val="235"/>
        </w:trPr>
        <w:tc>
          <w:tcPr>
            <w:tcW w:w="7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Esposito</w:t>
            </w:r>
          </w:p>
        </w:tc>
        <w:tc>
          <w:tcPr>
            <w:tcW w:w="1500" w:type="dxa"/>
            <w:vAlign w:val="bottom"/>
            <w:tcBorders>
              <w:bottom w:val="single" w:sz="8" w:color="FCE9E8"/>
            </w:tcBorders>
            <w:shd w:val="clear" w:color="auto" w:fill="FCE9E8"/>
          </w:tcPr>
          <w:p>
            <w:pPr>
              <w:jc w:val="right"/>
              <w:ind w:right="38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FCE9E8"/>
            </w:tcBorders>
            <w:shd w:val="clear" w:color="auto" w:fill="FCE9E8"/>
          </w:tcPr>
          <w:p>
            <w:pPr>
              <w:ind w:left="520"/>
              <w:spacing w:after="0"/>
              <w:rPr>
                <w:sz w:val="20"/>
                <w:szCs w:val="20"/>
                <w:color w:val="auto"/>
              </w:rPr>
            </w:pPr>
            <w:r>
              <w:rPr>
                <w:rFonts w:ascii="Arial" w:cs="Arial" w:eastAsia="Arial" w:hAnsi="Arial"/>
                <w:sz w:val="16"/>
                <w:szCs w:val="16"/>
                <w:color w:val="auto"/>
              </w:rPr>
              <w:t>15,032</w:t>
            </w:r>
          </w:p>
        </w:tc>
        <w:tc>
          <w:tcPr>
            <w:tcW w:w="1300" w:type="dxa"/>
            <w:vAlign w:val="bottom"/>
            <w:tcBorders>
              <w:bottom w:val="single" w:sz="8" w:color="FCE9E8"/>
            </w:tcBorders>
            <w:shd w:val="clear" w:color="auto" w:fill="FCE9E8"/>
          </w:tcPr>
          <w:p>
            <w:pPr>
              <w:jc w:val="right"/>
              <w:ind w:right="145"/>
              <w:spacing w:after="0"/>
              <w:rPr>
                <w:sz w:val="20"/>
                <w:szCs w:val="20"/>
                <w:color w:val="auto"/>
              </w:rPr>
            </w:pPr>
            <w:r>
              <w:rPr>
                <w:rFonts w:ascii="Arial" w:cs="Arial" w:eastAsia="Arial" w:hAnsi="Arial"/>
                <w:sz w:val="16"/>
                <w:szCs w:val="16"/>
                <w:color w:val="auto"/>
              </w:rPr>
              <w:t>5,312</w:t>
            </w:r>
          </w:p>
        </w:tc>
        <w:tc>
          <w:tcPr>
            <w:tcW w:w="3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CE9E8"/>
            </w:tcBorders>
            <w:shd w:val="clear" w:color="auto" w:fill="FCE9E8"/>
          </w:tcPr>
          <w:p>
            <w:pPr>
              <w:jc w:val="right"/>
              <w:ind w:right="34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CE9E8"/>
            </w:tcBorders>
            <w:shd w:val="clear" w:color="auto" w:fill="FCE9E8"/>
          </w:tcPr>
          <w:p>
            <w:pPr>
              <w:jc w:val="center"/>
              <w:ind w:left="104"/>
              <w:spacing w:after="0"/>
              <w:rPr>
                <w:sz w:val="20"/>
                <w:szCs w:val="20"/>
                <w:color w:val="auto"/>
              </w:rPr>
            </w:pPr>
            <w:r>
              <w:rPr>
                <w:rFonts w:ascii="Arial" w:cs="Arial" w:eastAsia="Arial" w:hAnsi="Arial"/>
                <w:sz w:val="16"/>
                <w:szCs w:val="16"/>
                <w:color w:val="auto"/>
              </w:rPr>
              <w:t>$15,640</w:t>
            </w:r>
          </w:p>
        </w:tc>
        <w:tc>
          <w:tcPr>
            <w:tcW w:w="1300" w:type="dxa"/>
            <w:vAlign w:val="bottom"/>
            <w:tcBorders>
              <w:bottom w:val="single" w:sz="8" w:color="FCE9E8"/>
            </w:tcBorders>
            <w:shd w:val="clear" w:color="auto" w:fill="FCE9E8"/>
          </w:tcPr>
          <w:p>
            <w:pPr>
              <w:jc w:val="right"/>
              <w:ind w:right="124"/>
              <w:spacing w:after="0"/>
              <w:rPr>
                <w:sz w:val="20"/>
                <w:szCs w:val="20"/>
                <w:color w:val="auto"/>
              </w:rPr>
            </w:pPr>
            <w:r>
              <w:rPr>
                <w:rFonts w:ascii="Arial" w:cs="Arial" w:eastAsia="Arial" w:hAnsi="Arial"/>
                <w:sz w:val="16"/>
                <w:szCs w:val="16"/>
                <w:color w:val="auto"/>
              </w:rPr>
              <w:t>$ 1,328</w:t>
            </w:r>
          </w:p>
        </w:tc>
        <w:tc>
          <w:tcPr>
            <w:tcW w:w="3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16,968</w:t>
            </w:r>
          </w:p>
        </w:tc>
      </w:tr>
      <w:tr>
        <w:trPr>
          <w:trHeight w:val="20"/>
        </w:trPr>
        <w:tc>
          <w:tcPr>
            <w:tcW w:w="7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80" w:hanging="393"/>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195580</wp:posOffset>
            </wp:positionV>
            <wp:extent cx="6292215"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3"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FFFFFF"/>
        </w:rPr>
        <w:t>2020 Option Exercises and Stock Vested</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stock-based awards that vested during 2020 for our Named Executive Officers.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options were exercised during 2020.</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4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4"/>
                <w:szCs w:val="14"/>
                <w:b w:val="1"/>
                <w:bCs w:val="1"/>
                <w:color w:val="E2231A"/>
              </w:rPr>
              <w:t>Option Awards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Stock Awards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E2231A"/>
              </w:rPr>
              <w:t>Number of</w:t>
            </w:r>
          </w:p>
        </w:tc>
        <w:tc>
          <w:tcPr>
            <w:tcW w:w="1180" w:type="dxa"/>
            <w:vAlign w:val="bottom"/>
            <w:tcBorders>
              <w:right w:val="single" w:sz="8" w:color="auto"/>
            </w:tcBorders>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4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80" w:type="dxa"/>
            <w:vAlign w:val="bottom"/>
            <w:tcBorders>
              <w:right w:val="single" w:sz="8" w:color="auto"/>
            </w:tcBorders>
          </w:tcPr>
          <w:p>
            <w:pPr>
              <w:jc w:val="center"/>
              <w:ind w:right="43"/>
              <w:spacing w:after="0"/>
              <w:rPr>
                <w:sz w:val="20"/>
                <w:szCs w:val="20"/>
                <w:color w:val="auto"/>
              </w:rPr>
            </w:pPr>
            <w:r>
              <w:rPr>
                <w:rFonts w:ascii="Arial" w:cs="Arial" w:eastAsia="Arial" w:hAnsi="Arial"/>
                <w:sz w:val="14"/>
                <w:szCs w:val="14"/>
                <w:b w:val="1"/>
                <w:bCs w:val="1"/>
                <w:color w:val="E2231A"/>
              </w:rPr>
              <w:t>Value</w:t>
            </w:r>
          </w:p>
        </w:tc>
        <w:tc>
          <w:tcPr>
            <w:tcW w:w="2060" w:type="dxa"/>
            <w:vAlign w:val="bottom"/>
          </w:tcPr>
          <w:p>
            <w:pPr>
              <w:jc w:val="center"/>
              <w:ind w:left="24"/>
              <w:spacing w:after="0"/>
              <w:rPr>
                <w:sz w:val="20"/>
                <w:szCs w:val="20"/>
                <w:color w:val="auto"/>
              </w:rPr>
            </w:pPr>
            <w:r>
              <w:rPr>
                <w:rFonts w:ascii="Arial" w:cs="Arial" w:eastAsia="Arial" w:hAnsi="Arial"/>
                <w:sz w:val="14"/>
                <w:szCs w:val="14"/>
                <w:b w:val="1"/>
                <w:bCs w:val="1"/>
                <w:color w:val="E2231A"/>
              </w:rPr>
              <w:t>Number of</w:t>
            </w:r>
          </w:p>
        </w:tc>
        <w:tc>
          <w:tcPr>
            <w:tcW w:w="120" w:type="dxa"/>
            <w:vAlign w:val="bottom"/>
          </w:tcPr>
          <w:p>
            <w:pPr>
              <w:spacing w:after="0"/>
              <w:rPr>
                <w:sz w:val="14"/>
                <w:szCs w:val="14"/>
                <w:color w:val="auto"/>
              </w:rPr>
            </w:pPr>
          </w:p>
        </w:tc>
        <w:tc>
          <w:tcPr>
            <w:tcW w:w="720" w:type="dxa"/>
            <w:vAlign w:val="bottom"/>
          </w:tcPr>
          <w:p>
            <w:pPr>
              <w:jc w:val="center"/>
              <w:ind w:right="85"/>
              <w:spacing w:after="0"/>
              <w:rPr>
                <w:sz w:val="20"/>
                <w:szCs w:val="20"/>
                <w:color w:val="auto"/>
              </w:rPr>
            </w:pPr>
            <w:r>
              <w:rPr>
                <w:rFonts w:ascii="Arial" w:cs="Arial" w:eastAsia="Arial" w:hAnsi="Arial"/>
                <w:sz w:val="14"/>
                <w:szCs w:val="14"/>
                <w:b w:val="1"/>
                <w:bCs w:val="1"/>
                <w:color w:val="E2231A"/>
                <w:w w:val="96"/>
              </w:rPr>
              <w:t>Value</w:t>
            </w:r>
          </w:p>
        </w:tc>
      </w:tr>
      <w:tr>
        <w:trPr>
          <w:trHeight w:val="162"/>
        </w:trPr>
        <w:tc>
          <w:tcPr>
            <w:tcW w:w="4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Acquired on</w:t>
            </w:r>
          </w:p>
        </w:tc>
        <w:tc>
          <w:tcPr>
            <w:tcW w:w="1180" w:type="dxa"/>
            <w:vAlign w:val="bottom"/>
            <w:tcBorders>
              <w:right w:val="single" w:sz="8" w:color="auto"/>
            </w:tcBorders>
          </w:tcPr>
          <w:p>
            <w:pPr>
              <w:jc w:val="center"/>
              <w:ind w:right="63"/>
              <w:spacing w:after="0"/>
              <w:rPr>
                <w:sz w:val="20"/>
                <w:szCs w:val="20"/>
                <w:color w:val="auto"/>
              </w:rPr>
            </w:pPr>
            <w:r>
              <w:rPr>
                <w:rFonts w:ascii="Arial" w:cs="Arial" w:eastAsia="Arial" w:hAnsi="Arial"/>
                <w:sz w:val="14"/>
                <w:szCs w:val="14"/>
                <w:b w:val="1"/>
                <w:bCs w:val="1"/>
                <w:color w:val="E2231A"/>
              </w:rPr>
              <w:t>Realized on</w:t>
            </w:r>
          </w:p>
        </w:tc>
        <w:tc>
          <w:tcPr>
            <w:tcW w:w="2060" w:type="dxa"/>
            <w:vAlign w:val="bottom"/>
          </w:tcPr>
          <w:p>
            <w:pPr>
              <w:jc w:val="center"/>
              <w:ind w:left="44"/>
              <w:spacing w:after="0"/>
              <w:rPr>
                <w:sz w:val="20"/>
                <w:szCs w:val="20"/>
                <w:color w:val="auto"/>
              </w:rPr>
            </w:pPr>
            <w:r>
              <w:rPr>
                <w:rFonts w:ascii="Arial" w:cs="Arial" w:eastAsia="Arial" w:hAnsi="Arial"/>
                <w:sz w:val="14"/>
                <w:szCs w:val="14"/>
                <w:b w:val="1"/>
                <w:bCs w:val="1"/>
                <w:color w:val="E2231A"/>
              </w:rPr>
              <w:t>Shares Acquired</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E2231A"/>
              </w:rPr>
              <w:t>Realized on</w:t>
            </w:r>
          </w:p>
        </w:tc>
      </w:tr>
      <w:tr>
        <w:trPr>
          <w:trHeight w:val="162"/>
        </w:trPr>
        <w:tc>
          <w:tcPr>
            <w:tcW w:w="4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Exercise</w:t>
            </w:r>
          </w:p>
        </w:tc>
        <w:tc>
          <w:tcPr>
            <w:tcW w:w="1180" w:type="dxa"/>
            <w:vAlign w:val="bottom"/>
            <w:tcBorders>
              <w:right w:val="single" w:sz="8" w:color="auto"/>
            </w:tcBorders>
          </w:tcPr>
          <w:p>
            <w:pPr>
              <w:jc w:val="center"/>
              <w:ind w:right="103"/>
              <w:spacing w:after="0"/>
              <w:rPr>
                <w:sz w:val="20"/>
                <w:szCs w:val="20"/>
                <w:color w:val="auto"/>
              </w:rPr>
            </w:pPr>
            <w:r>
              <w:rPr>
                <w:rFonts w:ascii="Arial" w:cs="Arial" w:eastAsia="Arial" w:hAnsi="Arial"/>
                <w:sz w:val="14"/>
                <w:szCs w:val="14"/>
                <w:b w:val="1"/>
                <w:bCs w:val="1"/>
                <w:color w:val="E2231A"/>
              </w:rPr>
              <w:t>Exercise</w:t>
            </w:r>
          </w:p>
        </w:tc>
        <w:tc>
          <w:tcPr>
            <w:tcW w:w="2060" w:type="dxa"/>
            <w:vAlign w:val="bottom"/>
          </w:tcPr>
          <w:p>
            <w:pPr>
              <w:jc w:val="center"/>
              <w:ind w:left="24"/>
              <w:spacing w:after="0"/>
              <w:rPr>
                <w:sz w:val="20"/>
                <w:szCs w:val="20"/>
                <w:color w:val="auto"/>
              </w:rPr>
            </w:pPr>
            <w:r>
              <w:rPr>
                <w:rFonts w:ascii="Arial" w:cs="Arial" w:eastAsia="Arial" w:hAnsi="Arial"/>
                <w:sz w:val="14"/>
                <w:szCs w:val="14"/>
                <w:b w:val="1"/>
                <w:bCs w:val="1"/>
                <w:color w:val="E2231A"/>
              </w:rPr>
              <w:t>on Vesting</w:t>
            </w:r>
          </w:p>
        </w:tc>
        <w:tc>
          <w:tcPr>
            <w:tcW w:w="120" w:type="dxa"/>
            <w:vAlign w:val="bottom"/>
          </w:tcPr>
          <w:p>
            <w:pPr>
              <w:spacing w:after="0"/>
              <w:rPr>
                <w:sz w:val="14"/>
                <w:szCs w:val="14"/>
                <w:color w:val="auto"/>
              </w:rPr>
            </w:pPr>
          </w:p>
        </w:tc>
        <w:tc>
          <w:tcPr>
            <w:tcW w:w="720" w:type="dxa"/>
            <w:vAlign w:val="bottom"/>
          </w:tcPr>
          <w:p>
            <w:pPr>
              <w:jc w:val="center"/>
              <w:ind w:right="85"/>
              <w:spacing w:after="0"/>
              <w:rPr>
                <w:sz w:val="20"/>
                <w:szCs w:val="20"/>
                <w:color w:val="auto"/>
              </w:rPr>
            </w:pPr>
            <w:r>
              <w:rPr>
                <w:rFonts w:ascii="Arial" w:cs="Arial" w:eastAsia="Arial" w:hAnsi="Arial"/>
                <w:sz w:val="14"/>
                <w:szCs w:val="14"/>
                <w:b w:val="1"/>
                <w:bCs w:val="1"/>
                <w:color w:val="E2231A"/>
              </w:rPr>
              <w:t>Vesting</w:t>
            </w:r>
          </w:p>
        </w:tc>
      </w:tr>
      <w:tr>
        <w:trPr>
          <w:trHeight w:val="189"/>
        </w:trPr>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0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E2231A"/>
              </w:rPr>
              <w:t>(#)(b)</w:t>
            </w:r>
          </w:p>
        </w:tc>
        <w:tc>
          <w:tcPr>
            <w:tcW w:w="1180" w:type="dxa"/>
            <w:vAlign w:val="bottom"/>
            <w:tcBorders>
              <w:bottom w:val="single" w:sz="8" w:color="auto"/>
              <w:right w:val="single" w:sz="8" w:color="auto"/>
            </w:tcBorders>
          </w:tcPr>
          <w:p>
            <w:pPr>
              <w:jc w:val="center"/>
              <w:ind w:right="63"/>
              <w:spacing w:after="0"/>
              <w:rPr>
                <w:sz w:val="20"/>
                <w:szCs w:val="20"/>
                <w:color w:val="auto"/>
              </w:rPr>
            </w:pPr>
            <w:r>
              <w:rPr>
                <w:rFonts w:ascii="Arial" w:cs="Arial" w:eastAsia="Arial" w:hAnsi="Arial"/>
                <w:sz w:val="14"/>
                <w:szCs w:val="14"/>
                <w:b w:val="1"/>
                <w:bCs w:val="1"/>
                <w:color w:val="E2231A"/>
              </w:rPr>
              <w:t>($)(c)</w:t>
            </w:r>
          </w:p>
        </w:tc>
        <w:tc>
          <w:tcPr>
            <w:tcW w:w="2060" w:type="dxa"/>
            <w:vAlign w:val="bottom"/>
            <w:tcBorders>
              <w:bottom w:val="single" w:sz="8" w:color="auto"/>
            </w:tcBorders>
          </w:tcPr>
          <w:p>
            <w:pPr>
              <w:jc w:val="center"/>
              <w:ind w:left="24"/>
              <w:spacing w:after="0" w:line="189" w:lineRule="exact"/>
              <w:rPr>
                <w:sz w:val="20"/>
                <w:szCs w:val="20"/>
                <w:color w:val="auto"/>
              </w:rPr>
            </w:pPr>
            <w:r>
              <w:rPr>
                <w:rFonts w:ascii="Arial" w:cs="Arial" w:eastAsia="Arial" w:hAnsi="Arial"/>
                <w:sz w:val="13"/>
                <w:szCs w:val="13"/>
                <w:b w:val="1"/>
                <w:bCs w:val="1"/>
                <w:color w:val="E2231A"/>
                <w:w w:val="94"/>
              </w:rPr>
              <w:t>(d)</w:t>
            </w:r>
            <w:r>
              <w:rPr>
                <w:rFonts w:ascii="Arial" w:cs="Arial" w:eastAsia="Arial" w:hAnsi="Arial"/>
                <w:sz w:val="21"/>
                <w:szCs w:val="21"/>
                <w:b w:val="1"/>
                <w:bCs w:val="1"/>
                <w:color w:val="E2231A"/>
                <w:w w:val="94"/>
                <w:vertAlign w:val="superscript"/>
              </w:rPr>
              <w:t>(1)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5"/>
              <w:spacing w:after="0" w:line="189" w:lineRule="exact"/>
              <w:rPr>
                <w:sz w:val="20"/>
                <w:szCs w:val="20"/>
                <w:color w:val="auto"/>
              </w:rPr>
            </w:pPr>
            <w:r>
              <w:rPr>
                <w:rFonts w:ascii="Arial" w:cs="Arial" w:eastAsia="Arial" w:hAnsi="Arial"/>
                <w:sz w:val="21"/>
                <w:szCs w:val="21"/>
                <w:b w:val="1"/>
                <w:bCs w:val="1"/>
                <w:color w:val="E2231A"/>
                <w:vertAlign w:val="subscript"/>
              </w:rPr>
              <w:t>(e)</w:t>
            </w:r>
            <w:r>
              <w:rPr>
                <w:rFonts w:ascii="Arial" w:cs="Arial" w:eastAsia="Arial" w:hAnsi="Arial"/>
                <w:sz w:val="10"/>
                <w:szCs w:val="10"/>
                <w:b w:val="1"/>
                <w:bCs w:val="1"/>
                <w:color w:val="E2231A"/>
              </w:rPr>
              <w:t>(1)(2)</w:t>
            </w:r>
          </w:p>
        </w:tc>
      </w:tr>
      <w:tr>
        <w:trPr>
          <w:trHeight w:val="223"/>
        </w:trPr>
        <w:tc>
          <w:tcPr>
            <w:tcW w:w="4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060" w:type="dxa"/>
            <w:vAlign w:val="bottom"/>
            <w:shd w:val="clear" w:color="auto" w:fill="FCE9E8"/>
          </w:tcPr>
          <w:p>
            <w:pPr>
              <w:jc w:val="right"/>
              <w:ind w:right="284"/>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shd w:val="clear" w:color="auto" w:fill="FCE9E8"/>
          </w:tcPr>
          <w:p>
            <w:pPr>
              <w:ind w:left="6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FCE9E8"/>
          </w:tcPr>
          <w:p>
            <w:pPr>
              <w:jc w:val="right"/>
              <w:ind w:right="624"/>
              <w:spacing w:after="0"/>
              <w:rPr>
                <w:sz w:val="20"/>
                <w:szCs w:val="20"/>
                <w:color w:val="auto"/>
              </w:rPr>
            </w:pPr>
            <w:r>
              <w:rPr>
                <w:rFonts w:ascii="Arial" w:cs="Arial" w:eastAsia="Arial" w:hAnsi="Arial"/>
                <w:sz w:val="16"/>
                <w:szCs w:val="16"/>
                <w:color w:val="auto"/>
              </w:rPr>
              <w:t>12,104</w:t>
            </w:r>
          </w:p>
        </w:tc>
        <w:tc>
          <w:tcPr>
            <w:tcW w:w="120" w:type="dxa"/>
            <w:vAlign w:val="bottom"/>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jc w:val="right"/>
              <w:spacing w:after="0"/>
              <w:rPr>
                <w:sz w:val="20"/>
                <w:szCs w:val="20"/>
                <w:color w:val="auto"/>
              </w:rPr>
            </w:pPr>
            <w:r>
              <w:rPr>
                <w:rFonts w:ascii="Arial" w:cs="Arial" w:eastAsia="Arial" w:hAnsi="Arial"/>
                <w:sz w:val="16"/>
                <w:szCs w:val="16"/>
                <w:color w:val="auto"/>
                <w:w w:val="98"/>
              </w:rPr>
              <w:t>1,903,095</w:t>
            </w:r>
          </w:p>
        </w:tc>
      </w:tr>
      <w:tr>
        <w:trPr>
          <w:trHeight w:val="243"/>
        </w:trPr>
        <w:tc>
          <w:tcPr>
            <w:tcW w:w="478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06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624"/>
              <w:spacing w:after="0"/>
              <w:rPr>
                <w:sz w:val="20"/>
                <w:szCs w:val="20"/>
                <w:color w:val="auto"/>
              </w:rPr>
            </w:pPr>
            <w:r>
              <w:rPr>
                <w:rFonts w:ascii="Arial" w:cs="Arial" w:eastAsia="Arial" w:hAnsi="Arial"/>
                <w:sz w:val="16"/>
                <w:szCs w:val="16"/>
                <w:color w:val="auto"/>
              </w:rPr>
              <w:t>2,074</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315,189</w:t>
            </w:r>
          </w:p>
        </w:tc>
      </w:tr>
      <w:tr>
        <w:trPr>
          <w:trHeight w:val="243"/>
        </w:trPr>
        <w:tc>
          <w:tcPr>
            <w:tcW w:w="4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060" w:type="dxa"/>
            <w:vAlign w:val="bottom"/>
            <w:shd w:val="clear" w:color="auto" w:fill="FCE9E8"/>
          </w:tcPr>
          <w:p>
            <w:pPr>
              <w:jc w:val="right"/>
              <w:ind w:right="284"/>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shd w:val="clear" w:color="auto" w:fill="FCE9E8"/>
          </w:tcPr>
          <w:p>
            <w:pPr>
              <w:ind w:left="6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FCE9E8"/>
          </w:tcPr>
          <w:p>
            <w:pPr>
              <w:jc w:val="right"/>
              <w:ind w:right="624"/>
              <w:spacing w:after="0"/>
              <w:rPr>
                <w:sz w:val="20"/>
                <w:szCs w:val="20"/>
                <w:color w:val="auto"/>
              </w:rPr>
            </w:pPr>
            <w:r>
              <w:rPr>
                <w:rFonts w:ascii="Arial" w:cs="Arial" w:eastAsia="Arial" w:hAnsi="Arial"/>
                <w:sz w:val="16"/>
                <w:szCs w:val="16"/>
                <w:color w:val="auto"/>
              </w:rPr>
              <w:t>6,897</w:t>
            </w:r>
          </w:p>
        </w:tc>
        <w:tc>
          <w:tcPr>
            <w:tcW w:w="120" w:type="dxa"/>
            <w:vAlign w:val="bottom"/>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FCE9E8"/>
          </w:tcPr>
          <w:p>
            <w:pPr>
              <w:jc w:val="right"/>
              <w:spacing w:after="0"/>
              <w:rPr>
                <w:sz w:val="20"/>
                <w:szCs w:val="20"/>
                <w:color w:val="auto"/>
              </w:rPr>
            </w:pPr>
            <w:r>
              <w:rPr>
                <w:rFonts w:ascii="Arial" w:cs="Arial" w:eastAsia="Arial" w:hAnsi="Arial"/>
                <w:sz w:val="16"/>
                <w:szCs w:val="16"/>
                <w:color w:val="auto"/>
                <w:w w:val="98"/>
              </w:rPr>
              <w:t>1,053,762</w:t>
            </w:r>
          </w:p>
        </w:tc>
      </w:tr>
      <w:tr>
        <w:trPr>
          <w:trHeight w:val="243"/>
        </w:trPr>
        <w:tc>
          <w:tcPr>
            <w:tcW w:w="478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06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624"/>
              <w:spacing w:after="0"/>
              <w:rPr>
                <w:sz w:val="20"/>
                <w:szCs w:val="20"/>
                <w:color w:val="auto"/>
              </w:rPr>
            </w:pPr>
            <w:r>
              <w:rPr>
                <w:rFonts w:ascii="Arial" w:cs="Arial" w:eastAsia="Arial" w:hAnsi="Arial"/>
                <w:sz w:val="16"/>
                <w:szCs w:val="16"/>
                <w:color w:val="auto"/>
              </w:rPr>
              <w:t>6,542</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992,923</w:t>
            </w:r>
          </w:p>
        </w:tc>
      </w:tr>
      <w:tr>
        <w:trPr>
          <w:trHeight w:val="243"/>
        </w:trPr>
        <w:tc>
          <w:tcPr>
            <w:tcW w:w="47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060" w:type="dxa"/>
            <w:vAlign w:val="bottom"/>
            <w:tcBorders>
              <w:bottom w:val="single" w:sz="8" w:color="auto"/>
            </w:tcBorders>
            <w:shd w:val="clear" w:color="auto" w:fill="FCE9E8"/>
          </w:tcPr>
          <w:p>
            <w:pPr>
              <w:jc w:val="right"/>
              <w:ind w:right="284"/>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shd w:val="clear" w:color="auto" w:fill="FCE9E8"/>
          </w:tcPr>
          <w:p>
            <w:pPr>
              <w:ind w:left="6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FCE9E8"/>
          </w:tcPr>
          <w:p>
            <w:pPr>
              <w:jc w:val="right"/>
              <w:ind w:right="6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CE9E8"/>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960" w:right="300" w:hanging="291"/>
        <w:spacing w:after="0" w:line="199" w:lineRule="auto"/>
        <w:tabs>
          <w:tab w:leader="none" w:pos="960" w:val="left"/>
        </w:tabs>
        <w:numPr>
          <w:ilvl w:val="0"/>
          <w:numId w:val="111"/>
        </w:numPr>
        <w:rPr>
          <w:rFonts w:ascii="Arial" w:cs="Arial" w:eastAsia="Arial" w:hAnsi="Arial"/>
          <w:sz w:val="24"/>
          <w:szCs w:val="24"/>
          <w:color w:val="auto"/>
          <w:vertAlign w:val="superscript"/>
        </w:rPr>
      </w:pPr>
      <w:r>
        <w:rPr>
          <w:rFonts w:ascii="Arial" w:cs="Arial" w:eastAsia="Arial" w:hAnsi="Arial"/>
          <w:sz w:val="14"/>
          <w:szCs w:val="14"/>
          <w:color w:val="auto"/>
        </w:rPr>
        <w:t>For all Named Executive Officers (other than Mr. Esposito, who did not vest in any awards in 2020), consists of 2017 RSU awards that vested on January 3, 2020, 2017 Career Shares that vested on November 14, 2020, and performance shares that vested based on performance during the three-year period ended December 31, 2020 (which were paid in 2021), in the following amounts:</w:t>
      </w:r>
    </w:p>
    <w:p>
      <w:pPr>
        <w:spacing w:after="0" w:line="9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jc w:val="center"/>
              <w:ind w:right="85"/>
              <w:spacing w:after="0"/>
              <w:rPr>
                <w:sz w:val="20"/>
                <w:szCs w:val="20"/>
                <w:color w:val="auto"/>
              </w:rPr>
            </w:pPr>
            <w:r>
              <w:rPr>
                <w:rFonts w:ascii="Arial" w:cs="Arial" w:eastAsia="Arial" w:hAnsi="Arial"/>
                <w:sz w:val="14"/>
                <w:szCs w:val="14"/>
                <w:b w:val="1"/>
                <w:bCs w:val="1"/>
                <w:color w:val="E2231A"/>
              </w:rPr>
              <w:t>Number of</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60" w:type="dxa"/>
            <w:vAlign w:val="bottom"/>
          </w:tcPr>
          <w:p>
            <w:pPr>
              <w:spacing w:after="0"/>
              <w:rPr>
                <w:sz w:val="14"/>
                <w:szCs w:val="14"/>
                <w:color w:val="auto"/>
              </w:rPr>
            </w:pPr>
          </w:p>
        </w:tc>
        <w:tc>
          <w:tcPr>
            <w:tcW w:w="740" w:type="dxa"/>
            <w:vAlign w:val="bottom"/>
          </w:tcPr>
          <w:p>
            <w:pPr>
              <w:jc w:val="center"/>
              <w:ind w:right="183"/>
              <w:spacing w:after="0"/>
              <w:rPr>
                <w:sz w:val="20"/>
                <w:szCs w:val="20"/>
                <w:color w:val="auto"/>
              </w:rPr>
            </w:pPr>
            <w:r>
              <w:rPr>
                <w:rFonts w:ascii="Arial" w:cs="Arial" w:eastAsia="Arial" w:hAnsi="Arial"/>
                <w:sz w:val="14"/>
                <w:szCs w:val="14"/>
                <w:b w:val="1"/>
                <w:bCs w:val="1"/>
                <w:color w:val="E2231A"/>
              </w:rPr>
              <w:t>2017</w:t>
            </w:r>
          </w:p>
        </w:tc>
        <w:tc>
          <w:tcPr>
            <w:tcW w:w="1360" w:type="dxa"/>
            <w:vAlign w:val="bottom"/>
          </w:tcPr>
          <w:p>
            <w:pPr>
              <w:jc w:val="right"/>
              <w:ind w:right="525"/>
              <w:spacing w:after="0"/>
              <w:rPr>
                <w:sz w:val="20"/>
                <w:szCs w:val="20"/>
                <w:color w:val="auto"/>
              </w:rPr>
            </w:pPr>
            <w:r>
              <w:rPr>
                <w:rFonts w:ascii="Arial" w:cs="Arial" w:eastAsia="Arial" w:hAnsi="Arial"/>
                <w:sz w:val="14"/>
                <w:szCs w:val="14"/>
                <w:b w:val="1"/>
                <w:bCs w:val="1"/>
                <w:color w:val="E2231A"/>
              </w:rPr>
              <w:t>2018</w:t>
            </w:r>
          </w:p>
        </w:tc>
        <w:tc>
          <w:tcPr>
            <w:tcW w:w="500" w:type="dxa"/>
            <w:vAlign w:val="bottom"/>
          </w:tcPr>
          <w:p>
            <w:pPr>
              <w:spacing w:after="0"/>
              <w:rPr>
                <w:sz w:val="14"/>
                <w:szCs w:val="14"/>
                <w:color w:val="auto"/>
              </w:rPr>
            </w:pPr>
          </w:p>
        </w:tc>
        <w:tc>
          <w:tcPr>
            <w:tcW w:w="1120" w:type="dxa"/>
            <w:vAlign w:val="bottom"/>
          </w:tcPr>
          <w:p>
            <w:pPr>
              <w:jc w:val="right"/>
              <w:ind w:right="622"/>
              <w:spacing w:after="0"/>
              <w:rPr>
                <w:sz w:val="20"/>
                <w:szCs w:val="20"/>
                <w:color w:val="auto"/>
              </w:rPr>
            </w:pPr>
            <w:r>
              <w:rPr>
                <w:rFonts w:ascii="Arial" w:cs="Arial" w:eastAsia="Arial" w:hAnsi="Arial"/>
                <w:sz w:val="14"/>
                <w:szCs w:val="14"/>
                <w:b w:val="1"/>
                <w:bCs w:val="1"/>
                <w:color w:val="E2231A"/>
              </w:rPr>
              <w:t>2018</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2017</w:t>
            </w:r>
          </w:p>
        </w:tc>
        <w:tc>
          <w:tcPr>
            <w:tcW w:w="260" w:type="dxa"/>
            <w:vAlign w:val="bottom"/>
          </w:tcPr>
          <w:p>
            <w:pPr>
              <w:spacing w:after="0"/>
              <w:rPr>
                <w:sz w:val="14"/>
                <w:szCs w:val="14"/>
                <w:color w:val="auto"/>
              </w:rPr>
            </w:pPr>
          </w:p>
        </w:tc>
        <w:tc>
          <w:tcPr>
            <w:tcW w:w="740" w:type="dxa"/>
            <w:vAlign w:val="bottom"/>
          </w:tcPr>
          <w:p>
            <w:pPr>
              <w:jc w:val="center"/>
              <w:ind w:right="203"/>
              <w:spacing w:after="0"/>
              <w:rPr>
                <w:sz w:val="20"/>
                <w:szCs w:val="20"/>
                <w:color w:val="auto"/>
              </w:rPr>
            </w:pPr>
            <w:r>
              <w:rPr>
                <w:rFonts w:ascii="Arial" w:cs="Arial" w:eastAsia="Arial" w:hAnsi="Arial"/>
                <w:sz w:val="14"/>
                <w:szCs w:val="14"/>
                <w:b w:val="1"/>
                <w:bCs w:val="1"/>
                <w:color w:val="E2231A"/>
              </w:rPr>
              <w:t>Career</w:t>
            </w:r>
          </w:p>
        </w:tc>
        <w:tc>
          <w:tcPr>
            <w:tcW w:w="1360" w:type="dxa"/>
            <w:vAlign w:val="bottom"/>
          </w:tcPr>
          <w:p>
            <w:pPr>
              <w:jc w:val="center"/>
              <w:ind w:right="85"/>
              <w:spacing w:after="0"/>
              <w:rPr>
                <w:sz w:val="20"/>
                <w:szCs w:val="20"/>
                <w:color w:val="auto"/>
              </w:rPr>
            </w:pPr>
            <w:r>
              <w:rPr>
                <w:rFonts w:ascii="Arial" w:cs="Arial" w:eastAsia="Arial" w:hAnsi="Arial"/>
                <w:sz w:val="14"/>
                <w:szCs w:val="14"/>
                <w:b w:val="1"/>
                <w:bCs w:val="1"/>
                <w:color w:val="E2231A"/>
              </w:rPr>
              <w:t>Performance</w:t>
            </w:r>
          </w:p>
        </w:tc>
        <w:tc>
          <w:tcPr>
            <w:tcW w:w="162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E2231A"/>
              </w:rPr>
              <w:t>Performance</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2017</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E2231A"/>
              </w:rPr>
              <w:t>2017 RSU</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Career</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Shares</w:t>
            </w:r>
          </w:p>
        </w:tc>
        <w:tc>
          <w:tcPr>
            <w:tcW w:w="1360" w:type="dxa"/>
            <w:vAlign w:val="bottom"/>
          </w:tcPr>
          <w:p>
            <w:pPr>
              <w:jc w:val="center"/>
              <w:ind w:right="85"/>
              <w:spacing w:after="0"/>
              <w:rPr>
                <w:sz w:val="20"/>
                <w:szCs w:val="20"/>
                <w:color w:val="auto"/>
              </w:rPr>
            </w:pPr>
            <w:r>
              <w:rPr>
                <w:rFonts w:ascii="Arial" w:cs="Arial" w:eastAsia="Arial" w:hAnsi="Arial"/>
                <w:sz w:val="14"/>
                <w:szCs w:val="14"/>
                <w:b w:val="1"/>
                <w:bCs w:val="1"/>
                <w:color w:val="E2231A"/>
              </w:rPr>
              <w:t>Shares</w:t>
            </w:r>
          </w:p>
        </w:tc>
        <w:tc>
          <w:tcPr>
            <w:tcW w:w="1620" w:type="dxa"/>
            <w:vAlign w:val="bottom"/>
            <w:gridSpan w:val="2"/>
          </w:tcPr>
          <w:p>
            <w:pPr>
              <w:jc w:val="center"/>
              <w:ind w:right="2"/>
              <w:spacing w:after="0"/>
              <w:rPr>
                <w:sz w:val="20"/>
                <w:szCs w:val="20"/>
                <w:color w:val="auto"/>
              </w:rPr>
            </w:pPr>
            <w:r>
              <w:rPr>
                <w:rFonts w:ascii="Arial" w:cs="Arial" w:eastAsia="Arial" w:hAnsi="Arial"/>
                <w:sz w:val="14"/>
                <w:szCs w:val="14"/>
                <w:b w:val="1"/>
                <w:bCs w:val="1"/>
                <w:color w:val="E2231A"/>
              </w:rPr>
              <w:t>Share Value</w:t>
            </w:r>
          </w:p>
        </w:tc>
        <w:tc>
          <w:tcPr>
            <w:tcW w:w="520" w:type="dxa"/>
            <w:vAlign w:val="bottom"/>
          </w:tcPr>
          <w:p>
            <w:pPr>
              <w:spacing w:after="0"/>
              <w:rPr>
                <w:sz w:val="14"/>
                <w:szCs w:val="14"/>
                <w:color w:val="auto"/>
              </w:rPr>
            </w:pPr>
          </w:p>
        </w:tc>
        <w:tc>
          <w:tcPr>
            <w:tcW w:w="1180" w:type="dxa"/>
            <w:vAlign w:val="bottom"/>
          </w:tcPr>
          <w:p>
            <w:pPr>
              <w:jc w:val="right"/>
              <w:ind w:right="601"/>
              <w:spacing w:after="0"/>
              <w:rPr>
                <w:sz w:val="20"/>
                <w:szCs w:val="20"/>
                <w:color w:val="auto"/>
              </w:rPr>
            </w:pPr>
            <w:r>
              <w:rPr>
                <w:rFonts w:ascii="Arial" w:cs="Arial" w:eastAsia="Arial" w:hAnsi="Arial"/>
                <w:sz w:val="14"/>
                <w:szCs w:val="14"/>
                <w:b w:val="1"/>
                <w:bCs w:val="1"/>
                <w:color w:val="E2231A"/>
              </w:rPr>
              <w:t>Total</w:t>
            </w:r>
          </w:p>
        </w:tc>
      </w:tr>
      <w:tr>
        <w:trPr>
          <w:trHeight w:val="162"/>
        </w:trPr>
        <w:tc>
          <w:tcPr>
            <w:tcW w:w="7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RSU</w:t>
            </w:r>
          </w:p>
        </w:tc>
        <w:tc>
          <w:tcPr>
            <w:tcW w:w="160" w:type="dxa"/>
            <w:vAlign w:val="bottom"/>
          </w:tcPr>
          <w:p>
            <w:pPr>
              <w:spacing w:after="0"/>
              <w:rPr>
                <w:sz w:val="14"/>
                <w:szCs w:val="14"/>
                <w:color w:val="auto"/>
              </w:rPr>
            </w:pPr>
          </w:p>
        </w:tc>
        <w:tc>
          <w:tcPr>
            <w:tcW w:w="740" w:type="dxa"/>
            <w:vAlign w:val="bottom"/>
          </w:tcPr>
          <w:p>
            <w:pPr>
              <w:jc w:val="center"/>
              <w:ind w:right="202"/>
              <w:spacing w:after="0"/>
              <w:rPr>
                <w:sz w:val="20"/>
                <w:szCs w:val="20"/>
                <w:color w:val="auto"/>
              </w:rPr>
            </w:pPr>
            <w:r>
              <w:rPr>
                <w:rFonts w:ascii="Arial" w:cs="Arial" w:eastAsia="Arial" w:hAnsi="Arial"/>
                <w:sz w:val="14"/>
                <w:szCs w:val="14"/>
                <w:b w:val="1"/>
                <w:bCs w:val="1"/>
                <w:color w:val="E2231A"/>
              </w:rPr>
              <w:t>Value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260" w:type="dxa"/>
            <w:vAlign w:val="bottom"/>
          </w:tcPr>
          <w:p>
            <w:pPr>
              <w:spacing w:after="0"/>
              <w:rPr>
                <w:sz w:val="14"/>
                <w:szCs w:val="14"/>
                <w:color w:val="auto"/>
              </w:rPr>
            </w:pPr>
          </w:p>
        </w:tc>
        <w:tc>
          <w:tcPr>
            <w:tcW w:w="740" w:type="dxa"/>
            <w:vAlign w:val="bottom"/>
          </w:tcPr>
          <w:p>
            <w:pPr>
              <w:jc w:val="center"/>
              <w:ind w:right="203"/>
              <w:spacing w:after="0"/>
              <w:rPr>
                <w:sz w:val="20"/>
                <w:szCs w:val="20"/>
                <w:color w:val="auto"/>
              </w:rPr>
            </w:pPr>
            <w:r>
              <w:rPr>
                <w:rFonts w:ascii="Arial" w:cs="Arial" w:eastAsia="Arial" w:hAnsi="Arial"/>
                <w:sz w:val="14"/>
                <w:szCs w:val="14"/>
                <w:b w:val="1"/>
                <w:bCs w:val="1"/>
                <w:color w:val="E2231A"/>
              </w:rPr>
              <w:t>Value</w:t>
            </w:r>
          </w:p>
        </w:tc>
        <w:tc>
          <w:tcPr>
            <w:tcW w:w="1360" w:type="dxa"/>
            <w:vAlign w:val="bottom"/>
          </w:tcPr>
          <w:p>
            <w:pPr>
              <w:jc w:val="center"/>
              <w:ind w:right="105"/>
              <w:spacing w:after="0"/>
              <w:rPr>
                <w:sz w:val="20"/>
                <w:szCs w:val="20"/>
                <w:color w:val="auto"/>
              </w:rPr>
            </w:pPr>
            <w:r>
              <w:rPr>
                <w:rFonts w:ascii="Arial" w:cs="Arial" w:eastAsia="Arial" w:hAnsi="Arial"/>
                <w:sz w:val="14"/>
                <w:szCs w:val="14"/>
                <w:b w:val="1"/>
                <w:bCs w:val="1"/>
                <w:color w:val="E2231A"/>
              </w:rPr>
              <w:t>Acquired</w:t>
            </w:r>
          </w:p>
        </w:tc>
        <w:tc>
          <w:tcPr>
            <w:tcW w:w="162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E2231A"/>
              </w:rPr>
              <w:t>Realized on</w:t>
            </w: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E2231A"/>
              </w:rPr>
              <w:t>RSU, Career</w:t>
            </w:r>
          </w:p>
        </w:tc>
      </w:tr>
      <w:tr>
        <w:trPr>
          <w:trHeight w:val="162"/>
        </w:trPr>
        <w:tc>
          <w:tcPr>
            <w:tcW w:w="7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90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E2231A"/>
              </w:rPr>
              <w:t>Realized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w:t>
            </w:r>
          </w:p>
        </w:tc>
        <w:tc>
          <w:tcPr>
            <w:tcW w:w="1360" w:type="dxa"/>
            <w:vAlign w:val="bottom"/>
          </w:tcPr>
          <w:p>
            <w:pPr>
              <w:jc w:val="center"/>
              <w:ind w:right="85"/>
              <w:spacing w:after="0"/>
              <w:rPr>
                <w:sz w:val="20"/>
                <w:szCs w:val="20"/>
                <w:color w:val="auto"/>
              </w:rPr>
            </w:pPr>
            <w:r>
              <w:rPr>
                <w:rFonts w:ascii="Arial" w:cs="Arial" w:eastAsia="Arial" w:hAnsi="Arial"/>
                <w:sz w:val="14"/>
                <w:szCs w:val="14"/>
                <w:b w:val="1"/>
                <w:bCs w:val="1"/>
                <w:color w:val="E2231A"/>
              </w:rPr>
              <w:t>On Vesting</w:t>
            </w:r>
          </w:p>
        </w:tc>
        <w:tc>
          <w:tcPr>
            <w:tcW w:w="500" w:type="dxa"/>
            <w:vAlign w:val="bottom"/>
          </w:tcPr>
          <w:p>
            <w:pPr>
              <w:spacing w:after="0"/>
              <w:rPr>
                <w:sz w:val="14"/>
                <w:szCs w:val="14"/>
                <w:color w:val="auto"/>
              </w:rPr>
            </w:pPr>
          </w:p>
        </w:tc>
        <w:tc>
          <w:tcPr>
            <w:tcW w:w="1120" w:type="dxa"/>
            <w:vAlign w:val="bottom"/>
          </w:tcPr>
          <w:p>
            <w:pPr>
              <w:jc w:val="center"/>
              <w:ind w:right="522"/>
              <w:spacing w:after="0"/>
              <w:rPr>
                <w:sz w:val="20"/>
                <w:szCs w:val="20"/>
                <w:color w:val="auto"/>
              </w:rPr>
            </w:pPr>
            <w:r>
              <w:rPr>
                <w:rFonts w:ascii="Arial" w:cs="Arial" w:eastAsia="Arial" w:hAnsi="Arial"/>
                <w:sz w:val="14"/>
                <w:szCs w:val="14"/>
                <w:b w:val="1"/>
                <w:bCs w:val="1"/>
                <w:color w:val="E2231A"/>
              </w:rPr>
              <w:t>Vesting</w:t>
            </w:r>
          </w:p>
        </w:tc>
        <w:tc>
          <w:tcPr>
            <w:tcW w:w="1700" w:type="dxa"/>
            <w:vAlign w:val="bottom"/>
            <w:gridSpan w:val="2"/>
          </w:tcPr>
          <w:p>
            <w:pPr>
              <w:ind w:left="500"/>
              <w:spacing w:after="0"/>
              <w:rPr>
                <w:sz w:val="20"/>
                <w:szCs w:val="20"/>
                <w:color w:val="auto"/>
              </w:rPr>
            </w:pPr>
            <w:r>
              <w:rPr>
                <w:rFonts w:ascii="Arial" w:cs="Arial" w:eastAsia="Arial" w:hAnsi="Arial"/>
                <w:sz w:val="14"/>
                <w:szCs w:val="14"/>
                <w:b w:val="1"/>
                <w:bCs w:val="1"/>
                <w:color w:val="E2231A"/>
              </w:rPr>
              <w:t>Share and</w:t>
            </w:r>
          </w:p>
        </w:tc>
      </w:tr>
      <w:tr>
        <w:trPr>
          <w:trHeight w:val="162"/>
        </w:trPr>
        <w:tc>
          <w:tcPr>
            <w:tcW w:w="7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Acquired on</w:t>
            </w:r>
          </w:p>
        </w:tc>
        <w:tc>
          <w:tcPr>
            <w:tcW w:w="160" w:type="dxa"/>
            <w:vAlign w:val="bottom"/>
          </w:tcPr>
          <w:p>
            <w:pPr>
              <w:spacing w:after="0"/>
              <w:rPr>
                <w:sz w:val="14"/>
                <w:szCs w:val="14"/>
                <w:color w:val="auto"/>
              </w:rPr>
            </w:pPr>
          </w:p>
        </w:tc>
        <w:tc>
          <w:tcPr>
            <w:tcW w:w="740" w:type="dxa"/>
            <w:vAlign w:val="bottom"/>
          </w:tcPr>
          <w:p>
            <w:pPr>
              <w:jc w:val="center"/>
              <w:ind w:right="202"/>
              <w:spacing w:after="0"/>
              <w:rPr>
                <w:sz w:val="20"/>
                <w:szCs w:val="20"/>
                <w:color w:val="auto"/>
              </w:rPr>
            </w:pPr>
            <w:r>
              <w:rPr>
                <w:rFonts w:ascii="Arial" w:cs="Arial" w:eastAsia="Arial" w:hAnsi="Arial"/>
                <w:sz w:val="14"/>
                <w:szCs w:val="14"/>
                <w:b w:val="1"/>
                <w:bCs w:val="1"/>
                <w:color w:val="E2231A"/>
              </w:rPr>
              <w:t>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E2231A"/>
              </w:rPr>
              <w:t>on</w:t>
            </w:r>
          </w:p>
        </w:tc>
        <w:tc>
          <w:tcPr>
            <w:tcW w:w="260" w:type="dxa"/>
            <w:vAlign w:val="bottom"/>
          </w:tcPr>
          <w:p>
            <w:pPr>
              <w:spacing w:after="0"/>
              <w:rPr>
                <w:sz w:val="14"/>
                <w:szCs w:val="14"/>
                <w:color w:val="auto"/>
              </w:rPr>
            </w:pPr>
          </w:p>
        </w:tc>
        <w:tc>
          <w:tcPr>
            <w:tcW w:w="740" w:type="dxa"/>
            <w:vAlign w:val="bottom"/>
          </w:tcPr>
          <w:p>
            <w:pPr>
              <w:jc w:val="center"/>
              <w:ind w:right="203"/>
              <w:spacing w:after="0"/>
              <w:rPr>
                <w:sz w:val="20"/>
                <w:szCs w:val="20"/>
                <w:color w:val="auto"/>
              </w:rPr>
            </w:pPr>
            <w:r>
              <w:rPr>
                <w:rFonts w:ascii="Arial" w:cs="Arial" w:eastAsia="Arial" w:hAnsi="Arial"/>
                <w:sz w:val="14"/>
                <w:szCs w:val="14"/>
                <w:b w:val="1"/>
                <w:bCs w:val="1"/>
                <w:color w:val="E2231A"/>
              </w:rPr>
              <w:t>on</w:t>
            </w:r>
          </w:p>
        </w:tc>
        <w:tc>
          <w:tcPr>
            <w:tcW w:w="1360" w:type="dxa"/>
            <w:vAlign w:val="bottom"/>
          </w:tcPr>
          <w:p>
            <w:pPr>
              <w:jc w:val="right"/>
              <w:ind w:right="325"/>
              <w:spacing w:after="0"/>
              <w:rPr>
                <w:sz w:val="20"/>
                <w:szCs w:val="20"/>
                <w:color w:val="auto"/>
              </w:rPr>
            </w:pPr>
            <w:r>
              <w:rPr>
                <w:rFonts w:ascii="Arial" w:cs="Arial" w:eastAsia="Arial" w:hAnsi="Arial"/>
                <w:sz w:val="14"/>
                <w:szCs w:val="14"/>
                <w:b w:val="1"/>
                <w:bCs w:val="1"/>
                <w:color w:val="E2231A"/>
              </w:rPr>
              <w:t>(2018-2020</w:t>
            </w:r>
          </w:p>
        </w:tc>
        <w:tc>
          <w:tcPr>
            <w:tcW w:w="162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E2231A"/>
              </w:rPr>
              <w:t>(2018-2020</w:t>
            </w: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E2231A"/>
              </w:rPr>
              <w:t>Performance</w:t>
            </w:r>
          </w:p>
        </w:tc>
      </w:tr>
      <w:tr>
        <w:trPr>
          <w:trHeight w:val="189"/>
        </w:trPr>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Vesting</w:t>
            </w:r>
          </w:p>
        </w:tc>
        <w:tc>
          <w:tcPr>
            <w:tcW w:w="90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E2231A"/>
              </w:rPr>
              <w:t>Vesting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Vesting</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13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E2231A"/>
              </w:rPr>
              <w:t>Awards)</w:t>
            </w:r>
          </w:p>
        </w:tc>
        <w:tc>
          <w:tcPr>
            <w:tcW w:w="1620" w:type="dxa"/>
            <w:vAlign w:val="bottom"/>
            <w:tcBorders>
              <w:bottom w:val="single" w:sz="8" w:color="auto"/>
            </w:tcBorders>
            <w:gridSpan w:val="2"/>
          </w:tcPr>
          <w:p>
            <w:pPr>
              <w:jc w:val="center"/>
              <w:ind w:right="22"/>
              <w:spacing w:after="0"/>
              <w:rPr>
                <w:sz w:val="20"/>
                <w:szCs w:val="20"/>
                <w:color w:val="auto"/>
              </w:rPr>
            </w:pPr>
            <w:r>
              <w:rPr>
                <w:rFonts w:ascii="Arial" w:cs="Arial" w:eastAsia="Arial" w:hAnsi="Arial"/>
                <w:sz w:val="14"/>
                <w:szCs w:val="14"/>
                <w:b w:val="1"/>
                <w:bCs w:val="1"/>
                <w:color w:val="E2231A"/>
              </w:rPr>
              <w:t>Awards)</w:t>
            </w:r>
          </w:p>
        </w:tc>
        <w:tc>
          <w:tcPr>
            <w:tcW w:w="17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E2231A"/>
              </w:rPr>
              <w:t>Share Value</w:t>
            </w:r>
          </w:p>
        </w:tc>
      </w:tr>
      <w:tr>
        <w:trPr>
          <w:trHeight w:val="22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w w:val="99"/>
              </w:rPr>
              <w:t>Raymond</w:t>
            </w:r>
          </w:p>
        </w:tc>
        <w:tc>
          <w:tcPr>
            <w:tcW w:w="940" w:type="dxa"/>
            <w:vAlign w:val="bottom"/>
            <w:shd w:val="clear" w:color="auto" w:fill="FCE9E8"/>
          </w:tcPr>
          <w:p>
            <w:pPr>
              <w:spacing w:after="0"/>
              <w:rPr>
                <w:sz w:val="19"/>
                <w:szCs w:val="19"/>
                <w:color w:val="auto"/>
              </w:rPr>
            </w:pPr>
          </w:p>
        </w:tc>
        <w:tc>
          <w:tcPr>
            <w:tcW w:w="160" w:type="dxa"/>
            <w:vAlign w:val="bottom"/>
            <w:shd w:val="clear" w:color="auto" w:fill="FCE9E8"/>
          </w:tcPr>
          <w:p>
            <w:pPr>
              <w:spacing w:after="0"/>
              <w:rPr>
                <w:sz w:val="19"/>
                <w:szCs w:val="19"/>
                <w:color w:val="auto"/>
              </w:rPr>
            </w:pPr>
          </w:p>
        </w:tc>
        <w:tc>
          <w:tcPr>
            <w:tcW w:w="740" w:type="dxa"/>
            <w:vAlign w:val="bottom"/>
            <w:shd w:val="clear" w:color="auto" w:fill="FCE9E8"/>
          </w:tcPr>
          <w:p>
            <w:pPr>
              <w:spacing w:after="0"/>
              <w:rPr>
                <w:sz w:val="19"/>
                <w:szCs w:val="19"/>
                <w:color w:val="auto"/>
              </w:rPr>
            </w:pPr>
          </w:p>
        </w:tc>
        <w:tc>
          <w:tcPr>
            <w:tcW w:w="1020" w:type="dxa"/>
            <w:vAlign w:val="bottom"/>
            <w:shd w:val="clear" w:color="auto" w:fill="FCE9E8"/>
          </w:tcPr>
          <w:p>
            <w:pPr>
              <w:spacing w:after="0"/>
              <w:rPr>
                <w:sz w:val="19"/>
                <w:szCs w:val="19"/>
                <w:color w:val="auto"/>
              </w:rPr>
            </w:pPr>
          </w:p>
        </w:tc>
        <w:tc>
          <w:tcPr>
            <w:tcW w:w="260" w:type="dxa"/>
            <w:vAlign w:val="bottom"/>
            <w:shd w:val="clear" w:color="auto" w:fill="FCE9E8"/>
          </w:tcPr>
          <w:p>
            <w:pPr>
              <w:spacing w:after="0"/>
              <w:rPr>
                <w:sz w:val="19"/>
                <w:szCs w:val="19"/>
                <w:color w:val="auto"/>
              </w:rPr>
            </w:pPr>
          </w:p>
        </w:tc>
        <w:tc>
          <w:tcPr>
            <w:tcW w:w="740" w:type="dxa"/>
            <w:vAlign w:val="bottom"/>
            <w:shd w:val="clear" w:color="auto" w:fill="FCE9E8"/>
          </w:tcPr>
          <w:p>
            <w:pPr>
              <w:spacing w:after="0"/>
              <w:rPr>
                <w:sz w:val="19"/>
                <w:szCs w:val="19"/>
                <w:color w:val="auto"/>
              </w:rPr>
            </w:pPr>
          </w:p>
        </w:tc>
        <w:tc>
          <w:tcPr>
            <w:tcW w:w="1360" w:type="dxa"/>
            <w:vAlign w:val="bottom"/>
            <w:shd w:val="clear" w:color="auto" w:fill="FCE9E8"/>
          </w:tcPr>
          <w:p>
            <w:pPr>
              <w:spacing w:after="0"/>
              <w:rPr>
                <w:sz w:val="19"/>
                <w:szCs w:val="19"/>
                <w:color w:val="auto"/>
              </w:rPr>
            </w:pPr>
          </w:p>
        </w:tc>
        <w:tc>
          <w:tcPr>
            <w:tcW w:w="500" w:type="dxa"/>
            <w:vAlign w:val="bottom"/>
            <w:shd w:val="clear" w:color="auto" w:fill="FCE9E8"/>
          </w:tcPr>
          <w:p>
            <w:pPr>
              <w:spacing w:after="0"/>
              <w:rPr>
                <w:sz w:val="19"/>
                <w:szCs w:val="19"/>
                <w:color w:val="auto"/>
              </w:rPr>
            </w:pPr>
          </w:p>
        </w:tc>
        <w:tc>
          <w:tcPr>
            <w:tcW w:w="1120" w:type="dxa"/>
            <w:vAlign w:val="bottom"/>
            <w:shd w:val="clear" w:color="auto" w:fill="FCE9E8"/>
          </w:tcPr>
          <w:p>
            <w:pPr>
              <w:spacing w:after="0"/>
              <w:rPr>
                <w:sz w:val="19"/>
                <w:szCs w:val="19"/>
                <w:color w:val="auto"/>
              </w:rPr>
            </w:pPr>
          </w:p>
        </w:tc>
        <w:tc>
          <w:tcPr>
            <w:tcW w:w="520" w:type="dxa"/>
            <w:vAlign w:val="bottom"/>
            <w:shd w:val="clear" w:color="auto" w:fill="FCE9E8"/>
          </w:tcPr>
          <w:p>
            <w:pPr>
              <w:spacing w:after="0"/>
              <w:rPr>
                <w:sz w:val="19"/>
                <w:szCs w:val="19"/>
                <w:color w:val="auto"/>
              </w:rPr>
            </w:pPr>
          </w:p>
        </w:tc>
        <w:tc>
          <w:tcPr>
            <w:tcW w:w="1180" w:type="dxa"/>
            <w:vAlign w:val="bottom"/>
            <w:shd w:val="clear" w:color="auto" w:fill="FCE9E8"/>
          </w:tcPr>
          <w:p>
            <w:pPr>
              <w:spacing w:after="0"/>
              <w:rPr>
                <w:sz w:val="19"/>
                <w:szCs w:val="19"/>
                <w:color w:val="auto"/>
              </w:rPr>
            </w:pPr>
          </w:p>
        </w:tc>
      </w:tr>
      <w:tr>
        <w:trPr>
          <w:trHeight w:val="235"/>
        </w:trPr>
        <w:tc>
          <w:tcPr>
            <w:tcW w:w="7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E. Scott</w:t>
            </w:r>
          </w:p>
        </w:tc>
        <w:tc>
          <w:tcPr>
            <w:tcW w:w="940" w:type="dxa"/>
            <w:vAlign w:val="bottom"/>
            <w:tcBorders>
              <w:bottom w:val="single" w:sz="8" w:color="FCE9E8"/>
            </w:tcBorders>
            <w:shd w:val="clear" w:color="auto" w:fill="FCE9E8"/>
          </w:tcPr>
          <w:p>
            <w:pPr>
              <w:jc w:val="right"/>
              <w:ind w:right="64"/>
              <w:spacing w:after="0"/>
              <w:rPr>
                <w:sz w:val="20"/>
                <w:szCs w:val="20"/>
                <w:color w:val="auto"/>
              </w:rPr>
            </w:pPr>
            <w:r>
              <w:rPr>
                <w:rFonts w:ascii="Arial" w:cs="Arial" w:eastAsia="Arial" w:hAnsi="Arial"/>
                <w:sz w:val="16"/>
                <w:szCs w:val="16"/>
                <w:color w:val="auto"/>
              </w:rPr>
              <w:t>4,488</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62"/>
              <w:spacing w:after="0"/>
              <w:rPr>
                <w:sz w:val="20"/>
                <w:szCs w:val="20"/>
                <w:color w:val="auto"/>
              </w:rPr>
            </w:pPr>
            <w:r>
              <w:rPr>
                <w:rFonts w:ascii="Arial" w:cs="Arial" w:eastAsia="Arial" w:hAnsi="Arial"/>
                <w:sz w:val="16"/>
                <w:szCs w:val="16"/>
                <w:color w:val="auto"/>
              </w:rPr>
              <w:t>614,093</w:t>
            </w:r>
          </w:p>
        </w:tc>
        <w:tc>
          <w:tcPr>
            <w:tcW w:w="1020" w:type="dxa"/>
            <w:vAlign w:val="bottom"/>
            <w:tcBorders>
              <w:bottom w:val="single" w:sz="8" w:color="FCE9E8"/>
            </w:tcBorders>
            <w:shd w:val="clear" w:color="auto" w:fill="FCE9E8"/>
          </w:tcPr>
          <w:p>
            <w:pPr>
              <w:jc w:val="right"/>
              <w:ind w:right="204"/>
              <w:spacing w:after="0"/>
              <w:rPr>
                <w:sz w:val="20"/>
                <w:szCs w:val="20"/>
                <w:color w:val="auto"/>
              </w:rPr>
            </w:pPr>
            <w:r>
              <w:rPr>
                <w:rFonts w:ascii="Arial" w:cs="Arial" w:eastAsia="Arial" w:hAnsi="Arial"/>
                <w:sz w:val="16"/>
                <w:szCs w:val="16"/>
                <w:color w:val="auto"/>
              </w:rPr>
              <w:t>1,696</w:t>
            </w:r>
          </w:p>
        </w:tc>
        <w:tc>
          <w:tcPr>
            <w:tcW w:w="2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FCE9E8"/>
            </w:tcBorders>
            <w:shd w:val="clear" w:color="auto" w:fill="FCE9E8"/>
          </w:tcPr>
          <w:p>
            <w:pPr>
              <w:jc w:val="right"/>
              <w:ind w:right="63"/>
              <w:spacing w:after="0"/>
              <w:rPr>
                <w:sz w:val="20"/>
                <w:szCs w:val="20"/>
                <w:color w:val="auto"/>
              </w:rPr>
            </w:pPr>
            <w:r>
              <w:rPr>
                <w:rFonts w:ascii="Arial" w:cs="Arial" w:eastAsia="Arial" w:hAnsi="Arial"/>
                <w:sz w:val="16"/>
                <w:szCs w:val="16"/>
                <w:color w:val="auto"/>
              </w:rPr>
              <w:t>236,049</w:t>
            </w:r>
          </w:p>
        </w:tc>
        <w:tc>
          <w:tcPr>
            <w:tcW w:w="1360" w:type="dxa"/>
            <w:vAlign w:val="bottom"/>
            <w:tcBorders>
              <w:bottom w:val="single" w:sz="8" w:color="FCE9E8"/>
            </w:tcBorders>
            <w:shd w:val="clear" w:color="auto" w:fill="FCE9E8"/>
          </w:tcPr>
          <w:p>
            <w:pPr>
              <w:jc w:val="right"/>
              <w:ind w:right="445"/>
              <w:spacing w:after="0"/>
              <w:rPr>
                <w:sz w:val="20"/>
                <w:szCs w:val="20"/>
                <w:color w:val="auto"/>
              </w:rPr>
            </w:pPr>
            <w:r>
              <w:rPr>
                <w:rFonts w:ascii="Arial" w:cs="Arial" w:eastAsia="Arial" w:hAnsi="Arial"/>
                <w:sz w:val="16"/>
                <w:szCs w:val="16"/>
                <w:color w:val="auto"/>
              </w:rPr>
              <w:t>5,920</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CE9E8"/>
            </w:tcBorders>
            <w:shd w:val="clear" w:color="auto" w:fill="FCE9E8"/>
          </w:tcPr>
          <w:p>
            <w:pPr>
              <w:jc w:val="right"/>
              <w:ind w:right="442"/>
              <w:spacing w:after="0"/>
              <w:rPr>
                <w:sz w:val="20"/>
                <w:szCs w:val="20"/>
                <w:color w:val="auto"/>
              </w:rPr>
            </w:pPr>
            <w:r>
              <w:rPr>
                <w:rFonts w:ascii="Arial" w:cs="Arial" w:eastAsia="Arial" w:hAnsi="Arial"/>
                <w:sz w:val="16"/>
                <w:szCs w:val="16"/>
                <w:color w:val="auto"/>
              </w:rPr>
              <w:t>959,040</w:t>
            </w:r>
          </w:p>
        </w:tc>
        <w:tc>
          <w:tcPr>
            <w:tcW w:w="52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FCE9E8"/>
            </w:tcBorders>
            <w:shd w:val="clear" w:color="auto" w:fill="FCE9E8"/>
          </w:tcPr>
          <w:p>
            <w:pPr>
              <w:jc w:val="right"/>
              <w:ind w:right="361"/>
              <w:spacing w:after="0"/>
              <w:rPr>
                <w:sz w:val="20"/>
                <w:szCs w:val="20"/>
                <w:color w:val="auto"/>
              </w:rPr>
            </w:pPr>
            <w:r>
              <w:rPr>
                <w:rFonts w:ascii="Arial" w:cs="Arial" w:eastAsia="Arial" w:hAnsi="Arial"/>
                <w:sz w:val="16"/>
                <w:szCs w:val="16"/>
                <w:color w:val="auto"/>
              </w:rPr>
              <w:t>1,809,182</w:t>
            </w:r>
          </w:p>
        </w:tc>
      </w:tr>
      <w:tr>
        <w:trPr>
          <w:trHeight w:val="245"/>
        </w:trPr>
        <w:tc>
          <w:tcPr>
            <w:tcW w:w="780" w:type="dxa"/>
            <w:vAlign w:val="bottom"/>
          </w:tcPr>
          <w:p>
            <w:pPr>
              <w:ind w:left="80"/>
              <w:spacing w:after="0"/>
              <w:rPr>
                <w:sz w:val="20"/>
                <w:szCs w:val="20"/>
                <w:color w:val="auto"/>
              </w:rPr>
            </w:pPr>
            <w:r>
              <w:rPr>
                <w:rFonts w:ascii="Arial" w:cs="Arial" w:eastAsia="Arial" w:hAnsi="Arial"/>
                <w:sz w:val="16"/>
                <w:szCs w:val="16"/>
                <w:color w:val="auto"/>
              </w:rPr>
              <w:t>Jason M.</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95"/>
        </w:trPr>
        <w:tc>
          <w:tcPr>
            <w:tcW w:w="780" w:type="dxa"/>
            <w:vAlign w:val="bottom"/>
          </w:tcPr>
          <w:p>
            <w:pPr>
              <w:ind w:left="80"/>
              <w:spacing w:after="0"/>
              <w:rPr>
                <w:sz w:val="20"/>
                <w:szCs w:val="20"/>
                <w:color w:val="auto"/>
              </w:rPr>
            </w:pPr>
            <w:r>
              <w:rPr>
                <w:rFonts w:ascii="Arial" w:cs="Arial" w:eastAsia="Arial" w:hAnsi="Arial"/>
                <w:sz w:val="16"/>
                <w:szCs w:val="16"/>
                <w:color w:val="auto"/>
              </w:rPr>
              <w:t>Cardew</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1,043</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2"/>
              <w:spacing w:after="0"/>
              <w:rPr>
                <w:sz w:val="20"/>
                <w:szCs w:val="20"/>
                <w:color w:val="auto"/>
              </w:rPr>
            </w:pPr>
            <w:r>
              <w:rPr>
                <w:rFonts w:ascii="Arial" w:cs="Arial" w:eastAsia="Arial" w:hAnsi="Arial"/>
                <w:sz w:val="16"/>
                <w:szCs w:val="16"/>
                <w:color w:val="auto"/>
              </w:rPr>
              <w:t>142,714</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480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3"/>
              <w:spacing w:after="0"/>
              <w:rPr>
                <w:sz w:val="20"/>
                <w:szCs w:val="20"/>
                <w:color w:val="auto"/>
              </w:rPr>
            </w:pPr>
            <w:r>
              <w:rPr>
                <w:rFonts w:ascii="Arial" w:cs="Arial" w:eastAsia="Arial" w:hAnsi="Arial"/>
                <w:sz w:val="16"/>
                <w:szCs w:val="16"/>
                <w:color w:val="auto"/>
              </w:rPr>
              <w:t>66,806</w:t>
            </w:r>
          </w:p>
        </w:tc>
        <w:tc>
          <w:tcPr>
            <w:tcW w:w="1360" w:type="dxa"/>
            <w:vAlign w:val="bottom"/>
          </w:tcPr>
          <w:p>
            <w:pPr>
              <w:jc w:val="right"/>
              <w:ind w:right="445"/>
              <w:spacing w:after="0"/>
              <w:rPr>
                <w:sz w:val="20"/>
                <w:szCs w:val="20"/>
                <w:color w:val="auto"/>
              </w:rPr>
            </w:pPr>
            <w:r>
              <w:rPr>
                <w:rFonts w:ascii="Arial" w:cs="Arial" w:eastAsia="Arial" w:hAnsi="Arial"/>
                <w:sz w:val="16"/>
                <w:szCs w:val="16"/>
                <w:color w:val="auto"/>
              </w:rPr>
              <w:t>551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2"/>
              <w:spacing w:after="0"/>
              <w:rPr>
                <w:sz w:val="20"/>
                <w:szCs w:val="20"/>
                <w:color w:val="auto"/>
              </w:rPr>
            </w:pPr>
            <w:r>
              <w:rPr>
                <w:rFonts w:ascii="Arial" w:cs="Arial" w:eastAsia="Arial" w:hAnsi="Arial"/>
                <w:sz w:val="16"/>
                <w:szCs w:val="16"/>
                <w:color w:val="auto"/>
              </w:rPr>
              <w:t>89,262</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61"/>
              <w:spacing w:after="0"/>
              <w:rPr>
                <w:sz w:val="20"/>
                <w:szCs w:val="20"/>
                <w:color w:val="auto"/>
              </w:rPr>
            </w:pPr>
            <w:r>
              <w:rPr>
                <w:rFonts w:ascii="Arial" w:cs="Arial" w:eastAsia="Arial" w:hAnsi="Arial"/>
                <w:sz w:val="16"/>
                <w:szCs w:val="16"/>
                <w:color w:val="auto"/>
              </w:rPr>
              <w:t>298,782</w:t>
            </w:r>
          </w:p>
        </w:tc>
      </w:tr>
      <w:tr>
        <w:trPr>
          <w:trHeight w:val="60"/>
        </w:trPr>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4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w:t>
            </w:r>
          </w:p>
        </w:tc>
        <w:tc>
          <w:tcPr>
            <w:tcW w:w="940" w:type="dxa"/>
            <w:vAlign w:val="bottom"/>
            <w:shd w:val="clear" w:color="auto" w:fill="FCE9E8"/>
          </w:tcPr>
          <w:p>
            <w:pPr>
              <w:spacing w:after="0"/>
              <w:rPr>
                <w:sz w:val="21"/>
                <w:szCs w:val="21"/>
                <w:color w:val="auto"/>
              </w:rPr>
            </w:pPr>
          </w:p>
        </w:tc>
        <w:tc>
          <w:tcPr>
            <w:tcW w:w="160" w:type="dxa"/>
            <w:vAlign w:val="bottom"/>
            <w:shd w:val="clear" w:color="auto" w:fill="FCE9E8"/>
          </w:tcPr>
          <w:p>
            <w:pPr>
              <w:spacing w:after="0"/>
              <w:rPr>
                <w:sz w:val="21"/>
                <w:szCs w:val="21"/>
                <w:color w:val="auto"/>
              </w:rPr>
            </w:pPr>
          </w:p>
        </w:tc>
        <w:tc>
          <w:tcPr>
            <w:tcW w:w="740" w:type="dxa"/>
            <w:vAlign w:val="bottom"/>
            <w:shd w:val="clear" w:color="auto" w:fill="FCE9E8"/>
          </w:tcPr>
          <w:p>
            <w:pPr>
              <w:spacing w:after="0"/>
              <w:rPr>
                <w:sz w:val="21"/>
                <w:szCs w:val="21"/>
                <w:color w:val="auto"/>
              </w:rPr>
            </w:pPr>
          </w:p>
        </w:tc>
        <w:tc>
          <w:tcPr>
            <w:tcW w:w="1020" w:type="dxa"/>
            <w:vAlign w:val="bottom"/>
            <w:shd w:val="clear" w:color="auto" w:fill="FCE9E8"/>
          </w:tcPr>
          <w:p>
            <w:pPr>
              <w:spacing w:after="0"/>
              <w:rPr>
                <w:sz w:val="21"/>
                <w:szCs w:val="21"/>
                <w:color w:val="auto"/>
              </w:rPr>
            </w:pPr>
          </w:p>
        </w:tc>
        <w:tc>
          <w:tcPr>
            <w:tcW w:w="260" w:type="dxa"/>
            <w:vAlign w:val="bottom"/>
            <w:shd w:val="clear" w:color="auto" w:fill="FCE9E8"/>
          </w:tcPr>
          <w:p>
            <w:pPr>
              <w:spacing w:after="0"/>
              <w:rPr>
                <w:sz w:val="21"/>
                <w:szCs w:val="21"/>
                <w:color w:val="auto"/>
              </w:rPr>
            </w:pPr>
          </w:p>
        </w:tc>
        <w:tc>
          <w:tcPr>
            <w:tcW w:w="740" w:type="dxa"/>
            <w:vAlign w:val="bottom"/>
            <w:shd w:val="clear" w:color="auto" w:fill="FCE9E8"/>
          </w:tcPr>
          <w:p>
            <w:pPr>
              <w:spacing w:after="0"/>
              <w:rPr>
                <w:sz w:val="21"/>
                <w:szCs w:val="21"/>
                <w:color w:val="auto"/>
              </w:rPr>
            </w:pPr>
          </w:p>
        </w:tc>
        <w:tc>
          <w:tcPr>
            <w:tcW w:w="1360" w:type="dxa"/>
            <w:vAlign w:val="bottom"/>
            <w:shd w:val="clear" w:color="auto" w:fill="FCE9E8"/>
          </w:tcPr>
          <w:p>
            <w:pPr>
              <w:spacing w:after="0"/>
              <w:rPr>
                <w:sz w:val="21"/>
                <w:szCs w:val="21"/>
                <w:color w:val="auto"/>
              </w:rPr>
            </w:pPr>
          </w:p>
        </w:tc>
        <w:tc>
          <w:tcPr>
            <w:tcW w:w="500" w:type="dxa"/>
            <w:vAlign w:val="bottom"/>
            <w:shd w:val="clear" w:color="auto" w:fill="FCE9E8"/>
          </w:tcPr>
          <w:p>
            <w:pPr>
              <w:spacing w:after="0"/>
              <w:rPr>
                <w:sz w:val="21"/>
                <w:szCs w:val="21"/>
                <w:color w:val="auto"/>
              </w:rPr>
            </w:pPr>
          </w:p>
        </w:tc>
        <w:tc>
          <w:tcPr>
            <w:tcW w:w="1120" w:type="dxa"/>
            <w:vAlign w:val="bottom"/>
            <w:shd w:val="clear" w:color="auto" w:fill="FCE9E8"/>
          </w:tcPr>
          <w:p>
            <w:pPr>
              <w:spacing w:after="0"/>
              <w:rPr>
                <w:sz w:val="21"/>
                <w:szCs w:val="21"/>
                <w:color w:val="auto"/>
              </w:rPr>
            </w:pPr>
          </w:p>
        </w:tc>
        <w:tc>
          <w:tcPr>
            <w:tcW w:w="520" w:type="dxa"/>
            <w:vAlign w:val="bottom"/>
            <w:shd w:val="clear" w:color="auto" w:fill="FCE9E8"/>
          </w:tcPr>
          <w:p>
            <w:pPr>
              <w:spacing w:after="0"/>
              <w:rPr>
                <w:sz w:val="21"/>
                <w:szCs w:val="21"/>
                <w:color w:val="auto"/>
              </w:rPr>
            </w:pPr>
          </w:p>
        </w:tc>
        <w:tc>
          <w:tcPr>
            <w:tcW w:w="1180" w:type="dxa"/>
            <w:vAlign w:val="bottom"/>
            <w:shd w:val="clear" w:color="auto" w:fill="FCE9E8"/>
          </w:tcPr>
          <w:p>
            <w:pPr>
              <w:spacing w:after="0"/>
              <w:rPr>
                <w:sz w:val="21"/>
                <w:szCs w:val="21"/>
                <w:color w:val="auto"/>
              </w:rPr>
            </w:pPr>
          </w:p>
        </w:tc>
      </w:tr>
      <w:tr>
        <w:trPr>
          <w:trHeight w:val="19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Orsini</w:t>
            </w:r>
          </w:p>
        </w:tc>
        <w:tc>
          <w:tcPr>
            <w:tcW w:w="940" w:type="dxa"/>
            <w:vAlign w:val="bottom"/>
            <w:shd w:val="clear" w:color="auto" w:fill="FCE9E8"/>
          </w:tcPr>
          <w:p>
            <w:pPr>
              <w:jc w:val="right"/>
              <w:ind w:right="64"/>
              <w:spacing w:after="0"/>
              <w:rPr>
                <w:sz w:val="20"/>
                <w:szCs w:val="20"/>
                <w:color w:val="auto"/>
              </w:rPr>
            </w:pPr>
            <w:r>
              <w:rPr>
                <w:rFonts w:ascii="Arial" w:cs="Arial" w:eastAsia="Arial" w:hAnsi="Arial"/>
                <w:sz w:val="16"/>
                <w:szCs w:val="16"/>
                <w:color w:val="auto"/>
              </w:rPr>
              <w:t>3,671</w:t>
            </w: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CE9E8"/>
          </w:tcPr>
          <w:p>
            <w:pPr>
              <w:jc w:val="right"/>
              <w:ind w:right="62"/>
              <w:spacing w:after="0"/>
              <w:rPr>
                <w:sz w:val="20"/>
                <w:szCs w:val="20"/>
                <w:color w:val="auto"/>
              </w:rPr>
            </w:pPr>
            <w:r>
              <w:rPr>
                <w:rFonts w:ascii="Arial" w:cs="Arial" w:eastAsia="Arial" w:hAnsi="Arial"/>
                <w:sz w:val="16"/>
                <w:szCs w:val="16"/>
                <w:color w:val="auto"/>
              </w:rPr>
              <w:t>502,303</w:t>
            </w:r>
          </w:p>
        </w:tc>
        <w:tc>
          <w:tcPr>
            <w:tcW w:w="1020" w:type="dxa"/>
            <w:vAlign w:val="bottom"/>
            <w:shd w:val="clear" w:color="auto" w:fill="FCE9E8"/>
          </w:tcPr>
          <w:p>
            <w:pPr>
              <w:jc w:val="right"/>
              <w:ind w:right="204"/>
              <w:spacing w:after="0"/>
              <w:rPr>
                <w:sz w:val="20"/>
                <w:szCs w:val="20"/>
                <w:color w:val="auto"/>
              </w:rPr>
            </w:pPr>
            <w:r>
              <w:rPr>
                <w:rFonts w:ascii="Arial" w:cs="Arial" w:eastAsia="Arial" w:hAnsi="Arial"/>
                <w:sz w:val="16"/>
                <w:szCs w:val="16"/>
                <w:color w:val="auto"/>
              </w:rPr>
              <w:t>1,130</w:t>
            </w:r>
          </w:p>
        </w:tc>
        <w:tc>
          <w:tcPr>
            <w:tcW w:w="2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FCE9E8"/>
          </w:tcPr>
          <w:p>
            <w:pPr>
              <w:jc w:val="right"/>
              <w:ind w:right="63"/>
              <w:spacing w:after="0"/>
              <w:rPr>
                <w:sz w:val="20"/>
                <w:szCs w:val="20"/>
                <w:color w:val="auto"/>
              </w:rPr>
            </w:pPr>
            <w:r>
              <w:rPr>
                <w:rFonts w:ascii="Arial" w:cs="Arial" w:eastAsia="Arial" w:hAnsi="Arial"/>
                <w:sz w:val="16"/>
                <w:szCs w:val="16"/>
                <w:color w:val="auto"/>
              </w:rPr>
              <w:t>157,273</w:t>
            </w:r>
          </w:p>
        </w:tc>
        <w:tc>
          <w:tcPr>
            <w:tcW w:w="1360" w:type="dxa"/>
            <w:vAlign w:val="bottom"/>
            <w:shd w:val="clear" w:color="auto" w:fill="FCE9E8"/>
          </w:tcPr>
          <w:p>
            <w:pPr>
              <w:jc w:val="right"/>
              <w:ind w:right="445"/>
              <w:spacing w:after="0"/>
              <w:rPr>
                <w:sz w:val="20"/>
                <w:szCs w:val="20"/>
                <w:color w:val="auto"/>
              </w:rPr>
            </w:pPr>
            <w:r>
              <w:rPr>
                <w:rFonts w:ascii="Arial" w:cs="Arial" w:eastAsia="Arial" w:hAnsi="Arial"/>
                <w:sz w:val="16"/>
                <w:szCs w:val="16"/>
                <w:color w:val="auto"/>
              </w:rPr>
              <w:t>2,096</w:t>
            </w:r>
          </w:p>
        </w:tc>
        <w:tc>
          <w:tcPr>
            <w:tcW w:w="5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339,552</w:t>
            </w:r>
          </w:p>
        </w:tc>
        <w:tc>
          <w:tcPr>
            <w:tcW w:w="520" w:type="dxa"/>
            <w:vAlign w:val="bottom"/>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999,128</w:t>
            </w:r>
          </w:p>
        </w:tc>
      </w:tr>
      <w:tr>
        <w:trPr>
          <w:trHeight w:val="60"/>
        </w:trPr>
        <w:tc>
          <w:tcPr>
            <w:tcW w:w="780" w:type="dxa"/>
            <w:vAlign w:val="bottom"/>
            <w:shd w:val="clear" w:color="auto" w:fill="FCE9E8"/>
          </w:tcPr>
          <w:p>
            <w:pPr>
              <w:spacing w:after="0"/>
              <w:rPr>
                <w:sz w:val="5"/>
                <w:szCs w:val="5"/>
                <w:color w:val="auto"/>
              </w:rPr>
            </w:pPr>
          </w:p>
        </w:tc>
        <w:tc>
          <w:tcPr>
            <w:tcW w:w="940" w:type="dxa"/>
            <w:vAlign w:val="bottom"/>
            <w:shd w:val="clear" w:color="auto" w:fill="FCE9E8"/>
          </w:tcPr>
          <w:p>
            <w:pPr>
              <w:spacing w:after="0"/>
              <w:rPr>
                <w:sz w:val="5"/>
                <w:szCs w:val="5"/>
                <w:color w:val="auto"/>
              </w:rPr>
            </w:pPr>
          </w:p>
        </w:tc>
        <w:tc>
          <w:tcPr>
            <w:tcW w:w="160" w:type="dxa"/>
            <w:vAlign w:val="bottom"/>
            <w:shd w:val="clear" w:color="auto" w:fill="FCE9E8"/>
          </w:tcPr>
          <w:p>
            <w:pPr>
              <w:spacing w:after="0"/>
              <w:rPr>
                <w:sz w:val="5"/>
                <w:szCs w:val="5"/>
                <w:color w:val="auto"/>
              </w:rPr>
            </w:pPr>
          </w:p>
        </w:tc>
        <w:tc>
          <w:tcPr>
            <w:tcW w:w="740" w:type="dxa"/>
            <w:vAlign w:val="bottom"/>
            <w:shd w:val="clear" w:color="auto" w:fill="FCE9E8"/>
          </w:tcPr>
          <w:p>
            <w:pPr>
              <w:spacing w:after="0"/>
              <w:rPr>
                <w:sz w:val="5"/>
                <w:szCs w:val="5"/>
                <w:color w:val="auto"/>
              </w:rPr>
            </w:pPr>
          </w:p>
        </w:tc>
        <w:tc>
          <w:tcPr>
            <w:tcW w:w="1020" w:type="dxa"/>
            <w:vAlign w:val="bottom"/>
            <w:shd w:val="clear" w:color="auto" w:fill="FCE9E8"/>
          </w:tcPr>
          <w:p>
            <w:pPr>
              <w:spacing w:after="0"/>
              <w:rPr>
                <w:sz w:val="5"/>
                <w:szCs w:val="5"/>
                <w:color w:val="auto"/>
              </w:rPr>
            </w:pPr>
          </w:p>
        </w:tc>
        <w:tc>
          <w:tcPr>
            <w:tcW w:w="260" w:type="dxa"/>
            <w:vAlign w:val="bottom"/>
            <w:shd w:val="clear" w:color="auto" w:fill="FCE9E8"/>
          </w:tcPr>
          <w:p>
            <w:pPr>
              <w:spacing w:after="0"/>
              <w:rPr>
                <w:sz w:val="5"/>
                <w:szCs w:val="5"/>
                <w:color w:val="auto"/>
              </w:rPr>
            </w:pPr>
          </w:p>
        </w:tc>
        <w:tc>
          <w:tcPr>
            <w:tcW w:w="740" w:type="dxa"/>
            <w:vAlign w:val="bottom"/>
            <w:shd w:val="clear" w:color="auto" w:fill="FCE9E8"/>
          </w:tcPr>
          <w:p>
            <w:pPr>
              <w:spacing w:after="0"/>
              <w:rPr>
                <w:sz w:val="5"/>
                <w:szCs w:val="5"/>
                <w:color w:val="auto"/>
              </w:rPr>
            </w:pPr>
          </w:p>
        </w:tc>
        <w:tc>
          <w:tcPr>
            <w:tcW w:w="1360" w:type="dxa"/>
            <w:vAlign w:val="bottom"/>
            <w:shd w:val="clear" w:color="auto" w:fill="FCE9E8"/>
          </w:tcPr>
          <w:p>
            <w:pPr>
              <w:spacing w:after="0"/>
              <w:rPr>
                <w:sz w:val="5"/>
                <w:szCs w:val="5"/>
                <w:color w:val="auto"/>
              </w:rPr>
            </w:pPr>
          </w:p>
        </w:tc>
        <w:tc>
          <w:tcPr>
            <w:tcW w:w="500" w:type="dxa"/>
            <w:vAlign w:val="bottom"/>
            <w:shd w:val="clear" w:color="auto" w:fill="FCE9E8"/>
          </w:tcPr>
          <w:p>
            <w:pPr>
              <w:spacing w:after="0"/>
              <w:rPr>
                <w:sz w:val="5"/>
                <w:szCs w:val="5"/>
                <w:color w:val="auto"/>
              </w:rPr>
            </w:pPr>
          </w:p>
        </w:tc>
        <w:tc>
          <w:tcPr>
            <w:tcW w:w="1120" w:type="dxa"/>
            <w:vAlign w:val="bottom"/>
            <w:shd w:val="clear" w:color="auto" w:fill="FCE9E8"/>
          </w:tcPr>
          <w:p>
            <w:pPr>
              <w:spacing w:after="0"/>
              <w:rPr>
                <w:sz w:val="5"/>
                <w:szCs w:val="5"/>
                <w:color w:val="auto"/>
              </w:rPr>
            </w:pPr>
          </w:p>
        </w:tc>
        <w:tc>
          <w:tcPr>
            <w:tcW w:w="520" w:type="dxa"/>
            <w:vAlign w:val="bottom"/>
            <w:shd w:val="clear" w:color="auto" w:fill="FCE9E8"/>
          </w:tcPr>
          <w:p>
            <w:pPr>
              <w:spacing w:after="0"/>
              <w:rPr>
                <w:sz w:val="5"/>
                <w:szCs w:val="5"/>
                <w:color w:val="auto"/>
              </w:rPr>
            </w:pPr>
          </w:p>
        </w:tc>
        <w:tc>
          <w:tcPr>
            <w:tcW w:w="1180" w:type="dxa"/>
            <w:vAlign w:val="bottom"/>
            <w:shd w:val="clear" w:color="auto" w:fill="FCE9E8"/>
          </w:tcPr>
          <w:p>
            <w:pPr>
              <w:spacing w:after="0"/>
              <w:rPr>
                <w:sz w:val="5"/>
                <w:szCs w:val="5"/>
                <w:color w:val="auto"/>
              </w:rPr>
            </w:pPr>
          </w:p>
        </w:tc>
      </w:tr>
      <w:tr>
        <w:trPr>
          <w:trHeight w:val="245"/>
        </w:trPr>
        <w:tc>
          <w:tcPr>
            <w:tcW w:w="780" w:type="dxa"/>
            <w:vAlign w:val="bottom"/>
          </w:tcPr>
          <w:p>
            <w:pPr>
              <w:ind w:left="80"/>
              <w:spacing w:after="0"/>
              <w:rPr>
                <w:sz w:val="20"/>
                <w:szCs w:val="20"/>
                <w:color w:val="auto"/>
              </w:rPr>
            </w:pPr>
            <w:r>
              <w:rPr>
                <w:rFonts w:ascii="Arial" w:cs="Arial" w:eastAsia="Arial" w:hAnsi="Arial"/>
                <w:sz w:val="16"/>
                <w:szCs w:val="16"/>
                <w:color w:val="auto"/>
              </w:rPr>
              <w:t>Thomas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780" w:type="dxa"/>
            <w:vAlign w:val="bottom"/>
          </w:tcPr>
          <w:p>
            <w:pPr>
              <w:ind w:left="80"/>
              <w:spacing w:after="0"/>
              <w:rPr>
                <w:sz w:val="20"/>
                <w:szCs w:val="20"/>
                <w:color w:val="auto"/>
              </w:rPr>
            </w:pPr>
            <w:r>
              <w:rPr>
                <w:rFonts w:ascii="Arial" w:cs="Arial" w:eastAsia="Arial" w:hAnsi="Arial"/>
                <w:sz w:val="16"/>
                <w:szCs w:val="16"/>
                <w:color w:val="auto"/>
              </w:rPr>
              <w:t>A.</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780" w:type="dxa"/>
            <w:vAlign w:val="bottom"/>
          </w:tcPr>
          <w:p>
            <w:pPr>
              <w:ind w:left="80"/>
              <w:spacing w:after="0"/>
              <w:rPr>
                <w:sz w:val="20"/>
                <w:szCs w:val="20"/>
                <w:color w:val="auto"/>
              </w:rPr>
            </w:pPr>
            <w:r>
              <w:rPr>
                <w:rFonts w:ascii="Arial" w:cs="Arial" w:eastAsia="Arial" w:hAnsi="Arial"/>
                <w:sz w:val="16"/>
                <w:szCs w:val="16"/>
                <w:color w:val="auto"/>
              </w:rPr>
              <w:t>DiDonato</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3,173</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62"/>
              <w:spacing w:after="0"/>
              <w:rPr>
                <w:sz w:val="20"/>
                <w:szCs w:val="20"/>
                <w:color w:val="auto"/>
              </w:rPr>
            </w:pPr>
            <w:r>
              <w:rPr>
                <w:rFonts w:ascii="Arial" w:cs="Arial" w:eastAsia="Arial" w:hAnsi="Arial"/>
                <w:sz w:val="16"/>
                <w:szCs w:val="16"/>
                <w:color w:val="auto"/>
              </w:rPr>
              <w:t>434,162</w:t>
            </w:r>
          </w:p>
        </w:tc>
        <w:tc>
          <w:tcPr>
            <w:tcW w:w="1020" w:type="dxa"/>
            <w:vAlign w:val="bottom"/>
          </w:tcPr>
          <w:p>
            <w:pPr>
              <w:jc w:val="right"/>
              <w:ind w:right="204"/>
              <w:spacing w:after="0"/>
              <w:rPr>
                <w:sz w:val="20"/>
                <w:szCs w:val="20"/>
                <w:color w:val="auto"/>
              </w:rPr>
            </w:pPr>
            <w:r>
              <w:rPr>
                <w:rFonts w:ascii="Arial" w:cs="Arial" w:eastAsia="Arial" w:hAnsi="Arial"/>
                <w:sz w:val="16"/>
                <w:szCs w:val="16"/>
                <w:color w:val="auto"/>
              </w:rPr>
              <w:t>1,696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3"/>
              <w:spacing w:after="0"/>
              <w:rPr>
                <w:sz w:val="20"/>
                <w:szCs w:val="20"/>
                <w:color w:val="auto"/>
              </w:rPr>
            </w:pPr>
            <w:r>
              <w:rPr>
                <w:rFonts w:ascii="Arial" w:cs="Arial" w:eastAsia="Arial" w:hAnsi="Arial"/>
                <w:sz w:val="16"/>
                <w:szCs w:val="16"/>
                <w:color w:val="auto"/>
              </w:rPr>
              <w:t>236,049</w:t>
            </w:r>
          </w:p>
        </w:tc>
        <w:tc>
          <w:tcPr>
            <w:tcW w:w="1360" w:type="dxa"/>
            <w:vAlign w:val="bottom"/>
          </w:tcPr>
          <w:p>
            <w:pPr>
              <w:jc w:val="right"/>
              <w:ind w:right="445"/>
              <w:spacing w:after="0"/>
              <w:rPr>
                <w:sz w:val="20"/>
                <w:szCs w:val="20"/>
                <w:color w:val="auto"/>
              </w:rPr>
            </w:pPr>
            <w:r>
              <w:rPr>
                <w:rFonts w:ascii="Arial" w:cs="Arial" w:eastAsia="Arial" w:hAnsi="Arial"/>
                <w:sz w:val="16"/>
                <w:szCs w:val="16"/>
                <w:color w:val="auto"/>
              </w:rPr>
              <w:t>1,673</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42"/>
              <w:spacing w:after="0"/>
              <w:rPr>
                <w:sz w:val="20"/>
                <w:szCs w:val="20"/>
                <w:color w:val="auto"/>
              </w:rPr>
            </w:pPr>
            <w:r>
              <w:rPr>
                <w:rFonts w:ascii="Arial" w:cs="Arial" w:eastAsia="Arial" w:hAnsi="Arial"/>
                <w:sz w:val="16"/>
                <w:szCs w:val="16"/>
                <w:color w:val="auto"/>
              </w:rPr>
              <w:t>271,026</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61"/>
              <w:spacing w:after="0"/>
              <w:rPr>
                <w:sz w:val="20"/>
                <w:szCs w:val="20"/>
                <w:color w:val="auto"/>
              </w:rPr>
            </w:pPr>
            <w:r>
              <w:rPr>
                <w:rFonts w:ascii="Arial" w:cs="Arial" w:eastAsia="Arial" w:hAnsi="Arial"/>
                <w:sz w:val="16"/>
                <w:szCs w:val="16"/>
                <w:color w:val="auto"/>
              </w:rPr>
              <w:t>941,237</w:t>
            </w:r>
          </w:p>
        </w:tc>
      </w:tr>
      <w:tr>
        <w:trPr>
          <w:trHeight w:val="60"/>
        </w:trPr>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4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w:t>
            </w:r>
          </w:p>
        </w:tc>
        <w:tc>
          <w:tcPr>
            <w:tcW w:w="940" w:type="dxa"/>
            <w:vAlign w:val="bottom"/>
            <w:shd w:val="clear" w:color="auto" w:fill="FCE9E8"/>
          </w:tcPr>
          <w:p>
            <w:pPr>
              <w:spacing w:after="0"/>
              <w:rPr>
                <w:sz w:val="21"/>
                <w:szCs w:val="21"/>
                <w:color w:val="auto"/>
              </w:rPr>
            </w:pPr>
          </w:p>
        </w:tc>
        <w:tc>
          <w:tcPr>
            <w:tcW w:w="160" w:type="dxa"/>
            <w:vAlign w:val="bottom"/>
            <w:shd w:val="clear" w:color="auto" w:fill="FCE9E8"/>
          </w:tcPr>
          <w:p>
            <w:pPr>
              <w:spacing w:after="0"/>
              <w:rPr>
                <w:sz w:val="21"/>
                <w:szCs w:val="21"/>
                <w:color w:val="auto"/>
              </w:rPr>
            </w:pPr>
          </w:p>
        </w:tc>
        <w:tc>
          <w:tcPr>
            <w:tcW w:w="740" w:type="dxa"/>
            <w:vAlign w:val="bottom"/>
            <w:shd w:val="clear" w:color="auto" w:fill="FCE9E8"/>
          </w:tcPr>
          <w:p>
            <w:pPr>
              <w:spacing w:after="0"/>
              <w:rPr>
                <w:sz w:val="21"/>
                <w:szCs w:val="21"/>
                <w:color w:val="auto"/>
              </w:rPr>
            </w:pPr>
          </w:p>
        </w:tc>
        <w:tc>
          <w:tcPr>
            <w:tcW w:w="1020" w:type="dxa"/>
            <w:vAlign w:val="bottom"/>
            <w:shd w:val="clear" w:color="auto" w:fill="FCE9E8"/>
          </w:tcPr>
          <w:p>
            <w:pPr>
              <w:spacing w:after="0"/>
              <w:rPr>
                <w:sz w:val="21"/>
                <w:szCs w:val="21"/>
                <w:color w:val="auto"/>
              </w:rPr>
            </w:pPr>
          </w:p>
        </w:tc>
        <w:tc>
          <w:tcPr>
            <w:tcW w:w="260" w:type="dxa"/>
            <w:vAlign w:val="bottom"/>
            <w:shd w:val="clear" w:color="auto" w:fill="FCE9E8"/>
          </w:tcPr>
          <w:p>
            <w:pPr>
              <w:spacing w:after="0"/>
              <w:rPr>
                <w:sz w:val="21"/>
                <w:szCs w:val="21"/>
                <w:color w:val="auto"/>
              </w:rPr>
            </w:pPr>
          </w:p>
        </w:tc>
        <w:tc>
          <w:tcPr>
            <w:tcW w:w="740" w:type="dxa"/>
            <w:vAlign w:val="bottom"/>
            <w:shd w:val="clear" w:color="auto" w:fill="FCE9E8"/>
          </w:tcPr>
          <w:p>
            <w:pPr>
              <w:spacing w:after="0"/>
              <w:rPr>
                <w:sz w:val="21"/>
                <w:szCs w:val="21"/>
                <w:color w:val="auto"/>
              </w:rPr>
            </w:pPr>
          </w:p>
        </w:tc>
        <w:tc>
          <w:tcPr>
            <w:tcW w:w="1360" w:type="dxa"/>
            <w:vAlign w:val="bottom"/>
            <w:shd w:val="clear" w:color="auto" w:fill="FCE9E8"/>
          </w:tcPr>
          <w:p>
            <w:pPr>
              <w:spacing w:after="0"/>
              <w:rPr>
                <w:sz w:val="21"/>
                <w:szCs w:val="21"/>
                <w:color w:val="auto"/>
              </w:rPr>
            </w:pPr>
          </w:p>
        </w:tc>
        <w:tc>
          <w:tcPr>
            <w:tcW w:w="500" w:type="dxa"/>
            <w:vAlign w:val="bottom"/>
            <w:shd w:val="clear" w:color="auto" w:fill="FCE9E8"/>
          </w:tcPr>
          <w:p>
            <w:pPr>
              <w:spacing w:after="0"/>
              <w:rPr>
                <w:sz w:val="21"/>
                <w:szCs w:val="21"/>
                <w:color w:val="auto"/>
              </w:rPr>
            </w:pPr>
          </w:p>
        </w:tc>
        <w:tc>
          <w:tcPr>
            <w:tcW w:w="1120" w:type="dxa"/>
            <w:vAlign w:val="bottom"/>
            <w:shd w:val="clear" w:color="auto" w:fill="FCE9E8"/>
          </w:tcPr>
          <w:p>
            <w:pPr>
              <w:spacing w:after="0"/>
              <w:rPr>
                <w:sz w:val="21"/>
                <w:szCs w:val="21"/>
                <w:color w:val="auto"/>
              </w:rPr>
            </w:pPr>
          </w:p>
        </w:tc>
        <w:tc>
          <w:tcPr>
            <w:tcW w:w="520" w:type="dxa"/>
            <w:vAlign w:val="bottom"/>
            <w:shd w:val="clear" w:color="auto" w:fill="FCE9E8"/>
          </w:tcPr>
          <w:p>
            <w:pPr>
              <w:spacing w:after="0"/>
              <w:rPr>
                <w:sz w:val="21"/>
                <w:szCs w:val="21"/>
                <w:color w:val="auto"/>
              </w:rPr>
            </w:pPr>
          </w:p>
        </w:tc>
        <w:tc>
          <w:tcPr>
            <w:tcW w:w="1180" w:type="dxa"/>
            <w:vAlign w:val="bottom"/>
            <w:shd w:val="clear" w:color="auto" w:fill="FCE9E8"/>
          </w:tcPr>
          <w:p>
            <w:pPr>
              <w:spacing w:after="0"/>
              <w:rPr>
                <w:sz w:val="21"/>
                <w:szCs w:val="21"/>
                <w:color w:val="auto"/>
              </w:rPr>
            </w:pPr>
          </w:p>
        </w:tc>
      </w:tr>
      <w:tr>
        <w:trPr>
          <w:trHeight w:val="195"/>
        </w:trPr>
        <w:tc>
          <w:tcPr>
            <w:tcW w:w="780" w:type="dxa"/>
            <w:vAlign w:val="bottom"/>
            <w:shd w:val="clear" w:color="auto" w:fill="FCE9E8"/>
          </w:tcPr>
          <w:p>
            <w:pPr>
              <w:ind w:left="80"/>
              <w:spacing w:after="0"/>
              <w:rPr>
                <w:sz w:val="20"/>
                <w:szCs w:val="20"/>
                <w:color w:val="auto"/>
              </w:rPr>
            </w:pPr>
            <w:r>
              <w:rPr>
                <w:rFonts w:ascii="Arial" w:cs="Arial" w:eastAsia="Arial" w:hAnsi="Arial"/>
                <w:sz w:val="16"/>
                <w:szCs w:val="16"/>
                <w:color w:val="auto"/>
              </w:rPr>
              <w:t>Esposito</w:t>
            </w:r>
          </w:p>
        </w:tc>
        <w:tc>
          <w:tcPr>
            <w:tcW w:w="940" w:type="dxa"/>
            <w:vAlign w:val="bottom"/>
            <w:shd w:val="clear" w:color="auto" w:fill="FCE9E8"/>
          </w:tcPr>
          <w:p>
            <w:pPr>
              <w:jc w:val="right"/>
              <w:ind w:right="64"/>
              <w:spacing w:after="0"/>
              <w:rPr>
                <w:sz w:val="20"/>
                <w:szCs w:val="20"/>
                <w:color w:val="auto"/>
              </w:rPr>
            </w:pPr>
            <w:r>
              <w:rPr>
                <w:rFonts w:ascii="Arial" w:cs="Arial" w:eastAsia="Arial" w:hAnsi="Arial"/>
                <w:sz w:val="16"/>
                <w:szCs w:val="16"/>
                <w:color w:val="auto"/>
              </w:rPr>
              <w:t>—</w:t>
            </w: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CE9E8"/>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204"/>
              <w:spacing w:after="0"/>
              <w:rPr>
                <w:sz w:val="20"/>
                <w:szCs w:val="20"/>
                <w:color w:val="auto"/>
              </w:rPr>
            </w:pPr>
            <w:r>
              <w:rPr>
                <w:rFonts w:ascii="Arial" w:cs="Arial" w:eastAsia="Arial" w:hAnsi="Arial"/>
                <w:sz w:val="16"/>
                <w:szCs w:val="16"/>
                <w:color w:val="auto"/>
              </w:rPr>
              <w:t>—</w:t>
            </w:r>
          </w:p>
        </w:tc>
        <w:tc>
          <w:tcPr>
            <w:tcW w:w="2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FCE9E8"/>
          </w:tcPr>
          <w:p>
            <w:pPr>
              <w:jc w:val="right"/>
              <w:ind w:right="63"/>
              <w:spacing w:after="0"/>
              <w:rPr>
                <w:sz w:val="20"/>
                <w:szCs w:val="20"/>
                <w:color w:val="auto"/>
              </w:rPr>
            </w:pPr>
            <w:r>
              <w:rPr>
                <w:rFonts w:ascii="Arial" w:cs="Arial" w:eastAsia="Arial" w:hAnsi="Arial"/>
                <w:sz w:val="16"/>
                <w:szCs w:val="16"/>
                <w:color w:val="auto"/>
              </w:rPr>
              <w:t>—</w:t>
            </w:r>
          </w:p>
        </w:tc>
        <w:tc>
          <w:tcPr>
            <w:tcW w:w="1360" w:type="dxa"/>
            <w:vAlign w:val="bottom"/>
            <w:shd w:val="clear" w:color="auto" w:fill="FCE9E8"/>
          </w:tcPr>
          <w:p>
            <w:pPr>
              <w:jc w:val="right"/>
              <w:ind w:right="445"/>
              <w:spacing w:after="0"/>
              <w:rPr>
                <w:sz w:val="20"/>
                <w:szCs w:val="20"/>
                <w:color w:val="auto"/>
              </w:rPr>
            </w:pPr>
            <w:r>
              <w:rPr>
                <w:rFonts w:ascii="Arial" w:cs="Arial" w:eastAsia="Arial" w:hAnsi="Arial"/>
                <w:sz w:val="16"/>
                <w:szCs w:val="16"/>
                <w:color w:val="auto"/>
              </w:rPr>
              <w:t>—</w:t>
            </w:r>
          </w:p>
        </w:tc>
        <w:tc>
          <w:tcPr>
            <w:tcW w:w="5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w:t>
            </w:r>
          </w:p>
        </w:tc>
        <w:tc>
          <w:tcPr>
            <w:tcW w:w="520" w:type="dxa"/>
            <w:vAlign w:val="bottom"/>
            <w:shd w:val="clear" w:color="auto" w:fill="FCE9E8"/>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w:t>
            </w:r>
          </w:p>
        </w:tc>
      </w:tr>
      <w:tr>
        <w:trPr>
          <w:trHeight w:val="60"/>
        </w:trPr>
        <w:tc>
          <w:tcPr>
            <w:tcW w:w="780" w:type="dxa"/>
            <w:vAlign w:val="bottom"/>
            <w:tcBorders>
              <w:bottom w:val="single" w:sz="8" w:color="auto"/>
            </w:tcBorders>
            <w:shd w:val="clear" w:color="auto" w:fill="FCE9E8"/>
          </w:tcPr>
          <w:p>
            <w:pPr>
              <w:spacing w:after="0"/>
              <w:rPr>
                <w:sz w:val="5"/>
                <w:szCs w:val="5"/>
                <w:color w:val="auto"/>
              </w:rPr>
            </w:pPr>
          </w:p>
        </w:tc>
        <w:tc>
          <w:tcPr>
            <w:tcW w:w="940" w:type="dxa"/>
            <w:vAlign w:val="bottom"/>
            <w:tcBorders>
              <w:bottom w:val="single" w:sz="8" w:color="auto"/>
            </w:tcBorders>
            <w:shd w:val="clear" w:color="auto" w:fill="FCE9E8"/>
          </w:tcPr>
          <w:p>
            <w:pPr>
              <w:spacing w:after="0"/>
              <w:rPr>
                <w:sz w:val="5"/>
                <w:szCs w:val="5"/>
                <w:color w:val="auto"/>
              </w:rPr>
            </w:pPr>
          </w:p>
        </w:tc>
        <w:tc>
          <w:tcPr>
            <w:tcW w:w="160" w:type="dxa"/>
            <w:vAlign w:val="bottom"/>
            <w:tcBorders>
              <w:bottom w:val="single" w:sz="8" w:color="auto"/>
            </w:tcBorders>
            <w:shd w:val="clear" w:color="auto" w:fill="FCE9E8"/>
          </w:tcPr>
          <w:p>
            <w:pPr>
              <w:spacing w:after="0"/>
              <w:rPr>
                <w:sz w:val="5"/>
                <w:szCs w:val="5"/>
                <w:color w:val="auto"/>
              </w:rPr>
            </w:pPr>
          </w:p>
        </w:tc>
        <w:tc>
          <w:tcPr>
            <w:tcW w:w="740" w:type="dxa"/>
            <w:vAlign w:val="bottom"/>
            <w:tcBorders>
              <w:bottom w:val="single" w:sz="8" w:color="auto"/>
            </w:tcBorders>
            <w:shd w:val="clear" w:color="auto" w:fill="FCE9E8"/>
          </w:tcPr>
          <w:p>
            <w:pPr>
              <w:spacing w:after="0"/>
              <w:rPr>
                <w:sz w:val="5"/>
                <w:szCs w:val="5"/>
                <w:color w:val="auto"/>
              </w:rPr>
            </w:pPr>
          </w:p>
        </w:tc>
        <w:tc>
          <w:tcPr>
            <w:tcW w:w="1020" w:type="dxa"/>
            <w:vAlign w:val="bottom"/>
            <w:tcBorders>
              <w:bottom w:val="single" w:sz="8" w:color="auto"/>
            </w:tcBorders>
            <w:shd w:val="clear" w:color="auto" w:fill="FCE9E8"/>
          </w:tcPr>
          <w:p>
            <w:pPr>
              <w:spacing w:after="0"/>
              <w:rPr>
                <w:sz w:val="5"/>
                <w:szCs w:val="5"/>
                <w:color w:val="auto"/>
              </w:rPr>
            </w:pPr>
          </w:p>
        </w:tc>
        <w:tc>
          <w:tcPr>
            <w:tcW w:w="260" w:type="dxa"/>
            <w:vAlign w:val="bottom"/>
            <w:tcBorders>
              <w:bottom w:val="single" w:sz="8" w:color="auto"/>
            </w:tcBorders>
            <w:shd w:val="clear" w:color="auto" w:fill="FCE9E8"/>
          </w:tcPr>
          <w:p>
            <w:pPr>
              <w:spacing w:after="0"/>
              <w:rPr>
                <w:sz w:val="5"/>
                <w:szCs w:val="5"/>
                <w:color w:val="auto"/>
              </w:rPr>
            </w:pPr>
          </w:p>
        </w:tc>
        <w:tc>
          <w:tcPr>
            <w:tcW w:w="740" w:type="dxa"/>
            <w:vAlign w:val="bottom"/>
            <w:tcBorders>
              <w:bottom w:val="single" w:sz="8" w:color="auto"/>
            </w:tcBorders>
            <w:shd w:val="clear" w:color="auto" w:fill="FCE9E8"/>
          </w:tcPr>
          <w:p>
            <w:pPr>
              <w:spacing w:after="0"/>
              <w:rPr>
                <w:sz w:val="5"/>
                <w:szCs w:val="5"/>
                <w:color w:val="auto"/>
              </w:rPr>
            </w:pPr>
          </w:p>
        </w:tc>
        <w:tc>
          <w:tcPr>
            <w:tcW w:w="1360" w:type="dxa"/>
            <w:vAlign w:val="bottom"/>
            <w:tcBorders>
              <w:bottom w:val="single" w:sz="8" w:color="auto"/>
            </w:tcBorders>
            <w:shd w:val="clear" w:color="auto" w:fill="FCE9E8"/>
          </w:tcPr>
          <w:p>
            <w:pPr>
              <w:spacing w:after="0"/>
              <w:rPr>
                <w:sz w:val="5"/>
                <w:szCs w:val="5"/>
                <w:color w:val="auto"/>
              </w:rPr>
            </w:pPr>
          </w:p>
        </w:tc>
        <w:tc>
          <w:tcPr>
            <w:tcW w:w="500" w:type="dxa"/>
            <w:vAlign w:val="bottom"/>
            <w:tcBorders>
              <w:bottom w:val="single" w:sz="8" w:color="auto"/>
            </w:tcBorders>
            <w:shd w:val="clear" w:color="auto" w:fill="FCE9E8"/>
          </w:tcPr>
          <w:p>
            <w:pPr>
              <w:spacing w:after="0"/>
              <w:rPr>
                <w:sz w:val="5"/>
                <w:szCs w:val="5"/>
                <w:color w:val="auto"/>
              </w:rPr>
            </w:pPr>
          </w:p>
        </w:tc>
        <w:tc>
          <w:tcPr>
            <w:tcW w:w="1120" w:type="dxa"/>
            <w:vAlign w:val="bottom"/>
            <w:tcBorders>
              <w:bottom w:val="single" w:sz="8" w:color="auto"/>
            </w:tcBorders>
            <w:shd w:val="clear" w:color="auto" w:fill="FCE9E8"/>
          </w:tcPr>
          <w:p>
            <w:pPr>
              <w:spacing w:after="0"/>
              <w:rPr>
                <w:sz w:val="5"/>
                <w:szCs w:val="5"/>
                <w:color w:val="auto"/>
              </w:rPr>
            </w:pPr>
          </w:p>
        </w:tc>
        <w:tc>
          <w:tcPr>
            <w:tcW w:w="520" w:type="dxa"/>
            <w:vAlign w:val="bottom"/>
            <w:tcBorders>
              <w:bottom w:val="single" w:sz="8" w:color="auto"/>
            </w:tcBorders>
            <w:shd w:val="clear" w:color="auto" w:fill="FCE9E8"/>
          </w:tcPr>
          <w:p>
            <w:pPr>
              <w:spacing w:after="0"/>
              <w:rPr>
                <w:sz w:val="5"/>
                <w:szCs w:val="5"/>
                <w:color w:val="auto"/>
              </w:rPr>
            </w:pPr>
          </w:p>
        </w:tc>
        <w:tc>
          <w:tcPr>
            <w:tcW w:w="1180" w:type="dxa"/>
            <w:vAlign w:val="bottom"/>
            <w:tcBorders>
              <w:bottom w:val="single" w:sz="8" w:color="auto"/>
            </w:tcBorders>
            <w:shd w:val="clear" w:color="auto" w:fill="FCE9E8"/>
          </w:tcPr>
          <w:p>
            <w:pPr>
              <w:spacing w:after="0"/>
              <w:rPr>
                <w:sz w:val="5"/>
                <w:szCs w:val="5"/>
                <w:color w:val="auto"/>
              </w:rPr>
            </w:pPr>
          </w:p>
        </w:tc>
      </w:tr>
    </w:tbl>
    <w:p>
      <w:pPr>
        <w:spacing w:after="0" w:line="126" w:lineRule="exact"/>
        <w:rPr>
          <w:sz w:val="20"/>
          <w:szCs w:val="20"/>
          <w:color w:val="auto"/>
        </w:rPr>
      </w:pPr>
    </w:p>
    <w:p>
      <w:pPr>
        <w:ind w:left="960" w:right="440" w:hanging="291"/>
        <w:spacing w:after="0" w:line="183" w:lineRule="auto"/>
        <w:tabs>
          <w:tab w:leader="none" w:pos="96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For all Named Executive Officers (other than Mr. Esposito, who did not vest in any awards in 2020), includes dividend equivalent payments, including interest, in the following amounts:</w:t>
      </w:r>
    </w:p>
    <w:p>
      <w:pPr>
        <w:spacing w:after="0" w:line="94"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E2231A"/>
              </w:rPr>
              <w:t>2018</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Performance</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vMerge w:val="restart"/>
          </w:tcPr>
          <w:p>
            <w:pPr>
              <w:jc w:val="center"/>
              <w:ind w:right="381"/>
              <w:spacing w:after="0"/>
              <w:rPr>
                <w:sz w:val="20"/>
                <w:szCs w:val="20"/>
                <w:color w:val="auto"/>
              </w:rPr>
            </w:pPr>
            <w:r>
              <w:rPr>
                <w:rFonts w:ascii="Arial" w:cs="Arial" w:eastAsia="Arial" w:hAnsi="Arial"/>
                <w:sz w:val="14"/>
                <w:szCs w:val="14"/>
                <w:b w:val="1"/>
                <w:bCs w:val="1"/>
                <w:color w:val="E2231A"/>
              </w:rPr>
              <w:t>2017</w:t>
            </w:r>
          </w:p>
        </w:tc>
        <w:tc>
          <w:tcPr>
            <w:tcW w:w="1200" w:type="dxa"/>
            <w:vAlign w:val="bottom"/>
            <w:gridSpan w:val="2"/>
          </w:tcPr>
          <w:p>
            <w:pPr>
              <w:ind w:left="500"/>
              <w:spacing w:after="0"/>
              <w:rPr>
                <w:sz w:val="20"/>
                <w:szCs w:val="20"/>
                <w:color w:val="auto"/>
              </w:rPr>
            </w:pPr>
            <w:r>
              <w:rPr>
                <w:rFonts w:ascii="Arial" w:cs="Arial" w:eastAsia="Arial" w:hAnsi="Arial"/>
                <w:sz w:val="14"/>
                <w:szCs w:val="14"/>
                <w:b w:val="1"/>
                <w:bCs w:val="1"/>
                <w:color w:val="E2231A"/>
              </w:rPr>
              <w:t>2017</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 Dividend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0" w:type="dxa"/>
            <w:vAlign w:val="bottom"/>
            <w:gridSpan w:val="2"/>
          </w:tcPr>
          <w:p>
            <w:pPr>
              <w:jc w:val="center"/>
              <w:ind w:left="63"/>
              <w:spacing w:after="0" w:line="149" w:lineRule="exact"/>
              <w:rPr>
                <w:sz w:val="20"/>
                <w:szCs w:val="20"/>
                <w:color w:val="auto"/>
              </w:rPr>
            </w:pPr>
            <w:r>
              <w:rPr>
                <w:rFonts w:ascii="Arial" w:cs="Arial" w:eastAsia="Arial" w:hAnsi="Arial"/>
                <w:sz w:val="14"/>
                <w:szCs w:val="14"/>
                <w:b w:val="1"/>
                <w:bCs w:val="1"/>
                <w:color w:val="E2231A"/>
              </w:rPr>
              <w:t>Career Share</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E2231A"/>
              </w:rPr>
              <w:t>Equivalents</w:t>
            </w:r>
          </w:p>
        </w:tc>
        <w:tc>
          <w:tcPr>
            <w:tcW w:w="800" w:type="dxa"/>
            <w:vAlign w:val="bottom"/>
            <w:gridSpan w:val="2"/>
          </w:tcPr>
          <w:p>
            <w:pPr>
              <w:jc w:val="center"/>
              <w:ind w:left="3"/>
              <w:spacing w:after="0" w:line="149" w:lineRule="exact"/>
              <w:rPr>
                <w:sz w:val="20"/>
                <w:szCs w:val="20"/>
                <w:color w:val="auto"/>
              </w:rPr>
            </w:pPr>
            <w:r>
              <w:rPr>
                <w:rFonts w:ascii="Arial" w:cs="Arial" w:eastAsia="Arial" w:hAnsi="Arial"/>
                <w:sz w:val="14"/>
                <w:szCs w:val="14"/>
                <w:b w:val="1"/>
                <w:bCs w:val="1"/>
                <w:color w:val="E2231A"/>
              </w:rPr>
              <w:t>Dividend</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60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E2231A"/>
              </w:rPr>
              <w:t>RSU Dividend</w:t>
            </w:r>
          </w:p>
        </w:tc>
        <w:tc>
          <w:tcPr>
            <w:tcW w:w="1200" w:type="dxa"/>
            <w:vAlign w:val="bottom"/>
            <w:gridSpan w:val="2"/>
          </w:tcPr>
          <w:p>
            <w:pPr>
              <w:jc w:val="center"/>
              <w:ind w:left="63"/>
              <w:spacing w:after="0"/>
              <w:rPr>
                <w:sz w:val="20"/>
                <w:szCs w:val="20"/>
                <w:color w:val="auto"/>
              </w:rPr>
            </w:pPr>
            <w:r>
              <w:rPr>
                <w:rFonts w:ascii="Arial" w:cs="Arial" w:eastAsia="Arial" w:hAnsi="Arial"/>
                <w:sz w:val="14"/>
                <w:szCs w:val="14"/>
                <w:b w:val="1"/>
                <w:bCs w:val="1"/>
                <w:color w:val="E2231A"/>
              </w:rPr>
              <w:t>Dividend</w:t>
            </w:r>
          </w:p>
        </w:tc>
        <w:tc>
          <w:tcPr>
            <w:tcW w:w="12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E2231A"/>
              </w:rPr>
              <w:t>(2018-2020</w:t>
            </w:r>
          </w:p>
        </w:tc>
        <w:tc>
          <w:tcPr>
            <w:tcW w:w="800" w:type="dxa"/>
            <w:vAlign w:val="bottom"/>
            <w:gridSpan w:val="2"/>
          </w:tcPr>
          <w:p>
            <w:pPr>
              <w:jc w:val="center"/>
              <w:ind w:left="3"/>
              <w:spacing w:after="0"/>
              <w:rPr>
                <w:sz w:val="20"/>
                <w:szCs w:val="20"/>
                <w:color w:val="auto"/>
              </w:rPr>
            </w:pPr>
            <w:r>
              <w:rPr>
                <w:rFonts w:ascii="Arial" w:cs="Arial" w:eastAsia="Arial" w:hAnsi="Arial"/>
                <w:sz w:val="14"/>
                <w:szCs w:val="14"/>
                <w:b w:val="1"/>
                <w:bCs w:val="1"/>
                <w:color w:val="E2231A"/>
              </w:rPr>
              <w:t>Equivalent</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4"/>
                <w:szCs w:val="14"/>
                <w:b w:val="1"/>
                <w:bCs w:val="1"/>
                <w:color w:val="E2231A"/>
              </w:rPr>
              <w:t>Equivalents</w:t>
            </w:r>
          </w:p>
        </w:tc>
        <w:tc>
          <w:tcPr>
            <w:tcW w:w="120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4"/>
                <w:szCs w:val="14"/>
                <w:b w:val="1"/>
                <w:bCs w:val="1"/>
                <w:color w:val="E2231A"/>
              </w:rPr>
              <w:t>Equivalents</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Awards)</w:t>
            </w:r>
          </w:p>
        </w:tc>
        <w:tc>
          <w:tcPr>
            <w:tcW w:w="80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4"/>
                <w:szCs w:val="14"/>
                <w:b w:val="1"/>
                <w:bCs w:val="1"/>
                <w:color w:val="E2231A"/>
              </w:rPr>
              <w:t>Payments</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7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CE9E8"/>
            </w:tcBorders>
            <w:shd w:val="clear" w:color="auto" w:fill="FCE9E8"/>
          </w:tcPr>
          <w:p>
            <w:pPr>
              <w:jc w:val="right"/>
              <w:ind w:right="321"/>
              <w:spacing w:after="0"/>
              <w:rPr>
                <w:sz w:val="20"/>
                <w:szCs w:val="20"/>
                <w:color w:val="auto"/>
              </w:rPr>
            </w:pPr>
            <w:r>
              <w:rPr>
                <w:rFonts w:ascii="Arial" w:cs="Arial" w:eastAsia="Arial" w:hAnsi="Arial"/>
                <w:sz w:val="16"/>
                <w:szCs w:val="16"/>
                <w:color w:val="auto"/>
                <w:w w:val="98"/>
              </w:rPr>
              <w:t>37,388</w:t>
            </w:r>
          </w:p>
        </w:tc>
        <w:tc>
          <w:tcPr>
            <w:tcW w:w="580" w:type="dxa"/>
            <w:vAlign w:val="bottom"/>
            <w:tcBorders>
              <w:bottom w:val="single" w:sz="8" w:color="FCE9E8"/>
            </w:tcBorders>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6"/>
                <w:szCs w:val="16"/>
                <w:color w:val="auto"/>
                <w:w w:val="98"/>
              </w:rPr>
              <w:t>12,934</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CE9E8"/>
            </w:tcBorders>
            <w:shd w:val="clear" w:color="auto" w:fill="FCE9E8"/>
          </w:tcPr>
          <w:p>
            <w:pPr>
              <w:jc w:val="right"/>
              <w:ind w:right="119"/>
              <w:spacing w:after="0"/>
              <w:rPr>
                <w:sz w:val="20"/>
                <w:szCs w:val="20"/>
                <w:color w:val="auto"/>
              </w:rPr>
            </w:pPr>
            <w:r>
              <w:rPr>
                <w:rFonts w:ascii="Arial" w:cs="Arial" w:eastAsia="Arial" w:hAnsi="Arial"/>
                <w:sz w:val="16"/>
                <w:szCs w:val="16"/>
                <w:color w:val="auto"/>
                <w:w w:val="98"/>
              </w:rPr>
              <w:t>43,591</w:t>
            </w:r>
          </w:p>
        </w:tc>
        <w:tc>
          <w:tcPr>
            <w:tcW w:w="3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8"/>
              </w:rPr>
              <w:t>93,913</w:t>
            </w:r>
          </w:p>
        </w:tc>
        <w:tc>
          <w:tcPr>
            <w:tcW w:w="0" w:type="dxa"/>
            <w:vAlign w:val="bottom"/>
          </w:tcPr>
          <w:p>
            <w:pPr>
              <w:spacing w:after="0"/>
              <w:rPr>
                <w:sz w:val="1"/>
                <w:szCs w:val="1"/>
                <w:color w:val="auto"/>
              </w:rPr>
            </w:pPr>
          </w:p>
        </w:tc>
      </w:tr>
      <w:tr>
        <w:trPr>
          <w:trHeight w:val="250"/>
        </w:trPr>
        <w:tc>
          <w:tcPr>
            <w:tcW w:w="432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21"/>
              <w:spacing w:after="0"/>
              <w:rPr>
                <w:sz w:val="20"/>
                <w:szCs w:val="20"/>
                <w:color w:val="auto"/>
              </w:rPr>
            </w:pPr>
            <w:r>
              <w:rPr>
                <w:rFonts w:ascii="Arial" w:cs="Arial" w:eastAsia="Arial" w:hAnsi="Arial"/>
                <w:sz w:val="16"/>
                <w:szCs w:val="16"/>
                <w:color w:val="auto"/>
              </w:rPr>
              <w:t>8,689</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3,661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4,057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16,407</w:t>
            </w:r>
          </w:p>
        </w:tc>
        <w:tc>
          <w:tcPr>
            <w:tcW w:w="0" w:type="dxa"/>
            <w:vAlign w:val="bottom"/>
          </w:tcPr>
          <w:p>
            <w:pPr>
              <w:spacing w:after="0"/>
              <w:rPr>
                <w:sz w:val="1"/>
                <w:szCs w:val="1"/>
                <w:color w:val="auto"/>
              </w:rPr>
            </w:pPr>
          </w:p>
        </w:tc>
      </w:tr>
      <w:tr>
        <w:trPr>
          <w:trHeight w:val="94"/>
        </w:trPr>
        <w:tc>
          <w:tcPr>
            <w:tcW w:w="4320" w:type="dxa"/>
            <w:vAlign w:val="bottom"/>
            <w:tcBorders>
              <w:bottom w:val="single" w:sz="8" w:color="FCE9E8"/>
            </w:tcBorders>
          </w:tcPr>
          <w:p>
            <w:pPr>
              <w:spacing w:after="0"/>
              <w:rPr>
                <w:sz w:val="8"/>
                <w:szCs w:val="8"/>
                <w:color w:val="auto"/>
              </w:rPr>
            </w:pPr>
          </w:p>
        </w:tc>
        <w:tc>
          <w:tcPr>
            <w:tcW w:w="700" w:type="dxa"/>
            <w:vAlign w:val="bottom"/>
            <w:tcBorders>
              <w:bottom w:val="single" w:sz="8" w:color="FCE9E8"/>
            </w:tcBorders>
          </w:tcPr>
          <w:p>
            <w:pPr>
              <w:spacing w:after="0"/>
              <w:rPr>
                <w:sz w:val="8"/>
                <w:szCs w:val="8"/>
                <w:color w:val="auto"/>
              </w:rPr>
            </w:pPr>
          </w:p>
        </w:tc>
        <w:tc>
          <w:tcPr>
            <w:tcW w:w="900" w:type="dxa"/>
            <w:vAlign w:val="bottom"/>
            <w:tcBorders>
              <w:bottom w:val="single" w:sz="8" w:color="FCE9E8"/>
            </w:tcBorders>
          </w:tcPr>
          <w:p>
            <w:pPr>
              <w:spacing w:after="0"/>
              <w:rPr>
                <w:sz w:val="8"/>
                <w:szCs w:val="8"/>
                <w:color w:val="auto"/>
              </w:rPr>
            </w:pPr>
          </w:p>
        </w:tc>
        <w:tc>
          <w:tcPr>
            <w:tcW w:w="580" w:type="dxa"/>
            <w:vAlign w:val="bottom"/>
            <w:tcBorders>
              <w:bottom w:val="single" w:sz="8" w:color="FCE9E8"/>
            </w:tcBorders>
          </w:tcPr>
          <w:p>
            <w:pPr>
              <w:spacing w:after="0"/>
              <w:rPr>
                <w:sz w:val="8"/>
                <w:szCs w:val="8"/>
                <w:color w:val="auto"/>
              </w:rPr>
            </w:pPr>
          </w:p>
        </w:tc>
        <w:tc>
          <w:tcPr>
            <w:tcW w:w="620" w:type="dxa"/>
            <w:vAlign w:val="bottom"/>
            <w:tcBorders>
              <w:bottom w:val="single" w:sz="8" w:color="FCE9E8"/>
            </w:tcBorders>
          </w:tcPr>
          <w:p>
            <w:pPr>
              <w:spacing w:after="0"/>
              <w:rPr>
                <w:sz w:val="8"/>
                <w:szCs w:val="8"/>
                <w:color w:val="auto"/>
              </w:rPr>
            </w:pPr>
          </w:p>
        </w:tc>
        <w:tc>
          <w:tcPr>
            <w:tcW w:w="500" w:type="dxa"/>
            <w:vAlign w:val="bottom"/>
            <w:tcBorders>
              <w:bottom w:val="single" w:sz="8" w:color="FCE9E8"/>
            </w:tcBorders>
          </w:tcPr>
          <w:p>
            <w:pPr>
              <w:spacing w:after="0"/>
              <w:rPr>
                <w:sz w:val="8"/>
                <w:szCs w:val="8"/>
                <w:color w:val="auto"/>
              </w:rPr>
            </w:pPr>
          </w:p>
        </w:tc>
        <w:tc>
          <w:tcPr>
            <w:tcW w:w="700" w:type="dxa"/>
            <w:vAlign w:val="bottom"/>
            <w:tcBorders>
              <w:bottom w:val="single" w:sz="8" w:color="FCE9E8"/>
            </w:tcBorders>
          </w:tcPr>
          <w:p>
            <w:pPr>
              <w:spacing w:after="0"/>
              <w:rPr>
                <w:sz w:val="8"/>
                <w:szCs w:val="8"/>
                <w:color w:val="auto"/>
              </w:rPr>
            </w:pPr>
          </w:p>
        </w:tc>
        <w:tc>
          <w:tcPr>
            <w:tcW w:w="300" w:type="dxa"/>
            <w:vAlign w:val="bottom"/>
            <w:tcBorders>
              <w:bottom w:val="single" w:sz="8" w:color="FCE9E8"/>
            </w:tcBorders>
          </w:tcPr>
          <w:p>
            <w:pPr>
              <w:spacing w:after="0"/>
              <w:rPr>
                <w:sz w:val="8"/>
                <w:szCs w:val="8"/>
                <w:color w:val="auto"/>
              </w:rPr>
            </w:pPr>
          </w:p>
        </w:tc>
        <w:tc>
          <w:tcPr>
            <w:tcW w:w="500" w:type="dxa"/>
            <w:vAlign w:val="bottom"/>
            <w:tcBorders>
              <w:bottom w:val="single" w:sz="8" w:color="FCE9E8"/>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3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7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CE9E8"/>
            </w:tcBorders>
            <w:shd w:val="clear" w:color="auto" w:fill="FCE9E8"/>
          </w:tcPr>
          <w:p>
            <w:pPr>
              <w:jc w:val="right"/>
              <w:ind w:right="321"/>
              <w:spacing w:after="0"/>
              <w:rPr>
                <w:sz w:val="20"/>
                <w:szCs w:val="20"/>
                <w:color w:val="auto"/>
              </w:rPr>
            </w:pPr>
            <w:r>
              <w:rPr>
                <w:rFonts w:ascii="Arial" w:cs="Arial" w:eastAsia="Arial" w:hAnsi="Arial"/>
                <w:sz w:val="16"/>
                <w:szCs w:val="16"/>
                <w:color w:val="auto"/>
                <w:w w:val="98"/>
              </w:rPr>
              <w:t>30,582</w:t>
            </w:r>
          </w:p>
        </w:tc>
        <w:tc>
          <w:tcPr>
            <w:tcW w:w="580" w:type="dxa"/>
            <w:vAlign w:val="bottom"/>
            <w:tcBorders>
              <w:bottom w:val="single" w:sz="8" w:color="FCE9E8"/>
            </w:tcBorders>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6"/>
                <w:szCs w:val="16"/>
                <w:color w:val="auto"/>
              </w:rPr>
              <w:t>8,618</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CE9E8"/>
            </w:tcBorders>
            <w:shd w:val="clear" w:color="auto" w:fill="FCE9E8"/>
          </w:tcPr>
          <w:p>
            <w:pPr>
              <w:jc w:val="right"/>
              <w:ind w:right="119"/>
              <w:spacing w:after="0"/>
              <w:rPr>
                <w:sz w:val="20"/>
                <w:szCs w:val="20"/>
                <w:color w:val="auto"/>
              </w:rPr>
            </w:pPr>
            <w:r>
              <w:rPr>
                <w:rFonts w:ascii="Arial" w:cs="Arial" w:eastAsia="Arial" w:hAnsi="Arial"/>
                <w:sz w:val="16"/>
                <w:szCs w:val="16"/>
                <w:color w:val="auto"/>
                <w:w w:val="98"/>
              </w:rPr>
              <w:t>15,434</w:t>
            </w:r>
          </w:p>
        </w:tc>
        <w:tc>
          <w:tcPr>
            <w:tcW w:w="3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8"/>
              </w:rPr>
              <w:t>54,634</w:t>
            </w:r>
          </w:p>
        </w:tc>
        <w:tc>
          <w:tcPr>
            <w:tcW w:w="0" w:type="dxa"/>
            <w:vAlign w:val="bottom"/>
          </w:tcPr>
          <w:p>
            <w:pPr>
              <w:spacing w:after="0"/>
              <w:rPr>
                <w:sz w:val="1"/>
                <w:szCs w:val="1"/>
                <w:color w:val="auto"/>
              </w:rPr>
            </w:pPr>
          </w:p>
        </w:tc>
      </w:tr>
      <w:tr>
        <w:trPr>
          <w:trHeight w:val="250"/>
        </w:trPr>
        <w:tc>
          <w:tcPr>
            <w:tcW w:w="432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21"/>
              <w:spacing w:after="0"/>
              <w:rPr>
                <w:sz w:val="20"/>
                <w:szCs w:val="20"/>
                <w:color w:val="auto"/>
              </w:rPr>
            </w:pPr>
            <w:r>
              <w:rPr>
                <w:rFonts w:ascii="Arial" w:cs="Arial" w:eastAsia="Arial" w:hAnsi="Arial"/>
                <w:sz w:val="16"/>
                <w:szCs w:val="16"/>
                <w:color w:val="auto"/>
                <w:w w:val="98"/>
              </w:rPr>
              <w:t>26,433</w:t>
            </w:r>
          </w:p>
        </w:tc>
        <w:tc>
          <w:tcPr>
            <w:tcW w:w="580" w:type="dxa"/>
            <w:vAlign w:val="bottom"/>
          </w:tcPr>
          <w:p>
            <w:pPr>
              <w:ind w:left="48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12,934</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w w:val="98"/>
              </w:rPr>
              <w:t>12,319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51,686</w:t>
            </w:r>
          </w:p>
        </w:tc>
        <w:tc>
          <w:tcPr>
            <w:tcW w:w="0" w:type="dxa"/>
            <w:vAlign w:val="bottom"/>
          </w:tcPr>
          <w:p>
            <w:pPr>
              <w:spacing w:after="0"/>
              <w:rPr>
                <w:sz w:val="1"/>
                <w:szCs w:val="1"/>
                <w:color w:val="auto"/>
              </w:rPr>
            </w:pPr>
          </w:p>
        </w:tc>
      </w:tr>
      <w:tr>
        <w:trPr>
          <w:trHeight w:val="94"/>
        </w:trPr>
        <w:tc>
          <w:tcPr>
            <w:tcW w:w="4320" w:type="dxa"/>
            <w:vAlign w:val="bottom"/>
            <w:tcBorders>
              <w:bottom w:val="single" w:sz="8" w:color="FCE9E8"/>
            </w:tcBorders>
          </w:tcPr>
          <w:p>
            <w:pPr>
              <w:spacing w:after="0"/>
              <w:rPr>
                <w:sz w:val="8"/>
                <w:szCs w:val="8"/>
                <w:color w:val="auto"/>
              </w:rPr>
            </w:pPr>
          </w:p>
        </w:tc>
        <w:tc>
          <w:tcPr>
            <w:tcW w:w="700" w:type="dxa"/>
            <w:vAlign w:val="bottom"/>
            <w:tcBorders>
              <w:bottom w:val="single" w:sz="8" w:color="FCE9E8"/>
            </w:tcBorders>
          </w:tcPr>
          <w:p>
            <w:pPr>
              <w:spacing w:after="0"/>
              <w:rPr>
                <w:sz w:val="8"/>
                <w:szCs w:val="8"/>
                <w:color w:val="auto"/>
              </w:rPr>
            </w:pPr>
          </w:p>
        </w:tc>
        <w:tc>
          <w:tcPr>
            <w:tcW w:w="900" w:type="dxa"/>
            <w:vAlign w:val="bottom"/>
            <w:tcBorders>
              <w:bottom w:val="single" w:sz="8" w:color="FCE9E8"/>
            </w:tcBorders>
          </w:tcPr>
          <w:p>
            <w:pPr>
              <w:spacing w:after="0"/>
              <w:rPr>
                <w:sz w:val="8"/>
                <w:szCs w:val="8"/>
                <w:color w:val="auto"/>
              </w:rPr>
            </w:pPr>
          </w:p>
        </w:tc>
        <w:tc>
          <w:tcPr>
            <w:tcW w:w="580" w:type="dxa"/>
            <w:vAlign w:val="bottom"/>
            <w:tcBorders>
              <w:bottom w:val="single" w:sz="8" w:color="FCE9E8"/>
            </w:tcBorders>
          </w:tcPr>
          <w:p>
            <w:pPr>
              <w:spacing w:after="0"/>
              <w:rPr>
                <w:sz w:val="8"/>
                <w:szCs w:val="8"/>
                <w:color w:val="auto"/>
              </w:rPr>
            </w:pPr>
          </w:p>
        </w:tc>
        <w:tc>
          <w:tcPr>
            <w:tcW w:w="620" w:type="dxa"/>
            <w:vAlign w:val="bottom"/>
            <w:tcBorders>
              <w:bottom w:val="single" w:sz="8" w:color="FCE9E8"/>
            </w:tcBorders>
          </w:tcPr>
          <w:p>
            <w:pPr>
              <w:spacing w:after="0"/>
              <w:rPr>
                <w:sz w:val="8"/>
                <w:szCs w:val="8"/>
                <w:color w:val="auto"/>
              </w:rPr>
            </w:pPr>
          </w:p>
        </w:tc>
        <w:tc>
          <w:tcPr>
            <w:tcW w:w="500" w:type="dxa"/>
            <w:vAlign w:val="bottom"/>
            <w:tcBorders>
              <w:bottom w:val="single" w:sz="8" w:color="FCE9E8"/>
            </w:tcBorders>
          </w:tcPr>
          <w:p>
            <w:pPr>
              <w:spacing w:after="0"/>
              <w:rPr>
                <w:sz w:val="8"/>
                <w:szCs w:val="8"/>
                <w:color w:val="auto"/>
              </w:rPr>
            </w:pPr>
          </w:p>
        </w:tc>
        <w:tc>
          <w:tcPr>
            <w:tcW w:w="700" w:type="dxa"/>
            <w:vAlign w:val="bottom"/>
            <w:tcBorders>
              <w:bottom w:val="single" w:sz="8" w:color="FCE9E8"/>
            </w:tcBorders>
          </w:tcPr>
          <w:p>
            <w:pPr>
              <w:spacing w:after="0"/>
              <w:rPr>
                <w:sz w:val="8"/>
                <w:szCs w:val="8"/>
                <w:color w:val="auto"/>
              </w:rPr>
            </w:pPr>
          </w:p>
        </w:tc>
        <w:tc>
          <w:tcPr>
            <w:tcW w:w="300" w:type="dxa"/>
            <w:vAlign w:val="bottom"/>
            <w:tcBorders>
              <w:bottom w:val="single" w:sz="8" w:color="FCE9E8"/>
            </w:tcBorders>
          </w:tcPr>
          <w:p>
            <w:pPr>
              <w:spacing w:after="0"/>
              <w:rPr>
                <w:sz w:val="8"/>
                <w:szCs w:val="8"/>
                <w:color w:val="auto"/>
              </w:rPr>
            </w:pPr>
          </w:p>
        </w:tc>
        <w:tc>
          <w:tcPr>
            <w:tcW w:w="500" w:type="dxa"/>
            <w:vAlign w:val="bottom"/>
            <w:tcBorders>
              <w:bottom w:val="single" w:sz="8" w:color="FCE9E8"/>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3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7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CE9E8"/>
            </w:tcBorders>
            <w:shd w:val="clear" w:color="auto" w:fill="FCE9E8"/>
          </w:tcPr>
          <w:p>
            <w:pPr>
              <w:jc w:val="right"/>
              <w:ind w:right="3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FCE9E8"/>
            </w:tcBorders>
            <w:shd w:val="clear" w:color="auto" w:fill="FCE9E8"/>
          </w:tcPr>
          <w:p>
            <w:pPr>
              <w:ind w:left="48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CE9E8"/>
            </w:tcBorders>
            <w:shd w:val="clear" w:color="auto" w:fill="FCE9E8"/>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55</w:t>
      </w:r>
    </w:p>
    <w:p>
      <w:pPr>
        <w:sectPr>
          <w:pgSz w:w="11900" w:h="16838" w:orient="portrait"/>
          <w:cols w:equalWidth="0" w:num="1">
            <w:col w:w="10860"/>
          </w:cols>
          <w:pgMar w:left="320" w:top="459" w:right="7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197485</wp:posOffset>
            </wp:positionV>
            <wp:extent cx="6292215" cy="2317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31775"/>
                    </a:xfrm>
                    <a:prstGeom prst="rect">
                      <a:avLst/>
                    </a:prstGeom>
                    <a:noFill/>
                  </pic:spPr>
                </pic:pic>
              </a:graphicData>
            </a:graphic>
          </wp:anchor>
        </w:drawing>
      </w:r>
    </w:p>
    <w:p>
      <w:pPr>
        <w:spacing w:after="0" w:line="326"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FFFFFF"/>
        </w:rPr>
        <w:t>2020 Pension Benefits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tcPr>
          <w:p>
            <w:pPr>
              <w:jc w:val="center"/>
              <w:ind w:left="62"/>
              <w:spacing w:after="0"/>
              <w:rPr>
                <w:sz w:val="20"/>
                <w:szCs w:val="20"/>
                <w:color w:val="auto"/>
              </w:rPr>
            </w:pPr>
            <w:r>
              <w:rPr>
                <w:rFonts w:ascii="Arial" w:cs="Arial" w:eastAsia="Arial" w:hAnsi="Arial"/>
                <w:sz w:val="14"/>
                <w:szCs w:val="14"/>
                <w:b w:val="1"/>
                <w:bCs w:val="1"/>
                <w:color w:val="E2231A"/>
              </w:rPr>
              <w:t>Number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tcPr>
          <w:p>
            <w:pPr>
              <w:jc w:val="center"/>
              <w:ind w:left="82"/>
              <w:spacing w:after="0"/>
              <w:rPr>
                <w:sz w:val="20"/>
                <w:szCs w:val="20"/>
                <w:color w:val="auto"/>
              </w:rPr>
            </w:pPr>
            <w:r>
              <w:rPr>
                <w:rFonts w:ascii="Arial" w:cs="Arial" w:eastAsia="Arial" w:hAnsi="Arial"/>
                <w:sz w:val="14"/>
                <w:szCs w:val="14"/>
                <w:b w:val="1"/>
                <w:bCs w:val="1"/>
                <w:color w:val="E2231A"/>
              </w:rPr>
              <w:t>of Years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Present</w:t>
            </w:r>
          </w:p>
        </w:tc>
        <w:tc>
          <w:tcPr>
            <w:tcW w:w="1000" w:type="dxa"/>
            <w:vAlign w:val="bottom"/>
          </w:tcPr>
          <w:p>
            <w:pPr>
              <w:jc w:val="center"/>
              <w:ind w:left="42"/>
              <w:spacing w:after="0"/>
              <w:rPr>
                <w:sz w:val="20"/>
                <w:szCs w:val="20"/>
                <w:color w:val="auto"/>
              </w:rPr>
            </w:pPr>
            <w:r>
              <w:rPr>
                <w:rFonts w:ascii="Arial" w:cs="Arial" w:eastAsia="Arial" w:hAnsi="Arial"/>
                <w:sz w:val="14"/>
                <w:szCs w:val="14"/>
                <w:b w:val="1"/>
                <w:bCs w:val="1"/>
                <w:color w:val="E2231A"/>
              </w:rPr>
              <w:t>Payments</w:t>
            </w:r>
          </w:p>
        </w:tc>
      </w:tr>
      <w:tr>
        <w:trPr>
          <w:trHeight w:val="162"/>
        </w:trPr>
        <w:tc>
          <w:tcPr>
            <w:tcW w:w="19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tcPr>
          <w:p>
            <w:pPr>
              <w:jc w:val="center"/>
              <w:ind w:left="62"/>
              <w:spacing w:after="0"/>
              <w:rPr>
                <w:sz w:val="20"/>
                <w:szCs w:val="20"/>
                <w:color w:val="auto"/>
              </w:rPr>
            </w:pPr>
            <w:r>
              <w:rPr>
                <w:rFonts w:ascii="Arial" w:cs="Arial" w:eastAsia="Arial" w:hAnsi="Arial"/>
                <w:sz w:val="14"/>
                <w:szCs w:val="14"/>
                <w:b w:val="1"/>
                <w:bCs w:val="1"/>
                <w:color w:val="E2231A"/>
              </w:rPr>
              <w:t>Credited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E2231A"/>
                <w:w w:val="99"/>
              </w:rPr>
              <w:t>Value of</w:t>
            </w:r>
          </w:p>
        </w:tc>
        <w:tc>
          <w:tcPr>
            <w:tcW w:w="1000" w:type="dxa"/>
            <w:vAlign w:val="bottom"/>
          </w:tcPr>
          <w:p>
            <w:pPr>
              <w:jc w:val="center"/>
              <w:ind w:left="62"/>
              <w:spacing w:after="0"/>
              <w:rPr>
                <w:sz w:val="20"/>
                <w:szCs w:val="20"/>
                <w:color w:val="auto"/>
              </w:rPr>
            </w:pPr>
            <w:r>
              <w:rPr>
                <w:rFonts w:ascii="Arial" w:cs="Arial" w:eastAsia="Arial" w:hAnsi="Arial"/>
                <w:sz w:val="14"/>
                <w:szCs w:val="14"/>
                <w:b w:val="1"/>
                <w:bCs w:val="1"/>
                <w:color w:val="E2231A"/>
              </w:rPr>
              <w:t>During</w:t>
            </w:r>
          </w:p>
        </w:tc>
      </w:tr>
      <w:tr>
        <w:trPr>
          <w:trHeight w:val="159"/>
        </w:trPr>
        <w:tc>
          <w:tcPr>
            <w:tcW w:w="19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80" w:type="dxa"/>
            <w:vAlign w:val="bottom"/>
          </w:tcPr>
          <w:p>
            <w:pPr>
              <w:jc w:val="center"/>
              <w:ind w:left="62"/>
              <w:spacing w:after="0" w:line="159" w:lineRule="exact"/>
              <w:rPr>
                <w:sz w:val="20"/>
                <w:szCs w:val="20"/>
                <w:color w:val="auto"/>
              </w:rPr>
            </w:pPr>
            <w:r>
              <w:rPr>
                <w:rFonts w:ascii="Arial" w:cs="Arial" w:eastAsia="Arial" w:hAnsi="Arial"/>
                <w:sz w:val="14"/>
                <w:szCs w:val="14"/>
                <w:b w:val="1"/>
                <w:bCs w:val="1"/>
                <w:color w:val="E2231A"/>
              </w:rPr>
              <w:t>Service</w:t>
            </w: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Vesting</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E2231A"/>
              </w:rPr>
              <w:t>Accumulated</w:t>
            </w:r>
          </w:p>
        </w:tc>
        <w:tc>
          <w:tcPr>
            <w:tcW w:w="1000" w:type="dxa"/>
            <w:vAlign w:val="bottom"/>
          </w:tcPr>
          <w:p>
            <w:pPr>
              <w:jc w:val="center"/>
              <w:ind w:left="62"/>
              <w:spacing w:after="0" w:line="159" w:lineRule="exact"/>
              <w:rPr>
                <w:sz w:val="20"/>
                <w:szCs w:val="20"/>
                <w:color w:val="auto"/>
              </w:rPr>
            </w:pPr>
            <w:r>
              <w:rPr>
                <w:rFonts w:ascii="Arial" w:cs="Arial" w:eastAsia="Arial" w:hAnsi="Arial"/>
                <w:sz w:val="14"/>
                <w:szCs w:val="14"/>
                <w:b w:val="1"/>
                <w:bCs w:val="1"/>
                <w:color w:val="E2231A"/>
              </w:rPr>
              <w:t>Last Fiscal</w:t>
            </w:r>
          </w:p>
        </w:tc>
      </w:tr>
      <w:tr>
        <w:trPr>
          <w:trHeight w:val="206"/>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3580" w:type="dxa"/>
            <w:vAlign w:val="bottom"/>
            <w:tcBorders>
              <w:bottom w:val="single" w:sz="8" w:color="auto"/>
            </w:tcBorders>
          </w:tcPr>
          <w:p>
            <w:pPr>
              <w:jc w:val="right"/>
              <w:ind w:right="1000"/>
              <w:spacing w:after="0"/>
              <w:rPr>
                <w:sz w:val="20"/>
                <w:szCs w:val="20"/>
                <w:color w:val="auto"/>
              </w:rPr>
            </w:pPr>
            <w:r>
              <w:rPr>
                <w:rFonts w:ascii="Arial" w:cs="Arial" w:eastAsia="Arial" w:hAnsi="Arial"/>
                <w:sz w:val="14"/>
                <w:szCs w:val="14"/>
                <w:b w:val="1"/>
                <w:bCs w:val="1"/>
                <w:color w:val="E2231A"/>
              </w:rPr>
              <w:t>Plan Name(s)(b)</w:t>
            </w:r>
          </w:p>
        </w:tc>
        <w:tc>
          <w:tcPr>
            <w:tcW w:w="108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E2231A"/>
              </w:rPr>
              <w:t>(c)</w:t>
            </w:r>
          </w:p>
        </w:tc>
        <w:tc>
          <w:tcPr>
            <w:tcW w:w="1040" w:type="dxa"/>
            <w:vAlign w:val="bottom"/>
            <w:tcBorders>
              <w:bottom w:val="single" w:sz="8" w:color="auto"/>
            </w:tcBorders>
          </w:tcPr>
          <w:p>
            <w:pPr>
              <w:jc w:val="center"/>
              <w:spacing w:after="0" w:line="205" w:lineRule="exact"/>
              <w:rPr>
                <w:sz w:val="20"/>
                <w:szCs w:val="20"/>
                <w:color w:val="auto"/>
              </w:rPr>
            </w:pPr>
            <w:r>
              <w:rPr>
                <w:rFonts w:ascii="Arial" w:cs="Arial" w:eastAsia="Arial" w:hAnsi="Arial"/>
                <w:sz w:val="14"/>
                <w:szCs w:val="14"/>
                <w:b w:val="1"/>
                <w:bCs w:val="1"/>
                <w:color w:val="E2231A"/>
                <w:w w:val="96"/>
              </w:rPr>
              <w:t>Service</w:t>
            </w:r>
            <w:r>
              <w:rPr>
                <w:rFonts w:ascii="Arial" w:cs="Arial" w:eastAsia="Arial" w:hAnsi="Arial"/>
                <w:sz w:val="23"/>
                <w:szCs w:val="23"/>
                <w:b w:val="1"/>
                <w:bCs w:val="1"/>
                <w:color w:val="E2231A"/>
                <w:w w:val="96"/>
                <w:vertAlign w:val="superscript"/>
              </w:rPr>
              <w:t>(1)</w:t>
            </w:r>
          </w:p>
        </w:tc>
        <w:tc>
          <w:tcPr>
            <w:tcW w:w="1260" w:type="dxa"/>
            <w:vAlign w:val="bottom"/>
            <w:tcBorders>
              <w:bottom w:val="single" w:sz="8" w:color="auto"/>
            </w:tcBorders>
            <w:gridSpan w:val="2"/>
          </w:tcPr>
          <w:p>
            <w:pPr>
              <w:jc w:val="center"/>
              <w:spacing w:after="0" w:line="205" w:lineRule="exact"/>
              <w:rPr>
                <w:sz w:val="20"/>
                <w:szCs w:val="20"/>
                <w:color w:val="auto"/>
              </w:rPr>
            </w:pPr>
            <w:r>
              <w:rPr>
                <w:rFonts w:ascii="Arial" w:cs="Arial" w:eastAsia="Arial" w:hAnsi="Arial"/>
                <w:sz w:val="14"/>
                <w:szCs w:val="14"/>
                <w:b w:val="1"/>
                <w:bCs w:val="1"/>
                <w:color w:val="E2231A"/>
                <w:w w:val="97"/>
              </w:rPr>
              <w:t>Benefit</w:t>
            </w:r>
            <w:r>
              <w:rPr>
                <w:rFonts w:ascii="Arial" w:cs="Arial" w:eastAsia="Arial" w:hAnsi="Arial"/>
                <w:sz w:val="23"/>
                <w:szCs w:val="23"/>
                <w:b w:val="1"/>
                <w:bCs w:val="1"/>
                <w:color w:val="E2231A"/>
                <w:w w:val="97"/>
                <w:vertAlign w:val="superscript"/>
              </w:rPr>
              <w:t>(2)</w:t>
            </w:r>
            <w:r>
              <w:rPr>
                <w:rFonts w:ascii="Arial" w:cs="Arial" w:eastAsia="Arial" w:hAnsi="Arial"/>
                <w:sz w:val="14"/>
                <w:szCs w:val="14"/>
                <w:b w:val="1"/>
                <w:bCs w:val="1"/>
                <w:color w:val="E2231A"/>
                <w:w w:val="97"/>
              </w:rPr>
              <w:t>(d)</w:t>
            </w:r>
          </w:p>
        </w:tc>
        <w:tc>
          <w:tcPr>
            <w:tcW w:w="10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E2231A"/>
              </w:rPr>
              <w:t>Year(e)</w:t>
            </w:r>
          </w:p>
        </w:tc>
      </w:tr>
      <w:tr>
        <w:trPr>
          <w:trHeight w:val="231"/>
        </w:trPr>
        <w:tc>
          <w:tcPr>
            <w:tcW w:w="19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Plan (tax-qualified plan)</w:t>
            </w:r>
          </w:p>
        </w:tc>
        <w:tc>
          <w:tcPr>
            <w:tcW w:w="1080" w:type="dxa"/>
            <w:vAlign w:val="bottom"/>
            <w:shd w:val="clear" w:color="auto" w:fill="FCE9E8"/>
          </w:tcPr>
          <w:p>
            <w:pPr>
              <w:jc w:val="right"/>
              <w:ind w:right="202"/>
              <w:spacing w:after="0"/>
              <w:rPr>
                <w:sz w:val="20"/>
                <w:szCs w:val="20"/>
                <w:color w:val="auto"/>
              </w:rPr>
            </w:pPr>
            <w:r>
              <w:rPr>
                <w:rFonts w:ascii="Arial" w:cs="Arial" w:eastAsia="Arial" w:hAnsi="Arial"/>
                <w:sz w:val="16"/>
                <w:szCs w:val="16"/>
                <w:color w:val="auto"/>
              </w:rPr>
              <w:t>18.4</w:t>
            </w:r>
          </w:p>
        </w:tc>
        <w:tc>
          <w:tcPr>
            <w:tcW w:w="104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32.4</w:t>
            </w:r>
          </w:p>
        </w:tc>
        <w:tc>
          <w:tcPr>
            <w:tcW w:w="4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CE9E8"/>
          </w:tcPr>
          <w:p>
            <w:pPr>
              <w:jc w:val="right"/>
              <w:ind w:right="179"/>
              <w:spacing w:after="0"/>
              <w:rPr>
                <w:sz w:val="20"/>
                <w:szCs w:val="20"/>
                <w:color w:val="auto"/>
              </w:rPr>
            </w:pPr>
            <w:r>
              <w:rPr>
                <w:rFonts w:ascii="Arial" w:cs="Arial" w:eastAsia="Arial" w:hAnsi="Arial"/>
                <w:sz w:val="16"/>
                <w:szCs w:val="16"/>
                <w:color w:val="auto"/>
                <w:w w:val="96"/>
              </w:rPr>
              <w:t>677,195</w:t>
            </w:r>
          </w:p>
        </w:tc>
        <w:tc>
          <w:tcPr>
            <w:tcW w:w="10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N/A</w:t>
            </w:r>
          </w:p>
        </w:tc>
      </w:tr>
      <w:tr>
        <w:trPr>
          <w:trHeight w:val="270"/>
        </w:trPr>
        <w:tc>
          <w:tcPr>
            <w:tcW w:w="1960" w:type="dxa"/>
            <w:vAlign w:val="bottom"/>
            <w:shd w:val="clear" w:color="auto" w:fill="FCE9E8"/>
          </w:tcPr>
          <w:p>
            <w:pPr>
              <w:spacing w:after="0"/>
              <w:rPr>
                <w:sz w:val="23"/>
                <w:szCs w:val="23"/>
                <w:color w:val="auto"/>
              </w:rPr>
            </w:pPr>
          </w:p>
        </w:tc>
        <w:tc>
          <w:tcPr>
            <w:tcW w:w="3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Equalization Program</w:t>
            </w:r>
          </w:p>
        </w:tc>
        <w:tc>
          <w:tcPr>
            <w:tcW w:w="1080" w:type="dxa"/>
            <w:vAlign w:val="bottom"/>
            <w:shd w:val="clear" w:color="auto" w:fill="FCE9E8"/>
          </w:tcPr>
          <w:p>
            <w:pPr>
              <w:jc w:val="right"/>
              <w:ind w:right="202"/>
              <w:spacing w:after="0"/>
              <w:rPr>
                <w:sz w:val="20"/>
                <w:szCs w:val="20"/>
                <w:color w:val="auto"/>
              </w:rPr>
            </w:pPr>
            <w:r>
              <w:rPr>
                <w:rFonts w:ascii="Arial" w:cs="Arial" w:eastAsia="Arial" w:hAnsi="Arial"/>
                <w:sz w:val="16"/>
                <w:szCs w:val="16"/>
                <w:color w:val="auto"/>
              </w:rPr>
              <w:t>18.4</w:t>
            </w:r>
          </w:p>
        </w:tc>
        <w:tc>
          <w:tcPr>
            <w:tcW w:w="104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32.4</w:t>
            </w:r>
          </w:p>
        </w:tc>
        <w:tc>
          <w:tcPr>
            <w:tcW w:w="4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CE9E8"/>
          </w:tcPr>
          <w:p>
            <w:pPr>
              <w:jc w:val="right"/>
              <w:ind w:right="179"/>
              <w:spacing w:after="0"/>
              <w:rPr>
                <w:sz w:val="20"/>
                <w:szCs w:val="20"/>
                <w:color w:val="auto"/>
              </w:rPr>
            </w:pPr>
            <w:r>
              <w:rPr>
                <w:rFonts w:ascii="Arial" w:cs="Arial" w:eastAsia="Arial" w:hAnsi="Arial"/>
                <w:sz w:val="16"/>
                <w:szCs w:val="16"/>
                <w:color w:val="auto"/>
                <w:w w:val="96"/>
              </w:rPr>
              <w:t>848,216</w:t>
            </w:r>
          </w:p>
        </w:tc>
        <w:tc>
          <w:tcPr>
            <w:tcW w:w="10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N/A</w:t>
            </w:r>
          </w:p>
        </w:tc>
      </w:tr>
      <w:tr>
        <w:trPr>
          <w:trHeight w:val="283"/>
        </w:trPr>
        <w:tc>
          <w:tcPr>
            <w:tcW w:w="1960" w:type="dxa"/>
            <w:vAlign w:val="bottom"/>
            <w:tcBorders>
              <w:bottom w:val="single" w:sz="8" w:color="auto"/>
            </w:tcBorders>
            <w:shd w:val="clear" w:color="auto" w:fill="FCE9E8"/>
          </w:tcPr>
          <w:p>
            <w:pPr>
              <w:spacing w:after="0"/>
              <w:rPr>
                <w:sz w:val="24"/>
                <w:szCs w:val="24"/>
                <w:color w:val="auto"/>
              </w:rPr>
            </w:pPr>
          </w:p>
        </w:tc>
        <w:tc>
          <w:tcPr>
            <w:tcW w:w="35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tcBorders>
              <w:bottom w:val="single" w:sz="8" w:color="auto"/>
            </w:tcBorders>
            <w:shd w:val="clear" w:color="auto" w:fill="FCE9E8"/>
          </w:tcPr>
          <w:p>
            <w:pPr>
              <w:jc w:val="right"/>
              <w:ind w:right="202"/>
              <w:spacing w:after="0"/>
              <w:rPr>
                <w:sz w:val="20"/>
                <w:szCs w:val="20"/>
                <w:color w:val="auto"/>
              </w:rPr>
            </w:pPr>
            <w:r>
              <w:rPr>
                <w:rFonts w:ascii="Arial" w:cs="Arial" w:eastAsia="Arial" w:hAnsi="Arial"/>
                <w:sz w:val="16"/>
                <w:szCs w:val="16"/>
                <w:color w:val="auto"/>
              </w:rPr>
              <w:t>18.4</w:t>
            </w:r>
          </w:p>
        </w:tc>
        <w:tc>
          <w:tcPr>
            <w:tcW w:w="1040" w:type="dxa"/>
            <w:vAlign w:val="bottom"/>
            <w:tcBorders>
              <w:bottom w:val="single" w:sz="8" w:color="auto"/>
            </w:tcBorders>
            <w:shd w:val="clear" w:color="auto" w:fill="FCE9E8"/>
          </w:tcPr>
          <w:p>
            <w:pPr>
              <w:jc w:val="right"/>
              <w:ind w:right="242"/>
              <w:spacing w:after="0"/>
              <w:rPr>
                <w:sz w:val="20"/>
                <w:szCs w:val="20"/>
                <w:color w:val="auto"/>
              </w:rPr>
            </w:pPr>
            <w:r>
              <w:rPr>
                <w:rFonts w:ascii="Arial" w:cs="Arial" w:eastAsia="Arial" w:hAnsi="Arial"/>
                <w:sz w:val="16"/>
                <w:szCs w:val="16"/>
                <w:color w:val="auto"/>
              </w:rPr>
              <w:t>32.4</w:t>
            </w:r>
          </w:p>
        </w:tc>
        <w:tc>
          <w:tcPr>
            <w:tcW w:w="4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FCE9E8"/>
          </w:tcPr>
          <w:p>
            <w:pPr>
              <w:jc w:val="right"/>
              <w:ind w:right="179"/>
              <w:spacing w:after="0"/>
              <w:rPr>
                <w:sz w:val="20"/>
                <w:szCs w:val="20"/>
                <w:color w:val="auto"/>
              </w:rPr>
            </w:pPr>
            <w:r>
              <w:rPr>
                <w:rFonts w:ascii="Arial" w:cs="Arial" w:eastAsia="Arial" w:hAnsi="Arial"/>
                <w:sz w:val="16"/>
                <w:szCs w:val="16"/>
                <w:color w:val="auto"/>
                <w:w w:val="96"/>
              </w:rPr>
              <w:t>550,011</w:t>
            </w:r>
          </w:p>
        </w:tc>
        <w:tc>
          <w:tcPr>
            <w:tcW w:w="1000" w:type="dxa"/>
            <w:vAlign w:val="bottom"/>
            <w:tcBorders>
              <w:bottom w:val="single" w:sz="8" w:color="auto"/>
            </w:tcBorders>
            <w:shd w:val="clear" w:color="auto" w:fill="FCE9E8"/>
          </w:tcPr>
          <w:p>
            <w:pPr>
              <w:ind w:left="480"/>
              <w:spacing w:after="0"/>
              <w:rPr>
                <w:sz w:val="20"/>
                <w:szCs w:val="20"/>
                <w:color w:val="auto"/>
              </w:rPr>
            </w:pPr>
            <w:r>
              <w:rPr>
                <w:rFonts w:ascii="Arial" w:cs="Arial" w:eastAsia="Arial" w:hAnsi="Arial"/>
                <w:sz w:val="16"/>
                <w:szCs w:val="16"/>
                <w:color w:val="auto"/>
              </w:rPr>
              <w:t>N/A</w:t>
            </w:r>
          </w:p>
        </w:tc>
      </w:tr>
      <w:tr>
        <w:trPr>
          <w:trHeight w:val="239"/>
        </w:trPr>
        <w:tc>
          <w:tcPr>
            <w:tcW w:w="1960" w:type="dxa"/>
            <w:vAlign w:val="bottom"/>
          </w:tcPr>
          <w:p>
            <w:pPr>
              <w:ind w:left="80"/>
              <w:spacing w:after="0"/>
              <w:rPr>
                <w:sz w:val="20"/>
                <w:szCs w:val="20"/>
                <w:color w:val="auto"/>
              </w:rPr>
            </w:pPr>
            <w:r>
              <w:rPr>
                <w:rFonts w:ascii="Arial" w:cs="Arial" w:eastAsia="Arial" w:hAnsi="Arial"/>
                <w:sz w:val="17"/>
                <w:szCs w:val="17"/>
                <w:color w:val="auto"/>
              </w:rPr>
              <w:t>Jason M. Cardew</w:t>
            </w:r>
            <w:r>
              <w:rPr>
                <w:rFonts w:ascii="Arial" w:cs="Arial" w:eastAsia="Arial" w:hAnsi="Arial"/>
                <w:sz w:val="14"/>
                <w:szCs w:val="14"/>
                <w:color w:val="auto"/>
              </w:rPr>
              <w:t>(3)</w:t>
            </w:r>
          </w:p>
        </w:tc>
        <w:tc>
          <w:tcPr>
            <w:tcW w:w="3580" w:type="dxa"/>
            <w:vAlign w:val="bottom"/>
          </w:tcPr>
          <w:p>
            <w:pPr>
              <w:jc w:val="right"/>
              <w:spacing w:after="0"/>
              <w:rPr>
                <w:sz w:val="20"/>
                <w:szCs w:val="20"/>
                <w:color w:val="auto"/>
              </w:rPr>
            </w:pPr>
            <w:r>
              <w:rPr>
                <w:rFonts w:ascii="Arial" w:cs="Arial" w:eastAsia="Arial" w:hAnsi="Arial"/>
                <w:sz w:val="16"/>
                <w:szCs w:val="16"/>
                <w:color w:val="auto"/>
              </w:rPr>
              <w:t>Pension Plan (tax-qualified plan)</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14.5</w:t>
            </w:r>
          </w:p>
        </w:tc>
        <w:tc>
          <w:tcPr>
            <w:tcW w:w="1040" w:type="dxa"/>
            <w:vAlign w:val="bottom"/>
          </w:tcPr>
          <w:p>
            <w:pPr>
              <w:jc w:val="right"/>
              <w:ind w:right="242"/>
              <w:spacing w:after="0"/>
              <w:rPr>
                <w:sz w:val="20"/>
                <w:szCs w:val="20"/>
                <w:color w:val="auto"/>
              </w:rPr>
            </w:pPr>
            <w:r>
              <w:rPr>
                <w:rFonts w:ascii="Arial" w:cs="Arial" w:eastAsia="Arial" w:hAnsi="Arial"/>
                <w:sz w:val="16"/>
                <w:szCs w:val="16"/>
                <w:color w:val="auto"/>
              </w:rPr>
              <w:t>28.5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w w:val="96"/>
              </w:rPr>
              <w:t>429,920</w:t>
            </w:r>
          </w:p>
        </w:tc>
        <w:tc>
          <w:tcPr>
            <w:tcW w:w="1000" w:type="dxa"/>
            <w:vAlign w:val="bottom"/>
          </w:tcPr>
          <w:p>
            <w:pPr>
              <w:ind w:left="480"/>
              <w:spacing w:after="0"/>
              <w:rPr>
                <w:sz w:val="20"/>
                <w:szCs w:val="20"/>
                <w:color w:val="auto"/>
              </w:rPr>
            </w:pPr>
            <w:r>
              <w:rPr>
                <w:rFonts w:ascii="Arial" w:cs="Arial" w:eastAsia="Arial" w:hAnsi="Arial"/>
                <w:sz w:val="16"/>
                <w:szCs w:val="16"/>
                <w:color w:val="auto"/>
              </w:rPr>
              <w:t>N/A</w:t>
            </w:r>
          </w:p>
        </w:tc>
      </w:tr>
      <w:tr>
        <w:trPr>
          <w:trHeight w:val="268"/>
        </w:trPr>
        <w:tc>
          <w:tcPr>
            <w:tcW w:w="1960" w:type="dxa"/>
            <w:vAlign w:val="bottom"/>
          </w:tcPr>
          <w:p>
            <w:pPr>
              <w:spacing w:after="0"/>
              <w:rPr>
                <w:sz w:val="23"/>
                <w:szCs w:val="23"/>
                <w:color w:val="auto"/>
              </w:rPr>
            </w:pPr>
          </w:p>
        </w:tc>
        <w:tc>
          <w:tcPr>
            <w:tcW w:w="3580" w:type="dxa"/>
            <w:vAlign w:val="bottom"/>
          </w:tcPr>
          <w:p>
            <w:pPr>
              <w:jc w:val="right"/>
              <w:spacing w:after="0"/>
              <w:rPr>
                <w:sz w:val="20"/>
                <w:szCs w:val="20"/>
                <w:color w:val="auto"/>
              </w:rPr>
            </w:pPr>
            <w:r>
              <w:rPr>
                <w:rFonts w:ascii="Arial" w:cs="Arial" w:eastAsia="Arial" w:hAnsi="Arial"/>
                <w:sz w:val="16"/>
                <w:szCs w:val="16"/>
                <w:color w:val="auto"/>
              </w:rPr>
              <w:t>Pension Equalization Program</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14.5</w:t>
            </w:r>
          </w:p>
        </w:tc>
        <w:tc>
          <w:tcPr>
            <w:tcW w:w="1040" w:type="dxa"/>
            <w:vAlign w:val="bottom"/>
          </w:tcPr>
          <w:p>
            <w:pPr>
              <w:jc w:val="right"/>
              <w:ind w:right="242"/>
              <w:spacing w:after="0"/>
              <w:rPr>
                <w:sz w:val="20"/>
                <w:szCs w:val="20"/>
                <w:color w:val="auto"/>
              </w:rPr>
            </w:pPr>
            <w:r>
              <w:rPr>
                <w:rFonts w:ascii="Arial" w:cs="Arial" w:eastAsia="Arial" w:hAnsi="Arial"/>
                <w:sz w:val="16"/>
                <w:szCs w:val="16"/>
                <w:color w:val="auto"/>
              </w:rPr>
              <w:t>28.5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10,036</w:t>
            </w:r>
          </w:p>
        </w:tc>
        <w:tc>
          <w:tcPr>
            <w:tcW w:w="1000" w:type="dxa"/>
            <w:vAlign w:val="bottom"/>
          </w:tcPr>
          <w:p>
            <w:pPr>
              <w:ind w:left="480"/>
              <w:spacing w:after="0"/>
              <w:rPr>
                <w:sz w:val="20"/>
                <w:szCs w:val="20"/>
                <w:color w:val="auto"/>
              </w:rPr>
            </w:pPr>
            <w:r>
              <w:rPr>
                <w:rFonts w:ascii="Arial" w:cs="Arial" w:eastAsia="Arial" w:hAnsi="Arial"/>
                <w:sz w:val="16"/>
                <w:szCs w:val="16"/>
                <w:color w:val="auto"/>
              </w:rPr>
              <w:t>N/A</w:t>
            </w:r>
          </w:p>
        </w:tc>
      </w:tr>
      <w:tr>
        <w:trPr>
          <w:trHeight w:val="283"/>
        </w:trPr>
        <w:tc>
          <w:tcPr>
            <w:tcW w:w="19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14.5</w:t>
            </w:r>
          </w:p>
        </w:tc>
        <w:tc>
          <w:tcPr>
            <w:tcW w:w="10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28.5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33,727</w:t>
            </w: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N/A</w:t>
            </w:r>
          </w:p>
        </w:tc>
      </w:tr>
      <w:tr>
        <w:trPr>
          <w:trHeight w:val="237"/>
        </w:trPr>
        <w:tc>
          <w:tcPr>
            <w:tcW w:w="196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Plan (tax-qualified plan)</w:t>
            </w:r>
          </w:p>
        </w:tc>
        <w:tc>
          <w:tcPr>
            <w:tcW w:w="1080" w:type="dxa"/>
            <w:vAlign w:val="bottom"/>
            <w:shd w:val="clear" w:color="auto" w:fill="FCE9E8"/>
          </w:tcPr>
          <w:p>
            <w:pPr>
              <w:jc w:val="right"/>
              <w:ind w:right="202"/>
              <w:spacing w:after="0"/>
              <w:rPr>
                <w:sz w:val="20"/>
                <w:szCs w:val="20"/>
                <w:color w:val="auto"/>
              </w:rPr>
            </w:pPr>
            <w:r>
              <w:rPr>
                <w:rFonts w:ascii="Arial" w:cs="Arial" w:eastAsia="Arial" w:hAnsi="Arial"/>
                <w:sz w:val="16"/>
                <w:szCs w:val="16"/>
                <w:color w:val="auto"/>
              </w:rPr>
              <w:t>12.7</w:t>
            </w:r>
          </w:p>
        </w:tc>
        <w:tc>
          <w:tcPr>
            <w:tcW w:w="104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26.7</w:t>
            </w:r>
          </w:p>
        </w:tc>
        <w:tc>
          <w:tcPr>
            <w:tcW w:w="4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CE9E8"/>
          </w:tcPr>
          <w:p>
            <w:pPr>
              <w:jc w:val="right"/>
              <w:ind w:right="179"/>
              <w:spacing w:after="0"/>
              <w:rPr>
                <w:sz w:val="20"/>
                <w:szCs w:val="20"/>
                <w:color w:val="auto"/>
              </w:rPr>
            </w:pPr>
            <w:r>
              <w:rPr>
                <w:rFonts w:ascii="Arial" w:cs="Arial" w:eastAsia="Arial" w:hAnsi="Arial"/>
                <w:sz w:val="16"/>
                <w:szCs w:val="16"/>
                <w:color w:val="auto"/>
                <w:w w:val="96"/>
              </w:rPr>
              <w:t>385,384</w:t>
            </w:r>
          </w:p>
        </w:tc>
        <w:tc>
          <w:tcPr>
            <w:tcW w:w="10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N/A</w:t>
            </w:r>
          </w:p>
        </w:tc>
      </w:tr>
      <w:tr>
        <w:trPr>
          <w:trHeight w:val="270"/>
        </w:trPr>
        <w:tc>
          <w:tcPr>
            <w:tcW w:w="1960" w:type="dxa"/>
            <w:vAlign w:val="bottom"/>
            <w:shd w:val="clear" w:color="auto" w:fill="FCE9E8"/>
          </w:tcPr>
          <w:p>
            <w:pPr>
              <w:spacing w:after="0"/>
              <w:rPr>
                <w:sz w:val="23"/>
                <w:szCs w:val="23"/>
                <w:color w:val="auto"/>
              </w:rPr>
            </w:pPr>
          </w:p>
        </w:tc>
        <w:tc>
          <w:tcPr>
            <w:tcW w:w="3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Pension Equalization Program</w:t>
            </w:r>
          </w:p>
        </w:tc>
        <w:tc>
          <w:tcPr>
            <w:tcW w:w="1080" w:type="dxa"/>
            <w:vAlign w:val="bottom"/>
            <w:shd w:val="clear" w:color="auto" w:fill="FCE9E8"/>
          </w:tcPr>
          <w:p>
            <w:pPr>
              <w:jc w:val="right"/>
              <w:ind w:right="202"/>
              <w:spacing w:after="0"/>
              <w:rPr>
                <w:sz w:val="20"/>
                <w:szCs w:val="20"/>
                <w:color w:val="auto"/>
              </w:rPr>
            </w:pPr>
            <w:r>
              <w:rPr>
                <w:rFonts w:ascii="Arial" w:cs="Arial" w:eastAsia="Arial" w:hAnsi="Arial"/>
                <w:sz w:val="16"/>
                <w:szCs w:val="16"/>
                <w:color w:val="auto"/>
              </w:rPr>
              <w:t>12.7</w:t>
            </w:r>
          </w:p>
        </w:tc>
        <w:tc>
          <w:tcPr>
            <w:tcW w:w="1040" w:type="dxa"/>
            <w:vAlign w:val="bottom"/>
            <w:shd w:val="clear" w:color="auto" w:fill="FCE9E8"/>
          </w:tcPr>
          <w:p>
            <w:pPr>
              <w:jc w:val="right"/>
              <w:ind w:right="242"/>
              <w:spacing w:after="0"/>
              <w:rPr>
                <w:sz w:val="20"/>
                <w:szCs w:val="20"/>
                <w:color w:val="auto"/>
              </w:rPr>
            </w:pPr>
            <w:r>
              <w:rPr>
                <w:rFonts w:ascii="Arial" w:cs="Arial" w:eastAsia="Arial" w:hAnsi="Arial"/>
                <w:sz w:val="16"/>
                <w:szCs w:val="16"/>
                <w:color w:val="auto"/>
              </w:rPr>
              <w:t>26.7</w:t>
            </w:r>
          </w:p>
        </w:tc>
        <w:tc>
          <w:tcPr>
            <w:tcW w:w="4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CE9E8"/>
          </w:tcPr>
          <w:p>
            <w:pPr>
              <w:jc w:val="right"/>
              <w:ind w:right="179"/>
              <w:spacing w:after="0"/>
              <w:rPr>
                <w:sz w:val="20"/>
                <w:szCs w:val="20"/>
                <w:color w:val="auto"/>
              </w:rPr>
            </w:pPr>
            <w:r>
              <w:rPr>
                <w:rFonts w:ascii="Arial" w:cs="Arial" w:eastAsia="Arial" w:hAnsi="Arial"/>
                <w:sz w:val="16"/>
                <w:szCs w:val="16"/>
                <w:color w:val="auto"/>
                <w:w w:val="96"/>
              </w:rPr>
              <w:t>149,466</w:t>
            </w:r>
          </w:p>
        </w:tc>
        <w:tc>
          <w:tcPr>
            <w:tcW w:w="1000" w:type="dxa"/>
            <w:vAlign w:val="bottom"/>
            <w:shd w:val="clear" w:color="auto" w:fill="FCE9E8"/>
          </w:tcPr>
          <w:p>
            <w:pPr>
              <w:ind w:left="480"/>
              <w:spacing w:after="0"/>
              <w:rPr>
                <w:sz w:val="20"/>
                <w:szCs w:val="20"/>
                <w:color w:val="auto"/>
              </w:rPr>
            </w:pPr>
            <w:r>
              <w:rPr>
                <w:rFonts w:ascii="Arial" w:cs="Arial" w:eastAsia="Arial" w:hAnsi="Arial"/>
                <w:sz w:val="16"/>
                <w:szCs w:val="16"/>
                <w:color w:val="auto"/>
              </w:rPr>
              <w:t>N/A</w:t>
            </w:r>
          </w:p>
        </w:tc>
      </w:tr>
      <w:tr>
        <w:trPr>
          <w:trHeight w:val="283"/>
        </w:trPr>
        <w:tc>
          <w:tcPr>
            <w:tcW w:w="1960" w:type="dxa"/>
            <w:vAlign w:val="bottom"/>
            <w:tcBorders>
              <w:bottom w:val="single" w:sz="8" w:color="auto"/>
            </w:tcBorders>
            <w:shd w:val="clear" w:color="auto" w:fill="FCE9E8"/>
          </w:tcPr>
          <w:p>
            <w:pPr>
              <w:spacing w:after="0"/>
              <w:rPr>
                <w:sz w:val="24"/>
                <w:szCs w:val="24"/>
                <w:color w:val="auto"/>
              </w:rPr>
            </w:pPr>
          </w:p>
        </w:tc>
        <w:tc>
          <w:tcPr>
            <w:tcW w:w="35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tcBorders>
              <w:bottom w:val="single" w:sz="8" w:color="auto"/>
            </w:tcBorders>
            <w:shd w:val="clear" w:color="auto" w:fill="FCE9E8"/>
          </w:tcPr>
          <w:p>
            <w:pPr>
              <w:jc w:val="right"/>
              <w:ind w:right="202"/>
              <w:spacing w:after="0"/>
              <w:rPr>
                <w:sz w:val="20"/>
                <w:szCs w:val="20"/>
                <w:color w:val="auto"/>
              </w:rPr>
            </w:pPr>
            <w:r>
              <w:rPr>
                <w:rFonts w:ascii="Arial" w:cs="Arial" w:eastAsia="Arial" w:hAnsi="Arial"/>
                <w:sz w:val="16"/>
                <w:szCs w:val="16"/>
                <w:color w:val="auto"/>
              </w:rPr>
              <w:t>12.7</w:t>
            </w:r>
          </w:p>
        </w:tc>
        <w:tc>
          <w:tcPr>
            <w:tcW w:w="1040" w:type="dxa"/>
            <w:vAlign w:val="bottom"/>
            <w:tcBorders>
              <w:bottom w:val="single" w:sz="8" w:color="auto"/>
            </w:tcBorders>
            <w:shd w:val="clear" w:color="auto" w:fill="FCE9E8"/>
          </w:tcPr>
          <w:p>
            <w:pPr>
              <w:jc w:val="right"/>
              <w:ind w:right="242"/>
              <w:spacing w:after="0"/>
              <w:rPr>
                <w:sz w:val="20"/>
                <w:szCs w:val="20"/>
                <w:color w:val="auto"/>
              </w:rPr>
            </w:pPr>
            <w:r>
              <w:rPr>
                <w:rFonts w:ascii="Arial" w:cs="Arial" w:eastAsia="Arial" w:hAnsi="Arial"/>
                <w:sz w:val="16"/>
                <w:szCs w:val="16"/>
                <w:color w:val="auto"/>
              </w:rPr>
              <w:t>26.7</w:t>
            </w:r>
          </w:p>
        </w:tc>
        <w:tc>
          <w:tcPr>
            <w:tcW w:w="4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FCE9E8"/>
          </w:tcPr>
          <w:p>
            <w:pPr>
              <w:jc w:val="right"/>
              <w:ind w:right="179"/>
              <w:spacing w:after="0"/>
              <w:rPr>
                <w:sz w:val="20"/>
                <w:szCs w:val="20"/>
                <w:color w:val="auto"/>
              </w:rPr>
            </w:pPr>
            <w:r>
              <w:rPr>
                <w:rFonts w:ascii="Arial" w:cs="Arial" w:eastAsia="Arial" w:hAnsi="Arial"/>
                <w:sz w:val="16"/>
                <w:szCs w:val="16"/>
                <w:color w:val="auto"/>
                <w:w w:val="96"/>
              </w:rPr>
              <w:t>191,193</w:t>
            </w:r>
          </w:p>
        </w:tc>
        <w:tc>
          <w:tcPr>
            <w:tcW w:w="1000" w:type="dxa"/>
            <w:vAlign w:val="bottom"/>
            <w:tcBorders>
              <w:bottom w:val="single" w:sz="8" w:color="auto"/>
            </w:tcBorders>
            <w:shd w:val="clear" w:color="auto" w:fill="FCE9E8"/>
          </w:tcPr>
          <w:p>
            <w:pPr>
              <w:ind w:left="480"/>
              <w:spacing w:after="0"/>
              <w:rPr>
                <w:sz w:val="20"/>
                <w:szCs w:val="20"/>
                <w:color w:val="auto"/>
              </w:rPr>
            </w:pPr>
            <w:r>
              <w:rPr>
                <w:rFonts w:ascii="Arial" w:cs="Arial" w:eastAsia="Arial" w:hAnsi="Arial"/>
                <w:sz w:val="16"/>
                <w:szCs w:val="16"/>
                <w:color w:val="auto"/>
              </w:rPr>
              <w:t>N/A</w:t>
            </w:r>
          </w:p>
        </w:tc>
      </w:tr>
      <w:tr>
        <w:trPr>
          <w:trHeight w:val="250"/>
        </w:trPr>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Thomas A. DiDonato</w:t>
            </w:r>
            <w:r>
              <w:rPr>
                <w:rFonts w:ascii="Arial" w:cs="Arial" w:eastAsia="Arial" w:hAnsi="Arial"/>
                <w:sz w:val="14"/>
                <w:szCs w:val="14"/>
                <w:color w:val="auto"/>
              </w:rPr>
              <w:t>(3)</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57"/>
        </w:trPr>
        <w:tc>
          <w:tcPr>
            <w:tcW w:w="1960" w:type="dxa"/>
            <w:vAlign w:val="bottom"/>
            <w:tcBorders>
              <w:bottom w:val="single" w:sz="8" w:color="auto"/>
            </w:tcBorders>
            <w:shd w:val="clear" w:color="auto" w:fill="FCE9E8"/>
          </w:tcPr>
          <w:p>
            <w:pPr>
              <w:ind w:left="80"/>
              <w:spacing w:after="0" w:line="257" w:lineRule="exact"/>
              <w:rPr>
                <w:sz w:val="20"/>
                <w:szCs w:val="20"/>
                <w:color w:val="auto"/>
              </w:rPr>
            </w:pPr>
            <w:r>
              <w:rPr>
                <w:rFonts w:ascii="Arial" w:cs="Arial" w:eastAsia="Arial" w:hAnsi="Arial"/>
                <w:sz w:val="16"/>
                <w:szCs w:val="16"/>
                <w:color w:val="auto"/>
              </w:rPr>
              <w:t>Carl A. Esposito</w:t>
            </w:r>
            <w:r>
              <w:rPr>
                <w:rFonts w:ascii="Arial" w:cs="Arial" w:eastAsia="Arial" w:hAnsi="Arial"/>
                <w:sz w:val="27"/>
                <w:szCs w:val="27"/>
                <w:color w:val="auto"/>
                <w:vertAlign w:val="superscript"/>
              </w:rPr>
              <w:t>(3)</w:t>
            </w:r>
          </w:p>
        </w:tc>
        <w:tc>
          <w:tcPr>
            <w:tcW w:w="35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shd w:val="clear" w:color="auto" w:fill="FCE9E8"/>
          </w:tcPr>
          <w:p>
            <w:pPr>
              <w:spacing w:after="0"/>
              <w:rPr>
                <w:sz w:val="22"/>
                <w:szCs w:val="22"/>
                <w:color w:val="auto"/>
              </w:rPr>
            </w:pPr>
          </w:p>
        </w:tc>
        <w:tc>
          <w:tcPr>
            <w:tcW w:w="1040" w:type="dxa"/>
            <w:vAlign w:val="bottom"/>
            <w:tcBorders>
              <w:bottom w:val="single" w:sz="8" w:color="auto"/>
            </w:tcBorders>
            <w:shd w:val="clear" w:color="auto" w:fill="FCE9E8"/>
          </w:tcPr>
          <w:p>
            <w:pPr>
              <w:spacing w:after="0"/>
              <w:rPr>
                <w:sz w:val="22"/>
                <w:szCs w:val="22"/>
                <w:color w:val="auto"/>
              </w:rPr>
            </w:pPr>
          </w:p>
        </w:tc>
        <w:tc>
          <w:tcPr>
            <w:tcW w:w="420" w:type="dxa"/>
            <w:vAlign w:val="bottom"/>
            <w:tcBorders>
              <w:bottom w:val="single" w:sz="8" w:color="auto"/>
            </w:tcBorders>
            <w:shd w:val="clear" w:color="auto" w:fill="FCE9E8"/>
          </w:tcPr>
          <w:p>
            <w:pPr>
              <w:spacing w:after="0"/>
              <w:rPr>
                <w:sz w:val="22"/>
                <w:szCs w:val="22"/>
                <w:color w:val="auto"/>
              </w:rPr>
            </w:pPr>
          </w:p>
        </w:tc>
        <w:tc>
          <w:tcPr>
            <w:tcW w:w="840" w:type="dxa"/>
            <w:vAlign w:val="bottom"/>
            <w:tcBorders>
              <w:bottom w:val="single" w:sz="8" w:color="auto"/>
            </w:tcBorders>
            <w:shd w:val="clear" w:color="auto" w:fill="FCE9E8"/>
          </w:tcPr>
          <w:p>
            <w:pPr>
              <w:spacing w:after="0"/>
              <w:rPr>
                <w:sz w:val="22"/>
                <w:szCs w:val="22"/>
                <w:color w:val="auto"/>
              </w:rPr>
            </w:pPr>
          </w:p>
        </w:tc>
        <w:tc>
          <w:tcPr>
            <w:tcW w:w="1000" w:type="dxa"/>
            <w:vAlign w:val="bottom"/>
            <w:tcBorders>
              <w:bottom w:val="single" w:sz="8" w:color="auto"/>
            </w:tcBorders>
            <w:shd w:val="clear" w:color="auto" w:fill="FCE9E8"/>
          </w:tcPr>
          <w:p>
            <w:pPr>
              <w:spacing w:after="0"/>
              <w:rPr>
                <w:sz w:val="22"/>
                <w:szCs w:val="22"/>
                <w:color w:val="auto"/>
              </w:rPr>
            </w:pPr>
          </w:p>
        </w:tc>
      </w:tr>
    </w:tbl>
    <w:p>
      <w:pPr>
        <w:spacing w:after="0" w:line="45" w:lineRule="exact"/>
        <w:rPr>
          <w:sz w:val="20"/>
          <w:szCs w:val="20"/>
          <w:color w:val="auto"/>
        </w:rPr>
      </w:pPr>
    </w:p>
    <w:p>
      <w:pPr>
        <w:jc w:val="both"/>
        <w:ind w:left="960" w:right="100" w:hanging="291"/>
        <w:spacing w:after="0" w:line="199" w:lineRule="auto"/>
        <w:tabs>
          <w:tab w:leader="none" w:pos="96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Named Executive Officers are vested in their pension benefits.</w:t>
      </w:r>
    </w:p>
    <w:p>
      <w:pPr>
        <w:spacing w:after="0" w:line="111" w:lineRule="exact"/>
        <w:rPr>
          <w:rFonts w:ascii="Arial" w:cs="Arial" w:eastAsia="Arial" w:hAnsi="Arial"/>
          <w:sz w:val="24"/>
          <w:szCs w:val="24"/>
          <w:color w:val="auto"/>
          <w:vertAlign w:val="superscript"/>
        </w:rPr>
      </w:pPr>
    </w:p>
    <w:p>
      <w:pPr>
        <w:ind w:left="960" w:right="20" w:hanging="291"/>
        <w:spacing w:after="0"/>
        <w:tabs>
          <w:tab w:leader="none" w:pos="96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Present values determined using a December 31, 2020 measurement date and reflect benefits accrued based on service and pay earned through such date. Figures for the tax-qualified pension plan are determined based on post-commencement valuation mortality (white collar Pri-2012 retiree mortality table with 96.9% multiplier, projected generationally using MP-2020 improvement scale, modified by using the Long Term Improvement Rates (LTIR) based on the proxy SSA rates released by the SOA), commencement of benefits at age 65 and an assumed discount rate of 2.70% as of the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1.25% as of the measurement date. The assumed future SERP present value conversion rate for those not yet in payment is 1.62%.</w:t>
      </w:r>
    </w:p>
    <w:p>
      <w:pPr>
        <w:spacing w:after="0" w:line="175" w:lineRule="exact"/>
        <w:rPr>
          <w:rFonts w:ascii="Arial" w:cs="Arial" w:eastAsia="Arial" w:hAnsi="Arial"/>
          <w:sz w:val="24"/>
          <w:szCs w:val="24"/>
          <w:color w:val="auto"/>
          <w:vertAlign w:val="superscript"/>
        </w:rPr>
      </w:pPr>
    </w:p>
    <w:p>
      <w:pPr>
        <w:ind w:left="960" w:right="220" w:hanging="291"/>
        <w:spacing w:after="0" w:line="183" w:lineRule="auto"/>
        <w:tabs>
          <w:tab w:leader="none" w:pos="96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Messrs. DiDonato and Esposito are not participants in the Pension Plan, Pension Equalization Program or Salaried Retirement Restoration Program pension make-up account (“Pension Make-Up Account”).</w:t>
      </w:r>
    </w:p>
    <w:p>
      <w:pPr>
        <w:sectPr>
          <w:pgSz w:w="11900" w:h="16838" w:orient="portrait"/>
          <w:cols w:equalWidth="0" w:num="1">
            <w:col w:w="10580"/>
          </w:cols>
          <w:pgMar w:left="320" w:top="459" w:right="999" w:bottom="1440" w:gutter="0" w:footer="0" w:header="0"/>
        </w:sectPr>
      </w:pP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Named Executive Officers (as well as other eligible employees), other than Messrs. DiDonato and Esposito,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39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60" w:lineRule="exact"/>
        <w:rPr>
          <w:sz w:val="20"/>
          <w:szCs w:val="20"/>
          <w:color w:val="auto"/>
        </w:rPr>
      </w:pPr>
    </w:p>
    <w:p>
      <w:pPr>
        <w:ind w:left="780" w:hanging="393"/>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the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117" w:lineRule="exact"/>
        <w:rPr>
          <w:sz w:val="20"/>
          <w:szCs w:val="20"/>
          <w:color w:val="auto"/>
        </w:rPr>
      </w:pPr>
    </w:p>
    <w:p>
      <w:pPr>
        <w:ind w:left="860" w:right="80" w:hanging="191"/>
        <w:spacing w:after="0" w:line="246" w:lineRule="auto"/>
        <w:tabs>
          <w:tab w:leader="none" w:pos="8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w:t>
      </w:r>
    </w:p>
    <w:p>
      <w:pPr>
        <w:ind w:left="860" w:right="180" w:firstLine="9"/>
        <w:spacing w:after="0" w:line="246" w:lineRule="auto"/>
        <w:tabs>
          <w:tab w:leader="none" w:pos="1103" w:val="left"/>
        </w:tabs>
        <w:numPr>
          <w:ilvl w:val="1"/>
          <w:numId w:val="115"/>
        </w:numPr>
        <w:rPr>
          <w:rFonts w:ascii="Arial" w:cs="Arial" w:eastAsia="Arial" w:hAnsi="Arial"/>
          <w:sz w:val="16"/>
          <w:szCs w:val="16"/>
          <w:color w:val="auto"/>
        </w:rPr>
      </w:pPr>
      <w:r>
        <w:rPr>
          <w:rFonts w:ascii="Arial" w:cs="Arial" w:eastAsia="Arial" w:hAnsi="Arial"/>
          <w:sz w:val="16"/>
          <w:szCs w:val="16"/>
          <w:color w:val="auto"/>
        </w:rPr>
        <w:t>1.00% times final average annual earnings times years of credited service after 1996 (with a maximum of 35 years reduced by years of credited service before 1997), plus</w:t>
      </w:r>
    </w:p>
    <w:p>
      <w:pPr>
        <w:spacing w:after="0" w:line="1" w:lineRule="exact"/>
        <w:rPr>
          <w:rFonts w:ascii="Arial" w:cs="Arial" w:eastAsia="Arial" w:hAnsi="Arial"/>
          <w:sz w:val="16"/>
          <w:szCs w:val="16"/>
          <w:color w:val="auto"/>
        </w:rPr>
      </w:pPr>
    </w:p>
    <w:p>
      <w:pPr>
        <w:ind w:left="1100" w:hanging="231"/>
        <w:spacing w:after="0"/>
        <w:tabs>
          <w:tab w:leader="none" w:pos="11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0.65% times final average annual earnings in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200" w:right="560"/>
        <w:spacing w:after="0" w:line="253" w:lineRule="auto"/>
        <w:rPr>
          <w:sz w:val="20"/>
          <w:szCs w:val="20"/>
          <w:color w:val="auto"/>
        </w:rPr>
      </w:pPr>
      <w:r>
        <w:rPr>
          <w:rFonts w:ascii="Arial" w:cs="Arial" w:eastAsia="Arial" w:hAnsi="Arial"/>
          <w:sz w:val="16"/>
          <w:szCs w:val="16"/>
          <w:color w:val="auto"/>
        </w:rPr>
        <w:t>excess of covered compensation (as defined in IRS Notice 89-70) times years of credited service (with a maximum of 35 years); and</w:t>
      </w:r>
    </w:p>
    <w:p>
      <w:pPr>
        <w:spacing w:after="0" w:line="107"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$360.00 times years of credited service.</w:t>
      </w:r>
    </w:p>
    <w:p>
      <w:pPr>
        <w:spacing w:after="0" w:line="113"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93"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or her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535"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Equalization Program</w:t>
      </w:r>
    </w:p>
    <w:p>
      <w:pPr>
        <w:spacing w:after="0" w:line="196"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Officers, other than Messrs. DiDonato and Esposito,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100"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third-party annuity or other investment vehicle. In such event, the participant will not receive any cash payments until the participant retires or otherwise terminates employment with the Company.</w:t>
      </w:r>
    </w:p>
    <w:p>
      <w:pPr>
        <w:spacing w:after="0" w:line="465"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Lear Corporation Salaried Retirement Restoration Program</w:t>
      </w:r>
    </w:p>
    <w:p>
      <w:pPr>
        <w:sectPr>
          <w:pgSz w:w="11900" w:h="16838" w:orient="portrait"/>
          <w:cols w:equalWidth="0" w:num="1">
            <w:col w:w="10860"/>
          </w:cols>
          <w:pgMar w:left="320" w:top="459" w:right="719" w:bottom="1440" w:gutter="0" w:footer="0" w:header="0"/>
          <w:type w:val="continuous"/>
        </w:sectPr>
      </w:pPr>
    </w:p>
    <w:p>
      <w:pPr>
        <w:spacing w:after="0" w:line="207"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94"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660"/>
        <w:spacing w:after="0" w:line="250" w:lineRule="auto"/>
        <w:rPr>
          <w:sz w:val="20"/>
          <w:szCs w:val="20"/>
          <w:color w:val="auto"/>
        </w:rPr>
      </w:pPr>
      <w:r>
        <w:rPr>
          <w:rFonts w:ascii="Arial" w:cs="Arial" w:eastAsia="Arial" w:hAnsi="Arial"/>
          <w:sz w:val="16"/>
          <w:szCs w:val="16"/>
          <w:color w:val="auto"/>
        </w:rPr>
        <w:t>benefit element has been quantified and described in the 2020 Pension Benefits table and in the narrative below. The 2020 Nonqualified Deferred Compensation table below identifies the defined contribution components of the Salaried Retirement Restoration Program.</w:t>
      </w:r>
    </w:p>
    <w:p>
      <w:pPr>
        <w:spacing w:after="0" w:line="9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Salaried Retirement Restoration Program was most recently amended and restated effective December 29, 2017.</w:t>
      </w:r>
    </w:p>
    <w:p>
      <w:pPr>
        <w:spacing w:after="0" w:line="200" w:lineRule="exact"/>
        <w:rPr>
          <w:sz w:val="20"/>
          <w:szCs w:val="20"/>
          <w:color w:val="auto"/>
        </w:rPr>
      </w:pPr>
    </w:p>
    <w:p>
      <w:pPr>
        <w:sectPr>
          <w:pgSz w:w="11900" w:h="16838" w:orient="portrait"/>
          <w:cols w:equalWidth="0" w:num="2">
            <w:col w:w="5200" w:space="520"/>
            <w:col w:w="5140"/>
          </w:cols>
          <w:pgMar w:left="320" w:top="459" w:right="719" w:bottom="1440" w:gutter="0" w:footer="0" w:header="0"/>
          <w:type w:val="continuous"/>
        </w:sectPr>
      </w:pPr>
    </w:p>
    <w:p>
      <w:pPr>
        <w:spacing w:after="0" w:line="335"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57</w:t>
      </w:r>
    </w:p>
    <w:p>
      <w:pPr>
        <w:sectPr>
          <w:pgSz w:w="11900" w:h="16838" w:orient="portrait"/>
          <w:cols w:equalWidth="0" w:num="1">
            <w:col w:w="10860"/>
          </w:cols>
          <w:pgMar w:left="320" w:top="459" w:right="71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47" w:lineRule="exact"/>
        <w:rPr>
          <w:sz w:val="20"/>
          <w:szCs w:val="20"/>
          <w:color w:val="auto"/>
        </w:rPr>
      </w:pPr>
    </w:p>
    <w:p>
      <w:pPr>
        <w:ind w:left="660" w:right="160"/>
        <w:spacing w:after="0" w:line="250" w:lineRule="auto"/>
        <w:rPr>
          <w:sz w:val="20"/>
          <w:szCs w:val="20"/>
          <w:color w:val="auto"/>
        </w:rPr>
      </w:pPr>
      <w:r>
        <w:rPr>
          <w:rFonts w:ascii="Arial" w:cs="Arial" w:eastAsia="Arial" w:hAnsi="Arial"/>
          <w:sz w:val="16"/>
          <w:szCs w:val="16"/>
          <w:color w:val="auto"/>
        </w:rPr>
        <w:t>The amended and restated plan provides greater flexibility to participants to determine distribution dates for their deferrals, permits participants to defer up to 75% of base salary and up to 90% of their AIP awards and allows participants to modify distribution dates.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Benefit Element</w:t>
      </w:r>
    </w:p>
    <w:p>
      <w:pPr>
        <w:spacing w:after="0" w:line="12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Contribution Element</w:t>
      </w:r>
    </w:p>
    <w:p>
      <w:pPr>
        <w:spacing w:after="0" w:line="124" w:lineRule="exact"/>
        <w:rPr>
          <w:sz w:val="20"/>
          <w:szCs w:val="20"/>
          <w:color w:val="auto"/>
        </w:rPr>
      </w:pPr>
    </w:p>
    <w:p>
      <w:pPr>
        <w:ind w:left="660" w:right="300"/>
        <w:spacing w:after="0" w:line="260" w:lineRule="auto"/>
        <w:rPr>
          <w:sz w:val="20"/>
          <w:szCs w:val="20"/>
          <w:color w:val="auto"/>
        </w:rPr>
      </w:pPr>
      <w:r>
        <w:rPr>
          <w:rFonts w:ascii="Arial" w:cs="Arial" w:eastAsia="Arial" w:hAnsi="Arial"/>
          <w:sz w:val="16"/>
          <w:szCs w:val="16"/>
          <w:color w:val="auto"/>
        </w:rPr>
        <w:t>In 2020, the defined contribution component of the Salaried Retirement Restoration Program generally provided a defined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accordance with the participant’s deferral election.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-2790190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672465</wp:posOffset>
            </wp:positionV>
            <wp:extent cx="6292215" cy="1974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890" w:lineRule="exact"/>
        <w:rPr>
          <w:sz w:val="20"/>
          <w:szCs w:val="20"/>
          <w:color w:val="auto"/>
        </w:rPr>
      </w:pPr>
    </w:p>
    <w:p>
      <w:pPr>
        <w:sectPr>
          <w:pgSz w:w="11900" w:h="16838" w:orient="portrait"/>
          <w:cols w:equalWidth="0" w:num="2">
            <w:col w:w="5380" w:space="340"/>
            <w:col w:w="4860"/>
          </w:cols>
          <w:pgMar w:left="320" w:top="459" w:right="999" w:bottom="1440" w:gutter="0" w:footer="0" w:header="0"/>
        </w:sect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FFFFFF"/>
        </w:rPr>
        <w:t>2020 Nonqualified Deferred Compensation</w:t>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E2231A"/>
              </w:rPr>
              <w:t>Company</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E2231A"/>
              </w:rPr>
              <w:t>Aggregate</w:t>
            </w: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E2231A"/>
              </w:rPr>
              <w:t>Executive</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E2231A"/>
              </w:rPr>
              <w:t>Contributions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Earnings</w:t>
            </w: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E2231A"/>
              </w:rPr>
              <w:t>Aggregate</w:t>
            </w: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E2231A"/>
              </w:rPr>
              <w:t>Aggregate</w:t>
            </w:r>
          </w:p>
        </w:tc>
      </w:tr>
      <w:tr>
        <w:trPr>
          <w:trHeight w:val="159"/>
        </w:trPr>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gridSpan w:val="2"/>
          </w:tcPr>
          <w:p>
            <w:pPr>
              <w:jc w:val="center"/>
              <w:ind w:right="68"/>
              <w:spacing w:after="0" w:line="159" w:lineRule="exact"/>
              <w:rPr>
                <w:sz w:val="20"/>
                <w:szCs w:val="20"/>
                <w:color w:val="auto"/>
              </w:rPr>
            </w:pPr>
            <w:r>
              <w:rPr>
                <w:rFonts w:ascii="Arial" w:cs="Arial" w:eastAsia="Arial" w:hAnsi="Arial"/>
                <w:sz w:val="14"/>
                <w:szCs w:val="14"/>
                <w:b w:val="1"/>
                <w:bCs w:val="1"/>
                <w:color w:val="E2231A"/>
              </w:rPr>
              <w:t>Contributions</w:t>
            </w:r>
          </w:p>
        </w:tc>
        <w:tc>
          <w:tcPr>
            <w:tcW w:w="1500" w:type="dxa"/>
            <w:vAlign w:val="bottom"/>
            <w:gridSpan w:val="2"/>
          </w:tcPr>
          <w:p>
            <w:pPr>
              <w:jc w:val="center"/>
              <w:ind w:left="68"/>
              <w:spacing w:after="0" w:line="159" w:lineRule="exact"/>
              <w:rPr>
                <w:sz w:val="20"/>
                <w:szCs w:val="20"/>
                <w:color w:val="auto"/>
              </w:rPr>
            </w:pPr>
            <w:r>
              <w:rPr>
                <w:rFonts w:ascii="Arial" w:cs="Arial" w:eastAsia="Arial" w:hAnsi="Arial"/>
                <w:sz w:val="14"/>
                <w:szCs w:val="14"/>
                <w:b w:val="1"/>
                <w:bCs w:val="1"/>
                <w:color w:val="E2231A"/>
              </w:rPr>
              <w:t>in Last</w:t>
            </w:r>
          </w:p>
        </w:tc>
        <w:tc>
          <w:tcPr>
            <w:tcW w:w="320" w:type="dxa"/>
            <w:vAlign w:val="bottom"/>
          </w:tcPr>
          <w:p>
            <w:pPr>
              <w:spacing w:after="0"/>
              <w:rPr>
                <w:sz w:val="13"/>
                <w:szCs w:val="13"/>
                <w:color w:val="auto"/>
              </w:rPr>
            </w:pPr>
          </w:p>
        </w:tc>
        <w:tc>
          <w:tcPr>
            <w:tcW w:w="840" w:type="dxa"/>
            <w:vAlign w:val="bottom"/>
          </w:tcPr>
          <w:p>
            <w:pPr>
              <w:jc w:val="center"/>
              <w:ind w:right="268"/>
              <w:spacing w:after="0" w:line="159" w:lineRule="exact"/>
              <w:rPr>
                <w:sz w:val="20"/>
                <w:szCs w:val="20"/>
                <w:color w:val="auto"/>
              </w:rPr>
            </w:pPr>
            <w:r>
              <w:rPr>
                <w:rFonts w:ascii="Arial" w:cs="Arial" w:eastAsia="Arial" w:hAnsi="Arial"/>
                <w:sz w:val="14"/>
                <w:szCs w:val="14"/>
                <w:b w:val="1"/>
                <w:bCs w:val="1"/>
                <w:color w:val="E2231A"/>
              </w:rPr>
              <w:t>in Last</w:t>
            </w:r>
          </w:p>
        </w:tc>
        <w:tc>
          <w:tcPr>
            <w:tcW w:w="1800" w:type="dxa"/>
            <w:vAlign w:val="bottom"/>
            <w:gridSpan w:val="2"/>
          </w:tcPr>
          <w:p>
            <w:pPr>
              <w:jc w:val="center"/>
              <w:ind w:right="88"/>
              <w:spacing w:after="0" w:line="159" w:lineRule="exact"/>
              <w:rPr>
                <w:sz w:val="20"/>
                <w:szCs w:val="20"/>
                <w:color w:val="auto"/>
              </w:rPr>
            </w:pPr>
            <w:r>
              <w:rPr>
                <w:rFonts w:ascii="Arial" w:cs="Arial" w:eastAsia="Arial" w:hAnsi="Arial"/>
                <w:sz w:val="14"/>
                <w:szCs w:val="14"/>
                <w:b w:val="1"/>
                <w:bCs w:val="1"/>
                <w:color w:val="E2231A"/>
              </w:rPr>
              <w:t>Withdrawals/</w:t>
            </w:r>
          </w:p>
        </w:tc>
        <w:tc>
          <w:tcPr>
            <w:tcW w:w="1660" w:type="dxa"/>
            <w:vAlign w:val="bottom"/>
            <w:gridSpan w:val="2"/>
          </w:tcPr>
          <w:p>
            <w:pPr>
              <w:ind w:left="500"/>
              <w:spacing w:after="0" w:line="159" w:lineRule="exact"/>
              <w:rPr>
                <w:sz w:val="20"/>
                <w:szCs w:val="20"/>
                <w:color w:val="auto"/>
              </w:rPr>
            </w:pPr>
            <w:r>
              <w:rPr>
                <w:rFonts w:ascii="Arial" w:cs="Arial" w:eastAsia="Arial" w:hAnsi="Arial"/>
                <w:sz w:val="14"/>
                <w:szCs w:val="14"/>
                <w:b w:val="1"/>
                <w:bCs w:val="1"/>
                <w:color w:val="E2231A"/>
              </w:rPr>
              <w:t>Balance at</w:t>
            </w:r>
          </w:p>
        </w:tc>
      </w:tr>
      <w:tr>
        <w:trPr>
          <w:trHeight w:val="206"/>
        </w:trPr>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E2231A"/>
              </w:rPr>
              <w:t>Plan Name</w:t>
            </w:r>
          </w:p>
        </w:tc>
        <w:tc>
          <w:tcPr>
            <w:tcW w:w="148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E2231A"/>
              </w:rPr>
              <w:t>in Last FY(b)</w:t>
            </w:r>
          </w:p>
        </w:tc>
        <w:tc>
          <w:tcPr>
            <w:tcW w:w="1500" w:type="dxa"/>
            <w:vAlign w:val="bottom"/>
            <w:tcBorders>
              <w:bottom w:val="single" w:sz="8" w:color="auto"/>
            </w:tcBorders>
            <w:gridSpan w:val="2"/>
          </w:tcPr>
          <w:p>
            <w:pPr>
              <w:jc w:val="center"/>
              <w:ind w:left="68"/>
              <w:spacing w:after="0" w:line="205" w:lineRule="exact"/>
              <w:rPr>
                <w:sz w:val="20"/>
                <w:szCs w:val="20"/>
                <w:color w:val="auto"/>
              </w:rPr>
            </w:pPr>
            <w:r>
              <w:rPr>
                <w:rFonts w:ascii="Arial" w:cs="Arial" w:eastAsia="Arial" w:hAnsi="Arial"/>
                <w:sz w:val="14"/>
                <w:szCs w:val="14"/>
                <w:b w:val="1"/>
                <w:bCs w:val="1"/>
                <w:color w:val="E2231A"/>
                <w:w w:val="96"/>
              </w:rPr>
              <w:t>FY</w:t>
            </w:r>
            <w:r>
              <w:rPr>
                <w:rFonts w:ascii="Arial" w:cs="Arial" w:eastAsia="Arial" w:hAnsi="Arial"/>
                <w:sz w:val="23"/>
                <w:szCs w:val="23"/>
                <w:b w:val="1"/>
                <w:bCs w:val="1"/>
                <w:color w:val="E2231A"/>
                <w:w w:val="96"/>
                <w:vertAlign w:val="superscript"/>
              </w:rPr>
              <w:t>(1)</w:t>
            </w:r>
            <w:r>
              <w:rPr>
                <w:rFonts w:ascii="Arial" w:cs="Arial" w:eastAsia="Arial" w:hAnsi="Arial"/>
                <w:sz w:val="14"/>
                <w:szCs w:val="14"/>
                <w:b w:val="1"/>
                <w:bCs w:val="1"/>
                <w:color w:val="E2231A"/>
                <w:w w:val="96"/>
              </w:rPr>
              <w:t>(c)</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68"/>
              <w:spacing w:after="0" w:line="205" w:lineRule="exact"/>
              <w:rPr>
                <w:sz w:val="20"/>
                <w:szCs w:val="20"/>
                <w:color w:val="auto"/>
              </w:rPr>
            </w:pPr>
            <w:r>
              <w:rPr>
                <w:rFonts w:ascii="Arial" w:cs="Arial" w:eastAsia="Arial" w:hAnsi="Arial"/>
                <w:sz w:val="14"/>
                <w:szCs w:val="14"/>
                <w:b w:val="1"/>
                <w:bCs w:val="1"/>
                <w:color w:val="E2231A"/>
                <w:w w:val="91"/>
              </w:rPr>
              <w:t>FY(d)</w:t>
            </w:r>
            <w:r>
              <w:rPr>
                <w:rFonts w:ascii="Arial" w:cs="Arial" w:eastAsia="Arial" w:hAnsi="Arial"/>
                <w:sz w:val="23"/>
                <w:szCs w:val="23"/>
                <w:b w:val="1"/>
                <w:bCs w:val="1"/>
                <w:color w:val="E2231A"/>
                <w:w w:val="91"/>
                <w:vertAlign w:val="superscript"/>
              </w:rPr>
              <w:t>(2)</w:t>
            </w:r>
          </w:p>
        </w:tc>
        <w:tc>
          <w:tcPr>
            <w:tcW w:w="1800" w:type="dxa"/>
            <w:vAlign w:val="bottom"/>
            <w:tcBorders>
              <w:bottom w:val="single" w:sz="8" w:color="auto"/>
            </w:tcBorders>
            <w:gridSpan w:val="2"/>
          </w:tcPr>
          <w:p>
            <w:pPr>
              <w:jc w:val="center"/>
              <w:ind w:right="68"/>
              <w:spacing w:after="0" w:line="205" w:lineRule="exact"/>
              <w:rPr>
                <w:sz w:val="20"/>
                <w:szCs w:val="20"/>
                <w:color w:val="auto"/>
              </w:rPr>
            </w:pPr>
            <w:r>
              <w:rPr>
                <w:rFonts w:ascii="Arial" w:cs="Arial" w:eastAsia="Arial" w:hAnsi="Arial"/>
                <w:sz w:val="14"/>
                <w:szCs w:val="14"/>
                <w:b w:val="1"/>
                <w:bCs w:val="1"/>
                <w:color w:val="E2231A"/>
                <w:w w:val="99"/>
              </w:rPr>
              <w:t>Distributions(e)</w:t>
            </w:r>
            <w:r>
              <w:rPr>
                <w:rFonts w:ascii="Arial" w:cs="Arial" w:eastAsia="Arial" w:hAnsi="Arial"/>
                <w:sz w:val="23"/>
                <w:szCs w:val="23"/>
                <w:b w:val="1"/>
                <w:bCs w:val="1"/>
                <w:color w:val="E2231A"/>
                <w:w w:val="99"/>
                <w:vertAlign w:val="superscript"/>
              </w:rPr>
              <w:t>(3)</w:t>
            </w:r>
          </w:p>
        </w:tc>
        <w:tc>
          <w:tcPr>
            <w:tcW w:w="1660" w:type="dxa"/>
            <w:vAlign w:val="bottom"/>
            <w:tcBorders>
              <w:bottom w:val="single" w:sz="8" w:color="auto"/>
            </w:tcBorders>
            <w:gridSpan w:val="2"/>
          </w:tcPr>
          <w:p>
            <w:pPr>
              <w:ind w:left="380"/>
              <w:spacing w:after="0" w:line="205" w:lineRule="exact"/>
              <w:rPr>
                <w:sz w:val="20"/>
                <w:szCs w:val="20"/>
                <w:color w:val="auto"/>
              </w:rPr>
            </w:pPr>
            <w:r>
              <w:rPr>
                <w:rFonts w:ascii="Arial" w:cs="Arial" w:eastAsia="Arial" w:hAnsi="Arial"/>
                <w:sz w:val="14"/>
                <w:szCs w:val="14"/>
                <w:b w:val="1"/>
                <w:bCs w:val="1"/>
                <w:color w:val="E2231A"/>
              </w:rPr>
              <w:t>Last FYE(f)</w:t>
            </w:r>
            <w:r>
              <w:rPr>
                <w:rFonts w:ascii="Arial" w:cs="Arial" w:eastAsia="Arial" w:hAnsi="Arial"/>
                <w:sz w:val="23"/>
                <w:szCs w:val="23"/>
                <w:b w:val="1"/>
                <w:bCs w:val="1"/>
                <w:color w:val="E2231A"/>
                <w:vertAlign w:val="superscript"/>
              </w:rPr>
              <w:t>(4)</w:t>
            </w:r>
          </w:p>
        </w:tc>
      </w:tr>
      <w:tr>
        <w:trPr>
          <w:trHeight w:val="160"/>
        </w:trPr>
        <w:tc>
          <w:tcPr>
            <w:tcW w:w="1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Salaried</w:t>
            </w:r>
          </w:p>
        </w:tc>
        <w:tc>
          <w:tcPr>
            <w:tcW w:w="440" w:type="dxa"/>
            <w:vAlign w:val="bottom"/>
            <w:shd w:val="clear" w:color="auto" w:fill="FCE9E8"/>
          </w:tcPr>
          <w:p>
            <w:pPr>
              <w:spacing w:after="0"/>
              <w:rPr>
                <w:sz w:val="13"/>
                <w:szCs w:val="13"/>
                <w:color w:val="auto"/>
              </w:rPr>
            </w:pPr>
          </w:p>
        </w:tc>
        <w:tc>
          <w:tcPr>
            <w:tcW w:w="1040" w:type="dxa"/>
            <w:vAlign w:val="bottom"/>
            <w:shd w:val="clear" w:color="auto" w:fill="FCE9E8"/>
          </w:tcPr>
          <w:p>
            <w:pPr>
              <w:spacing w:after="0"/>
              <w:rPr>
                <w:sz w:val="13"/>
                <w:szCs w:val="13"/>
                <w:color w:val="auto"/>
              </w:rPr>
            </w:pPr>
          </w:p>
        </w:tc>
        <w:tc>
          <w:tcPr>
            <w:tcW w:w="600" w:type="dxa"/>
            <w:vAlign w:val="bottom"/>
            <w:shd w:val="clear" w:color="auto" w:fill="FCE9E8"/>
          </w:tcPr>
          <w:p>
            <w:pPr>
              <w:spacing w:after="0"/>
              <w:rPr>
                <w:sz w:val="13"/>
                <w:szCs w:val="13"/>
                <w:color w:val="auto"/>
              </w:rPr>
            </w:pPr>
          </w:p>
        </w:tc>
        <w:tc>
          <w:tcPr>
            <w:tcW w:w="900" w:type="dxa"/>
            <w:vAlign w:val="bottom"/>
            <w:shd w:val="clear" w:color="auto" w:fill="FCE9E8"/>
          </w:tcPr>
          <w:p>
            <w:pPr>
              <w:spacing w:after="0"/>
              <w:rPr>
                <w:sz w:val="13"/>
                <w:szCs w:val="13"/>
                <w:color w:val="auto"/>
              </w:rPr>
            </w:pPr>
          </w:p>
        </w:tc>
        <w:tc>
          <w:tcPr>
            <w:tcW w:w="32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540" w:type="dxa"/>
            <w:vAlign w:val="bottom"/>
            <w:shd w:val="clear" w:color="auto" w:fill="FCE9E8"/>
          </w:tcPr>
          <w:p>
            <w:pPr>
              <w:spacing w:after="0"/>
              <w:rPr>
                <w:sz w:val="13"/>
                <w:szCs w:val="13"/>
                <w:color w:val="auto"/>
              </w:rPr>
            </w:pPr>
          </w:p>
        </w:tc>
        <w:tc>
          <w:tcPr>
            <w:tcW w:w="1260" w:type="dxa"/>
            <w:vAlign w:val="bottom"/>
            <w:shd w:val="clear" w:color="auto" w:fill="FCE9E8"/>
          </w:tcPr>
          <w:p>
            <w:pPr>
              <w:spacing w:after="0"/>
              <w:rPr>
                <w:sz w:val="13"/>
                <w:szCs w:val="13"/>
                <w:color w:val="auto"/>
              </w:rPr>
            </w:pPr>
          </w:p>
        </w:tc>
        <w:tc>
          <w:tcPr>
            <w:tcW w:w="580" w:type="dxa"/>
            <w:vAlign w:val="bottom"/>
            <w:shd w:val="clear" w:color="auto" w:fill="FCE9E8"/>
          </w:tcPr>
          <w:p>
            <w:pPr>
              <w:spacing w:after="0"/>
              <w:rPr>
                <w:sz w:val="13"/>
                <w:szCs w:val="13"/>
                <w:color w:val="auto"/>
              </w:rPr>
            </w:pPr>
          </w:p>
        </w:tc>
        <w:tc>
          <w:tcPr>
            <w:tcW w:w="1080" w:type="dxa"/>
            <w:vAlign w:val="bottom"/>
            <w:shd w:val="clear" w:color="auto" w:fill="FCE9E8"/>
          </w:tcPr>
          <w:p>
            <w:pPr>
              <w:spacing w:after="0"/>
              <w:rPr>
                <w:sz w:val="13"/>
                <w:szCs w:val="13"/>
                <w:color w:val="auto"/>
              </w:rPr>
            </w:pPr>
          </w:p>
        </w:tc>
      </w:tr>
      <w:tr>
        <w:trPr>
          <w:trHeight w:val="162"/>
        </w:trPr>
        <w:tc>
          <w:tcPr>
            <w:tcW w:w="1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Scott</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Retirement</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62"/>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Restoration</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71"/>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Program</w:t>
            </w:r>
          </w:p>
        </w:tc>
        <w:tc>
          <w:tcPr>
            <w:tcW w:w="4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448"/>
              <w:spacing w:after="0"/>
              <w:rPr>
                <w:sz w:val="20"/>
                <w:szCs w:val="20"/>
                <w:color w:val="auto"/>
              </w:rPr>
            </w:pPr>
            <w:r>
              <w:rPr>
                <w:rFonts w:ascii="Arial" w:cs="Arial" w:eastAsia="Arial" w:hAnsi="Arial"/>
                <w:sz w:val="14"/>
                <w:szCs w:val="14"/>
                <w:color w:val="auto"/>
                <w:w w:val="98"/>
              </w:rPr>
              <w:t>134,520</w:t>
            </w:r>
          </w:p>
        </w:tc>
        <w:tc>
          <w:tcPr>
            <w:tcW w:w="6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08"/>
              <w:spacing w:after="0"/>
              <w:rPr>
                <w:sz w:val="20"/>
                <w:szCs w:val="20"/>
                <w:color w:val="auto"/>
              </w:rPr>
            </w:pPr>
            <w:r>
              <w:rPr>
                <w:rFonts w:ascii="Arial" w:cs="Arial" w:eastAsia="Arial" w:hAnsi="Arial"/>
                <w:sz w:val="14"/>
                <w:szCs w:val="14"/>
                <w:color w:val="auto"/>
                <w:w w:val="98"/>
              </w:rPr>
              <w:t>336,186</w:t>
            </w:r>
          </w:p>
        </w:tc>
        <w:tc>
          <w:tcPr>
            <w:tcW w:w="320" w:type="dxa"/>
            <w:vAlign w:val="bottom"/>
            <w:shd w:val="clear" w:color="auto" w:fill="FCE9E8"/>
          </w:tcPr>
          <w:p>
            <w:pPr>
              <w:ind w:left="24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88"/>
              <w:spacing w:after="0"/>
              <w:rPr>
                <w:sz w:val="20"/>
                <w:szCs w:val="20"/>
                <w:color w:val="auto"/>
              </w:rPr>
            </w:pPr>
            <w:r>
              <w:rPr>
                <w:rFonts w:ascii="Arial" w:cs="Arial" w:eastAsia="Arial" w:hAnsi="Arial"/>
                <w:sz w:val="14"/>
                <w:szCs w:val="14"/>
                <w:color w:val="auto"/>
              </w:rPr>
              <w:t>821,630</w:t>
            </w:r>
          </w:p>
        </w:tc>
        <w:tc>
          <w:tcPr>
            <w:tcW w:w="540" w:type="dxa"/>
            <w:vAlign w:val="bottom"/>
            <w:shd w:val="clear" w:color="auto" w:fill="FCE9E8"/>
          </w:tcPr>
          <w:p>
            <w:pPr>
              <w:ind w:left="46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FCE9E8"/>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shd w:val="clear" w:color="auto" w:fill="FCE9E8"/>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CE9E8"/>
          </w:tcPr>
          <w:p>
            <w:pPr>
              <w:jc w:val="right"/>
              <w:ind w:right="368"/>
              <w:spacing w:after="0"/>
              <w:rPr>
                <w:sz w:val="20"/>
                <w:szCs w:val="20"/>
                <w:color w:val="auto"/>
              </w:rPr>
            </w:pPr>
            <w:r>
              <w:rPr>
                <w:rFonts w:ascii="Arial" w:cs="Arial" w:eastAsia="Arial" w:hAnsi="Arial"/>
                <w:sz w:val="14"/>
                <w:szCs w:val="14"/>
                <w:color w:val="auto"/>
                <w:w w:val="99"/>
              </w:rPr>
              <w:t>6,171,905</w:t>
            </w:r>
          </w:p>
        </w:tc>
      </w:tr>
      <w:tr>
        <w:trPr>
          <w:trHeight w:val="167"/>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Vested Career</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57"/>
        </w:trPr>
        <w:tc>
          <w:tcPr>
            <w:tcW w:w="1020" w:type="dxa"/>
            <w:vAlign w:val="bottom"/>
            <w:shd w:val="clear" w:color="auto" w:fill="FCE9E8"/>
          </w:tcPr>
          <w:p>
            <w:pPr>
              <w:spacing w:after="0"/>
              <w:rPr>
                <w:sz w:val="13"/>
                <w:szCs w:val="13"/>
                <w:color w:val="auto"/>
              </w:rPr>
            </w:pPr>
          </w:p>
        </w:tc>
        <w:tc>
          <w:tcPr>
            <w:tcW w:w="130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Shares</w:t>
            </w:r>
          </w:p>
        </w:tc>
        <w:tc>
          <w:tcPr>
            <w:tcW w:w="44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60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08"/>
              <w:spacing w:after="0" w:line="157" w:lineRule="exact"/>
              <w:rPr>
                <w:sz w:val="20"/>
                <w:szCs w:val="20"/>
                <w:color w:val="auto"/>
              </w:rPr>
            </w:pPr>
            <w:r>
              <w:rPr>
                <w:rFonts w:ascii="Arial" w:cs="Arial" w:eastAsia="Arial" w:hAnsi="Arial"/>
                <w:sz w:val="14"/>
                <w:szCs w:val="14"/>
                <w:color w:val="auto"/>
                <w:w w:val="98"/>
              </w:rPr>
              <w:t>248,983</w:t>
            </w:r>
          </w:p>
        </w:tc>
        <w:tc>
          <w:tcPr>
            <w:tcW w:w="320" w:type="dxa"/>
            <w:vAlign w:val="bottom"/>
            <w:shd w:val="clear" w:color="auto" w:fill="FCE9E8"/>
          </w:tcPr>
          <w:p>
            <w:pPr>
              <w:ind w:left="24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88"/>
              <w:spacing w:after="0" w:line="157" w:lineRule="exact"/>
              <w:rPr>
                <w:sz w:val="20"/>
                <w:szCs w:val="20"/>
                <w:color w:val="auto"/>
              </w:rPr>
            </w:pPr>
            <w:r>
              <w:rPr>
                <w:rFonts w:ascii="Arial" w:cs="Arial" w:eastAsia="Arial" w:hAnsi="Arial"/>
                <w:sz w:val="14"/>
                <w:szCs w:val="14"/>
                <w:color w:val="auto"/>
              </w:rPr>
              <w:t>359,864</w:t>
            </w:r>
          </w:p>
        </w:tc>
        <w:tc>
          <w:tcPr>
            <w:tcW w:w="540" w:type="dxa"/>
            <w:vAlign w:val="bottom"/>
            <w:shd w:val="clear" w:color="auto" w:fill="FCE9E8"/>
          </w:tcPr>
          <w:p>
            <w:pPr>
              <w:ind w:left="460"/>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FCE9E8"/>
          </w:tcPr>
          <w:p>
            <w:pPr>
              <w:jc w:val="right"/>
              <w:ind w:right="528"/>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FCE9E8"/>
          </w:tcPr>
          <w:p>
            <w:pPr>
              <w:ind w:left="500"/>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FCE9E8"/>
          </w:tcPr>
          <w:p>
            <w:pPr>
              <w:jc w:val="right"/>
              <w:ind w:right="368"/>
              <w:spacing w:after="0" w:line="157" w:lineRule="exact"/>
              <w:rPr>
                <w:sz w:val="20"/>
                <w:szCs w:val="20"/>
                <w:color w:val="auto"/>
              </w:rPr>
            </w:pPr>
            <w:r>
              <w:rPr>
                <w:rFonts w:ascii="Arial" w:cs="Arial" w:eastAsia="Arial" w:hAnsi="Arial"/>
                <w:sz w:val="14"/>
                <w:szCs w:val="14"/>
                <w:color w:val="auto"/>
                <w:w w:val="99"/>
              </w:rPr>
              <w:t>2,687,188</w:t>
            </w:r>
          </w:p>
        </w:tc>
      </w:tr>
      <w:tr>
        <w:trPr>
          <w:trHeight w:val="167"/>
        </w:trPr>
        <w:tc>
          <w:tcPr>
            <w:tcW w:w="1020" w:type="dxa"/>
            <w:vAlign w:val="bottom"/>
          </w:tcPr>
          <w:p>
            <w:pPr>
              <w:ind w:left="80"/>
              <w:spacing w:after="0"/>
              <w:rPr>
                <w:sz w:val="20"/>
                <w:szCs w:val="20"/>
                <w:color w:val="auto"/>
              </w:rPr>
            </w:pPr>
            <w:r>
              <w:rPr>
                <w:rFonts w:ascii="Arial" w:cs="Arial" w:eastAsia="Arial" w:hAnsi="Arial"/>
                <w:sz w:val="14"/>
                <w:szCs w:val="14"/>
                <w:color w:val="auto"/>
              </w:rPr>
              <w:t>Jason M.</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Salaried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tcPr>
          <w:p>
            <w:pPr>
              <w:ind w:left="80"/>
              <w:spacing w:after="0"/>
              <w:rPr>
                <w:sz w:val="20"/>
                <w:szCs w:val="20"/>
                <w:color w:val="auto"/>
              </w:rPr>
            </w:pPr>
            <w:r>
              <w:rPr>
                <w:rFonts w:ascii="Arial" w:cs="Arial" w:eastAsia="Arial" w:hAnsi="Arial"/>
                <w:sz w:val="14"/>
                <w:szCs w:val="14"/>
                <w:color w:val="auto"/>
              </w:rPr>
              <w:t>Cardew</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Retirement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Restoration</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102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Program</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48"/>
              <w:spacing w:after="0"/>
              <w:rPr>
                <w:sz w:val="20"/>
                <w:szCs w:val="20"/>
                <w:color w:val="auto"/>
              </w:rPr>
            </w:pPr>
            <w:r>
              <w:rPr>
                <w:rFonts w:ascii="Arial" w:cs="Arial" w:eastAsia="Arial" w:hAnsi="Arial"/>
                <w:sz w:val="14"/>
                <w:szCs w:val="14"/>
                <w:color w:val="auto"/>
              </w:rPr>
              <w:t>59,807</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w w:val="98"/>
              </w:rPr>
              <w:t>109,648</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274,882</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68"/>
              <w:spacing w:after="0"/>
              <w:rPr>
                <w:sz w:val="20"/>
                <w:szCs w:val="20"/>
                <w:color w:val="auto"/>
              </w:rPr>
            </w:pPr>
            <w:r>
              <w:rPr>
                <w:rFonts w:ascii="Arial" w:cs="Arial" w:eastAsia="Arial" w:hAnsi="Arial"/>
                <w:sz w:val="14"/>
                <w:szCs w:val="14"/>
                <w:color w:val="auto"/>
                <w:w w:val="99"/>
              </w:rPr>
              <w:t>1,974,375</w:t>
            </w:r>
          </w:p>
        </w:tc>
      </w:tr>
      <w:tr>
        <w:trPr>
          <w:trHeight w:val="162"/>
        </w:trPr>
        <w:tc>
          <w:tcPr>
            <w:tcW w:w="10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Vested Career</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7"/>
        </w:trPr>
        <w:tc>
          <w:tcPr>
            <w:tcW w:w="1020" w:type="dxa"/>
            <w:vAlign w:val="bottom"/>
          </w:tcPr>
          <w:p>
            <w:pPr>
              <w:spacing w:after="0"/>
              <w:rPr>
                <w:sz w:val="13"/>
                <w:szCs w:val="13"/>
                <w:color w:val="auto"/>
              </w:rPr>
            </w:pPr>
          </w:p>
        </w:tc>
        <w:tc>
          <w:tcPr>
            <w:tcW w:w="13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Shares</w:t>
            </w: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70,467</w:t>
            </w:r>
          </w:p>
        </w:tc>
        <w:tc>
          <w:tcPr>
            <w:tcW w:w="320" w:type="dxa"/>
            <w:vAlign w:val="bottom"/>
          </w:tcPr>
          <w:p>
            <w:pPr>
              <w:ind w:left="24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146,859</w:t>
            </w:r>
          </w:p>
        </w:tc>
        <w:tc>
          <w:tcPr>
            <w:tcW w:w="540" w:type="dxa"/>
            <w:vAlign w:val="bottom"/>
          </w:tcPr>
          <w:p>
            <w:pPr>
              <w:ind w:left="460"/>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28"/>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ind w:left="500"/>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68"/>
              <w:spacing w:after="0" w:line="157" w:lineRule="exact"/>
              <w:rPr>
                <w:sz w:val="20"/>
                <w:szCs w:val="20"/>
                <w:color w:val="auto"/>
              </w:rPr>
            </w:pPr>
            <w:r>
              <w:rPr>
                <w:rFonts w:ascii="Arial" w:cs="Arial" w:eastAsia="Arial" w:hAnsi="Arial"/>
                <w:sz w:val="14"/>
                <w:szCs w:val="14"/>
                <w:color w:val="auto"/>
                <w:w w:val="99"/>
              </w:rPr>
              <w:t>1,094,136</w:t>
            </w:r>
          </w:p>
        </w:tc>
      </w:tr>
      <w:tr>
        <w:trPr>
          <w:trHeight w:val="167"/>
        </w:trPr>
        <w:tc>
          <w:tcPr>
            <w:tcW w:w="1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Salaried</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62"/>
        </w:trPr>
        <w:tc>
          <w:tcPr>
            <w:tcW w:w="1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Orsini</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Retirement</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62"/>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Restoration</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71"/>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Program</w:t>
            </w:r>
          </w:p>
        </w:tc>
        <w:tc>
          <w:tcPr>
            <w:tcW w:w="4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448"/>
              <w:spacing w:after="0"/>
              <w:rPr>
                <w:sz w:val="20"/>
                <w:szCs w:val="20"/>
                <w:color w:val="auto"/>
              </w:rPr>
            </w:pPr>
            <w:r>
              <w:rPr>
                <w:rFonts w:ascii="Arial" w:cs="Arial" w:eastAsia="Arial" w:hAnsi="Arial"/>
                <w:sz w:val="14"/>
                <w:szCs w:val="14"/>
                <w:color w:val="auto"/>
              </w:rPr>
              <w:t>76,160</w:t>
            </w:r>
          </w:p>
        </w:tc>
        <w:tc>
          <w:tcPr>
            <w:tcW w:w="6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08"/>
              <w:spacing w:after="0"/>
              <w:rPr>
                <w:sz w:val="20"/>
                <w:szCs w:val="20"/>
                <w:color w:val="auto"/>
              </w:rPr>
            </w:pPr>
            <w:r>
              <w:rPr>
                <w:rFonts w:ascii="Arial" w:cs="Arial" w:eastAsia="Arial" w:hAnsi="Arial"/>
                <w:sz w:val="14"/>
                <w:szCs w:val="14"/>
                <w:color w:val="auto"/>
                <w:w w:val="98"/>
              </w:rPr>
              <w:t>150,901</w:t>
            </w:r>
          </w:p>
        </w:tc>
        <w:tc>
          <w:tcPr>
            <w:tcW w:w="320" w:type="dxa"/>
            <w:vAlign w:val="bottom"/>
            <w:shd w:val="clear" w:color="auto" w:fill="FCE9E8"/>
          </w:tcPr>
          <w:p>
            <w:pPr>
              <w:ind w:left="24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88"/>
              <w:spacing w:after="0"/>
              <w:rPr>
                <w:sz w:val="20"/>
                <w:szCs w:val="20"/>
                <w:color w:val="auto"/>
              </w:rPr>
            </w:pPr>
            <w:r>
              <w:rPr>
                <w:rFonts w:ascii="Arial" w:cs="Arial" w:eastAsia="Arial" w:hAnsi="Arial"/>
                <w:sz w:val="14"/>
                <w:szCs w:val="14"/>
                <w:color w:val="auto"/>
              </w:rPr>
              <w:t>450,431</w:t>
            </w:r>
          </w:p>
        </w:tc>
        <w:tc>
          <w:tcPr>
            <w:tcW w:w="540" w:type="dxa"/>
            <w:vAlign w:val="bottom"/>
            <w:shd w:val="clear" w:color="auto" w:fill="FCE9E8"/>
          </w:tcPr>
          <w:p>
            <w:pPr>
              <w:ind w:left="46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FCE9E8"/>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shd w:val="clear" w:color="auto" w:fill="FCE9E8"/>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CE9E8"/>
          </w:tcPr>
          <w:p>
            <w:pPr>
              <w:jc w:val="right"/>
              <w:ind w:right="368"/>
              <w:spacing w:after="0"/>
              <w:rPr>
                <w:sz w:val="20"/>
                <w:szCs w:val="20"/>
                <w:color w:val="auto"/>
              </w:rPr>
            </w:pPr>
            <w:r>
              <w:rPr>
                <w:rFonts w:ascii="Arial" w:cs="Arial" w:eastAsia="Arial" w:hAnsi="Arial"/>
                <w:sz w:val="14"/>
                <w:szCs w:val="14"/>
                <w:color w:val="auto"/>
                <w:w w:val="99"/>
              </w:rPr>
              <w:t>3,355,495</w:t>
            </w:r>
          </w:p>
        </w:tc>
      </w:tr>
      <w:tr>
        <w:trPr>
          <w:trHeight w:val="167"/>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Vested Career</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57"/>
        </w:trPr>
        <w:tc>
          <w:tcPr>
            <w:tcW w:w="1020" w:type="dxa"/>
            <w:vAlign w:val="bottom"/>
            <w:shd w:val="clear" w:color="auto" w:fill="FCE9E8"/>
          </w:tcPr>
          <w:p>
            <w:pPr>
              <w:spacing w:after="0"/>
              <w:rPr>
                <w:sz w:val="13"/>
                <w:szCs w:val="13"/>
                <w:color w:val="auto"/>
              </w:rPr>
            </w:pPr>
          </w:p>
        </w:tc>
        <w:tc>
          <w:tcPr>
            <w:tcW w:w="130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Shares</w:t>
            </w:r>
          </w:p>
        </w:tc>
        <w:tc>
          <w:tcPr>
            <w:tcW w:w="44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600" w:type="dxa"/>
            <w:vAlign w:val="bottom"/>
            <w:shd w:val="clear" w:color="auto" w:fill="FCE9E8"/>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08"/>
              <w:spacing w:after="0" w:line="157" w:lineRule="exact"/>
              <w:rPr>
                <w:sz w:val="20"/>
                <w:szCs w:val="20"/>
                <w:color w:val="auto"/>
              </w:rPr>
            </w:pPr>
            <w:r>
              <w:rPr>
                <w:rFonts w:ascii="Arial" w:cs="Arial" w:eastAsia="Arial" w:hAnsi="Arial"/>
                <w:sz w:val="14"/>
                <w:szCs w:val="14"/>
                <w:color w:val="auto"/>
                <w:w w:val="98"/>
              </w:rPr>
              <w:t>165,891</w:t>
            </w:r>
          </w:p>
        </w:tc>
        <w:tc>
          <w:tcPr>
            <w:tcW w:w="320" w:type="dxa"/>
            <w:vAlign w:val="bottom"/>
            <w:shd w:val="clear" w:color="auto" w:fill="FCE9E8"/>
          </w:tcPr>
          <w:p>
            <w:pPr>
              <w:ind w:left="24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88"/>
              <w:spacing w:after="0" w:line="157" w:lineRule="exact"/>
              <w:rPr>
                <w:sz w:val="20"/>
                <w:szCs w:val="20"/>
                <w:color w:val="auto"/>
              </w:rPr>
            </w:pPr>
            <w:r>
              <w:rPr>
                <w:rFonts w:ascii="Arial" w:cs="Arial" w:eastAsia="Arial" w:hAnsi="Arial"/>
                <w:sz w:val="14"/>
                <w:szCs w:val="14"/>
                <w:color w:val="auto"/>
              </w:rPr>
              <w:t>221,854</w:t>
            </w:r>
          </w:p>
        </w:tc>
        <w:tc>
          <w:tcPr>
            <w:tcW w:w="540" w:type="dxa"/>
            <w:vAlign w:val="bottom"/>
            <w:shd w:val="clear" w:color="auto" w:fill="FCE9E8"/>
          </w:tcPr>
          <w:p>
            <w:pPr>
              <w:ind w:left="460"/>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FCE9E8"/>
          </w:tcPr>
          <w:p>
            <w:pPr>
              <w:jc w:val="right"/>
              <w:ind w:right="528"/>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FCE9E8"/>
          </w:tcPr>
          <w:p>
            <w:pPr>
              <w:ind w:left="500"/>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FCE9E8"/>
          </w:tcPr>
          <w:p>
            <w:pPr>
              <w:jc w:val="right"/>
              <w:ind w:right="368"/>
              <w:spacing w:after="0" w:line="157" w:lineRule="exact"/>
              <w:rPr>
                <w:sz w:val="20"/>
                <w:szCs w:val="20"/>
                <w:color w:val="auto"/>
              </w:rPr>
            </w:pPr>
            <w:r>
              <w:rPr>
                <w:rFonts w:ascii="Arial" w:cs="Arial" w:eastAsia="Arial" w:hAnsi="Arial"/>
                <w:sz w:val="14"/>
                <w:szCs w:val="14"/>
                <w:color w:val="auto"/>
                <w:w w:val="99"/>
              </w:rPr>
              <w:t>1,657,935</w:t>
            </w:r>
          </w:p>
        </w:tc>
      </w:tr>
      <w:tr>
        <w:trPr>
          <w:trHeight w:val="167"/>
        </w:trPr>
        <w:tc>
          <w:tcPr>
            <w:tcW w:w="1020" w:type="dxa"/>
            <w:vAlign w:val="bottom"/>
          </w:tcPr>
          <w:p>
            <w:pPr>
              <w:ind w:left="80"/>
              <w:spacing w:after="0"/>
              <w:rPr>
                <w:sz w:val="20"/>
                <w:szCs w:val="20"/>
                <w:color w:val="auto"/>
              </w:rPr>
            </w:pPr>
            <w:r>
              <w:rPr>
                <w:rFonts w:ascii="Arial" w:cs="Arial" w:eastAsia="Arial" w:hAnsi="Arial"/>
                <w:sz w:val="14"/>
                <w:szCs w:val="14"/>
                <w:color w:val="auto"/>
              </w:rPr>
              <w:t>Thomas A.</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Salaried</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tcPr>
          <w:p>
            <w:pPr>
              <w:ind w:left="80"/>
              <w:spacing w:after="0"/>
              <w:rPr>
                <w:sz w:val="20"/>
                <w:szCs w:val="20"/>
                <w:color w:val="auto"/>
              </w:rPr>
            </w:pPr>
            <w:r>
              <w:rPr>
                <w:rFonts w:ascii="Arial" w:cs="Arial" w:eastAsia="Arial" w:hAnsi="Arial"/>
                <w:sz w:val="14"/>
                <w:szCs w:val="14"/>
                <w:color w:val="auto"/>
              </w:rPr>
              <w:t>DiDonato</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Retirement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Restoration</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102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Program</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48"/>
              <w:spacing w:after="0"/>
              <w:rPr>
                <w:sz w:val="20"/>
                <w:szCs w:val="20"/>
                <w:color w:val="auto"/>
              </w:rPr>
            </w:pPr>
            <w:r>
              <w:rPr>
                <w:rFonts w:ascii="Arial" w:cs="Arial" w:eastAsia="Arial" w:hAnsi="Arial"/>
                <w:sz w:val="14"/>
                <w:szCs w:val="14"/>
                <w:color w:val="auto"/>
              </w:rPr>
              <w:t>62,797</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8"/>
              <w:spacing w:after="0"/>
              <w:rPr>
                <w:sz w:val="20"/>
                <w:szCs w:val="20"/>
                <w:color w:val="auto"/>
              </w:rPr>
            </w:pPr>
            <w:r>
              <w:rPr>
                <w:rFonts w:ascii="Arial" w:cs="Arial" w:eastAsia="Arial" w:hAnsi="Arial"/>
                <w:sz w:val="14"/>
                <w:szCs w:val="14"/>
                <w:color w:val="auto"/>
                <w:w w:val="98"/>
              </w:rPr>
              <w:t>105,023</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450,085</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68"/>
              <w:spacing w:after="0"/>
              <w:rPr>
                <w:sz w:val="20"/>
                <w:szCs w:val="20"/>
                <w:color w:val="auto"/>
              </w:rPr>
            </w:pPr>
            <w:r>
              <w:rPr>
                <w:rFonts w:ascii="Arial" w:cs="Arial" w:eastAsia="Arial" w:hAnsi="Arial"/>
                <w:sz w:val="14"/>
                <w:szCs w:val="14"/>
                <w:color w:val="auto"/>
                <w:w w:val="99"/>
              </w:rPr>
              <w:t>2,582,299</w:t>
            </w:r>
          </w:p>
        </w:tc>
      </w:tr>
      <w:tr>
        <w:trPr>
          <w:trHeight w:val="162"/>
        </w:trPr>
        <w:tc>
          <w:tcPr>
            <w:tcW w:w="10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Vested Career</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7"/>
        </w:trPr>
        <w:tc>
          <w:tcPr>
            <w:tcW w:w="1020" w:type="dxa"/>
            <w:vAlign w:val="bottom"/>
          </w:tcPr>
          <w:p>
            <w:pPr>
              <w:spacing w:after="0"/>
              <w:rPr>
                <w:sz w:val="13"/>
                <w:szCs w:val="13"/>
                <w:color w:val="auto"/>
              </w:rPr>
            </w:pPr>
          </w:p>
        </w:tc>
        <w:tc>
          <w:tcPr>
            <w:tcW w:w="13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Shares</w:t>
            </w: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ind w:left="24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(192,491)</w:t>
            </w:r>
          </w:p>
        </w:tc>
        <w:tc>
          <w:tcPr>
            <w:tcW w:w="540" w:type="dxa"/>
            <w:vAlign w:val="bottom"/>
          </w:tcPr>
          <w:p>
            <w:pPr>
              <w:ind w:left="460"/>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28"/>
              <w:spacing w:after="0" w:line="157" w:lineRule="exact"/>
              <w:rPr>
                <w:sz w:val="20"/>
                <w:szCs w:val="20"/>
                <w:color w:val="auto"/>
              </w:rPr>
            </w:pPr>
            <w:r>
              <w:rPr>
                <w:rFonts w:ascii="Arial" w:cs="Arial" w:eastAsia="Arial" w:hAnsi="Arial"/>
                <w:sz w:val="14"/>
                <w:szCs w:val="14"/>
                <w:color w:val="auto"/>
              </w:rPr>
              <w:t>1,630,557</w:t>
            </w:r>
          </w:p>
        </w:tc>
        <w:tc>
          <w:tcPr>
            <w:tcW w:w="580" w:type="dxa"/>
            <w:vAlign w:val="bottom"/>
          </w:tcPr>
          <w:p>
            <w:pPr>
              <w:ind w:left="500"/>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r>
      <w:tr>
        <w:trPr>
          <w:trHeight w:val="167"/>
        </w:trPr>
        <w:tc>
          <w:tcPr>
            <w:tcW w:w="1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Carl A.</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Salaried</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62"/>
        </w:trPr>
        <w:tc>
          <w:tcPr>
            <w:tcW w:w="1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Esposito</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Retirement</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62"/>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Restoration</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71"/>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Program</w:t>
            </w:r>
          </w:p>
        </w:tc>
        <w:tc>
          <w:tcPr>
            <w:tcW w:w="4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448"/>
              <w:spacing w:after="0"/>
              <w:rPr>
                <w:sz w:val="20"/>
                <w:szCs w:val="20"/>
                <w:color w:val="auto"/>
              </w:rPr>
            </w:pPr>
            <w:r>
              <w:rPr>
                <w:rFonts w:ascii="Arial" w:cs="Arial" w:eastAsia="Arial" w:hAnsi="Arial"/>
                <w:sz w:val="14"/>
                <w:szCs w:val="14"/>
                <w:color w:val="auto"/>
                <w:w w:val="98"/>
              </w:rPr>
              <w:t>836,125</w:t>
            </w:r>
          </w:p>
        </w:tc>
        <w:tc>
          <w:tcPr>
            <w:tcW w:w="6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308"/>
              <w:spacing w:after="0"/>
              <w:rPr>
                <w:sz w:val="20"/>
                <w:szCs w:val="20"/>
                <w:color w:val="auto"/>
              </w:rPr>
            </w:pPr>
            <w:r>
              <w:rPr>
                <w:rFonts w:ascii="Arial" w:cs="Arial" w:eastAsia="Arial" w:hAnsi="Arial"/>
                <w:sz w:val="14"/>
                <w:szCs w:val="14"/>
                <w:color w:val="auto"/>
                <w:w w:val="98"/>
              </w:rPr>
              <w:t>110,343</w:t>
            </w:r>
          </w:p>
        </w:tc>
        <w:tc>
          <w:tcPr>
            <w:tcW w:w="320" w:type="dxa"/>
            <w:vAlign w:val="bottom"/>
            <w:shd w:val="clear" w:color="auto" w:fill="FCE9E8"/>
          </w:tcPr>
          <w:p>
            <w:pPr>
              <w:ind w:left="24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88"/>
              <w:spacing w:after="0"/>
              <w:rPr>
                <w:sz w:val="20"/>
                <w:szCs w:val="20"/>
                <w:color w:val="auto"/>
              </w:rPr>
            </w:pPr>
            <w:r>
              <w:rPr>
                <w:rFonts w:ascii="Arial" w:cs="Arial" w:eastAsia="Arial" w:hAnsi="Arial"/>
                <w:sz w:val="14"/>
                <w:szCs w:val="14"/>
                <w:color w:val="auto"/>
              </w:rPr>
              <w:t>155,658</w:t>
            </w:r>
          </w:p>
        </w:tc>
        <w:tc>
          <w:tcPr>
            <w:tcW w:w="540" w:type="dxa"/>
            <w:vAlign w:val="bottom"/>
            <w:shd w:val="clear" w:color="auto" w:fill="FCE9E8"/>
          </w:tcPr>
          <w:p>
            <w:pPr>
              <w:ind w:left="46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FCE9E8"/>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shd w:val="clear" w:color="auto" w:fill="FCE9E8"/>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CE9E8"/>
          </w:tcPr>
          <w:p>
            <w:pPr>
              <w:jc w:val="right"/>
              <w:ind w:right="368"/>
              <w:spacing w:after="0"/>
              <w:rPr>
                <w:sz w:val="20"/>
                <w:szCs w:val="20"/>
                <w:color w:val="auto"/>
              </w:rPr>
            </w:pPr>
            <w:r>
              <w:rPr>
                <w:rFonts w:ascii="Arial" w:cs="Arial" w:eastAsia="Arial" w:hAnsi="Arial"/>
                <w:sz w:val="14"/>
                <w:szCs w:val="14"/>
                <w:color w:val="auto"/>
                <w:w w:val="99"/>
              </w:rPr>
              <w:t>1,228,202</w:t>
            </w:r>
          </w:p>
        </w:tc>
      </w:tr>
      <w:tr>
        <w:trPr>
          <w:trHeight w:val="167"/>
        </w:trPr>
        <w:tc>
          <w:tcPr>
            <w:tcW w:w="1020" w:type="dxa"/>
            <w:vAlign w:val="bottom"/>
            <w:shd w:val="clear" w:color="auto" w:fill="FCE9E8"/>
          </w:tcPr>
          <w:p>
            <w:pPr>
              <w:spacing w:after="0"/>
              <w:rPr>
                <w:sz w:val="14"/>
                <w:szCs w:val="14"/>
                <w:color w:val="auto"/>
              </w:rPr>
            </w:pP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Vested Career</w:t>
            </w:r>
          </w:p>
        </w:tc>
        <w:tc>
          <w:tcPr>
            <w:tcW w:w="4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600" w:type="dxa"/>
            <w:vAlign w:val="bottom"/>
            <w:shd w:val="clear" w:color="auto" w:fill="FCE9E8"/>
          </w:tcPr>
          <w:p>
            <w:pPr>
              <w:spacing w:after="0"/>
              <w:rPr>
                <w:sz w:val="14"/>
                <w:szCs w:val="14"/>
                <w:color w:val="auto"/>
              </w:rPr>
            </w:pPr>
          </w:p>
        </w:tc>
        <w:tc>
          <w:tcPr>
            <w:tcW w:w="90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54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580" w:type="dxa"/>
            <w:vAlign w:val="bottom"/>
            <w:shd w:val="clear" w:color="auto" w:fill="FCE9E8"/>
          </w:tcPr>
          <w:p>
            <w:pPr>
              <w:spacing w:after="0"/>
              <w:rPr>
                <w:sz w:val="14"/>
                <w:szCs w:val="14"/>
                <w:color w:val="auto"/>
              </w:rPr>
            </w:pPr>
          </w:p>
        </w:tc>
        <w:tc>
          <w:tcPr>
            <w:tcW w:w="1080" w:type="dxa"/>
            <w:vAlign w:val="bottom"/>
            <w:shd w:val="clear" w:color="auto" w:fill="FCE9E8"/>
          </w:tcPr>
          <w:p>
            <w:pPr>
              <w:spacing w:after="0"/>
              <w:rPr>
                <w:sz w:val="14"/>
                <w:szCs w:val="14"/>
                <w:color w:val="auto"/>
              </w:rPr>
            </w:pPr>
          </w:p>
        </w:tc>
      </w:tr>
      <w:tr>
        <w:trPr>
          <w:trHeight w:val="157"/>
        </w:trPr>
        <w:tc>
          <w:tcPr>
            <w:tcW w:w="1020" w:type="dxa"/>
            <w:vAlign w:val="bottom"/>
            <w:tcBorders>
              <w:bottom w:val="single" w:sz="8" w:color="auto"/>
            </w:tcBorders>
            <w:shd w:val="clear" w:color="auto" w:fill="FCE9E8"/>
          </w:tcPr>
          <w:p>
            <w:pPr>
              <w:spacing w:after="0"/>
              <w:rPr>
                <w:sz w:val="13"/>
                <w:szCs w:val="13"/>
                <w:color w:val="auto"/>
              </w:rPr>
            </w:pPr>
          </w:p>
        </w:tc>
        <w:tc>
          <w:tcPr>
            <w:tcW w:w="1300" w:type="dxa"/>
            <w:vAlign w:val="bottom"/>
            <w:tcBorders>
              <w:bottom w:val="single" w:sz="8" w:color="auto"/>
            </w:tcBorders>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Shares</w:t>
            </w:r>
          </w:p>
        </w:tc>
        <w:tc>
          <w:tcPr>
            <w:tcW w:w="440" w:type="dxa"/>
            <w:vAlign w:val="bottom"/>
            <w:tcBorders>
              <w:bottom w:val="single" w:sz="8" w:color="auto"/>
            </w:tcBorders>
            <w:shd w:val="clear" w:color="auto" w:fill="FCE9E8"/>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CE9E8"/>
          </w:tcPr>
          <w:p>
            <w:pPr>
              <w:jc w:val="right"/>
              <w:ind w:right="448"/>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CE9E8"/>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CE9E8"/>
          </w:tcPr>
          <w:p>
            <w:pPr>
              <w:jc w:val="right"/>
              <w:ind w:right="308"/>
              <w:spacing w:after="0" w:line="157"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CE9E8"/>
          </w:tcPr>
          <w:p>
            <w:pPr>
              <w:ind w:left="24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FCE9E8"/>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FCE9E8"/>
          </w:tcPr>
          <w:p>
            <w:pPr>
              <w:ind w:left="460"/>
              <w:spacing w:after="0" w:line="157"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FCE9E8"/>
          </w:tcPr>
          <w:p>
            <w:pPr>
              <w:jc w:val="right"/>
              <w:ind w:right="528"/>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FCE9E8"/>
          </w:tcPr>
          <w:p>
            <w:pPr>
              <w:ind w:left="500"/>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FCE9E8"/>
          </w:tcPr>
          <w:p>
            <w:pPr>
              <w:jc w:val="right"/>
              <w:ind w:right="368"/>
              <w:spacing w:after="0" w:line="157" w:lineRule="exact"/>
              <w:rPr>
                <w:sz w:val="20"/>
                <w:szCs w:val="20"/>
                <w:color w:val="auto"/>
              </w:rPr>
            </w:pPr>
            <w:r>
              <w:rPr>
                <w:rFonts w:ascii="Arial" w:cs="Arial" w:eastAsia="Arial" w:hAnsi="Arial"/>
                <w:sz w:val="14"/>
                <w:szCs w:val="14"/>
                <w:color w:val="auto"/>
              </w:rPr>
              <w:t>—</w:t>
            </w:r>
          </w:p>
        </w:tc>
      </w:tr>
    </w:tbl>
    <w:p>
      <w:pPr>
        <w:spacing w:after="0" w:line="45" w:lineRule="exact"/>
        <w:rPr>
          <w:sz w:val="20"/>
          <w:szCs w:val="20"/>
          <w:color w:val="auto"/>
        </w:rPr>
      </w:pPr>
    </w:p>
    <w:p>
      <w:pPr>
        <w:ind w:left="960" w:right="200" w:hanging="291"/>
        <w:spacing w:after="0" w:line="183" w:lineRule="auto"/>
        <w:tabs>
          <w:tab w:leader="none" w:pos="96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Salaried Retirement Restoration Program amounts are included in column (i) of the 2020 Summary Compensation Table. For Vested Career Shares, amounts represent the value of the Vested Career Shares (and accrued dividend equivalents) on November 20, 2020, the vesting date.</w:t>
      </w:r>
    </w:p>
    <w:p>
      <w:pPr>
        <w:spacing w:after="0" w:line="8" w:lineRule="exact"/>
        <w:rPr>
          <w:rFonts w:ascii="Arial" w:cs="Arial" w:eastAsia="Arial" w:hAnsi="Arial"/>
          <w:sz w:val="24"/>
          <w:szCs w:val="24"/>
          <w:color w:val="auto"/>
          <w:vertAlign w:val="superscript"/>
        </w:rPr>
      </w:pPr>
    </w:p>
    <w:p>
      <w:pPr>
        <w:ind w:left="960" w:hanging="291"/>
        <w:spacing w:after="0"/>
        <w:tabs>
          <w:tab w:leader="none" w:pos="96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111" w:lineRule="exact"/>
        <w:rPr>
          <w:rFonts w:ascii="Arial" w:cs="Arial" w:eastAsia="Arial" w:hAnsi="Arial"/>
          <w:sz w:val="24"/>
          <w:szCs w:val="24"/>
          <w:color w:val="auto"/>
          <w:vertAlign w:val="superscript"/>
        </w:rPr>
      </w:pPr>
    </w:p>
    <w:p>
      <w:pPr>
        <w:ind w:left="960" w:right="20" w:hanging="291"/>
        <w:spacing w:after="0" w:line="183" w:lineRule="auto"/>
        <w:tabs>
          <w:tab w:leader="none" w:pos="96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reflect the closing price of the Company’s common stock on December 31, 2020, which was $159.03, and accrued dividend equivalents (see the 2020 Options Exercised and Stock Vested table for more information).</w:t>
      </w:r>
    </w:p>
    <w:p>
      <w:pPr>
        <w:spacing w:after="0" w:line="112" w:lineRule="exact"/>
        <w:rPr>
          <w:rFonts w:ascii="Arial" w:cs="Arial" w:eastAsia="Arial" w:hAnsi="Arial"/>
          <w:sz w:val="24"/>
          <w:szCs w:val="24"/>
          <w:color w:val="auto"/>
          <w:vertAlign w:val="superscript"/>
        </w:rPr>
      </w:pPr>
    </w:p>
    <w:p>
      <w:pPr>
        <w:ind w:left="960" w:right="80" w:hanging="291"/>
        <w:spacing w:after="0" w:line="208" w:lineRule="auto"/>
        <w:tabs>
          <w:tab w:leader="none" w:pos="960" w:val="left"/>
        </w:tabs>
        <w:numPr>
          <w:ilvl w:val="0"/>
          <w:numId w:val="116"/>
        </w:numPr>
        <w:rPr>
          <w:rFonts w:ascii="Arial" w:cs="Arial" w:eastAsia="Arial" w:hAnsi="Arial"/>
          <w:sz w:val="24"/>
          <w:szCs w:val="24"/>
          <w:color w:val="auto"/>
          <w:vertAlign w:val="superscript"/>
        </w:rPr>
      </w:pPr>
      <w:r>
        <w:rPr>
          <w:rFonts w:ascii="Arial" w:cs="Arial" w:eastAsia="Arial" w:hAnsi="Arial"/>
          <w:sz w:val="14"/>
          <w:szCs w:val="14"/>
          <w:color w:val="auto"/>
        </w:rPr>
        <w:t>For Mr. DiDonato, the number in this column represents the value realized upon the delivery of shares of the Company’s common stock underlying the Vested Career Shares that had been considered vested in 2015 through 2019 due to Mr. DiDonato turning age 62, based upon the closing price of the Company’s common stock on the date of delivery, September 6, 2020. Because Mr. DiDonato is over the age of 62, the shares of the Company’s common stock underlying the Career Shares that vested on November 20, 2020 were distributed to him immediately upon vesting.</w:t>
      </w:r>
    </w:p>
    <w:p>
      <w:pPr>
        <w:spacing w:after="0" w:line="200" w:lineRule="exact"/>
        <w:rPr>
          <w:sz w:val="20"/>
          <w:szCs w:val="20"/>
          <w:color w:val="auto"/>
        </w:rPr>
      </w:pPr>
    </w:p>
    <w:p>
      <w:pPr>
        <w:spacing w:after="0" w:line="208" w:lineRule="exact"/>
        <w:rPr>
          <w:sz w:val="20"/>
          <w:szCs w:val="20"/>
          <w:color w:val="auto"/>
        </w:rPr>
      </w:pPr>
    </w:p>
    <w:p>
      <w:pPr>
        <w:ind w:left="780" w:hanging="393"/>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9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2020 Pension Benefits table above and is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58420</wp:posOffset>
            </wp:positionV>
            <wp:extent cx="1405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quantified in the 2020 Nonqualified Deferred Compensation table.</w:t>
      </w:r>
    </w:p>
    <w:p>
      <w:pPr>
        <w:spacing w:after="0" w:line="597" w:lineRule="exact"/>
        <w:rPr>
          <w:sz w:val="20"/>
          <w:szCs w:val="20"/>
          <w:color w:val="auto"/>
        </w:rPr>
      </w:pPr>
    </w:p>
    <w:p>
      <w:pPr>
        <w:sectPr>
          <w:pgSz w:w="11900" w:h="16838" w:orient="portrait"/>
          <w:cols w:equalWidth="0" w:num="2">
            <w:col w:w="5280" w:space="440"/>
            <w:col w:w="5140"/>
          </w:cols>
          <w:pgMar w:left="320" w:top="459" w:right="71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Vested Career Shares</w:t>
      </w:r>
    </w:p>
    <w:p>
      <w:pPr>
        <w:spacing w:after="0" w:line="19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have included the Vested Career Shares in the 2020 Nonqualified Deferred Compensation table because they vested in a previous year(s) but distribution of the underlying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shares of common stock is deferred, as described above in the narrative on the Career Shares program accompanying the 2020 Grants of Plan-Based Awards table.</w:t>
      </w:r>
    </w:p>
    <w:p>
      <w:pPr>
        <w:spacing w:after="0" w:line="200" w:lineRule="exact"/>
        <w:rPr>
          <w:sz w:val="20"/>
          <w:szCs w:val="20"/>
          <w:color w:val="auto"/>
        </w:rPr>
      </w:pPr>
    </w:p>
    <w:p>
      <w:pPr>
        <w:sectPr>
          <w:pgSz w:w="11900" w:h="16838" w:orient="portrait"/>
          <w:cols w:equalWidth="0" w:num="2">
            <w:col w:w="5260" w:space="460"/>
            <w:col w:w="5140"/>
          </w:cols>
          <w:pgMar w:left="320" w:top="459"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their termination of employment with the Company. The amount payable is shown for each of six categories of termination triggers. All amounts are calculated as if the executive terminated effective December 31, 2020. Values of accelerated equity awards are based on the closing price of our common stock on December 31, 2020, which was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$159.03. The actual amounts due to any one of the Named Executive Officers upon termination of employment can only be determined at the time, and depending on the circumstances,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390" w:lineRule="exact"/>
        <w:rPr>
          <w:sz w:val="20"/>
          <w:szCs w:val="20"/>
          <w:color w:val="auto"/>
        </w:rPr>
      </w:pPr>
    </w:p>
    <w:p>
      <w:pPr>
        <w:sectPr>
          <w:pgSz w:w="11900" w:h="16838" w:orient="portrait"/>
          <w:cols w:equalWidth="0" w:num="2">
            <w:col w:w="5360" w:space="360"/>
            <w:col w:w="5140"/>
          </w:cols>
          <w:pgMar w:left="320" w:top="459" w:right="719" w:bottom="1440" w:gutter="0" w:footer="0" w:header="0"/>
          <w:type w:val="continuous"/>
        </w:sectPr>
      </w:pPr>
    </w:p>
    <w:p>
      <w:pPr>
        <w:spacing w:after="0" w:line="34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59</w:t>
      </w:r>
    </w:p>
    <w:p>
      <w:pPr>
        <w:sectPr>
          <w:pgSz w:w="11900" w:h="16838" w:orient="portrait"/>
          <w:cols w:equalWidth="0" w:num="1">
            <w:col w:w="10860"/>
          </w:cols>
          <w:pgMar w:left="320" w:top="459" w:right="7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93" w:lineRule="exact"/>
        <w:rPr>
          <w:sz w:val="20"/>
          <w:szCs w:val="20"/>
          <w:color w:val="auto"/>
        </w:rPr>
      </w:pPr>
    </w:p>
    <w:p>
      <w:pPr>
        <w:ind w:left="660" w:right="160"/>
        <w:spacing w:after="0" w:line="260"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2020 Pension Benefits table above and the 2020 Nonqualified Deferred Compensation table above.</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E2231A"/>
              </w:rPr>
              <w:t>Accelerated</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E2231A"/>
              </w:rPr>
              <w:t>Named Executive Officer</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E2231A"/>
              </w:rPr>
              <w:t>Continuation of</w:t>
            </w:r>
          </w:p>
        </w:tc>
        <w:tc>
          <w:tcPr>
            <w:tcW w:w="13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E2231A"/>
              </w:rPr>
              <w:t>Vesting or</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2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E2231A"/>
              </w:rPr>
              <w:t>Medical/Welfare</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E2231A"/>
              </w:rPr>
              <w:t>Payout of</w:t>
            </w:r>
          </w:p>
        </w:tc>
        <w:tc>
          <w:tcPr>
            <w:tcW w:w="300" w:type="dxa"/>
            <w:vAlign w:val="bottom"/>
          </w:tcPr>
          <w:p>
            <w:pPr>
              <w:spacing w:after="0"/>
              <w:rPr>
                <w:sz w:val="12"/>
                <w:szCs w:val="12"/>
                <w:color w:val="auto"/>
              </w:rPr>
            </w:pPr>
          </w:p>
        </w:tc>
        <w:tc>
          <w:tcPr>
            <w:tcW w:w="76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2"/>
        </w:trPr>
        <w:tc>
          <w:tcPr>
            <w:tcW w:w="3700" w:type="dxa"/>
            <w:vAlign w:val="bottom"/>
            <w:gridSpan w:val="2"/>
          </w:tcPr>
          <w:p>
            <w:pPr>
              <w:ind w:left="80"/>
              <w:spacing w:after="0"/>
              <w:rPr>
                <w:sz w:val="20"/>
                <w:szCs w:val="20"/>
                <w:color w:val="auto"/>
              </w:rPr>
            </w:pPr>
            <w:r>
              <w:rPr>
                <w:rFonts w:ascii="Arial" w:cs="Arial" w:eastAsia="Arial" w:hAnsi="Arial"/>
                <w:sz w:val="14"/>
                <w:szCs w:val="14"/>
                <w:b w:val="1"/>
                <w:bCs w:val="1"/>
                <w:color w:val="E2231A"/>
              </w:rPr>
              <w:t>and</w:t>
            </w:r>
          </w:p>
        </w:tc>
        <w:tc>
          <w:tcPr>
            <w:tcW w:w="760" w:type="dxa"/>
            <w:vAlign w:val="bottom"/>
          </w:tcPr>
          <w:p>
            <w:pPr>
              <w:spacing w:after="0"/>
              <w:rPr>
                <w:sz w:val="14"/>
                <w:szCs w:val="14"/>
                <w:color w:val="auto"/>
              </w:rPr>
            </w:pPr>
          </w:p>
        </w:tc>
        <w:tc>
          <w:tcPr>
            <w:tcW w:w="1160" w:type="dxa"/>
            <w:vAlign w:val="bottom"/>
          </w:tcPr>
          <w:p>
            <w:pPr>
              <w:jc w:val="right"/>
              <w:ind w:right="628"/>
              <w:spacing w:after="0"/>
              <w:rPr>
                <w:sz w:val="20"/>
                <w:szCs w:val="20"/>
                <w:color w:val="auto"/>
              </w:rPr>
            </w:pPr>
            <w:r>
              <w:rPr>
                <w:rFonts w:ascii="Arial" w:cs="Arial" w:eastAsia="Arial" w:hAnsi="Arial"/>
                <w:sz w:val="14"/>
                <w:szCs w:val="14"/>
                <w:b w:val="1"/>
                <w:bCs w:val="1"/>
                <w:color w:val="E2231A"/>
              </w:rPr>
              <w:t>Cash</w:t>
            </w:r>
          </w:p>
        </w:tc>
        <w:tc>
          <w:tcPr>
            <w:tcW w:w="19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E2231A"/>
              </w:rPr>
              <w:t>Benefits (Present</w:t>
            </w:r>
          </w:p>
        </w:tc>
        <w:tc>
          <w:tcPr>
            <w:tcW w:w="400" w:type="dxa"/>
            <w:vAlign w:val="bottom"/>
          </w:tcPr>
          <w:p>
            <w:pPr>
              <w:spacing w:after="0"/>
              <w:rPr>
                <w:sz w:val="14"/>
                <w:szCs w:val="14"/>
                <w:color w:val="auto"/>
              </w:rPr>
            </w:pP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E2231A"/>
              </w:rPr>
              <w:t>Equity</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E2231A"/>
              </w:rPr>
              <w:t>Triggering Event</w:t>
            </w:r>
          </w:p>
        </w:tc>
        <w:tc>
          <w:tcPr>
            <w:tcW w:w="1920" w:type="dxa"/>
            <w:vAlign w:val="bottom"/>
            <w:tcBorders>
              <w:bottom w:val="single" w:sz="8" w:color="auto"/>
            </w:tcBorders>
            <w:gridSpan w:val="2"/>
          </w:tcPr>
          <w:p>
            <w:pPr>
              <w:jc w:val="right"/>
              <w:ind w:right="388"/>
              <w:spacing w:after="0" w:line="216" w:lineRule="exact"/>
              <w:rPr>
                <w:sz w:val="20"/>
                <w:szCs w:val="20"/>
                <w:color w:val="auto"/>
              </w:rPr>
            </w:pPr>
            <w:r>
              <w:rPr>
                <w:rFonts w:ascii="Arial" w:cs="Arial" w:eastAsia="Arial" w:hAnsi="Arial"/>
                <w:sz w:val="14"/>
                <w:szCs w:val="14"/>
                <w:b w:val="1"/>
                <w:bCs w:val="1"/>
                <w:color w:val="E2231A"/>
              </w:rPr>
              <w:t>Severance</w:t>
            </w:r>
            <w:r>
              <w:rPr>
                <w:rFonts w:ascii="Arial" w:cs="Arial" w:eastAsia="Arial" w:hAnsi="Arial"/>
                <w:sz w:val="24"/>
                <w:szCs w:val="24"/>
                <w:b w:val="1"/>
                <w:bCs w:val="1"/>
                <w:color w:val="E2231A"/>
                <w:vertAlign w:val="superscript"/>
              </w:rPr>
              <w:t>(1)</w:t>
            </w:r>
          </w:p>
        </w:tc>
        <w:tc>
          <w:tcPr>
            <w:tcW w:w="1920" w:type="dxa"/>
            <w:vAlign w:val="bottom"/>
            <w:tcBorders>
              <w:bottom w:val="single" w:sz="8" w:color="auto"/>
            </w:tcBorders>
            <w:gridSpan w:val="2"/>
          </w:tcPr>
          <w:p>
            <w:pPr>
              <w:jc w:val="center"/>
              <w:ind w:left="88"/>
              <w:spacing w:after="0" w:line="216" w:lineRule="exact"/>
              <w:rPr>
                <w:sz w:val="20"/>
                <w:szCs w:val="20"/>
                <w:color w:val="auto"/>
              </w:rPr>
            </w:pPr>
            <w:r>
              <w:rPr>
                <w:rFonts w:ascii="Arial" w:cs="Arial" w:eastAsia="Arial" w:hAnsi="Arial"/>
                <w:sz w:val="14"/>
                <w:szCs w:val="14"/>
                <w:b w:val="1"/>
                <w:bCs w:val="1"/>
                <w:color w:val="E2231A"/>
                <w:w w:val="90"/>
              </w:rPr>
              <w:t>Value)</w:t>
            </w:r>
            <w:r>
              <w:rPr>
                <w:rFonts w:ascii="Arial" w:cs="Arial" w:eastAsia="Arial" w:hAnsi="Arial"/>
                <w:sz w:val="24"/>
                <w:szCs w:val="24"/>
                <w:b w:val="1"/>
                <w:bCs w:val="1"/>
                <w:color w:val="E2231A"/>
                <w:w w:val="90"/>
                <w:vertAlign w:val="superscript"/>
              </w:rPr>
              <w:t>(2)</w:t>
            </w:r>
          </w:p>
        </w:tc>
        <w:tc>
          <w:tcPr>
            <w:tcW w:w="1320" w:type="dxa"/>
            <w:vAlign w:val="bottom"/>
            <w:tcBorders>
              <w:bottom w:val="single" w:sz="8" w:color="auto"/>
            </w:tcBorders>
            <w:gridSpan w:val="2"/>
          </w:tcPr>
          <w:p>
            <w:pPr>
              <w:jc w:val="center"/>
              <w:ind w:left="48"/>
              <w:spacing w:after="0" w:line="216" w:lineRule="exact"/>
              <w:rPr>
                <w:sz w:val="20"/>
                <w:szCs w:val="20"/>
                <w:color w:val="auto"/>
              </w:rPr>
            </w:pPr>
            <w:r>
              <w:rPr>
                <w:rFonts w:ascii="Arial" w:cs="Arial" w:eastAsia="Arial" w:hAnsi="Arial"/>
                <w:sz w:val="14"/>
                <w:szCs w:val="14"/>
                <w:b w:val="1"/>
                <w:bCs w:val="1"/>
                <w:color w:val="E2231A"/>
                <w:w w:val="96"/>
              </w:rPr>
              <w:t>Awards</w:t>
            </w:r>
            <w:r>
              <w:rPr>
                <w:rFonts w:ascii="Arial" w:cs="Arial" w:eastAsia="Arial" w:hAnsi="Arial"/>
                <w:sz w:val="24"/>
                <w:szCs w:val="24"/>
                <w:b w:val="1"/>
                <w:bCs w:val="1"/>
                <w:color w:val="E2231A"/>
                <w:w w:val="96"/>
                <w:vertAlign w:val="superscript"/>
              </w:rPr>
              <w:t>(3)</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Raymond E. Scott</w:t>
            </w:r>
          </w:p>
        </w:tc>
        <w:tc>
          <w:tcPr>
            <w:tcW w:w="760" w:type="dxa"/>
            <w:vAlign w:val="bottom"/>
            <w:tcBorders>
              <w:bottom w:val="single" w:sz="8" w:color="auto"/>
            </w:tcBorders>
            <w:shd w:val="clear" w:color="auto" w:fill="FCE9E8"/>
          </w:tcPr>
          <w:p>
            <w:pPr>
              <w:spacing w:after="0"/>
              <w:rPr>
                <w:sz w:val="19"/>
                <w:szCs w:val="19"/>
                <w:color w:val="auto"/>
              </w:rPr>
            </w:pPr>
          </w:p>
        </w:tc>
        <w:tc>
          <w:tcPr>
            <w:tcW w:w="1160" w:type="dxa"/>
            <w:vAlign w:val="bottom"/>
            <w:tcBorders>
              <w:bottom w:val="single" w:sz="8" w:color="auto"/>
            </w:tcBorders>
            <w:shd w:val="clear" w:color="auto" w:fill="FCE9E8"/>
          </w:tcPr>
          <w:p>
            <w:pPr>
              <w:spacing w:after="0"/>
              <w:rPr>
                <w:sz w:val="19"/>
                <w:szCs w:val="19"/>
                <w:color w:val="auto"/>
              </w:rPr>
            </w:pPr>
          </w:p>
        </w:tc>
        <w:tc>
          <w:tcPr>
            <w:tcW w:w="860" w:type="dxa"/>
            <w:vAlign w:val="bottom"/>
            <w:tcBorders>
              <w:bottom w:val="single" w:sz="8" w:color="auto"/>
            </w:tcBorders>
            <w:shd w:val="clear" w:color="auto" w:fill="FCE9E8"/>
          </w:tcPr>
          <w:p>
            <w:pPr>
              <w:spacing w:after="0"/>
              <w:rPr>
                <w:sz w:val="19"/>
                <w:szCs w:val="19"/>
                <w:color w:val="auto"/>
              </w:rPr>
            </w:pPr>
          </w:p>
        </w:tc>
        <w:tc>
          <w:tcPr>
            <w:tcW w:w="1060" w:type="dxa"/>
            <w:vAlign w:val="bottom"/>
            <w:tcBorders>
              <w:bottom w:val="single" w:sz="8" w:color="auto"/>
            </w:tcBorders>
            <w:shd w:val="clear" w:color="auto" w:fill="FCE9E8"/>
          </w:tcPr>
          <w:p>
            <w:pPr>
              <w:spacing w:after="0"/>
              <w:rPr>
                <w:sz w:val="19"/>
                <w:szCs w:val="19"/>
                <w:color w:val="auto"/>
              </w:rPr>
            </w:pPr>
          </w:p>
        </w:tc>
        <w:tc>
          <w:tcPr>
            <w:tcW w:w="400" w:type="dxa"/>
            <w:vAlign w:val="bottom"/>
            <w:tcBorders>
              <w:bottom w:val="single" w:sz="8" w:color="auto"/>
            </w:tcBorders>
            <w:shd w:val="clear" w:color="auto" w:fill="FCE9E8"/>
          </w:tcPr>
          <w:p>
            <w:pPr>
              <w:spacing w:after="0"/>
              <w:rPr>
                <w:sz w:val="19"/>
                <w:szCs w:val="19"/>
                <w:color w:val="auto"/>
              </w:rPr>
            </w:pPr>
          </w:p>
        </w:tc>
        <w:tc>
          <w:tcPr>
            <w:tcW w:w="92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76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 With Change in Control</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6,000,000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33,084</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w w:val="99"/>
              </w:rPr>
              <w:t>25,534,638</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31,567,722</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6,000,000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33,084</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w w:val="99"/>
              </w:rPr>
              <w:t>15,633,993</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21,667,077</w:t>
            </w:r>
          </w:p>
        </w:tc>
        <w:tc>
          <w:tcPr>
            <w:tcW w:w="0" w:type="dxa"/>
            <w:vAlign w:val="bottom"/>
          </w:tcPr>
          <w:p>
            <w:pPr>
              <w:spacing w:after="0"/>
              <w:rPr>
                <w:sz w:val="1"/>
                <w:szCs w:val="1"/>
                <w:color w:val="auto"/>
              </w:rPr>
            </w:pPr>
          </w:p>
        </w:tc>
      </w:tr>
      <w:tr>
        <w:trPr>
          <w:trHeight w:val="233"/>
        </w:trPr>
        <w:tc>
          <w:tcPr>
            <w:tcW w:w="3700" w:type="dxa"/>
            <w:vAlign w:val="bottom"/>
            <w:gridSpan w:val="2"/>
          </w:tcPr>
          <w:p>
            <w:pPr>
              <w:ind w:left="80"/>
              <w:spacing w:after="0" w:line="233" w:lineRule="exact"/>
              <w:rPr>
                <w:sz w:val="20"/>
                <w:szCs w:val="20"/>
                <w:color w:val="auto"/>
              </w:rPr>
            </w:pPr>
            <w:r>
              <w:rPr>
                <w:rFonts w:ascii="Arial" w:cs="Arial" w:eastAsia="Arial" w:hAnsi="Arial"/>
                <w:sz w:val="14"/>
                <w:szCs w:val="14"/>
                <w:color w:val="auto"/>
              </w:rPr>
              <w:t>• Retirement</w:t>
            </w:r>
            <w:r>
              <w:rPr>
                <w:rFonts w:ascii="Arial" w:cs="Arial" w:eastAsia="Arial" w:hAnsi="Arial"/>
                <w:sz w:val="24"/>
                <w:szCs w:val="24"/>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w w:val="99"/>
              </w:rPr>
              <w:t>12,664,982</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12,664,982</w:t>
            </w:r>
          </w:p>
        </w:tc>
        <w:tc>
          <w:tcPr>
            <w:tcW w:w="0" w:type="dxa"/>
            <w:vAlign w:val="bottom"/>
          </w:tcPr>
          <w:p>
            <w:pPr>
              <w:spacing w:after="0"/>
              <w:rPr>
                <w:sz w:val="1"/>
                <w:szCs w:val="1"/>
                <w:color w:val="auto"/>
              </w:rPr>
            </w:pPr>
          </w:p>
        </w:tc>
      </w:tr>
      <w:tr>
        <w:trPr>
          <w:trHeight w:val="16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Cause)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52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9"/>
              </w:rPr>
              <w:t>19,018,694</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19,018,694</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Jason M. Cardew</w:t>
            </w:r>
          </w:p>
        </w:tc>
        <w:tc>
          <w:tcPr>
            <w:tcW w:w="760" w:type="dxa"/>
            <w:vAlign w:val="bottom"/>
            <w:tcBorders>
              <w:bottom w:val="single" w:sz="8" w:color="auto"/>
            </w:tcBorders>
            <w:shd w:val="clear" w:color="auto" w:fill="FCE9E8"/>
          </w:tcPr>
          <w:p>
            <w:pPr>
              <w:spacing w:after="0"/>
              <w:rPr>
                <w:sz w:val="19"/>
                <w:szCs w:val="19"/>
                <w:color w:val="auto"/>
              </w:rPr>
            </w:pPr>
          </w:p>
        </w:tc>
        <w:tc>
          <w:tcPr>
            <w:tcW w:w="1160" w:type="dxa"/>
            <w:vAlign w:val="bottom"/>
            <w:tcBorders>
              <w:bottom w:val="single" w:sz="8" w:color="auto"/>
            </w:tcBorders>
            <w:shd w:val="clear" w:color="auto" w:fill="FCE9E8"/>
          </w:tcPr>
          <w:p>
            <w:pPr>
              <w:spacing w:after="0"/>
              <w:rPr>
                <w:sz w:val="19"/>
                <w:szCs w:val="19"/>
                <w:color w:val="auto"/>
              </w:rPr>
            </w:pPr>
          </w:p>
        </w:tc>
        <w:tc>
          <w:tcPr>
            <w:tcW w:w="860" w:type="dxa"/>
            <w:vAlign w:val="bottom"/>
            <w:tcBorders>
              <w:bottom w:val="single" w:sz="8" w:color="auto"/>
            </w:tcBorders>
            <w:shd w:val="clear" w:color="auto" w:fill="FCE9E8"/>
          </w:tcPr>
          <w:p>
            <w:pPr>
              <w:spacing w:after="0"/>
              <w:rPr>
                <w:sz w:val="19"/>
                <w:szCs w:val="19"/>
                <w:color w:val="auto"/>
              </w:rPr>
            </w:pPr>
          </w:p>
        </w:tc>
        <w:tc>
          <w:tcPr>
            <w:tcW w:w="1060" w:type="dxa"/>
            <w:vAlign w:val="bottom"/>
            <w:tcBorders>
              <w:bottom w:val="single" w:sz="8" w:color="auto"/>
            </w:tcBorders>
            <w:shd w:val="clear" w:color="auto" w:fill="FCE9E8"/>
          </w:tcPr>
          <w:p>
            <w:pPr>
              <w:spacing w:after="0"/>
              <w:rPr>
                <w:sz w:val="19"/>
                <w:szCs w:val="19"/>
                <w:color w:val="auto"/>
              </w:rPr>
            </w:pPr>
          </w:p>
        </w:tc>
        <w:tc>
          <w:tcPr>
            <w:tcW w:w="400" w:type="dxa"/>
            <w:vAlign w:val="bottom"/>
            <w:tcBorders>
              <w:bottom w:val="single" w:sz="8" w:color="auto"/>
            </w:tcBorders>
            <w:shd w:val="clear" w:color="auto" w:fill="FCE9E8"/>
          </w:tcPr>
          <w:p>
            <w:pPr>
              <w:spacing w:after="0"/>
              <w:rPr>
                <w:sz w:val="19"/>
                <w:szCs w:val="19"/>
                <w:color w:val="auto"/>
              </w:rPr>
            </w:pPr>
          </w:p>
        </w:tc>
        <w:tc>
          <w:tcPr>
            <w:tcW w:w="92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76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 With Change in Control</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2,660,000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29,765</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5,310,558</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8,000,323</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2,660,000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29,765</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2,729,758</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5,419,523</w:t>
            </w:r>
          </w:p>
        </w:tc>
        <w:tc>
          <w:tcPr>
            <w:tcW w:w="0" w:type="dxa"/>
            <w:vAlign w:val="bottom"/>
          </w:tcPr>
          <w:p>
            <w:pPr>
              <w:spacing w:after="0"/>
              <w:rPr>
                <w:sz w:val="1"/>
                <w:szCs w:val="1"/>
                <w:color w:val="auto"/>
              </w:rPr>
            </w:pPr>
          </w:p>
        </w:tc>
      </w:tr>
      <w:tr>
        <w:trPr>
          <w:trHeight w:val="203"/>
        </w:trPr>
        <w:tc>
          <w:tcPr>
            <w:tcW w:w="3700" w:type="dxa"/>
            <w:vAlign w:val="bottom"/>
            <w:gridSpan w:val="2"/>
          </w:tcPr>
          <w:p>
            <w:pPr>
              <w:ind w:left="80"/>
              <w:spacing w:after="0"/>
              <w:rPr>
                <w:sz w:val="20"/>
                <w:szCs w:val="20"/>
                <w:color w:val="auto"/>
              </w:rPr>
            </w:pPr>
            <w:r>
              <w:rPr>
                <w:rFonts w:ascii="Arial" w:cs="Arial" w:eastAsia="Arial" w:hAnsi="Arial"/>
                <w:sz w:val="14"/>
                <w:szCs w:val="14"/>
                <w:color w:val="auto"/>
              </w:rPr>
              <w:t>• Retirement</w:t>
            </w:r>
          </w:p>
        </w:tc>
        <w:tc>
          <w:tcPr>
            <w:tcW w:w="7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N/A</w:t>
            </w:r>
          </w:p>
        </w:tc>
        <w:tc>
          <w:tcPr>
            <w:tcW w:w="860" w:type="dxa"/>
            <w:vAlign w:val="bottom"/>
          </w:tcPr>
          <w:p>
            <w:pPr>
              <w:spacing w:after="0"/>
              <w:rPr>
                <w:sz w:val="17"/>
                <w:szCs w:val="17"/>
                <w:color w:val="auto"/>
              </w:rPr>
            </w:pP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Cause)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52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4,083,638</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4,083,638</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Frank C. Orsini</w:t>
            </w:r>
          </w:p>
        </w:tc>
        <w:tc>
          <w:tcPr>
            <w:tcW w:w="760" w:type="dxa"/>
            <w:vAlign w:val="bottom"/>
            <w:tcBorders>
              <w:bottom w:val="single" w:sz="8" w:color="auto"/>
            </w:tcBorders>
            <w:shd w:val="clear" w:color="auto" w:fill="FCE9E8"/>
          </w:tcPr>
          <w:p>
            <w:pPr>
              <w:spacing w:after="0"/>
              <w:rPr>
                <w:sz w:val="19"/>
                <w:szCs w:val="19"/>
                <w:color w:val="auto"/>
              </w:rPr>
            </w:pPr>
          </w:p>
        </w:tc>
        <w:tc>
          <w:tcPr>
            <w:tcW w:w="1160" w:type="dxa"/>
            <w:vAlign w:val="bottom"/>
            <w:tcBorders>
              <w:bottom w:val="single" w:sz="8" w:color="auto"/>
            </w:tcBorders>
            <w:shd w:val="clear" w:color="auto" w:fill="FCE9E8"/>
          </w:tcPr>
          <w:p>
            <w:pPr>
              <w:spacing w:after="0"/>
              <w:rPr>
                <w:sz w:val="19"/>
                <w:szCs w:val="19"/>
                <w:color w:val="auto"/>
              </w:rPr>
            </w:pPr>
          </w:p>
        </w:tc>
        <w:tc>
          <w:tcPr>
            <w:tcW w:w="860" w:type="dxa"/>
            <w:vAlign w:val="bottom"/>
            <w:tcBorders>
              <w:bottom w:val="single" w:sz="8" w:color="auto"/>
            </w:tcBorders>
            <w:shd w:val="clear" w:color="auto" w:fill="FCE9E8"/>
          </w:tcPr>
          <w:p>
            <w:pPr>
              <w:spacing w:after="0"/>
              <w:rPr>
                <w:sz w:val="19"/>
                <w:szCs w:val="19"/>
                <w:color w:val="auto"/>
              </w:rPr>
            </w:pPr>
          </w:p>
        </w:tc>
        <w:tc>
          <w:tcPr>
            <w:tcW w:w="1060" w:type="dxa"/>
            <w:vAlign w:val="bottom"/>
            <w:tcBorders>
              <w:bottom w:val="single" w:sz="8" w:color="auto"/>
            </w:tcBorders>
            <w:shd w:val="clear" w:color="auto" w:fill="FCE9E8"/>
          </w:tcPr>
          <w:p>
            <w:pPr>
              <w:spacing w:after="0"/>
              <w:rPr>
                <w:sz w:val="19"/>
                <w:szCs w:val="19"/>
                <w:color w:val="auto"/>
              </w:rPr>
            </w:pPr>
          </w:p>
        </w:tc>
        <w:tc>
          <w:tcPr>
            <w:tcW w:w="400" w:type="dxa"/>
            <w:vAlign w:val="bottom"/>
            <w:tcBorders>
              <w:bottom w:val="single" w:sz="8" w:color="auto"/>
            </w:tcBorders>
            <w:shd w:val="clear" w:color="auto" w:fill="FCE9E8"/>
          </w:tcPr>
          <w:p>
            <w:pPr>
              <w:spacing w:after="0"/>
              <w:rPr>
                <w:sz w:val="19"/>
                <w:szCs w:val="19"/>
                <w:color w:val="auto"/>
              </w:rPr>
            </w:pPr>
          </w:p>
        </w:tc>
        <w:tc>
          <w:tcPr>
            <w:tcW w:w="92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76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 With Change in Control</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3,200,000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28,438</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8,580,934</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11,809,372</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3,200,000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28,438</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4,778,880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8,007,318</w:t>
            </w:r>
          </w:p>
        </w:tc>
        <w:tc>
          <w:tcPr>
            <w:tcW w:w="0" w:type="dxa"/>
            <w:vAlign w:val="bottom"/>
          </w:tcPr>
          <w:p>
            <w:pPr>
              <w:spacing w:after="0"/>
              <w:rPr>
                <w:sz w:val="1"/>
                <w:szCs w:val="1"/>
                <w:color w:val="auto"/>
              </w:rPr>
            </w:pPr>
          </w:p>
        </w:tc>
      </w:tr>
      <w:tr>
        <w:trPr>
          <w:trHeight w:val="202"/>
        </w:trPr>
        <w:tc>
          <w:tcPr>
            <w:tcW w:w="3700" w:type="dxa"/>
            <w:vAlign w:val="bottom"/>
            <w:gridSpan w:val="2"/>
          </w:tcPr>
          <w:p>
            <w:pPr>
              <w:ind w:left="80"/>
              <w:spacing w:after="0"/>
              <w:rPr>
                <w:sz w:val="20"/>
                <w:szCs w:val="20"/>
                <w:color w:val="auto"/>
              </w:rPr>
            </w:pPr>
            <w:r>
              <w:rPr>
                <w:rFonts w:ascii="Arial" w:cs="Arial" w:eastAsia="Arial" w:hAnsi="Arial"/>
                <w:sz w:val="14"/>
                <w:szCs w:val="14"/>
                <w:color w:val="auto"/>
              </w:rPr>
              <w:t>• Retirement</w:t>
            </w:r>
          </w:p>
        </w:tc>
        <w:tc>
          <w:tcPr>
            <w:tcW w:w="7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N/A</w:t>
            </w:r>
          </w:p>
        </w:tc>
        <w:tc>
          <w:tcPr>
            <w:tcW w:w="860" w:type="dxa"/>
            <w:vAlign w:val="bottom"/>
          </w:tcPr>
          <w:p>
            <w:pPr>
              <w:spacing w:after="0"/>
              <w:rPr>
                <w:sz w:val="17"/>
                <w:szCs w:val="17"/>
                <w:color w:val="auto"/>
              </w:rPr>
            </w:pP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Cause)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52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6,696,930</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6,696,930</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Thomas A. DiDonato</w:t>
            </w:r>
          </w:p>
        </w:tc>
        <w:tc>
          <w:tcPr>
            <w:tcW w:w="760" w:type="dxa"/>
            <w:vAlign w:val="bottom"/>
            <w:tcBorders>
              <w:bottom w:val="single" w:sz="8" w:color="auto"/>
            </w:tcBorders>
            <w:shd w:val="clear" w:color="auto" w:fill="FCE9E8"/>
          </w:tcPr>
          <w:p>
            <w:pPr>
              <w:spacing w:after="0"/>
              <w:rPr>
                <w:sz w:val="19"/>
                <w:szCs w:val="19"/>
                <w:color w:val="auto"/>
              </w:rPr>
            </w:pPr>
          </w:p>
        </w:tc>
        <w:tc>
          <w:tcPr>
            <w:tcW w:w="1160" w:type="dxa"/>
            <w:vAlign w:val="bottom"/>
            <w:tcBorders>
              <w:bottom w:val="single" w:sz="8" w:color="auto"/>
            </w:tcBorders>
            <w:shd w:val="clear" w:color="auto" w:fill="FCE9E8"/>
          </w:tcPr>
          <w:p>
            <w:pPr>
              <w:spacing w:after="0"/>
              <w:rPr>
                <w:sz w:val="19"/>
                <w:szCs w:val="19"/>
                <w:color w:val="auto"/>
              </w:rPr>
            </w:pPr>
          </w:p>
        </w:tc>
        <w:tc>
          <w:tcPr>
            <w:tcW w:w="860" w:type="dxa"/>
            <w:vAlign w:val="bottom"/>
            <w:tcBorders>
              <w:bottom w:val="single" w:sz="8" w:color="auto"/>
            </w:tcBorders>
            <w:shd w:val="clear" w:color="auto" w:fill="FCE9E8"/>
          </w:tcPr>
          <w:p>
            <w:pPr>
              <w:spacing w:after="0"/>
              <w:rPr>
                <w:sz w:val="19"/>
                <w:szCs w:val="19"/>
                <w:color w:val="auto"/>
              </w:rPr>
            </w:pPr>
          </w:p>
        </w:tc>
        <w:tc>
          <w:tcPr>
            <w:tcW w:w="1060" w:type="dxa"/>
            <w:vAlign w:val="bottom"/>
            <w:tcBorders>
              <w:bottom w:val="single" w:sz="8" w:color="auto"/>
            </w:tcBorders>
            <w:shd w:val="clear" w:color="auto" w:fill="FCE9E8"/>
          </w:tcPr>
          <w:p>
            <w:pPr>
              <w:spacing w:after="0"/>
              <w:rPr>
                <w:sz w:val="19"/>
                <w:szCs w:val="19"/>
                <w:color w:val="auto"/>
              </w:rPr>
            </w:pPr>
          </w:p>
        </w:tc>
        <w:tc>
          <w:tcPr>
            <w:tcW w:w="400" w:type="dxa"/>
            <w:vAlign w:val="bottom"/>
            <w:tcBorders>
              <w:bottom w:val="single" w:sz="8" w:color="auto"/>
            </w:tcBorders>
            <w:shd w:val="clear" w:color="auto" w:fill="FCE9E8"/>
          </w:tcPr>
          <w:p>
            <w:pPr>
              <w:spacing w:after="0"/>
              <w:rPr>
                <w:sz w:val="19"/>
                <w:szCs w:val="19"/>
                <w:color w:val="auto"/>
              </w:rPr>
            </w:pPr>
          </w:p>
        </w:tc>
        <w:tc>
          <w:tcPr>
            <w:tcW w:w="92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76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 With Change in Control</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2,800,000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36,900</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6,983,756</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9,820,656</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2,800,000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36,900</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4,289,467</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7,126,367</w:t>
            </w:r>
          </w:p>
        </w:tc>
        <w:tc>
          <w:tcPr>
            <w:tcW w:w="0" w:type="dxa"/>
            <w:vAlign w:val="bottom"/>
          </w:tcPr>
          <w:p>
            <w:pPr>
              <w:spacing w:after="0"/>
              <w:rPr>
                <w:sz w:val="1"/>
                <w:szCs w:val="1"/>
                <w:color w:val="auto"/>
              </w:rPr>
            </w:pPr>
          </w:p>
        </w:tc>
      </w:tr>
      <w:tr>
        <w:trPr>
          <w:trHeight w:val="233"/>
        </w:trPr>
        <w:tc>
          <w:tcPr>
            <w:tcW w:w="3700" w:type="dxa"/>
            <w:vAlign w:val="bottom"/>
            <w:gridSpan w:val="2"/>
          </w:tcPr>
          <w:p>
            <w:pPr>
              <w:ind w:left="80"/>
              <w:spacing w:after="0" w:line="233" w:lineRule="exact"/>
              <w:rPr>
                <w:sz w:val="20"/>
                <w:szCs w:val="20"/>
                <w:color w:val="auto"/>
              </w:rPr>
            </w:pPr>
            <w:r>
              <w:rPr>
                <w:rFonts w:ascii="Arial" w:cs="Arial" w:eastAsia="Arial" w:hAnsi="Arial"/>
                <w:sz w:val="14"/>
                <w:szCs w:val="14"/>
                <w:color w:val="auto"/>
              </w:rPr>
              <w:t>• Retirement</w:t>
            </w:r>
            <w:r>
              <w:rPr>
                <w:rFonts w:ascii="Arial" w:cs="Arial" w:eastAsia="Arial" w:hAnsi="Arial"/>
                <w:sz w:val="24"/>
                <w:szCs w:val="24"/>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3,584,337</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3,584,337</w:t>
            </w:r>
          </w:p>
        </w:tc>
        <w:tc>
          <w:tcPr>
            <w:tcW w:w="0" w:type="dxa"/>
            <w:vAlign w:val="bottom"/>
          </w:tcPr>
          <w:p>
            <w:pPr>
              <w:spacing w:after="0"/>
              <w:rPr>
                <w:sz w:val="1"/>
                <w:szCs w:val="1"/>
                <w:color w:val="auto"/>
              </w:rPr>
            </w:pPr>
          </w:p>
        </w:tc>
      </w:tr>
      <w:tr>
        <w:trPr>
          <w:trHeight w:val="16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Cause)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52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5,417,647</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5,417,647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gridSpan w:val="2"/>
            <w:shd w:val="clear" w:color="auto" w:fill="FCE9E8"/>
          </w:tcPr>
          <w:p>
            <w:pPr>
              <w:ind w:left="80"/>
              <w:spacing w:after="0"/>
              <w:rPr>
                <w:sz w:val="20"/>
                <w:szCs w:val="20"/>
                <w:color w:val="auto"/>
              </w:rPr>
            </w:pPr>
            <w:r>
              <w:rPr>
                <w:rFonts w:ascii="Arial" w:cs="Arial" w:eastAsia="Arial" w:hAnsi="Arial"/>
                <w:sz w:val="14"/>
                <w:szCs w:val="14"/>
                <w:b w:val="1"/>
                <w:bCs w:val="1"/>
                <w:color w:val="auto"/>
              </w:rPr>
              <w:t>Carl A. Esposito</w:t>
            </w:r>
          </w:p>
        </w:tc>
        <w:tc>
          <w:tcPr>
            <w:tcW w:w="760" w:type="dxa"/>
            <w:vAlign w:val="bottom"/>
            <w:tcBorders>
              <w:bottom w:val="single" w:sz="8" w:color="auto"/>
            </w:tcBorders>
            <w:shd w:val="clear" w:color="auto" w:fill="FCE9E8"/>
          </w:tcPr>
          <w:p>
            <w:pPr>
              <w:spacing w:after="0"/>
              <w:rPr>
                <w:sz w:val="19"/>
                <w:szCs w:val="19"/>
                <w:color w:val="auto"/>
              </w:rPr>
            </w:pPr>
          </w:p>
        </w:tc>
        <w:tc>
          <w:tcPr>
            <w:tcW w:w="1160" w:type="dxa"/>
            <w:vAlign w:val="bottom"/>
            <w:tcBorders>
              <w:bottom w:val="single" w:sz="8" w:color="auto"/>
            </w:tcBorders>
            <w:shd w:val="clear" w:color="auto" w:fill="FCE9E8"/>
          </w:tcPr>
          <w:p>
            <w:pPr>
              <w:spacing w:after="0"/>
              <w:rPr>
                <w:sz w:val="19"/>
                <w:szCs w:val="19"/>
                <w:color w:val="auto"/>
              </w:rPr>
            </w:pPr>
          </w:p>
        </w:tc>
        <w:tc>
          <w:tcPr>
            <w:tcW w:w="860" w:type="dxa"/>
            <w:vAlign w:val="bottom"/>
            <w:tcBorders>
              <w:bottom w:val="single" w:sz="8" w:color="auto"/>
            </w:tcBorders>
            <w:shd w:val="clear" w:color="auto" w:fill="FCE9E8"/>
          </w:tcPr>
          <w:p>
            <w:pPr>
              <w:spacing w:after="0"/>
              <w:rPr>
                <w:sz w:val="19"/>
                <w:szCs w:val="19"/>
                <w:color w:val="auto"/>
              </w:rPr>
            </w:pPr>
          </w:p>
        </w:tc>
        <w:tc>
          <w:tcPr>
            <w:tcW w:w="1060" w:type="dxa"/>
            <w:vAlign w:val="bottom"/>
            <w:tcBorders>
              <w:bottom w:val="single" w:sz="8" w:color="auto"/>
            </w:tcBorders>
            <w:shd w:val="clear" w:color="auto" w:fill="FCE9E8"/>
          </w:tcPr>
          <w:p>
            <w:pPr>
              <w:spacing w:after="0"/>
              <w:rPr>
                <w:sz w:val="19"/>
                <w:szCs w:val="19"/>
                <w:color w:val="auto"/>
              </w:rPr>
            </w:pPr>
          </w:p>
        </w:tc>
        <w:tc>
          <w:tcPr>
            <w:tcW w:w="400" w:type="dxa"/>
            <w:vAlign w:val="bottom"/>
            <w:tcBorders>
              <w:bottom w:val="single" w:sz="8" w:color="auto"/>
            </w:tcBorders>
            <w:shd w:val="clear" w:color="auto" w:fill="FCE9E8"/>
          </w:tcPr>
          <w:p>
            <w:pPr>
              <w:spacing w:after="0"/>
              <w:rPr>
                <w:sz w:val="19"/>
                <w:szCs w:val="19"/>
                <w:color w:val="auto"/>
              </w:rPr>
            </w:pPr>
          </w:p>
        </w:tc>
        <w:tc>
          <w:tcPr>
            <w:tcW w:w="92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76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 With Change in Control</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2,340,000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29,765</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w w:val="99"/>
              </w:rPr>
              <w:t>11,705,041</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14,074,806</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Involuntary Termination without Cause (or for Good</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Reason)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w w:val="99"/>
              </w:rPr>
              <w:t>2,340,000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w w:val="97"/>
              </w:rPr>
              <w:t>29,765</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w w:val="99"/>
              </w:rPr>
              <w:t>10,051,620</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12,421,385</w:t>
            </w:r>
          </w:p>
        </w:tc>
        <w:tc>
          <w:tcPr>
            <w:tcW w:w="0" w:type="dxa"/>
            <w:vAlign w:val="bottom"/>
          </w:tcPr>
          <w:p>
            <w:pPr>
              <w:spacing w:after="0"/>
              <w:rPr>
                <w:sz w:val="1"/>
                <w:szCs w:val="1"/>
                <w:color w:val="auto"/>
              </w:rPr>
            </w:pPr>
          </w:p>
        </w:tc>
      </w:tr>
      <w:tr>
        <w:trPr>
          <w:trHeight w:val="203"/>
        </w:trPr>
        <w:tc>
          <w:tcPr>
            <w:tcW w:w="3700" w:type="dxa"/>
            <w:vAlign w:val="bottom"/>
            <w:gridSpan w:val="2"/>
          </w:tcPr>
          <w:p>
            <w:pPr>
              <w:ind w:left="80"/>
              <w:spacing w:after="0"/>
              <w:rPr>
                <w:sz w:val="20"/>
                <w:szCs w:val="20"/>
                <w:color w:val="auto"/>
              </w:rPr>
            </w:pPr>
            <w:r>
              <w:rPr>
                <w:rFonts w:ascii="Arial" w:cs="Arial" w:eastAsia="Arial" w:hAnsi="Arial"/>
                <w:sz w:val="14"/>
                <w:szCs w:val="14"/>
                <w:color w:val="auto"/>
              </w:rPr>
              <w:t>• Retirement</w:t>
            </w:r>
          </w:p>
        </w:tc>
        <w:tc>
          <w:tcPr>
            <w:tcW w:w="7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N/A</w:t>
            </w:r>
          </w:p>
        </w:tc>
        <w:tc>
          <w:tcPr>
            <w:tcW w:w="860" w:type="dxa"/>
            <w:vAlign w:val="bottom"/>
          </w:tcPr>
          <w:p>
            <w:pPr>
              <w:spacing w:after="0"/>
              <w:rPr>
                <w:sz w:val="17"/>
                <w:szCs w:val="17"/>
                <w:color w:val="auto"/>
              </w:rPr>
            </w:pP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7"/>
                <w:szCs w:val="17"/>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2"/>
        </w:trPr>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Voluntary Termination (or Involuntary Termination for</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Arial" w:cs="Arial" w:eastAsia="Arial" w:hAnsi="Arial"/>
                <w:sz w:val="14"/>
                <w:szCs w:val="14"/>
                <w:color w:val="auto"/>
              </w:rPr>
              <w:t>Cause)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520" w:type="dxa"/>
            <w:vAlign w:val="bottom"/>
            <w:tcBorders>
              <w:bottom w:val="single" w:sz="8" w:color="auto"/>
            </w:tcBorders>
          </w:tcPr>
          <w:p>
            <w:pPr>
              <w:ind w:left="40"/>
              <w:spacing w:after="0" w:line="201" w:lineRule="exact"/>
              <w:rPr>
                <w:sz w:val="20"/>
                <w:szCs w:val="20"/>
                <w:color w:val="auto"/>
              </w:rPr>
            </w:pPr>
            <w:r>
              <w:rPr>
                <w:rFonts w:ascii="Arial" w:cs="Arial" w:eastAsia="Arial" w:hAnsi="Arial"/>
                <w:sz w:val="14"/>
                <w:szCs w:val="14"/>
                <w:color w:val="auto"/>
              </w:rPr>
              <w:t>Disability or Death</w:t>
            </w:r>
            <w:r>
              <w:rPr>
                <w:rFonts w:ascii="Arial" w:cs="Arial" w:eastAsia="Arial" w:hAnsi="Arial"/>
                <w:sz w:val="23"/>
                <w:szCs w:val="23"/>
                <w:color w:val="auto"/>
                <w:vertAlign w:val="superscript"/>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9"/>
              </w:rPr>
              <w:t>10,897,716</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10,897,716</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960" w:right="120" w:hanging="293"/>
        <w:spacing w:after="0" w:line="218" w:lineRule="auto"/>
        <w:tabs>
          <w:tab w:leader="none" w:pos="960" w:val="left"/>
        </w:tabs>
        <w:numPr>
          <w:ilvl w:val="0"/>
          <w:numId w:val="118"/>
        </w:numPr>
        <w:rPr>
          <w:rFonts w:ascii="Arial" w:cs="Arial" w:eastAsia="Arial" w:hAnsi="Arial"/>
          <w:sz w:val="24"/>
          <w:szCs w:val="24"/>
          <w:color w:val="auto"/>
          <w:vertAlign w:val="superscript"/>
        </w:rPr>
      </w:pPr>
      <w:r>
        <w:rPr>
          <w:rFonts w:ascii="Arial" w:cs="Arial" w:eastAsia="Arial" w:hAnsi="Arial"/>
          <w:sz w:val="14"/>
          <w:szCs w:val="14"/>
          <w:color w:val="auto"/>
        </w:rPr>
        <w:t>Cash severance (in an amount equal to two times the sum of base salary plus target annual incentive bonus amount) is paid in a lump sum to each Named Executive Officer on the date that is six months after the date of termination (other than Mr. DiDonato, who would receive cash severance payments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200" w:lineRule="exact"/>
        <w:rPr>
          <w:sz w:val="20"/>
          <w:szCs w:val="20"/>
          <w:color w:val="auto"/>
        </w:rPr>
      </w:pPr>
    </w:p>
    <w:p>
      <w:pPr>
        <w:spacing w:after="0" w:line="208" w:lineRule="exact"/>
        <w:rPr>
          <w:sz w:val="20"/>
          <w:szCs w:val="20"/>
          <w:color w:val="auto"/>
        </w:rPr>
      </w:pPr>
    </w:p>
    <w:p>
      <w:pPr>
        <w:ind w:left="780" w:hanging="393"/>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9" w:lineRule="exact"/>
        <w:rPr>
          <w:sz w:val="20"/>
          <w:szCs w:val="20"/>
          <w:color w:val="auto"/>
        </w:rPr>
      </w:pPr>
    </w:p>
    <w:p>
      <w:pPr>
        <w:ind w:left="960" w:hanging="291"/>
        <w:spacing w:after="0"/>
        <w:tabs>
          <w:tab w:leader="none" w:pos="96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111" w:lineRule="exact"/>
        <w:rPr>
          <w:rFonts w:ascii="Arial" w:cs="Arial" w:eastAsia="Arial" w:hAnsi="Arial"/>
          <w:sz w:val="24"/>
          <w:szCs w:val="24"/>
          <w:color w:val="auto"/>
          <w:vertAlign w:val="superscript"/>
        </w:rPr>
      </w:pPr>
    </w:p>
    <w:p>
      <w:pPr>
        <w:ind w:left="960" w:right="440" w:hanging="291"/>
        <w:spacing w:after="0" w:line="195" w:lineRule="auto"/>
        <w:tabs>
          <w:tab w:leader="none" w:pos="96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Represents accelerated or pro rata (as applicable) vesting of RSUs and stock options and payout of Performance Shares (at target level) and any associated dividend equivalents with interest. Unvested Career Shares become vested (subject to achievement of any applicable performance goals) and the underlying shares are immediately distributed (along with those for vested Career Shares) upon the executive’s (i) death, (ii) disability or</w:t>
      </w:r>
    </w:p>
    <w:p>
      <w:pPr>
        <w:ind w:left="960" w:right="360"/>
        <w:spacing w:after="0" w:line="247" w:lineRule="auto"/>
        <w:rPr>
          <w:rFonts w:ascii="Arial" w:cs="Arial" w:eastAsia="Arial" w:hAnsi="Arial"/>
          <w:sz w:val="24"/>
          <w:szCs w:val="24"/>
          <w:color w:val="auto"/>
          <w:vertAlign w:val="superscript"/>
        </w:rPr>
      </w:pPr>
      <w:r>
        <w:rPr>
          <w:rFonts w:ascii="Arial" w:cs="Arial" w:eastAsia="Arial" w:hAnsi="Arial"/>
          <w:sz w:val="14"/>
          <w:szCs w:val="14"/>
          <w:color w:val="auto"/>
        </w:rPr>
        <w:t>(iii) involuntary “without cause”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stock options and Performance Shares are valued based on the December 31, 2020 closing price of the Company’s common stock.</w:t>
      </w:r>
    </w:p>
    <w:p>
      <w:pPr>
        <w:spacing w:after="0" w:line="106" w:lineRule="exact"/>
        <w:rPr>
          <w:rFonts w:ascii="Arial" w:cs="Arial" w:eastAsia="Arial" w:hAnsi="Arial"/>
          <w:sz w:val="24"/>
          <w:szCs w:val="24"/>
          <w:color w:val="auto"/>
          <w:vertAlign w:val="superscript"/>
        </w:rPr>
      </w:pPr>
    </w:p>
    <w:p>
      <w:pPr>
        <w:ind w:left="960" w:right="720" w:hanging="291"/>
        <w:spacing w:after="0" w:line="183" w:lineRule="auto"/>
        <w:tabs>
          <w:tab w:leader="none" w:pos="96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As of December 31, 2020, Messrs. Scott and DiDonato were retirement-eligible, and therefore, qualify for accelerated vesting of certain incentive awards upon retirement. The Company does not provide for enhanced early retirement benefits under its pension programs.</w:t>
      </w:r>
    </w:p>
    <w:p>
      <w:pPr>
        <w:spacing w:after="0" w:line="112" w:lineRule="exact"/>
        <w:rPr>
          <w:rFonts w:ascii="Arial" w:cs="Arial" w:eastAsia="Arial" w:hAnsi="Arial"/>
          <w:sz w:val="24"/>
          <w:szCs w:val="24"/>
          <w:color w:val="auto"/>
          <w:vertAlign w:val="superscript"/>
        </w:rPr>
      </w:pPr>
    </w:p>
    <w:p>
      <w:pPr>
        <w:ind w:left="960" w:right="360" w:hanging="291"/>
        <w:spacing w:after="0"/>
        <w:tabs>
          <w:tab w:leader="none" w:pos="96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Messrs. Scott, Cardew and Orsini are fully vested in their pension benefits, and as such, there would be no pension vesting enhancement with respect to death benefits for them. Messrs. DiDonato and Esposito do not participate in the Pension Plan, and as such, they are not eligible for such death benefit.</w:t>
      </w:r>
    </w:p>
    <w:p>
      <w:pPr>
        <w:sectPr>
          <w:pgSz w:w="11900" w:h="16838" w:orient="portrait"/>
          <w:cols w:equalWidth="0" w:num="1">
            <w:col w:w="10860"/>
          </w:cols>
          <w:pgMar w:left="320" w:top="459" w:right="719" w:bottom="1440" w:gutter="0" w:footer="0" w:header="0"/>
        </w:sectPr>
      </w:pPr>
    </w:p>
    <w:p>
      <w:pPr>
        <w:spacing w:after="0" w:line="34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or her employment agreement and equity or incentive awards and the Company’s compensation and incentive plans. The severance benefit payments shown in the table and discussed below are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generally available to our executive officers, including the Named Executive Officers, who currently have employment agreements with the Company. The amounts due to an executive upon his or her termination of employment depend largely on the circumstances of his or her termination, as described below.</w:t>
      </w:r>
    </w:p>
    <w:p>
      <w:pPr>
        <w:spacing w:after="0" w:line="387"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387"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0860"/>
          </w:cols>
          <w:pgMar w:left="320" w:top="459" w:right="719" w:bottom="1440" w:gutter="0" w:footer="0" w:header="0"/>
          <w:type w:val="continuous"/>
        </w:sectPr>
      </w:pPr>
    </w:p>
    <w:p>
      <w:pPr>
        <w:spacing w:after="0" w:line="207"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If a change in control occurs, the awards are assumed or replaced with equivalent awards,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 Unvested Performance Shares will vest at target, any unvested RSUs (other than Career Shares) and unvested stock options that were granted less than 12 months prior to the Named Executive Officer’s termination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employment will vest on a pro rata basis. Vested stock options will remain exercisable for 60 days post-termination.</w:t>
      </w:r>
    </w:p>
    <w:p>
      <w:pPr>
        <w:spacing w:after="0" w:line="87"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None of our Named Executive Officers is a party to an employment agreement containing a provision which would 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275"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w:t>
      </w:r>
    </w:p>
    <w:p>
      <w:pPr>
        <w:sectPr>
          <w:pgSz w:w="11900" w:h="16838" w:orient="portrait"/>
          <w:cols w:equalWidth="0" w:num="1">
            <w:col w:w="10860"/>
          </w:cols>
          <w:pgMar w:left="320" w:top="459" w:right="719" w:bottom="1440" w:gutter="0" w:footer="0" w:header="0"/>
          <w:type w:val="continuous"/>
        </w:sectPr>
      </w:pPr>
    </w:p>
    <w:p>
      <w:pPr>
        <w:spacing w:after="0" w:line="207"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60"/>
        <w:spacing w:after="0" w:line="249" w:lineRule="auto"/>
        <w:rPr>
          <w:sz w:val="20"/>
          <w:szCs w:val="20"/>
          <w:color w:val="auto"/>
        </w:rPr>
      </w:pPr>
      <w:r>
        <w:rPr>
          <w:rFonts w:ascii="Arial" w:cs="Arial" w:eastAsia="Arial" w:hAnsi="Arial"/>
          <w:sz w:val="16"/>
          <w:szCs w:val="16"/>
          <w:color w:val="auto"/>
        </w:rPr>
        <w:t>through the date of termination, plus all other amounts owed under any compensation or benefit plans, including a bonus pro-rated for the portion of the performance period occurring prior to the date of termination. If the executive executes a release relating to his or her employment, he will also receive a lump sum payment equal to two times the sum of his or her</w:t>
      </w:r>
    </w:p>
    <w:p>
      <w:pPr>
        <w:spacing w:after="0" w:line="200" w:lineRule="exact"/>
        <w:rPr>
          <w:sz w:val="20"/>
          <w:szCs w:val="20"/>
          <w:color w:val="auto"/>
        </w:rPr>
      </w:pPr>
    </w:p>
    <w:p>
      <w:pPr>
        <w:sectPr>
          <w:pgSz w:w="11900" w:h="16838" w:orient="portrait"/>
          <w:cols w:equalWidth="0" w:num="2">
            <w:col w:w="5260" w:space="460"/>
            <w:col w:w="5140"/>
          </w:cols>
          <w:pgMar w:left="320" w:top="459" w:right="719" w:bottom="1440" w:gutter="0" w:footer="0" w:header="0"/>
          <w:type w:val="continuous"/>
        </w:sectPr>
      </w:pPr>
    </w:p>
    <w:p>
      <w:pPr>
        <w:spacing w:after="0" w:line="35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61</w:t>
      </w:r>
    </w:p>
    <w:p>
      <w:pPr>
        <w:sectPr>
          <w:pgSz w:w="11900" w:h="16838" w:orient="portrait"/>
          <w:cols w:equalWidth="0" w:num="1">
            <w:col w:w="10860"/>
          </w:cols>
          <w:pgMar w:left="320" w:top="459" w:right="7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47" w:lineRule="exact"/>
        <w:rPr>
          <w:sz w:val="20"/>
          <w:szCs w:val="20"/>
          <w:color w:val="auto"/>
        </w:rPr>
      </w:pPr>
    </w:p>
    <w:p>
      <w:pPr>
        <w:ind w:left="660" w:right="20"/>
        <w:spacing w:after="0" w:line="260" w:lineRule="auto"/>
        <w:rPr>
          <w:sz w:val="20"/>
          <w:szCs w:val="20"/>
          <w:color w:val="auto"/>
        </w:rPr>
      </w:pPr>
      <w:r>
        <w:rPr>
          <w:rFonts w:ascii="Arial" w:cs="Arial" w:eastAsia="Arial" w:hAnsi="Arial"/>
          <w:sz w:val="16"/>
          <w:szCs w:val="16"/>
          <w:color w:val="auto"/>
        </w:rPr>
        <w:t>annual base salary rate and annual target bonus amount, each as in effect as of the termination date.</w:t>
      </w:r>
    </w:p>
    <w:p>
      <w:pPr>
        <w:spacing w:after="0" w:line="8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In the event of an involuntary termination for any reason other than cause, or by the executive for good reason, the award agreements under the LTSIP provide that (i) all unvested RSUs (other than Career Shares) and stock options that were granted at least 12 months prior to the termination of employment become vested in their entirety, (ii) all unvested RSUs (other than Career Shares) and stock options that were granted less than 12 months prior to the termination of employment vest on a pro rata basis, and (iii) a pro rata amount of Performance Shares may be earned through the termination date if actual performance during the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period meets the pre-established performance requirements. Each Named Executive Officer’s employment agreement provides more favorable treatment than items (i) and (ii) in the foregoing sentence, and instead, any unvested awards that vest based on the passage of time would immediately vest in their entirety upon a termination by the Named Executive Officer for good reason or by the Company for incapacity or other than for cause. In addition, executives would receive all dividend equivalents with interest associated with the accelerated RSUs and any Performance Shares earned at the time of vesting. Vested stock options will remain exercisable for 60 days post-termination.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-2188845</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04" w:lineRule="exact"/>
        <w:rPr>
          <w:sz w:val="20"/>
          <w:szCs w:val="20"/>
          <w:color w:val="auto"/>
        </w:rPr>
      </w:pPr>
    </w:p>
    <w:p>
      <w:pPr>
        <w:sectPr>
          <w:pgSz w:w="11900" w:h="16838" w:orient="portrait"/>
          <w:cols w:equalWidth="0" w:num="2">
            <w:col w:w="5400" w:space="320"/>
            <w:col w:w="4820"/>
          </w:cols>
          <w:pgMar w:left="320" w:top="459" w:right="1039" w:bottom="1440" w:gutter="0" w:footer="0" w:header="0"/>
        </w:sect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and stock option awards. The executive will be entitled to receive the shares underlying the RSUs, and will be entitled to exercise the portion of any stock option, in each case, that would have vested if the date of termination had been 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 Each vested stock option will remain exercisable until its normal expiration date.</w:t>
      </w:r>
    </w:p>
    <w:p>
      <w:pPr>
        <w:spacing w:after="0" w:line="580" w:lineRule="exact"/>
        <w:rPr>
          <w:sz w:val="20"/>
          <w:szCs w:val="20"/>
          <w:color w:val="auto"/>
        </w:rPr>
      </w:pPr>
    </w:p>
    <w:p>
      <w:pPr>
        <w:sectPr>
          <w:pgSz w:w="11900" w:h="16838" w:orient="portrait"/>
          <w:cols w:equalWidth="0" w:num="2">
            <w:col w:w="5340" w:space="380"/>
            <w:col w:w="4820"/>
          </w:cols>
          <w:pgMar w:left="320" w:top="459" w:right="103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Voluntary Termination (or for “Cause”)</w:t>
      </w:r>
    </w:p>
    <w:p>
      <w:pPr>
        <w:sectPr>
          <w:pgSz w:w="11900" w:h="16838" w:orient="portrait"/>
          <w:cols w:equalWidth="0" w:num="1">
            <w:col w:w="10540"/>
          </w:cols>
          <w:pgMar w:left="320" w:top="459" w:right="1039" w:bottom="1440" w:gutter="0" w:footer="0" w:header="0"/>
          <w:type w:val="continuous"/>
        </w:sectPr>
      </w:pPr>
    </w:p>
    <w:p>
      <w:pPr>
        <w:spacing w:after="0" w:line="20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or her termination. If an executive terminates voluntarily and has not attained a combined number of age and years of service of at least 65, with a minimum age of 55 and minimum service of five years, he will be entitled to receive all of the shares underlying his or her vested RSUs and associated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dividend equivalents with interest and will be entitled to exercise any then-vested stock options for 60 days post-termination, but all unvested RSUs and Performance Shares and any associated dividend equivalents with interest, and any unvested stock options, will be forfeited. If an executive is terminated for cause, he will forfeit all RSUs, stock options, and Performance Shares along with any associated dividend equivalents with interest (if applicable).</w:t>
      </w:r>
    </w:p>
    <w:p>
      <w:pPr>
        <w:spacing w:after="0" w:line="580" w:lineRule="exact"/>
        <w:rPr>
          <w:sz w:val="20"/>
          <w:szCs w:val="20"/>
          <w:color w:val="auto"/>
        </w:rPr>
      </w:pPr>
    </w:p>
    <w:p>
      <w:pPr>
        <w:sectPr>
          <w:pgSz w:w="11900" w:h="16838" w:orient="portrait"/>
          <w:cols w:equalWidth="0" w:num="2">
            <w:col w:w="5380" w:space="340"/>
            <w:col w:w="4820"/>
          </w:cols>
          <w:pgMar w:left="320" w:top="459" w:right="1039" w:bottom="1440" w:gutter="0" w:footer="0" w:header="0"/>
          <w:type w:val="continuous"/>
        </w:sectPr>
      </w:pP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9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The executive will also receive compensation payable under the Company’s disability and medical plans. In the event of the executive’s termination for disability, all unvested RSUs and stock options become vested in their entirety upon termination and a pro rata amount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 Each vested stock option will remain exercisable until 12 months following the termination of employment.</w:t>
      </w:r>
    </w:p>
    <w:p>
      <w:pPr>
        <w:spacing w:after="0" w:line="390" w:lineRule="exact"/>
        <w:rPr>
          <w:sz w:val="20"/>
          <w:szCs w:val="20"/>
          <w:color w:val="auto"/>
        </w:rPr>
      </w:pPr>
    </w:p>
    <w:p>
      <w:pPr>
        <w:sectPr>
          <w:pgSz w:w="11900" w:h="16838" w:orient="portrait"/>
          <w:cols w:equalWidth="0" w:num="2">
            <w:col w:w="5420" w:space="300"/>
            <w:col w:w="4820"/>
          </w:cols>
          <w:pgMar w:left="320" w:top="459" w:right="1039" w:bottom="1440" w:gutter="0" w:footer="0" w:header="0"/>
          <w:type w:val="continuous"/>
        </w:sectPr>
      </w:pP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196"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to the Career Share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age 62 or the date that the executive attains a combined number of age</w:t>
      </w:r>
    </w:p>
    <w:p>
      <w:pPr>
        <w:spacing w:after="0" w:line="200" w:lineRule="exact"/>
        <w:rPr>
          <w:sz w:val="20"/>
          <w:szCs w:val="20"/>
          <w:color w:val="auto"/>
        </w:rPr>
      </w:pPr>
    </w:p>
    <w:p>
      <w:pPr>
        <w:sectPr>
          <w:pgSz w:w="11900" w:h="16838" w:orient="portrait"/>
          <w:cols w:equalWidth="0" w:num="2">
            <w:col w:w="5020" w:space="700"/>
            <w:col w:w="4820"/>
          </w:cols>
          <w:pgMar w:left="320" w:top="459" w:right="1039" w:bottom="1440" w:gutter="0" w:footer="0" w:header="0"/>
          <w:type w:val="continuous"/>
        </w:sectPr>
      </w:pPr>
    </w:p>
    <w:p>
      <w:pPr>
        <w:spacing w:after="0" w:line="319" w:lineRule="exact"/>
        <w:rPr>
          <w:sz w:val="20"/>
          <w:szCs w:val="20"/>
          <w:color w:val="auto"/>
        </w:rPr>
      </w:pPr>
    </w:p>
    <w:p>
      <w:pPr>
        <w:ind w:left="780" w:hanging="393"/>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any Career Shares will continue to vest as originally scheduled, subject to achievement of any applicable performance goals for the Performance-Based Career Shares.</w:t>
      </w:r>
    </w:p>
    <w:p>
      <w:pPr>
        <w:spacing w:after="0" w:line="98" w:lineRule="exact"/>
        <w:rPr>
          <w:sz w:val="20"/>
          <w:szCs w:val="20"/>
          <w:color w:val="auto"/>
        </w:rPr>
      </w:pPr>
    </w:p>
    <w:p>
      <w:pPr>
        <w:ind w:left="660" w:right="100"/>
        <w:spacing w:after="0" w:line="246"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w:t>
      </w:r>
    </w:p>
    <w:p>
      <w:pPr>
        <w:spacing w:after="0" w:line="1" w:lineRule="exact"/>
        <w:rPr>
          <w:sz w:val="20"/>
          <w:szCs w:val="20"/>
          <w:color w:val="auto"/>
        </w:rPr>
      </w:pPr>
    </w:p>
    <w:p>
      <w:pPr>
        <w:ind w:left="660" w:right="40" w:firstLine="9"/>
        <w:spacing w:after="0" w:line="249" w:lineRule="auto"/>
        <w:tabs>
          <w:tab w:leader="none" w:pos="88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vesting date. If the executive terminates due to a qualifying retirement, the underlying shares of common stock for the vested Career Shares are not distributed until the earlier of (i) age 62 (or such later vesting date) or (ii) three years after the executive’s qualifying retirement. If the executive has attained a combined number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97"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Unvested Career Shares become vested (subject to achievement of any applicable performance goals)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579"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96" w:lineRule="exact"/>
        <w:rPr>
          <w:sz w:val="20"/>
          <w:szCs w:val="20"/>
          <w:color w:val="auto"/>
        </w:rPr>
      </w:pPr>
    </w:p>
    <w:p>
      <w:pPr>
        <w:ind w:left="660" w:right="120"/>
        <w:spacing w:after="0" w:line="248" w:lineRule="auto"/>
        <w:rPr>
          <w:sz w:val="20"/>
          <w:szCs w:val="20"/>
          <w:color w:val="auto"/>
        </w:rPr>
      </w:pPr>
      <w:r>
        <w:rPr>
          <w:rFonts w:ascii="Arial" w:cs="Arial" w:eastAsia="Arial" w:hAnsi="Arial"/>
          <w:sz w:val="16"/>
          <w:szCs w:val="16"/>
          <w:color w:val="auto"/>
        </w:rPr>
        <w:t>Following the death of the executive, we will pay to his or her estate or designated beneficiary a pro rata portion of any bonus earned prior to the date of death. In the event of the executive’s death, all unvested RSUs and stock options become vested in their entirety and a pro rata amount of Performance Shares may be earned through the date of death if actual performance during the performance period meets the</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96" w:lineRule="exact"/>
        <w:rPr>
          <w:sz w:val="20"/>
          <w:szCs w:val="20"/>
          <w:color w:val="auto"/>
        </w:rPr>
      </w:pPr>
    </w:p>
    <w:p>
      <w:pPr>
        <w:ind w:left="660" w:right="140"/>
        <w:spacing w:after="0" w:line="260" w:lineRule="auto"/>
        <w:rPr>
          <w:sz w:val="20"/>
          <w:szCs w:val="20"/>
          <w:color w:val="auto"/>
        </w:rPr>
      </w:pPr>
      <w:r>
        <w:rPr>
          <w:rFonts w:ascii="Arial" w:cs="Arial" w:eastAsia="Arial" w:hAnsi="Arial"/>
          <w:sz w:val="16"/>
          <w:szCs w:val="16"/>
          <w:color w:val="auto"/>
        </w:rPr>
        <w:t>Each executive who has entered into an employment agreement with the Company is obligated to:</w:t>
      </w:r>
    </w:p>
    <w:p>
      <w:pPr>
        <w:spacing w:after="0" w:line="101" w:lineRule="exact"/>
        <w:rPr>
          <w:sz w:val="20"/>
          <w:szCs w:val="20"/>
          <w:color w:val="auto"/>
        </w:rPr>
      </w:pPr>
    </w:p>
    <w:p>
      <w:pPr>
        <w:ind w:left="860" w:hanging="191"/>
        <w:spacing w:after="0" w:line="260" w:lineRule="auto"/>
        <w:tabs>
          <w:tab w:leader="none" w:pos="8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100" w:lineRule="exact"/>
        <w:rPr>
          <w:rFonts w:ascii="Arial" w:cs="Arial" w:eastAsia="Arial" w:hAnsi="Arial"/>
          <w:sz w:val="16"/>
          <w:szCs w:val="16"/>
          <w:color w:val="auto"/>
        </w:rPr>
      </w:pPr>
    </w:p>
    <w:p>
      <w:pPr>
        <w:ind w:left="860" w:right="40" w:hanging="191"/>
        <w:spacing w:after="0" w:line="250" w:lineRule="auto"/>
        <w:tabs>
          <w:tab w:leader="none" w:pos="8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08" w:lineRule="exact"/>
        <w:rPr>
          <w:rFonts w:ascii="Arial" w:cs="Arial" w:eastAsia="Arial" w:hAnsi="Arial"/>
          <w:sz w:val="16"/>
          <w:szCs w:val="16"/>
          <w:color w:val="auto"/>
        </w:rPr>
      </w:pPr>
    </w:p>
    <w:p>
      <w:pPr>
        <w:ind w:left="860" w:right="400" w:hanging="191"/>
        <w:spacing w:after="0" w:line="260" w:lineRule="auto"/>
        <w:tabs>
          <w:tab w:leader="none" w:pos="8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440"/>
        <w:spacing w:after="0" w:line="249" w:lineRule="auto"/>
        <w:rPr>
          <w:sz w:val="20"/>
          <w:szCs w:val="20"/>
          <w:color w:val="auto"/>
        </w:rPr>
      </w:pPr>
      <w:r>
        <w:rPr>
          <w:rFonts w:ascii="Arial" w:cs="Arial" w:eastAsia="Arial" w:hAnsi="Arial"/>
          <w:sz w:val="16"/>
          <w:szCs w:val="16"/>
          <w:color w:val="auto"/>
        </w:rPr>
        <w:t>pre-established performance requirements. In addition, the estate or designated beneficiary would receive all dividend equivalents with interest associated with the accelerated RSUs and any Performance Shares earned at the time of vesting. Each vested stock option will remain exercisable until 12 months following the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0" w:right="300"/>
        <w:spacing w:after="0" w:line="253" w:lineRule="auto"/>
        <w:rPr>
          <w:sz w:val="20"/>
          <w:szCs w:val="20"/>
          <w:color w:val="auto"/>
        </w:rPr>
      </w:pPr>
      <w:r>
        <w:rPr>
          <w:rFonts w:ascii="Arial" w:cs="Arial" w:eastAsia="Arial" w:hAnsi="Arial"/>
          <w:sz w:val="16"/>
          <w:szCs w:val="16"/>
          <w:color w:val="auto"/>
        </w:rPr>
        <w:t>his or her employment (applies only in the case of termination by the Company without “cause” or by the executive for “good reason”);</w:t>
      </w:r>
    </w:p>
    <w:p>
      <w:pPr>
        <w:spacing w:after="0" w:line="107" w:lineRule="exact"/>
        <w:rPr>
          <w:sz w:val="20"/>
          <w:szCs w:val="20"/>
          <w:color w:val="auto"/>
        </w:rPr>
      </w:pPr>
    </w:p>
    <w:p>
      <w:pPr>
        <w:ind w:left="200" w:right="980" w:hanging="197"/>
        <w:spacing w:after="0" w:line="260" w:lineRule="auto"/>
        <w:tabs>
          <w:tab w:leader="none" w:pos="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or her possession;</w:t>
      </w:r>
    </w:p>
    <w:p>
      <w:pPr>
        <w:spacing w:after="0" w:line="100" w:lineRule="exact"/>
        <w:rPr>
          <w:rFonts w:ascii="Arial" w:cs="Arial" w:eastAsia="Arial" w:hAnsi="Arial"/>
          <w:sz w:val="16"/>
          <w:szCs w:val="16"/>
          <w:color w:val="auto"/>
        </w:rPr>
      </w:pPr>
    </w:p>
    <w:p>
      <w:pPr>
        <w:jc w:val="both"/>
        <w:ind w:left="200" w:right="460" w:hanging="197"/>
        <w:spacing w:after="0" w:line="253" w:lineRule="auto"/>
        <w:tabs>
          <w:tab w:leader="none" w:pos="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or her employment; and</w:t>
      </w:r>
    </w:p>
    <w:p>
      <w:pPr>
        <w:spacing w:after="0" w:line="106" w:lineRule="exact"/>
        <w:rPr>
          <w:rFonts w:ascii="Arial" w:cs="Arial" w:eastAsia="Arial" w:hAnsi="Arial"/>
          <w:sz w:val="16"/>
          <w:szCs w:val="16"/>
          <w:color w:val="auto"/>
        </w:rPr>
      </w:pPr>
    </w:p>
    <w:p>
      <w:pPr>
        <w:ind w:left="200" w:right="960" w:hanging="197"/>
        <w:spacing w:after="0" w:line="260" w:lineRule="auto"/>
        <w:tabs>
          <w:tab w:leader="none" w:pos="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389"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3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w:t>
      </w:r>
    </w:p>
    <w:p>
      <w:pPr>
        <w:spacing w:after="0" w:line="200" w:lineRule="exact"/>
        <w:rPr>
          <w:sz w:val="20"/>
          <w:szCs w:val="20"/>
          <w:color w:val="auto"/>
        </w:rPr>
      </w:pPr>
    </w:p>
    <w:p>
      <w:pPr>
        <w:sectPr>
          <w:pgSz w:w="11900" w:h="16838" w:orient="portrait"/>
          <w:cols w:equalWidth="0" w:num="2">
            <w:col w:w="5240" w:space="480"/>
            <w:col w:w="5140"/>
          </w:cols>
          <w:pgMar w:left="320" w:top="459" w:right="719" w:bottom="1440" w:gutter="0" w:footer="0" w:header="0"/>
          <w:type w:val="continuous"/>
        </w:sectPr>
      </w:pPr>
    </w:p>
    <w:p>
      <w:pPr>
        <w:spacing w:after="0" w:line="36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63</w:t>
      </w:r>
    </w:p>
    <w:p>
      <w:pPr>
        <w:sectPr>
          <w:pgSz w:w="11900" w:h="16838" w:orient="portrait"/>
          <w:cols w:equalWidth="0" w:num="1">
            <w:col w:w="10860"/>
          </w:cols>
          <w:pgMar w:left="320" w:top="459" w:right="7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78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12858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ectPr>
          <w:pgSz w:w="11900" w:h="16838" w:orient="portrait"/>
          <w:cols w:equalWidth="0" w:num="1">
            <w:col w:w="10540"/>
          </w:cols>
          <w:pgMar w:left="320" w:top="459" w:right="1039" w:bottom="1440" w:gutter="0" w:footer="0" w:header="0"/>
        </w:sectPr>
      </w:pPr>
    </w:p>
    <w:p>
      <w:pPr>
        <w:spacing w:after="0" w:line="367" w:lineRule="exact"/>
        <w:rPr>
          <w:sz w:val="20"/>
          <w:szCs w:val="20"/>
          <w:color w:val="auto"/>
        </w:rPr>
      </w:pPr>
    </w:p>
    <w:p>
      <w:pPr>
        <w:ind w:left="660" w:right="400"/>
        <w:spacing w:after="0" w:line="251" w:lineRule="auto"/>
        <w:rPr>
          <w:sz w:val="20"/>
          <w:szCs w:val="20"/>
          <w:color w:val="auto"/>
        </w:rPr>
      </w:pPr>
      <w:r>
        <w:rPr>
          <w:rFonts w:ascii="Arial" w:cs="Arial" w:eastAsia="Arial" w:hAnsi="Arial"/>
          <w:sz w:val="16"/>
          <w:szCs w:val="16"/>
          <w:color w:val="auto"/>
        </w:rPr>
        <w:t>our employee compensation policies and practices are not reasonably likely to have a material adverse effect on the Company. In reaching these conclusions, we considered the attributes of all of our programs, including:</w:t>
      </w:r>
    </w:p>
    <w:p>
      <w:pPr>
        <w:spacing w:after="0" w:line="108" w:lineRule="exact"/>
        <w:rPr>
          <w:sz w:val="20"/>
          <w:szCs w:val="20"/>
          <w:color w:val="auto"/>
        </w:rPr>
      </w:pPr>
    </w:p>
    <w:p>
      <w:pPr>
        <w:ind w:left="860" w:hanging="191"/>
        <w:spacing w:after="0" w:line="257" w:lineRule="auto"/>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294" w:lineRule="exact"/>
        <w:rPr>
          <w:rFonts w:ascii="Arial" w:cs="Arial" w:eastAsia="Arial" w:hAnsi="Arial"/>
          <w:sz w:val="16"/>
          <w:szCs w:val="16"/>
          <w:color w:val="auto"/>
        </w:rPr>
      </w:pPr>
    </w:p>
    <w:p>
      <w:pPr>
        <w:ind w:left="860" w:hanging="191"/>
        <w:spacing w:after="0" w:line="260" w:lineRule="auto"/>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review of market data and competitive practices for elements of executive compensation;</w:t>
      </w:r>
    </w:p>
    <w:p>
      <w:pPr>
        <w:spacing w:after="0" w:line="100" w:lineRule="exact"/>
        <w:rPr>
          <w:rFonts w:ascii="Arial" w:cs="Arial" w:eastAsia="Arial" w:hAnsi="Arial"/>
          <w:sz w:val="16"/>
          <w:szCs w:val="16"/>
          <w:color w:val="auto"/>
        </w:rPr>
      </w:pPr>
    </w:p>
    <w:p>
      <w:pPr>
        <w:ind w:left="860" w:hanging="191"/>
        <w:spacing w:after="0" w:line="253" w:lineRule="auto"/>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metrics and are correlated to total stockholder returns;</w:t>
      </w:r>
    </w:p>
    <w:p>
      <w:pPr>
        <w:spacing w:after="0" w:line="106" w:lineRule="exact"/>
        <w:rPr>
          <w:rFonts w:ascii="Arial" w:cs="Arial" w:eastAsia="Arial" w:hAnsi="Arial"/>
          <w:sz w:val="16"/>
          <w:szCs w:val="16"/>
          <w:color w:val="auto"/>
        </w:rPr>
      </w:pPr>
    </w:p>
    <w:p>
      <w:pPr>
        <w:ind w:left="860" w:right="300" w:hanging="191"/>
        <w:spacing w:after="0" w:line="253" w:lineRule="auto"/>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alignment of annual and long-term award objectives to ensure that both types of awards encourage consistent behaviors and sustainable performance results;</w:t>
      </w:r>
    </w:p>
    <w:p>
      <w:pPr>
        <w:spacing w:after="0" w:line="106" w:lineRule="exact"/>
        <w:rPr>
          <w:rFonts w:ascii="Arial" w:cs="Arial" w:eastAsia="Arial" w:hAnsi="Arial"/>
          <w:sz w:val="16"/>
          <w:szCs w:val="16"/>
          <w:color w:val="auto"/>
        </w:rPr>
      </w:pPr>
    </w:p>
    <w:p>
      <w:pPr>
        <w:ind w:left="860" w:right="20" w:hanging="191"/>
        <w:spacing w:after="0" w:line="260" w:lineRule="auto"/>
        <w:tabs>
          <w:tab w:leader="none" w:pos="8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balanced mix of performance measures for incentive awards (Adjusted Operating Income, Cumulative Adjusted</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auto"/>
        </w:rPr>
        <w:t>Pre-Tax Income, Relative TSR, total liquidity and backlog) that encourage value creation, retention and stock price appreciation; and</w:t>
      </w:r>
    </w:p>
    <w:p>
      <w:pPr>
        <w:spacing w:after="0" w:line="107" w:lineRule="exact"/>
        <w:rPr>
          <w:sz w:val="20"/>
          <w:szCs w:val="20"/>
          <w:color w:val="auto"/>
        </w:rPr>
      </w:pPr>
    </w:p>
    <w:p>
      <w:pPr>
        <w:jc w:val="both"/>
        <w:ind w:left="200" w:right="40" w:hanging="197"/>
        <w:spacing w:after="0" w:line="253" w:lineRule="auto"/>
        <w:tabs>
          <w:tab w:leader="none" w:pos="2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long history of pay outcomes aligning to our performance with incentive opportunities and payouts varying commensurate with our financial and TSR performance results.</w:t>
      </w:r>
    </w:p>
    <w:p>
      <w:pPr>
        <w:spacing w:after="0" w:line="9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1156" w:lineRule="exact"/>
        <w:rPr>
          <w:sz w:val="20"/>
          <w:szCs w:val="20"/>
          <w:color w:val="auto"/>
        </w:rPr>
      </w:pPr>
    </w:p>
    <w:p>
      <w:pPr>
        <w:sectPr>
          <w:pgSz w:w="11900" w:h="16838" w:orient="portrait"/>
          <w:cols w:equalWidth="0" w:num="2">
            <w:col w:w="5380" w:space="340"/>
            <w:col w:w="4820"/>
          </w:cols>
          <w:pgMar w:left="320" w:top="459" w:right="1039" w:bottom="1440" w:gutter="0" w:footer="0" w:header="0"/>
          <w:type w:val="continuous"/>
        </w:sectPr>
      </w:pPr>
    </w:p>
    <w:p>
      <w:pPr>
        <w:spacing w:after="0" w:line="14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40"/>
          </w:cols>
          <w:pgMar w:left="320" w:top="459" w:right="1039" w:bottom="1440" w:gutter="0" w:footer="0" w:header="0"/>
          <w:type w:val="continuous"/>
        </w:sectPr>
      </w:pPr>
    </w:p>
    <w:p>
      <w:pPr>
        <w:spacing w:after="0" w:line="342" w:lineRule="exact"/>
        <w:rPr>
          <w:sz w:val="20"/>
          <w:szCs w:val="20"/>
          <w:color w:val="auto"/>
        </w:rPr>
      </w:pPr>
    </w:p>
    <w:p>
      <w:pPr>
        <w:ind w:left="660" w:right="120"/>
        <w:spacing w:after="0" w:line="249"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Raymond E. Scott, our President and CEO in 2020.</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2020, our last completed fiscal year:</w:t>
      </w:r>
    </w:p>
    <w:p>
      <w:pPr>
        <w:spacing w:after="0" w:line="127" w:lineRule="exact"/>
        <w:rPr>
          <w:sz w:val="20"/>
          <w:szCs w:val="20"/>
          <w:color w:val="auto"/>
        </w:rPr>
      </w:pPr>
    </w:p>
    <w:p>
      <w:pPr>
        <w:ind w:left="860" w:right="80" w:hanging="191"/>
        <w:spacing w:after="0" w:line="260" w:lineRule="auto"/>
        <w:tabs>
          <w:tab w:leader="none" w:pos="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the Company (other than our CEO) was $9,046; and</w:t>
      </w:r>
    </w:p>
    <w:p>
      <w:pPr>
        <w:spacing w:after="0" w:line="100" w:lineRule="exact"/>
        <w:rPr>
          <w:rFonts w:ascii="Arial" w:cs="Arial" w:eastAsia="Arial" w:hAnsi="Arial"/>
          <w:sz w:val="16"/>
          <w:szCs w:val="16"/>
          <w:color w:val="auto"/>
        </w:rPr>
      </w:pPr>
    </w:p>
    <w:p>
      <w:pPr>
        <w:ind w:left="860" w:hanging="191"/>
        <w:spacing w:after="0"/>
        <w:tabs>
          <w:tab w:leader="none" w:pos="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annual total compensation of our CEO was $14,714,769.</w:t>
      </w:r>
    </w:p>
    <w:p>
      <w:pPr>
        <w:spacing w:after="0" w:line="113" w:lineRule="exact"/>
        <w:rPr>
          <w:sz w:val="20"/>
          <w:szCs w:val="20"/>
          <w:color w:val="auto"/>
        </w:rPr>
      </w:pPr>
    </w:p>
    <w:p>
      <w:pPr>
        <w:ind w:left="660" w:right="160"/>
        <w:spacing w:after="0" w:line="251" w:lineRule="auto"/>
        <w:rPr>
          <w:sz w:val="20"/>
          <w:szCs w:val="20"/>
          <w:color w:val="auto"/>
        </w:rPr>
      </w:pPr>
      <w:r>
        <w:rPr>
          <w:rFonts w:ascii="Arial" w:cs="Arial" w:eastAsia="Arial" w:hAnsi="Arial"/>
          <w:sz w:val="16"/>
          <w:szCs w:val="16"/>
          <w:color w:val="auto"/>
        </w:rPr>
        <w:t>Based on this information, for 2020, our CEO’s annual total compensation was approximately 1,627 times that of the annual total compensation of the median employee (as determined below).</w:t>
      </w:r>
    </w:p>
    <w:p>
      <w:pPr>
        <w:spacing w:after="0" w:line="94"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This pay ratio is a reasonable estimate calculated in good faith, in a manner consistent with Item 402(u) of Regulation S-K, based on our payroll and employment records and the methodology described below. The Securities and Exchange Commission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ratios reported by other companies may not be comparable to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pay ratio set forth above, as other companies may have different employment and compensation practices and may utilize different methodologies, exclusions, estimates and assumptions in calculating their own pay ratios.</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identify the median of the annual total compensation of all of our employees, as well as to determine the annual total compensation of the “median employee,” the methodology and the material assumptions, adjustments and estimates that we used were as follows:</w:t>
      </w:r>
    </w:p>
    <w:p>
      <w:pPr>
        <w:spacing w:after="0" w:line="108" w:lineRule="exact"/>
        <w:rPr>
          <w:sz w:val="20"/>
          <w:szCs w:val="20"/>
          <w:color w:val="auto"/>
        </w:rPr>
      </w:pPr>
    </w:p>
    <w:p>
      <w:pPr>
        <w:ind w:left="320" w:hanging="317"/>
        <w:spacing w:after="0" w:line="249" w:lineRule="auto"/>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 determined that, as of October 1, 2020, our employee population consisted of approximately 171,000 individuals working at the Company and its consolidated subsidiaries, with approximately 10,000 of these individuals located in the United States and approximately 161,000 of these individuals located outside of the United States.</w:t>
      </w:r>
    </w:p>
    <w:p>
      <w:pPr>
        <w:spacing w:after="0" w:line="110" w:lineRule="exact"/>
        <w:rPr>
          <w:rFonts w:ascii="Arial" w:cs="Arial" w:eastAsia="Arial" w:hAnsi="Arial"/>
          <w:sz w:val="16"/>
          <w:szCs w:val="16"/>
          <w:color w:val="auto"/>
        </w:rPr>
      </w:pPr>
    </w:p>
    <w:p>
      <w:pPr>
        <w:ind w:left="320" w:right="200" w:hanging="317"/>
        <w:spacing w:after="0" w:line="251" w:lineRule="auto"/>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 employed a proportionate stratified statistical sampling methodology to help simplify the identification of the median employee. The sample size used was approximately 1,500 employees.</w:t>
      </w:r>
    </w:p>
    <w:p>
      <w:pPr>
        <w:spacing w:after="0" w:line="107" w:lineRule="exact"/>
        <w:rPr>
          <w:rFonts w:ascii="Arial" w:cs="Arial" w:eastAsia="Arial" w:hAnsi="Arial"/>
          <w:sz w:val="16"/>
          <w:szCs w:val="16"/>
          <w:color w:val="auto"/>
        </w:rPr>
      </w:pPr>
    </w:p>
    <w:p>
      <w:pPr>
        <w:ind w:left="320" w:right="100" w:hanging="317"/>
        <w:spacing w:after="0" w:line="248" w:lineRule="auto"/>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 utilized 2020 base pay as our consistently applied compensation measure to identify the median employee from our employee population, which we applied to all employees included in our analysis. We did not make any cost of living adjustments in identifying the median employee. Using this methodology, we determined that the estimated median employee was an hourly employee located outside of the United States.</w:t>
      </w:r>
    </w:p>
    <w:p>
      <w:pPr>
        <w:spacing w:after="0" w:line="200" w:lineRule="exact"/>
        <w:rPr>
          <w:sz w:val="20"/>
          <w:szCs w:val="20"/>
          <w:color w:val="auto"/>
        </w:rPr>
      </w:pPr>
    </w:p>
    <w:p>
      <w:pPr>
        <w:sectPr>
          <w:pgSz w:w="11900" w:h="16838" w:orient="portrait"/>
          <w:cols w:equalWidth="0" w:num="2">
            <w:col w:w="5400" w:space="320"/>
            <w:col w:w="4820"/>
          </w:cols>
          <w:pgMar w:left="320" w:top="459" w:right="1039" w:bottom="1440" w:gutter="0" w:footer="0" w:header="0"/>
          <w:type w:val="continuous"/>
        </w:sectPr>
      </w:pPr>
    </w:p>
    <w:p>
      <w:pPr>
        <w:spacing w:after="0" w:line="347" w:lineRule="exact"/>
        <w:rPr>
          <w:sz w:val="20"/>
          <w:szCs w:val="20"/>
          <w:color w:val="auto"/>
        </w:rPr>
      </w:pPr>
    </w:p>
    <w:p>
      <w:pPr>
        <w:ind w:left="780" w:hanging="393"/>
        <w:spacing w:after="0"/>
        <w:tabs>
          <w:tab w:leader="none" w:pos="7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58420</wp:posOffset>
            </wp:positionV>
            <wp:extent cx="1405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1000" w:hanging="331"/>
        <w:spacing w:after="0" w:line="250"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the annual total compensation of the median employee, we identified and calculated the elements of such employee’s compensation for 2020 in accordance with the requirements of Item 402(c)(2)(x) of Regulation S-K, resulting in annual total compensation of $9,046.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left="317" w:right="320" w:hanging="317"/>
        <w:spacing w:after="0" w:line="250" w:lineRule="auto"/>
        <w:tabs>
          <w:tab w:leader="none" w:pos="31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(column (j)) of our 2020 Summary Compensation Table included in this proxy statement and incorporated by reference under Item 11 of Part III of our 2020 Annual Report on Form 10-K.</w:t>
      </w:r>
    </w:p>
    <w:p>
      <w:pPr>
        <w:spacing w:after="0" w:line="200" w:lineRule="exact"/>
        <w:rPr>
          <w:sz w:val="20"/>
          <w:szCs w:val="20"/>
          <w:color w:val="auto"/>
        </w:rPr>
      </w:pPr>
    </w:p>
    <w:p>
      <w:pPr>
        <w:sectPr>
          <w:pgSz w:w="11900" w:h="16838" w:orient="portrait"/>
          <w:cols w:equalWidth="0" w:num="2">
            <w:col w:w="5380" w:space="343"/>
            <w:col w:w="5137"/>
          </w:cols>
          <w:pgMar w:left="320" w:top="459" w:right="719" w:bottom="1440" w:gutter="0" w:footer="0" w:header="0"/>
          <w:type w:val="continuous"/>
        </w:sectPr>
      </w:pPr>
    </w:p>
    <w:p>
      <w:pPr>
        <w:spacing w:after="0" w:line="15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Officer and Director 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Our executive officer and director hedging policy is set forth in full below. The Company’s Named Executive Officers, other executive officers and directors are prohibited from entering into hedging or monetization transactions involving our stock, from holding our securities in a margin account or pledging our securities as collateral for a loan.</w:t>
      </w:r>
    </w:p>
    <w:p>
      <w:pPr>
        <w:spacing w:after="0" w:line="97" w:lineRule="exact"/>
        <w:rPr>
          <w:sz w:val="20"/>
          <w:szCs w:val="20"/>
          <w:color w:val="auto"/>
        </w:rPr>
      </w:pPr>
    </w:p>
    <w:p>
      <w:pPr>
        <w:ind w:left="660" w:right="120"/>
        <w:spacing w:after="0" w:line="248" w:lineRule="auto"/>
        <w:rPr>
          <w:sz w:val="20"/>
          <w:szCs w:val="20"/>
          <w:color w:val="auto"/>
        </w:rPr>
      </w:pPr>
      <w:r>
        <w:rPr>
          <w:rFonts w:ascii="Arial" w:cs="Arial" w:eastAsia="Arial" w:hAnsi="Arial"/>
          <w:sz w:val="16"/>
          <w:szCs w:val="16"/>
          <w:u w:val="single" w:color="auto"/>
          <w:color w:val="auto"/>
        </w:rPr>
        <w:t>Hedging Transactions</w:t>
      </w:r>
      <w:r>
        <w:rPr>
          <w:rFonts w:ascii="Arial" w:cs="Arial" w:eastAsia="Arial" w:hAnsi="Arial"/>
          <w:sz w:val="16"/>
          <w:szCs w:val="16"/>
          <w:color w:val="auto"/>
        </w:rPr>
        <w:t>. Certain forms of hedging or monetization transactions, such as prepaid variable forward contracts, equity swaps, collars and exchange funds allow an officer or director to lock in much of the value of his or her stock holdings, often in exchange for all or part of the potential for upside appreciation in the stock. These transactions allow the officer or director to continue to own the covered securities, but without the full risks and rewards of ownership. When that occurs, the officer or director may no longer have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the same objectives as our other stockholders. For this reason, our Named Executive Officers, other executive officers and directors are prohibited from entering into hedging or monetization transactions involving our stock.</w:t>
      </w:r>
    </w:p>
    <w:p>
      <w:pPr>
        <w:spacing w:after="0" w:line="94"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u w:val="single" w:color="auto"/>
          <w:color w:val="auto"/>
        </w:rPr>
        <w:t>Margin Accounts and Pledges</w:t>
      </w:r>
      <w:r>
        <w:rPr>
          <w:rFonts w:ascii="Arial" w:cs="Arial" w:eastAsia="Arial" w:hAnsi="Arial"/>
          <w:sz w:val="16"/>
          <w:szCs w:val="16"/>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our securities, our Named Executive Officers, other executive officers and directors are prohibited from holding our securities in a margin account or pledging our securities as collateral for a loan.</w:t>
      </w:r>
    </w:p>
    <w:p>
      <w:pPr>
        <w:spacing w:after="0" w:line="387"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34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65</w:t>
      </w:r>
    </w:p>
    <w:p>
      <w:pPr>
        <w:sectPr>
          <w:pgSz w:w="11900" w:h="16838" w:orient="portrait"/>
          <w:cols w:equalWidth="0" w:num="1">
            <w:col w:w="10860"/>
          </w:cols>
          <w:pgMar w:left="320" w:top="459" w:right="7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420"/>
        <w:spacing w:after="0" w:line="274" w:lineRule="auto"/>
        <w:rPr>
          <w:sz w:val="20"/>
          <w:szCs w:val="20"/>
          <w:color w:val="auto"/>
        </w:rPr>
      </w:pPr>
      <w:r>
        <w:rPr>
          <w:rFonts w:ascii="Arial" w:cs="Arial" w:eastAsia="Arial" w:hAnsi="Arial"/>
          <w:sz w:val="40"/>
          <w:szCs w:val="40"/>
          <w:b w:val="1"/>
          <w:bCs w:val="1"/>
          <w:color w:val="E2231A"/>
        </w:rPr>
        <w:t>COMPENSATION COMMITTEE INTERLOCKS AND INSIDER PARTICIPATION</w:t>
      </w:r>
    </w:p>
    <w:p>
      <w:pPr>
        <w:sectPr>
          <w:pgSz w:w="11900" w:h="16838" w:orient="portrait"/>
          <w:cols w:equalWidth="0" w:num="1">
            <w:col w:w="10420"/>
          </w:cols>
          <w:pgMar w:left="320" w:top="459" w:right="1159" w:bottom="1440" w:gutter="0" w:footer="0" w:header="0"/>
        </w:sectPr>
      </w:pPr>
    </w:p>
    <w:p>
      <w:pPr>
        <w:spacing w:after="0" w:line="210"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The following persons served on our Compensation Committee during all or a portion of 2020: Dr. Jepsen, Ms. Ligocki and Messrs. Cheng, Capo and Mallett. No member of the Compensation Committee was, during the fiscal year ended December 31, 2020, an officer, former officer or employee of the Company or any of our subsidiaries. None of our executive officers served as a member of:</w:t>
      </w:r>
    </w:p>
    <w:p>
      <w:pPr>
        <w:spacing w:after="0" w:line="114" w:lineRule="exact"/>
        <w:rPr>
          <w:sz w:val="20"/>
          <w:szCs w:val="20"/>
          <w:color w:val="auto"/>
        </w:rPr>
      </w:pPr>
    </w:p>
    <w:p>
      <w:pPr>
        <w:ind w:left="860" w:hanging="191"/>
        <w:spacing w:after="0" w:line="253" w:lineRule="auto"/>
        <w:tabs>
          <w:tab w:leader="none" w:pos="8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97" w:right="120" w:hanging="197"/>
        <w:spacing w:after="0" w:line="253" w:lineRule="auto"/>
        <w:tabs>
          <w:tab w:leader="none" w:pos="19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board of directors of another entity in which one of the executive officers of such entity served on our Compensation Committee; or</w:t>
      </w:r>
    </w:p>
    <w:p>
      <w:pPr>
        <w:spacing w:after="0" w:line="106" w:lineRule="exact"/>
        <w:rPr>
          <w:rFonts w:ascii="Arial" w:cs="Arial" w:eastAsia="Arial" w:hAnsi="Arial"/>
          <w:sz w:val="16"/>
          <w:szCs w:val="16"/>
          <w:color w:val="auto"/>
        </w:rPr>
      </w:pPr>
    </w:p>
    <w:p>
      <w:pPr>
        <w:ind w:left="197" w:hanging="197"/>
        <w:spacing w:after="0" w:line="253" w:lineRule="auto"/>
        <w:tabs>
          <w:tab w:leader="none" w:pos="19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955" w:lineRule="exact"/>
        <w:rPr>
          <w:sz w:val="20"/>
          <w:szCs w:val="20"/>
          <w:color w:val="auto"/>
        </w:rPr>
      </w:pPr>
    </w:p>
    <w:p>
      <w:pPr>
        <w:sectPr>
          <w:pgSz w:w="11900" w:h="16838" w:orient="portrait"/>
          <w:cols w:equalWidth="0" w:num="2">
            <w:col w:w="5280" w:space="443"/>
            <w:col w:w="4697"/>
          </w:cols>
          <w:pgMar w:left="320" w:top="459" w:right="1159" w:bottom="1440" w:gutter="0" w:footer="0" w:header="0"/>
          <w:type w:val="continuous"/>
        </w:sectPr>
      </w:pPr>
    </w:p>
    <w:p>
      <w:pPr>
        <w:spacing w:after="0" w:line="354" w:lineRule="exact"/>
        <w:rPr>
          <w:sz w:val="20"/>
          <w:szCs w:val="20"/>
          <w:color w:val="auto"/>
        </w:rPr>
      </w:pPr>
    </w:p>
    <w:p>
      <w:pPr>
        <w:ind w:left="780" w:hanging="393"/>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20"/>
          </w:cols>
          <w:pgMar w:left="320" w:top="459" w:right="11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39"/>
          <w:szCs w:val="39"/>
          <w:b w:val="1"/>
          <w:bCs w:val="1"/>
          <w:color w:val="E2231A"/>
        </w:rPr>
        <w:t>COMPENSATION COMMITTEE REPORT</w:t>
      </w:r>
    </w:p>
    <w:p>
      <w:pPr>
        <w:sectPr>
          <w:pgSz w:w="11900" w:h="16838" w:orient="portrait"/>
          <w:cols w:equalWidth="0" w:num="1">
            <w:col w:w="10860"/>
          </w:cols>
          <w:pgMar w:left="320" w:top="459" w:right="719" w:bottom="1440" w:gutter="0" w:footer="0" w:header="0"/>
        </w:sectPr>
      </w:pPr>
    </w:p>
    <w:p>
      <w:pPr>
        <w:spacing w:after="0" w:line="35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286"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Compensation Committee recommended to the Board that the Compensation Discussion and Analysis be included in this proxy statement and the Annual Report on Form 10-K for the year ended December 31, 2020.</w:t>
      </w:r>
    </w:p>
    <w:p>
      <w:pPr>
        <w:spacing w:after="0" w:line="94"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This Report is submitted by Dr. Jepsen, Mses. Ligocki and Lewis and Messrs. Cheng and Capo, being all of the current members of the Compensation Committee.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Thomas P. Capo,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Mary Lou Jepsen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Patricia L. Lewis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Kathleen A. Ligocki</w:t>
      </w:r>
    </w:p>
    <w:p>
      <w:pPr>
        <w:spacing w:after="0" w:line="245"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35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67</w:t>
      </w:r>
    </w:p>
    <w:p>
      <w:pPr>
        <w:sectPr>
          <w:pgSz w:w="11900" w:h="16838" w:orient="portrait"/>
          <w:cols w:equalWidth="0" w:num="1">
            <w:col w:w="10860"/>
          </w:cols>
          <w:pgMar w:left="320" w:top="459" w:right="71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60"/>
        <w:spacing w:after="0"/>
        <w:rPr>
          <w:sz w:val="20"/>
          <w:szCs w:val="20"/>
          <w:color w:val="auto"/>
        </w:rPr>
      </w:pPr>
      <w:r>
        <w:rPr>
          <w:rFonts w:ascii="Arial" w:cs="Arial" w:eastAsia="Arial" w:hAnsi="Arial"/>
          <w:sz w:val="40"/>
          <w:szCs w:val="40"/>
          <w:b w:val="1"/>
          <w:bCs w:val="1"/>
          <w:color w:val="E2231A"/>
        </w:rPr>
        <w:t>AUDIT COMMITTEE REPORT</w:t>
      </w:r>
    </w:p>
    <w:p>
      <w:pPr>
        <w:sectPr>
          <w:pgSz w:w="11900" w:h="16838" w:orient="portrait"/>
          <w:cols w:equalWidth="0" w:num="1">
            <w:col w:w="10580"/>
          </w:cols>
          <w:pgMar w:left="320" w:top="459" w:right="999" w:bottom="1440" w:gutter="0" w:footer="0" w:header="0"/>
        </w:sectPr>
      </w:pPr>
    </w:p>
    <w:p>
      <w:pPr>
        <w:spacing w:after="0" w:line="342"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97"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103" w:lineRule="exact"/>
        <w:rPr>
          <w:sz w:val="20"/>
          <w:szCs w:val="20"/>
          <w:color w:val="auto"/>
        </w:rPr>
      </w:pPr>
    </w:p>
    <w:p>
      <w:pPr>
        <w:ind w:left="660" w:right="60"/>
        <w:spacing w:after="0" w:line="247" w:lineRule="auto"/>
        <w:rPr>
          <w:sz w:val="20"/>
          <w:szCs w:val="20"/>
          <w:color w:val="auto"/>
        </w:rPr>
      </w:pPr>
      <w:r>
        <w:rPr>
          <w:rFonts w:ascii="Arial" w:cs="Arial" w:eastAsia="Arial" w:hAnsi="Arial"/>
          <w:sz w:val="16"/>
          <w:szCs w:val="16"/>
          <w:color w:val="auto"/>
        </w:rPr>
        <w:t>The Audit Committee is currently comprised of Messrs. Foster, Capo, Cheng, Halverson and Mallett, each a non-employee director, and operates under a written charter that was last amended by our Board in November 2020. A copy of the current charter is available on our website (www.lear.com)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103"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2020, as well as the report of management, for the year ended December 31, 2020, regarding the Company’s internal control over financial reporting required by Section 404 of the Sarbanes-Oxley Act.</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2020.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 Company Accounting Oversight Board (United States) (PCAOB) reports on Ernst &amp; Young LLP and tenure as the Company’s auditors, including the benefits of having a long-tenured auditor.</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99"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PCAOB, including PCAOB Auditing Standard No. 16, </w:t>
      </w:r>
      <w:r>
        <w:rPr>
          <w:rFonts w:ascii="Arial" w:cs="Arial" w:eastAsia="Arial" w:hAnsi="Arial"/>
          <w:sz w:val="16"/>
          <w:szCs w:val="16"/>
          <w:i w:val="1"/>
          <w:iCs w:val="1"/>
          <w:color w:val="auto"/>
        </w:rPr>
        <w:t>Communications With Audit Committees,</w:t>
      </w:r>
    </w:p>
    <w:p>
      <w:pPr>
        <w:spacing w:after="0" w:line="200" w:lineRule="exact"/>
        <w:rPr>
          <w:sz w:val="20"/>
          <w:szCs w:val="20"/>
          <w:color w:val="auto"/>
        </w:rPr>
      </w:pPr>
    </w:p>
    <w:p>
      <w:pPr>
        <w:sectPr>
          <w:pgSz w:w="11900" w:h="16838" w:orient="portrait"/>
          <w:cols w:equalWidth="0" w:num="2">
            <w:col w:w="5380" w:space="340"/>
            <w:col w:w="4860"/>
          </w:cols>
          <w:pgMar w:left="320" w:top="459" w:right="999" w:bottom="1440" w:gutter="0" w:footer="0" w:header="0"/>
          <w:type w:val="continuous"/>
        </w:sectPr>
      </w:pPr>
    </w:p>
    <w:p>
      <w:pPr>
        <w:spacing w:after="0" w:line="358" w:lineRule="exact"/>
        <w:rPr>
          <w:sz w:val="20"/>
          <w:szCs w:val="20"/>
          <w:color w:val="auto"/>
        </w:rPr>
      </w:pPr>
    </w:p>
    <w:p>
      <w:pPr>
        <w:ind w:left="780" w:hanging="393"/>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58420</wp:posOffset>
            </wp:positionV>
            <wp:extent cx="13798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rules of the SEC, and other 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98" w:lineRule="exact"/>
        <w:rPr>
          <w:sz w:val="20"/>
          <w:szCs w:val="20"/>
          <w:color w:val="auto"/>
        </w:rPr>
      </w:pPr>
    </w:p>
    <w:p>
      <w:pPr>
        <w:ind w:left="660" w:right="80"/>
        <w:spacing w:after="0" w:line="253"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Company’s audited consolidated financial statements be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auto"/>
        </w:rPr>
        <w:t>included in the Company’s Annual Report on Form 10-K for the fiscal year ended December 31, 2020, filed with the SEC on February 10, 2021.</w:t>
      </w:r>
    </w:p>
    <w:p>
      <w:pPr>
        <w:spacing w:after="0" w:line="93" w:lineRule="exact"/>
        <w:rPr>
          <w:sz w:val="20"/>
          <w:szCs w:val="20"/>
          <w:color w:val="auto"/>
        </w:rPr>
      </w:pPr>
    </w:p>
    <w:p>
      <w:pPr>
        <w:ind w:right="840"/>
        <w:spacing w:after="0" w:line="253" w:lineRule="auto"/>
        <w:rPr>
          <w:sz w:val="20"/>
          <w:szCs w:val="20"/>
          <w:color w:val="auto"/>
        </w:rPr>
      </w:pPr>
      <w:r>
        <w:rPr>
          <w:rFonts w:ascii="Arial" w:cs="Arial" w:eastAsia="Arial" w:hAnsi="Arial"/>
          <w:sz w:val="16"/>
          <w:szCs w:val="16"/>
          <w:color w:val="auto"/>
        </w:rPr>
        <w:t>This Report is submitted by Messrs. Foster, Capo, Cheng, Halverson and Mallett, being all of the members of the Audit Committee.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Thomas P. Capo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Bradley M. Halverson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Conrad L. Mallett, Jr.</w:t>
      </w:r>
    </w:p>
    <w:p>
      <w:pPr>
        <w:spacing w:after="0" w:line="200" w:lineRule="exact"/>
        <w:rPr>
          <w:sz w:val="20"/>
          <w:szCs w:val="20"/>
          <w:color w:val="auto"/>
        </w:rPr>
      </w:pPr>
    </w:p>
    <w:p>
      <w:pPr>
        <w:spacing w:after="0" w:line="37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69</w:t>
      </w:r>
    </w:p>
    <w:p>
      <w:pPr>
        <w:sectPr>
          <w:pgSz w:w="11900" w:h="16838" w:orient="portrait"/>
          <w:cols w:equalWidth="0" w:num="2">
            <w:col w:w="5420" w:space="300"/>
            <w:col w:w="5140"/>
          </w:cols>
          <w:pgMar w:left="320" w:top="459" w:right="71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39"/>
          <w:szCs w:val="39"/>
          <w:b w:val="1"/>
          <w:bCs w:val="1"/>
          <w:color w:val="E2231A"/>
        </w:rPr>
        <w:t>FEES OF INDEPENDENT ACCOUNTANTS</w:t>
      </w:r>
    </w:p>
    <w:p>
      <w:pPr>
        <w:sectPr>
          <w:pgSz w:w="11900" w:h="16838" w:orient="portrait"/>
          <w:cols w:equalWidth="0" w:num="1">
            <w:col w:w="10580"/>
          </w:cols>
          <w:pgMar w:left="320" w:top="459" w:right="999" w:bottom="1440" w:gutter="0" w:footer="0" w:header="0"/>
        </w:sectPr>
      </w:pPr>
    </w:p>
    <w:p>
      <w:pPr>
        <w:spacing w:after="0" w:line="353" w:lineRule="exact"/>
        <w:rPr>
          <w:sz w:val="20"/>
          <w:szCs w:val="20"/>
          <w:color w:val="auto"/>
        </w:rPr>
      </w:pPr>
    </w:p>
    <w:p>
      <w:pPr>
        <w:ind w:left="660" w:right="800"/>
        <w:spacing w:after="0" w:line="246" w:lineRule="auto"/>
        <w:rPr>
          <w:sz w:val="20"/>
          <w:szCs w:val="20"/>
          <w:color w:val="auto"/>
        </w:rPr>
      </w:pPr>
      <w:r>
        <w:rPr>
          <w:rFonts w:ascii="Arial" w:cs="Arial" w:eastAsia="Arial" w:hAnsi="Arial"/>
          <w:sz w:val="16"/>
          <w:szCs w:val="16"/>
          <w:color w:val="auto"/>
        </w:rPr>
        <w:t>In addition to retaining Ernst &amp; Young LLP to audit our consolidated financial statements for 2020, we retained</w:t>
      </w:r>
    </w:p>
    <w:p>
      <w:pPr>
        <w:spacing w:after="0" w:line="1"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Ernst &amp;Young LLP, as well as other accounting firms, to provide tax and other advisory services in 2020.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2020 and 2019.</w:t>
      </w:r>
    </w:p>
    <w:p>
      <w:pPr>
        <w:spacing w:after="0" w:line="98"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0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388"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2020 and 2019, we retained Ernst &amp; Young LLP to provide services in the following categories and amounts (in thousands):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474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E2231A"/>
              </w:rPr>
              <w:t>2020</w:t>
            </w: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E2231A"/>
              </w:rPr>
              <w:t>2019</w:t>
            </w:r>
          </w:p>
        </w:tc>
      </w:tr>
      <w:tr>
        <w:trPr>
          <w:trHeight w:val="183"/>
        </w:trPr>
        <w:tc>
          <w:tcPr>
            <w:tcW w:w="4740" w:type="dxa"/>
            <w:vAlign w:val="bottom"/>
            <w:shd w:val="clear" w:color="auto" w:fill="FCE9E8"/>
          </w:tcPr>
          <w:p>
            <w:pPr>
              <w:ind w:left="80"/>
              <w:spacing w:after="0" w:line="183"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4040" w:type="dxa"/>
            <w:vAlign w:val="bottom"/>
            <w:shd w:val="clear" w:color="auto" w:fill="FCE9E8"/>
          </w:tcPr>
          <w:p>
            <w:pPr>
              <w:jc w:val="right"/>
              <w:ind w:right="161"/>
              <w:spacing w:after="0" w:line="183" w:lineRule="exact"/>
              <w:rPr>
                <w:sz w:val="20"/>
                <w:szCs w:val="20"/>
                <w:color w:val="auto"/>
              </w:rPr>
            </w:pPr>
            <w:r>
              <w:rPr>
                <w:rFonts w:ascii="Arial" w:cs="Arial" w:eastAsia="Arial" w:hAnsi="Arial"/>
                <w:sz w:val="16"/>
                <w:szCs w:val="16"/>
                <w:color w:val="auto"/>
              </w:rPr>
              <w:t>$10,996</w:t>
            </w:r>
          </w:p>
        </w:tc>
        <w:tc>
          <w:tcPr>
            <w:tcW w:w="1140" w:type="dxa"/>
            <w:vAlign w:val="bottom"/>
            <w:shd w:val="clear" w:color="auto" w:fill="FCE9E8"/>
          </w:tcPr>
          <w:p>
            <w:pPr>
              <w:jc w:val="right"/>
              <w:ind w:right="221"/>
              <w:spacing w:after="0" w:line="183" w:lineRule="exact"/>
              <w:rPr>
                <w:sz w:val="20"/>
                <w:szCs w:val="20"/>
                <w:color w:val="auto"/>
              </w:rPr>
            </w:pPr>
            <w:r>
              <w:rPr>
                <w:rFonts w:ascii="Arial" w:cs="Arial" w:eastAsia="Arial" w:hAnsi="Arial"/>
                <w:sz w:val="16"/>
                <w:szCs w:val="16"/>
                <w:color w:val="auto"/>
              </w:rPr>
              <w:t>$10,934</w:t>
            </w:r>
          </w:p>
        </w:tc>
      </w:tr>
      <w:tr>
        <w:trPr>
          <w:trHeight w:val="189"/>
        </w:trPr>
        <w:tc>
          <w:tcPr>
            <w:tcW w:w="4740" w:type="dxa"/>
            <w:vAlign w:val="bottom"/>
          </w:tcPr>
          <w:p>
            <w:pPr>
              <w:ind w:left="8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040" w:type="dxa"/>
            <w:vAlign w:val="bottom"/>
          </w:tcPr>
          <w:p>
            <w:pPr>
              <w:jc w:val="right"/>
              <w:ind w:right="161"/>
              <w:spacing w:after="0"/>
              <w:rPr>
                <w:sz w:val="20"/>
                <w:szCs w:val="20"/>
                <w:color w:val="auto"/>
              </w:rPr>
            </w:pPr>
            <w:r>
              <w:rPr>
                <w:rFonts w:ascii="Arial" w:cs="Arial" w:eastAsia="Arial" w:hAnsi="Arial"/>
                <w:sz w:val="16"/>
                <w:szCs w:val="16"/>
                <w:color w:val="auto"/>
              </w:rPr>
              <w:t>530</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989</w:t>
            </w:r>
          </w:p>
        </w:tc>
      </w:tr>
      <w:tr>
        <w:trPr>
          <w:trHeight w:val="189"/>
        </w:trPr>
        <w:tc>
          <w:tcPr>
            <w:tcW w:w="4740" w:type="dxa"/>
            <w:vAlign w:val="bottom"/>
            <w:shd w:val="clear" w:color="auto" w:fill="FCE9E8"/>
          </w:tcPr>
          <w:p>
            <w:pPr>
              <w:ind w:left="8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040" w:type="dxa"/>
            <w:vAlign w:val="bottom"/>
            <w:shd w:val="clear" w:color="auto" w:fill="FCE9E8"/>
          </w:tcPr>
          <w:p>
            <w:pPr>
              <w:jc w:val="right"/>
              <w:ind w:right="161"/>
              <w:spacing w:after="0"/>
              <w:rPr>
                <w:sz w:val="20"/>
                <w:szCs w:val="20"/>
                <w:color w:val="auto"/>
              </w:rPr>
            </w:pPr>
            <w:r>
              <w:rPr>
                <w:rFonts w:ascii="Arial" w:cs="Arial" w:eastAsia="Arial" w:hAnsi="Arial"/>
                <w:sz w:val="16"/>
                <w:szCs w:val="16"/>
                <w:color w:val="auto"/>
              </w:rPr>
              <w:t>2,367</w:t>
            </w:r>
          </w:p>
        </w:tc>
        <w:tc>
          <w:tcPr>
            <w:tcW w:w="114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2,939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right="20" w:hanging="291"/>
        <w:spacing w:after="0" w:line="199" w:lineRule="auto"/>
        <w:tabs>
          <w:tab w:leader="none" w:pos="96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111" w:lineRule="exact"/>
        <w:rPr>
          <w:rFonts w:ascii="Arial" w:cs="Arial" w:eastAsia="Arial" w:hAnsi="Arial"/>
          <w:sz w:val="24"/>
          <w:szCs w:val="24"/>
          <w:color w:val="auto"/>
          <w:vertAlign w:val="superscript"/>
        </w:rPr>
      </w:pPr>
    </w:p>
    <w:p>
      <w:pPr>
        <w:ind w:left="960" w:right="560" w:hanging="291"/>
        <w:spacing w:after="0" w:line="183" w:lineRule="auto"/>
        <w:tabs>
          <w:tab w:leader="none" w:pos="96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services related to the audits of employee benefit plans and agreed-upon procedures related to certain due diligence services in connection with acquisitions and divestitures.</w:t>
      </w:r>
    </w:p>
    <w:p>
      <w:pPr>
        <w:spacing w:after="0" w:line="8" w:lineRule="exact"/>
        <w:rPr>
          <w:rFonts w:ascii="Arial" w:cs="Arial" w:eastAsia="Arial" w:hAnsi="Arial"/>
          <w:sz w:val="24"/>
          <w:szCs w:val="24"/>
          <w:color w:val="auto"/>
          <w:vertAlign w:val="superscript"/>
        </w:rPr>
      </w:pPr>
    </w:p>
    <w:p>
      <w:pPr>
        <w:ind w:left="960" w:hanging="291"/>
        <w:spacing w:after="0"/>
        <w:tabs>
          <w:tab w:leader="none" w:pos="96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Tax fees include services related to tax compliance, tax advice and tax planning.</w:t>
      </w:r>
    </w:p>
    <w:p>
      <w:pPr>
        <w:spacing w:after="0" w:line="200" w:lineRule="exact"/>
        <w:rPr>
          <w:sz w:val="20"/>
          <w:szCs w:val="20"/>
          <w:color w:val="auto"/>
        </w:rPr>
      </w:pPr>
    </w:p>
    <w:p>
      <w:pPr>
        <w:spacing w:after="0" w:line="208" w:lineRule="exact"/>
        <w:rPr>
          <w:sz w:val="20"/>
          <w:szCs w:val="20"/>
          <w:color w:val="auto"/>
        </w:rPr>
      </w:pPr>
    </w:p>
    <w:p>
      <w:pPr>
        <w:ind w:left="780" w:hanging="393"/>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840"/>
        <w:spacing w:after="0" w:line="274" w:lineRule="auto"/>
        <w:rPr>
          <w:sz w:val="20"/>
          <w:szCs w:val="20"/>
          <w:color w:val="auto"/>
        </w:rPr>
      </w:pPr>
      <w:r>
        <w:rPr>
          <w:rFonts w:ascii="Arial" w:cs="Arial" w:eastAsia="Arial" w:hAnsi="Arial"/>
          <w:sz w:val="40"/>
          <w:szCs w:val="40"/>
          <w:b w:val="1"/>
          <w:bCs w:val="1"/>
          <w:color w:val="E2231A"/>
        </w:rPr>
        <w:t>CERTAIN RELATIONSHIPS AND RELATED PARTY TRANSACTIONS</w:t>
      </w:r>
    </w:p>
    <w:p>
      <w:pPr>
        <w:sectPr>
          <w:pgSz w:w="11900" w:h="16838" w:orient="portrait"/>
          <w:cols w:equalWidth="0" w:num="1">
            <w:col w:w="10860"/>
          </w:cols>
          <w:pgMar w:left="320" w:top="459" w:right="719" w:bottom="1440" w:gutter="0" w:footer="0" w:header="0"/>
        </w:sect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established a written policy that has been broadly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disseminated within the Company regarding (i) transactions with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parties and (ii) the employment of immediate family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members of directors and executive officers. This policy assists us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identifying, reviewing, monitoring and, as necessary, approving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transactions with related parties and also provides for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identification, monitoring and review of employment of immediate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family members of directors and executive officers by our human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resources department. The policy requires that any transaction, 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series of transactions, involving related parties in excess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$120,000, whether undertaken in or outside the ordinary course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be presented to the Nominating Committee. When a</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has a material direct or indirect interest in any such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or series of transactions, in excess of $120,000 that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otherwise meet the disclosure requirements of Regulation S-K,</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approval of the Nominating Committee must be obtained.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policy further provides that all such employment decisions should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made in accordance with the Company’s policies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procedures and that directors and executive officers must not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seek to improperly influence any employment decisions regarding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their immediate family members.</w:t>
      </w:r>
    </w:p>
    <w:p>
      <w:pPr>
        <w:spacing w:after="0" w:line="113" w:lineRule="exact"/>
        <w:rPr>
          <w:sz w:val="20"/>
          <w:szCs w:val="20"/>
          <w:color w:val="auto"/>
        </w:rPr>
      </w:pPr>
    </w:p>
    <w:p>
      <w:pPr>
        <w:ind w:left="660" w:right="20"/>
        <w:spacing w:after="0" w:line="247"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2"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vendors identified as related party vendors in North America are processed through a centralized payables system. At least annually, the list of related parties is updated by directors, members of senior management and certain other employees.</w:t>
      </w:r>
    </w:p>
    <w:p>
      <w:pPr>
        <w:spacing w:after="0" w:line="94" w:lineRule="exact"/>
        <w:rPr>
          <w:sz w:val="20"/>
          <w:szCs w:val="20"/>
          <w:color w:val="auto"/>
        </w:rPr>
      </w:pPr>
    </w:p>
    <w:p>
      <w:pPr>
        <w:ind w:right="320"/>
        <w:spacing w:after="0" w:line="247"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Committee.</w:t>
      </w:r>
    </w:p>
    <w:p>
      <w:pPr>
        <w:spacing w:after="0" w:line="103"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auto"/>
        </w:rPr>
        <w:t>At least annually, the Chief Accounting Officer reports to the Vice President of Internal Audit on related party relationships, including those with customers, as well as the amount of business performed between the Company and each related party year-to-date and for the preceding fiscal year. At least annually, the Vice President of Internal Audit prepares an audit plan for reviewing significant transactions with related parties and prepares a report on such audit plan and the results for the Nominating Committee. The Chief Accounting Officer, General Counsel and Vice President of Internal Audit meet at least annually to confirm the adequate monitoring and reporting of related party transactions. The Nominating Committee also receives a summary of all significant relationships with related parties at least annually.</w:t>
      </w:r>
    </w:p>
    <w:p>
      <w:pPr>
        <w:spacing w:after="0" w:line="103"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In connection with any required Nominating Committee approval, a member of our senior management must represent to the Nominating Committee that the related party at issue has been held to the same standards as unaffiliated third parties. Nominating Committee members having (or having an immediate family member that has) a direct or indirect interest in the transaction must recuse themselves from consideration of the transaction.</w:t>
      </w:r>
    </w:p>
    <w:p>
      <w:pPr>
        <w:spacing w:after="0" w:line="100"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These procedures resulted in the approval by the Nominating Committee of the employment relationship set forth below under “— Certain Transactions.”</w:t>
      </w:r>
    </w:p>
    <w:p>
      <w:pPr>
        <w:spacing w:after="0" w:line="547"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35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71</w:t>
      </w:r>
    </w:p>
    <w:p>
      <w:pPr>
        <w:sectPr>
          <w:pgSz w:w="11900" w:h="16838" w:orient="portrait"/>
          <w:cols w:equalWidth="0" w:num="1">
            <w:col w:w="10860"/>
          </w:cols>
          <w:pgMar w:left="320" w:top="459" w:right="7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9146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47"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employee, or a member of the employee’s family, receives improper personal benefits as a result of such individual’s position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-1235710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400" w:space="320"/>
            <w:col w:w="4860"/>
          </w:cols>
          <w:pgMar w:left="320" w:top="459" w:right="99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Mark Mueller, a Principal Engineer for the Company, is a brother-in-law of Raymond E. Scott, a director of the Company and the Company’s President and Chief Executive Officer. In 2020, the Company paid Mr. Mueller approximately $162,000,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which included bonus payments and other standard benefit arrangements. The compensation paid to Mr. Mueller was approved in accordance with the Company’s standard compensation practices for similarly situated employees.</w:t>
      </w:r>
    </w:p>
    <w:p>
      <w:pPr>
        <w:spacing w:after="0" w:line="200" w:lineRule="exact"/>
        <w:rPr>
          <w:sz w:val="20"/>
          <w:szCs w:val="20"/>
          <w:color w:val="auto"/>
        </w:rPr>
      </w:pPr>
    </w:p>
    <w:p>
      <w:pPr>
        <w:sectPr>
          <w:pgSz w:w="11900" w:h="16838" w:orient="portrait"/>
          <w:cols w:equalWidth="0" w:num="2">
            <w:col w:w="5140" w:space="580"/>
            <w:col w:w="4860"/>
          </w:cols>
          <w:pgMar w:left="320" w:top="459" w:right="999" w:bottom="1440" w:gutter="0" w:footer="0" w:header="0"/>
          <w:type w:val="continuous"/>
        </w:sectPr>
      </w:pPr>
    </w:p>
    <w:p>
      <w:pPr>
        <w:spacing w:after="0" w:line="342" w:lineRule="exact"/>
        <w:rPr>
          <w:sz w:val="20"/>
          <w:szCs w:val="20"/>
          <w:color w:val="auto"/>
        </w:rPr>
      </w:pPr>
    </w:p>
    <w:p>
      <w:pPr>
        <w:ind w:left="780" w:hanging="393"/>
        <w:spacing w:after="0"/>
        <w:tabs>
          <w:tab w:leader="none" w:pos="7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800"/>
        <w:spacing w:after="0" w:line="274" w:lineRule="auto"/>
        <w:rPr>
          <w:sz w:val="20"/>
          <w:szCs w:val="20"/>
          <w:color w:val="auto"/>
        </w:rPr>
      </w:pPr>
      <w:r>
        <w:rPr>
          <w:rFonts w:ascii="Arial" w:cs="Arial" w:eastAsia="Arial" w:hAnsi="Arial"/>
          <w:sz w:val="39"/>
          <w:szCs w:val="39"/>
          <w:b w:val="1"/>
          <w:bCs w:val="1"/>
          <w:color w:val="E2231A"/>
        </w:rPr>
        <w:t>RATIFICATION OF RETENTION OF INDEPENDENT REGISTERED PUBLIC ACCOUNTING FIRM</w:t>
      </w:r>
    </w:p>
    <w:p>
      <w:pPr>
        <w:sectPr>
          <w:pgSz w:w="11900" w:h="16838" w:orient="portrait"/>
          <w:cols w:equalWidth="0" w:num="1">
            <w:col w:w="10860"/>
          </w:cols>
          <w:pgMar w:left="320" w:top="459" w:right="71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2)</w:t>
      </w: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2021.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440"/>
        <w:spacing w:after="0" w:line="250" w:lineRule="auto"/>
        <w:rPr>
          <w:sz w:val="20"/>
          <w:szCs w:val="20"/>
          <w:color w:val="auto"/>
        </w:rPr>
      </w:pPr>
      <w:r>
        <w:rPr>
          <w:rFonts w:ascii="Arial" w:cs="Arial" w:eastAsia="Arial" w:hAnsi="Arial"/>
          <w:sz w:val="16"/>
          <w:szCs w:val="16"/>
          <w:color w:val="auto"/>
        </w:rPr>
        <w:t>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75"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b w:val="1"/>
          <w:bCs w:val="1"/>
          <w:color w:val="auto"/>
        </w:rPr>
        <w:t>THE BOARD UNANIMOUSLY RECOMMENDS A VOTE “FOR” RATIFICATION OF THE RETENTION OF ERNST &amp; YOUNG LLP AS OUR INDEPENDENT REGISTERED PUBLIC ACCOUNTING FIRM FOR 2021.</w:t>
      </w:r>
    </w:p>
    <w:p>
      <w:pPr>
        <w:spacing w:after="0" w:line="7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342"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364"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73</w:t>
      </w:r>
    </w:p>
    <w:p>
      <w:pPr>
        <w:sectPr>
          <w:pgSz w:w="11900" w:h="16838" w:orient="portrait"/>
          <w:cols w:equalWidth="0" w:num="1">
            <w:col w:w="10860"/>
          </w:cols>
          <w:pgMar w:left="320" w:top="459" w:right="7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1300"/>
        <w:spacing w:after="0" w:line="256" w:lineRule="auto"/>
        <w:rPr>
          <w:sz w:val="20"/>
          <w:szCs w:val="20"/>
          <w:color w:val="auto"/>
        </w:rPr>
      </w:pPr>
      <w:r>
        <w:rPr>
          <w:rFonts w:ascii="Arial" w:cs="Arial" w:eastAsia="Arial" w:hAnsi="Arial"/>
          <w:sz w:val="40"/>
          <w:szCs w:val="40"/>
          <w:b w:val="1"/>
          <w:bCs w:val="1"/>
          <w:color w:val="E2231A"/>
        </w:rPr>
        <w:t>ADVISORY VOTE TO APPROVE EXECUTIVE COMPENSATION SET FORTH IN THIS PROXY STATEMENT</w:t>
      </w:r>
    </w:p>
    <w:p>
      <w:pPr>
        <w:sectPr>
          <w:pgSz w:w="11900" w:h="16838" w:orient="portrait"/>
          <w:cols w:equalWidth="0" w:num="1">
            <w:col w:w="10540"/>
          </w:cols>
          <w:pgMar w:left="320" w:top="459" w:right="1039" w:bottom="1440" w:gutter="0" w:footer="0" w:header="0"/>
        </w:sectPr>
      </w:pPr>
    </w:p>
    <w:p>
      <w:pPr>
        <w:spacing w:after="0" w:line="13"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3)</w:t>
      </w: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most recently approved by stockholders at the annual meeting of stockholders in 2017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2020, our executive compensation program and practices disclosed in our 2020 proxy statement received a favorable vote by 97% of shares voted.</w:t>
      </w:r>
    </w:p>
    <w:p>
      <w:pPr>
        <w:spacing w:after="0" w:line="103" w:lineRule="exact"/>
        <w:rPr>
          <w:sz w:val="20"/>
          <w:szCs w:val="20"/>
          <w:color w:val="auto"/>
        </w:rPr>
      </w:pPr>
    </w:p>
    <w:p>
      <w:pPr>
        <w:ind w:left="660" w:right="260"/>
        <w:spacing w:after="0" w:line="260" w:lineRule="auto"/>
        <w:rPr>
          <w:sz w:val="20"/>
          <w:szCs w:val="20"/>
          <w:color w:val="auto"/>
        </w:rPr>
      </w:pPr>
      <w:r>
        <w:rPr>
          <w:rFonts w:ascii="Arial" w:cs="Arial" w:eastAsia="Arial" w:hAnsi="Arial"/>
          <w:sz w:val="16"/>
          <w:szCs w:val="16"/>
          <w:color w:val="auto"/>
        </w:rPr>
        <w:t>Stockholders are being asked to vote on the following advisory resolution:</w:t>
      </w:r>
    </w:p>
    <w:p>
      <w:pPr>
        <w:spacing w:after="0" w:line="87"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2021 proxy statement pursuant to the compensation disclosure rules of the Securities and Exchange Commission, including the Compensation Discussion and Analysis, the 2020 Summary Compensation Table and the other related tables and disclosures.”</w:t>
      </w:r>
    </w:p>
    <w:p>
      <w:pPr>
        <w:spacing w:after="0" w:line="100" w:lineRule="exact"/>
        <w:rPr>
          <w:sz w:val="20"/>
          <w:szCs w:val="20"/>
          <w:color w:val="auto"/>
        </w:rPr>
      </w:pPr>
    </w:p>
    <w:p>
      <w:pPr>
        <w:ind w:left="660" w:right="240"/>
        <w:spacing w:after="0" w:line="24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9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THE BOARD UNANIMOUSLY RECOMMENDS A VOTE “FOR” THE ADVISORY APPROVAL OF EXECUTIVE COMPENSATION SET FORTH IN THIS PROXY STATEMENT.</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ADVISORY APPROVAL OF EXECUTIVE COMPENSATION SET FORTH IN THIS PROXY STATEMENT UNLESS STOCKHOLDERS SPECIFY A CONTRARY VOTE.</w:t>
      </w:r>
    </w:p>
    <w:p>
      <w:pPr>
        <w:spacing w:after="0" w:line="461" w:lineRule="exact"/>
        <w:rPr>
          <w:sz w:val="20"/>
          <w:szCs w:val="20"/>
          <w:color w:val="auto"/>
        </w:rPr>
      </w:pPr>
    </w:p>
    <w:p>
      <w:pPr>
        <w:sectPr>
          <w:pgSz w:w="11900" w:h="16838" w:orient="portrait"/>
          <w:cols w:equalWidth="0" w:num="2">
            <w:col w:w="5420" w:space="300"/>
            <w:col w:w="4820"/>
          </w:cols>
          <w:pgMar w:left="320" w:top="459" w:right="1039" w:bottom="1440" w:gutter="0" w:footer="0" w:header="0"/>
          <w:type w:val="continuous"/>
        </w:sectPr>
      </w:pPr>
    </w:p>
    <w:p>
      <w:pPr>
        <w:spacing w:after="0" w:line="359" w:lineRule="exact"/>
        <w:rPr>
          <w:sz w:val="20"/>
          <w:szCs w:val="20"/>
          <w:color w:val="auto"/>
        </w:rPr>
      </w:pPr>
    </w:p>
    <w:p>
      <w:pPr>
        <w:ind w:left="780" w:hanging="393"/>
        <w:spacing w:after="0"/>
        <w:tabs>
          <w:tab w:leader="none" w:pos="78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59" w:right="10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560"/>
        <w:spacing w:after="0" w:line="274" w:lineRule="auto"/>
        <w:rPr>
          <w:sz w:val="20"/>
          <w:szCs w:val="20"/>
          <w:color w:val="auto"/>
        </w:rPr>
      </w:pPr>
      <w:r>
        <w:rPr>
          <w:rFonts w:ascii="Arial" w:cs="Arial" w:eastAsia="Arial" w:hAnsi="Arial"/>
          <w:sz w:val="40"/>
          <w:szCs w:val="40"/>
          <w:b w:val="1"/>
          <w:bCs w:val="1"/>
          <w:color w:val="E2231A"/>
        </w:rPr>
        <w:t>QUESTIONS AND ANSWERS ABOUT THE ANNUAL MEETING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113" w:gutter="0" w:footer="0" w:header="0"/>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We sent you this proxy statement because the Board is soliciting your proxy to vote at the Annual Meeting to be held on May 20, 2021, at 9:00 a.m. (Eastern Time) and at any postponements or adjournments of the Annual Meeting. This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proxy statement summarizes information that is intended to assist you in making an informed vote on the proposals described in this proxy statement.</w:t>
      </w:r>
    </w:p>
    <w:p>
      <w:pPr>
        <w:spacing w:after="0" w:line="387" w:lineRule="exact"/>
        <w:rPr>
          <w:sz w:val="20"/>
          <w:szCs w:val="20"/>
          <w:color w:val="auto"/>
        </w:rPr>
      </w:pPr>
    </w:p>
    <w:p>
      <w:pPr>
        <w:sectPr>
          <w:pgSz w:w="11900" w:h="16838" w:orient="portrait"/>
          <w:cols w:equalWidth="0" w:num="2">
            <w:col w:w="5300" w:space="420"/>
            <w:col w:w="5140"/>
          </w:cols>
          <w:pgMar w:left="320" w:top="459" w:right="719" w:bottom="1113"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113"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26, 2021. On the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record date, there were 60,129,685 shares of our common stock, par value $0.01 per share, outstanding. Our common stock is the only class of voting securities outstanding.</w:t>
      </w:r>
    </w:p>
    <w:p>
      <w:pPr>
        <w:spacing w:after="0" w:line="387" w:lineRule="exact"/>
        <w:rPr>
          <w:sz w:val="20"/>
          <w:szCs w:val="20"/>
          <w:color w:val="auto"/>
        </w:rPr>
      </w:pPr>
    </w:p>
    <w:p>
      <w:pPr>
        <w:sectPr>
          <w:pgSz w:w="11900" w:h="16838" w:orient="portrait"/>
          <w:cols w:equalWidth="0" w:num="2">
            <w:col w:w="5200" w:space="520"/>
            <w:col w:w="5140"/>
          </w:cols>
          <w:pgMar w:left="320" w:top="459" w:right="719" w:bottom="1113"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113" w:gutter="0" w:footer="0" w:header="0"/>
          <w:type w:val="continuous"/>
        </w:sectPr>
      </w:pPr>
    </w:p>
    <w:p>
      <w:pPr>
        <w:spacing w:after="0" w:line="342"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360" w:space="360"/>
            <w:col w:w="5140"/>
          </w:cols>
          <w:pgMar w:left="320" w:top="459" w:right="719" w:bottom="1113" w:gutter="0" w:footer="0" w:header="0"/>
          <w:type w:val="continuous"/>
        </w:sectPr>
      </w:pPr>
    </w:p>
    <w:p>
      <w:pPr>
        <w:spacing w:after="0" w:line="13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113"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agenda for the Annual Meeting is to:</w:t>
      </w:r>
    </w:p>
    <w:p>
      <w:pPr>
        <w:spacing w:after="0" w:line="127" w:lineRule="exact"/>
        <w:rPr>
          <w:sz w:val="20"/>
          <w:szCs w:val="20"/>
          <w:color w:val="auto"/>
        </w:rPr>
      </w:pPr>
    </w:p>
    <w:p>
      <w:pPr>
        <w:ind w:left="1000" w:hanging="331"/>
        <w:spacing w:after="0"/>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elect ten directors;</w:t>
      </w:r>
    </w:p>
    <w:p>
      <w:pPr>
        <w:spacing w:after="0" w:line="126" w:lineRule="exact"/>
        <w:rPr>
          <w:rFonts w:ascii="Arial" w:cs="Arial" w:eastAsia="Arial" w:hAnsi="Arial"/>
          <w:sz w:val="16"/>
          <w:szCs w:val="16"/>
          <w:color w:val="auto"/>
        </w:rPr>
      </w:pPr>
    </w:p>
    <w:p>
      <w:pPr>
        <w:ind w:left="1000" w:hanging="331"/>
        <w:spacing w:after="0" w:line="260"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2021;</w:t>
      </w:r>
    </w:p>
    <w:p>
      <w:pPr>
        <w:spacing w:after="0" w:line="100" w:lineRule="exact"/>
        <w:rPr>
          <w:rFonts w:ascii="Arial" w:cs="Arial" w:eastAsia="Arial" w:hAnsi="Arial"/>
          <w:sz w:val="16"/>
          <w:szCs w:val="16"/>
          <w:color w:val="auto"/>
        </w:rPr>
      </w:pPr>
    </w:p>
    <w:p>
      <w:pPr>
        <w:ind w:left="1000" w:right="740" w:hanging="331"/>
        <w:spacing w:after="0" w:line="260"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 and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20" w:right="300" w:hanging="317"/>
        <w:spacing w:after="0" w:line="260" w:lineRule="auto"/>
        <w:tabs>
          <w:tab w:leader="none" w:pos="3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conduct any other business properly brought before the Annual Meeting or any adjournments or postponements thereof.</w:t>
      </w:r>
    </w:p>
    <w:p>
      <w:pPr>
        <w:spacing w:after="0" w:line="87"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274" w:lineRule="exact"/>
        <w:rPr>
          <w:sz w:val="20"/>
          <w:szCs w:val="20"/>
          <w:color w:val="auto"/>
        </w:rPr>
      </w:pPr>
    </w:p>
    <w:p>
      <w:pPr>
        <w:sectPr>
          <w:pgSz w:w="11900" w:h="16838" w:orient="portrait"/>
          <w:cols w:equalWidth="0" w:num="2">
            <w:col w:w="5300" w:space="420"/>
            <w:col w:w="5140"/>
          </w:cols>
          <w:pgMar w:left="320" w:top="459" w:right="719" w:bottom="1113" w:gutter="0" w:footer="0" w:header="0"/>
          <w:type w:val="continuous"/>
        </w:sectPr>
      </w:pPr>
    </w:p>
    <w:p>
      <w:pPr>
        <w:spacing w:after="0" w:line="14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59" w:right="719" w:bottom="1113"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w:t>
      </w:r>
    </w:p>
    <w:p>
      <w:pPr>
        <w:spacing w:after="0" w:line="107" w:lineRule="exact"/>
        <w:rPr>
          <w:sz w:val="20"/>
          <w:szCs w:val="20"/>
          <w:color w:val="auto"/>
        </w:rPr>
      </w:pPr>
    </w:p>
    <w:p>
      <w:pPr>
        <w:ind w:left="1000" w:hanging="331"/>
        <w:spacing w:after="0" w:line="286"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proxy statement;</w:t>
      </w:r>
    </w:p>
    <w:p>
      <w:pPr>
        <w:spacing w:after="0" w:line="61" w:lineRule="exact"/>
        <w:rPr>
          <w:rFonts w:ascii="Arial" w:cs="Arial" w:eastAsia="Arial" w:hAnsi="Arial"/>
          <w:sz w:val="16"/>
          <w:szCs w:val="16"/>
          <w:color w:val="auto"/>
        </w:rPr>
      </w:pPr>
    </w:p>
    <w:p>
      <w:pPr>
        <w:ind w:left="1000" w:hanging="331"/>
        <w:spacing w:after="0" w:line="266"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 as</w:t>
      </w:r>
      <w:r>
        <w:rPr>
          <w:rFonts w:ascii="Arial" w:cs="Arial" w:eastAsia="Arial" w:hAnsi="Arial"/>
          <w:sz w:val="16"/>
          <w:szCs w:val="16"/>
          <w:b w:val="1"/>
          <w:bCs w:val="1"/>
          <w:color w:val="auto"/>
        </w:rPr>
        <w:t xml:space="preserve"> </w:t>
      </w:r>
      <w:r>
        <w:rPr>
          <w:rFonts w:ascii="Arial" w:cs="Arial" w:eastAsia="Arial" w:hAnsi="Arial"/>
          <w:sz w:val="16"/>
          <w:szCs w:val="16"/>
          <w:color w:val="auto"/>
        </w:rPr>
        <w:t>our independent registered public accounting firm for 2021; and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17" w:right="740" w:hanging="317"/>
        <w:spacing w:after="0" w:line="286" w:lineRule="auto"/>
        <w:tabs>
          <w:tab w:leader="none" w:pos="317" w:val="left"/>
        </w:tabs>
        <w:numPr>
          <w:ilvl w:val="0"/>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1183" w:lineRule="exact"/>
        <w:rPr>
          <w:sz w:val="20"/>
          <w:szCs w:val="20"/>
          <w:color w:val="auto"/>
        </w:rPr>
      </w:pPr>
    </w:p>
    <w:p>
      <w:pPr>
        <w:sectPr>
          <w:pgSz w:w="11900" w:h="16838" w:orient="portrait"/>
          <w:cols w:equalWidth="0" w:num="2">
            <w:col w:w="5320" w:space="403"/>
            <w:col w:w="5137"/>
          </w:cols>
          <w:pgMar w:left="320" w:top="459" w:right="719" w:bottom="1113" w:gutter="0" w:footer="0" w:header="0"/>
          <w:type w:val="continuous"/>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22"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4900" w:type="dxa"/>
            <w:vAlign w:val="bottom"/>
            <w:gridSpan w:val="2"/>
          </w:tcPr>
          <w:p>
            <w:pPr>
              <w:spacing w:after="0"/>
              <w:rPr>
                <w:sz w:val="20"/>
                <w:szCs w:val="20"/>
                <w:color w:val="auto"/>
              </w:rPr>
            </w:pPr>
            <w:r>
              <w:rPr>
                <w:rFonts w:ascii="Arial" w:cs="Arial" w:eastAsia="Arial" w:hAnsi="Arial"/>
                <w:sz w:val="16"/>
                <w:szCs w:val="16"/>
                <w:color w:val="auto"/>
              </w:rPr>
              <w:t>If you do not request printed copies of the proxy materials by mail,</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entering the 16-digit control number included on the Notice of</w:t>
            </w: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rPr>
                <w:sz w:val="20"/>
                <w:szCs w:val="20"/>
                <w:color w:val="auto"/>
              </w:rPr>
            </w:pPr>
            <w:r>
              <w:rPr>
                <w:rFonts w:ascii="Arial" w:cs="Arial" w:eastAsia="Arial" w:hAnsi="Arial"/>
                <w:sz w:val="16"/>
                <w:szCs w:val="16"/>
                <w:color w:val="auto"/>
              </w:rPr>
              <w:t>you will receive a Notice of Internet Availability of Proxy Materials.</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Internet Availability of Proxy Materials, proxy card or voting</w:t>
            </w: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rPr>
                <w:sz w:val="20"/>
                <w:szCs w:val="20"/>
                <w:color w:val="auto"/>
              </w:rPr>
            </w:pPr>
            <w:r>
              <w:rPr>
                <w:rFonts w:ascii="Arial" w:cs="Arial" w:eastAsia="Arial" w:hAnsi="Arial"/>
                <w:sz w:val="16"/>
                <w:szCs w:val="16"/>
                <w:color w:val="auto"/>
              </w:rPr>
              <w:t>Stockholders that receive a Notice of Internet Availability of Proxy</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instructions form previously distributed; or</w:t>
            </w:r>
          </w:p>
        </w:tc>
        <w:tc>
          <w:tcPr>
            <w:tcW w:w="0" w:type="dxa"/>
            <w:vAlign w:val="bottom"/>
          </w:tcPr>
          <w:p>
            <w:pPr>
              <w:spacing w:after="0"/>
              <w:rPr>
                <w:sz w:val="1"/>
                <w:szCs w:val="1"/>
                <w:color w:val="auto"/>
              </w:rPr>
            </w:pPr>
          </w:p>
        </w:tc>
      </w:tr>
      <w:tr>
        <w:trPr>
          <w:trHeight w:val="195"/>
        </w:trPr>
        <w:tc>
          <w:tcPr>
            <w:tcW w:w="4900" w:type="dxa"/>
            <w:vAlign w:val="bottom"/>
            <w:gridSpan w:val="2"/>
          </w:tcPr>
          <w:p>
            <w:pPr>
              <w:spacing w:after="0"/>
              <w:rPr>
                <w:sz w:val="20"/>
                <w:szCs w:val="20"/>
                <w:color w:val="auto"/>
              </w:rPr>
            </w:pPr>
            <w:r>
              <w:rPr>
                <w:rFonts w:ascii="Arial" w:cs="Arial" w:eastAsia="Arial" w:hAnsi="Arial"/>
                <w:sz w:val="16"/>
                <w:szCs w:val="16"/>
                <w:color w:val="auto"/>
              </w:rPr>
              <w:t>Materials may vote via the Internet in the following ways:</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4540" w:type="dxa"/>
            <w:vAlign w:val="bottom"/>
            <w:vMerge w:val="restart"/>
          </w:tcPr>
          <w:p>
            <w:pPr>
              <w:ind w:left="140"/>
              <w:spacing w:after="0"/>
              <w:rPr>
                <w:sz w:val="20"/>
                <w:szCs w:val="20"/>
                <w:color w:val="auto"/>
              </w:rPr>
            </w:pPr>
            <w:r>
              <w:rPr>
                <w:rFonts w:ascii="Arial" w:cs="Arial" w:eastAsia="Arial" w:hAnsi="Arial"/>
                <w:sz w:val="16"/>
                <w:szCs w:val="16"/>
                <w:color w:val="auto"/>
              </w:rPr>
              <w:t>At the Annual Meeting — You may vote via the Internet at the</w:t>
            </w:r>
          </w:p>
        </w:tc>
        <w:tc>
          <w:tcPr>
            <w:tcW w:w="0" w:type="dxa"/>
            <w:vAlign w:val="bottom"/>
          </w:tcPr>
          <w:p>
            <w:pPr>
              <w:spacing w:after="0"/>
              <w:rPr>
                <w:sz w:val="1"/>
                <w:szCs w:val="1"/>
                <w:color w:val="auto"/>
              </w:rPr>
            </w:pPr>
          </w:p>
        </w:tc>
      </w:tr>
      <w:tr>
        <w:trPr>
          <w:trHeight w:val="116"/>
        </w:trPr>
        <w:tc>
          <w:tcPr>
            <w:tcW w:w="2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4680" w:type="dxa"/>
            <w:vAlign w:val="bottom"/>
          </w:tcPr>
          <w:p>
            <w:pPr>
              <w:ind w:left="160"/>
              <w:spacing w:after="0"/>
              <w:rPr>
                <w:sz w:val="20"/>
                <w:szCs w:val="20"/>
                <w:color w:val="auto"/>
              </w:rPr>
            </w:pPr>
            <w:r>
              <w:rPr>
                <w:rFonts w:ascii="Arial" w:cs="Arial" w:eastAsia="Arial" w:hAnsi="Arial"/>
                <w:sz w:val="16"/>
                <w:szCs w:val="16"/>
                <w:color w:val="auto"/>
              </w:rPr>
              <w:t>Prior to the Annual Meeting — You can vote via the Internet</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Annual Meeting by attending the live meeting at</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Arial" w:cs="Arial" w:eastAsia="Arial" w:hAnsi="Arial"/>
                <w:sz w:val="16"/>
                <w:szCs w:val="16"/>
                <w:color w:val="auto"/>
              </w:rPr>
              <w:t>by navigating to www.proxyvote.com and</w:t>
            </w: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www.virtualshareholdermeeting.com/LEA2021 and entering</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540" w:type="dxa"/>
            <w:vAlign w:val="bottom"/>
          </w:tcPr>
          <w:p>
            <w:pPr>
              <w:ind w:left="140"/>
              <w:spacing w:after="0"/>
              <w:rPr>
                <w:sz w:val="20"/>
                <w:szCs w:val="20"/>
                <w:color w:val="auto"/>
              </w:rPr>
            </w:pPr>
            <w:r>
              <w:rPr>
                <w:rFonts w:ascii="Arial" w:cs="Arial" w:eastAsia="Arial" w:hAnsi="Arial"/>
                <w:sz w:val="16"/>
                <w:szCs w:val="16"/>
                <w:color w:val="auto"/>
              </w:rPr>
              <w:t>the 16-digit control number included on the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75</w:t>
      </w:r>
    </w:p>
    <w:p>
      <w:pPr>
        <w:sectPr>
          <w:pgSz w:w="11900" w:h="16838" w:orient="portrait"/>
          <w:cols w:equalWidth="0" w:num="1">
            <w:col w:w="10860"/>
          </w:cols>
          <w:pgMar w:left="320" w:top="459" w:right="719" w:bottom="1113"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6574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47" w:lineRule="exact"/>
        <w:rPr>
          <w:sz w:val="20"/>
          <w:szCs w:val="20"/>
          <w:color w:val="auto"/>
        </w:rPr>
      </w:pPr>
    </w:p>
    <w:p>
      <w:pPr>
        <w:ind w:left="1040" w:right="160"/>
        <w:spacing w:after="0" w:line="260" w:lineRule="auto"/>
        <w:rPr>
          <w:sz w:val="20"/>
          <w:szCs w:val="20"/>
          <w:color w:val="auto"/>
        </w:rPr>
      </w:pPr>
      <w:r>
        <w:rPr>
          <w:rFonts w:ascii="Arial" w:cs="Arial" w:eastAsia="Arial" w:hAnsi="Arial"/>
          <w:sz w:val="16"/>
          <w:szCs w:val="16"/>
          <w:color w:val="auto"/>
        </w:rPr>
        <w:t>Notice of Internet Availability of Proxy Materials, proxy card or voting instructions form previously distributed.</w:t>
      </w:r>
    </w:p>
    <w:p>
      <w:pPr>
        <w:spacing w:after="0" w:line="87" w:lineRule="exact"/>
        <w:rPr>
          <w:sz w:val="20"/>
          <w:szCs w:val="20"/>
          <w:color w:val="auto"/>
        </w:rPr>
      </w:pPr>
    </w:p>
    <w:p>
      <w:pPr>
        <w:ind w:left="660" w:right="220"/>
        <w:spacing w:after="0" w:line="251" w:lineRule="auto"/>
        <w:rPr>
          <w:sz w:val="20"/>
          <w:szCs w:val="20"/>
          <w:color w:val="auto"/>
        </w:rPr>
      </w:pPr>
      <w:r>
        <w:rPr>
          <w:rFonts w:ascii="Arial" w:cs="Arial" w:eastAsia="Arial" w:hAnsi="Arial"/>
          <w:sz w:val="16"/>
          <w:szCs w:val="16"/>
          <w:color w:val="auto"/>
        </w:rPr>
        <w:t>If you request printed copies of the proxy materials by mail, you will receive a proxy card or a voting instruction form and will be able to vote in the following ways in addition to the methods of voting via the Internet described above:</w:t>
      </w:r>
    </w:p>
    <w:p>
      <w:pPr>
        <w:spacing w:after="0" w:line="108" w:lineRule="exact"/>
        <w:rPr>
          <w:sz w:val="20"/>
          <w:szCs w:val="20"/>
          <w:color w:val="auto"/>
        </w:rPr>
      </w:pPr>
    </w:p>
    <w:p>
      <w:pPr>
        <w:ind w:left="1040" w:right="220" w:hanging="371"/>
        <w:spacing w:after="0" w:line="249" w:lineRule="auto"/>
        <w:tabs>
          <w:tab w:leader="none" w:pos="10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By Telephone — You can vote by proxy by calling the toll-free number found on your proxy card or voting instruction form. You will need to use the 16-digit control number included on the proxy card to vote by telephone. The availability of telephone voting may depend on the voting process of the organization that holds your shares; or</w:t>
      </w:r>
    </w:p>
    <w:p>
      <w:pPr>
        <w:spacing w:after="0" w:line="110" w:lineRule="exact"/>
        <w:rPr>
          <w:rFonts w:ascii="Arial" w:cs="Arial" w:eastAsia="Arial" w:hAnsi="Arial"/>
          <w:sz w:val="16"/>
          <w:szCs w:val="16"/>
          <w:color w:val="auto"/>
        </w:rPr>
      </w:pPr>
    </w:p>
    <w:p>
      <w:pPr>
        <w:ind w:left="1040" w:right="180" w:hanging="371"/>
        <w:spacing w:after="0" w:line="260" w:lineRule="auto"/>
        <w:tabs>
          <w:tab w:leader="none" w:pos="10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 or voting instruction form.</w:t>
      </w:r>
    </w:p>
    <w:p>
      <w:pPr>
        <w:spacing w:after="0" w:line="87"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Telephone and Internet voting facilities will be available 24 hours a day. You may vote over the telephone or via the Internet on www.proxyvote.com until 11:59 p.m. on May 19, 2021. Even if you plan to attend the Annual Meeting,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recommend that you vote in advance of the meeting via Internet or submit your proxy or voting instructions as described above so that your vote will be counted if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-1355090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and FOR the advisory approval of executive compensation described in this proxy statement.</w:t>
      </w:r>
    </w:p>
    <w:p>
      <w:pPr>
        <w:spacing w:after="0" w:line="9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sectPr>
      </w:pPr>
    </w:p>
    <w:p>
      <w:pPr>
        <w:spacing w:after="0" w:line="155" w:lineRule="exact"/>
        <w:rPr>
          <w:sz w:val="20"/>
          <w:szCs w:val="20"/>
          <w:color w:val="auto"/>
        </w:rPr>
      </w:pPr>
    </w:p>
    <w:p>
      <w:pPr>
        <w:ind w:left="660" w:right="680"/>
        <w:spacing w:after="0" w:line="298" w:lineRule="auto"/>
        <w:rPr>
          <w:sz w:val="20"/>
          <w:szCs w:val="20"/>
          <w:color w:val="auto"/>
        </w:rPr>
      </w:pPr>
      <w:r>
        <w:rPr>
          <w:rFonts w:ascii="Arial" w:cs="Arial" w:eastAsia="Arial" w:hAnsi="Arial"/>
          <w:sz w:val="23"/>
          <w:szCs w:val="23"/>
          <w:b w:val="1"/>
          <w:bCs w:val="1"/>
          <w:color w:val="auto"/>
        </w:rPr>
        <w:t>What does it mean if I receive more than one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635</wp:posOffset>
            </wp:positionV>
            <wp:extent cx="62922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2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You may receive more than one Notice of Internet Availability of Proxy Materials, more than one e-mail or multiple proxy cards or voting instruction cards. For example, if you hold your shares in more than one brokerage account, you may receive a separate Notice of Internet Availability of Proxy Materials, a separate e-mail or a separate voting instruction card for each brokerage account in which you hold shares. If you are a stockholder of record and your shares are registered in more than one name, you may receive more than one Notice of</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Internet Availability of Proxy Materials, more than one e-mail or more than one proxy card. To vote all of your shares by proxy, you must complete, sign, date and return each proxy card and voting instruction card that you receive and vote over the Internet the shares represented by each Notice of Internet Availability of Proxy Materials that you receive (unless you have requested and received a proxy card or voting instruction card for the shares represented by one or more of those Notices of Internet Availability of Proxy Materials).</w:t>
      </w:r>
    </w:p>
    <w:p>
      <w:pPr>
        <w:spacing w:after="0" w:line="200" w:lineRule="exact"/>
        <w:rPr>
          <w:sz w:val="20"/>
          <w:szCs w:val="20"/>
          <w:color w:val="auto"/>
        </w:rPr>
      </w:pPr>
    </w:p>
    <w:p>
      <w:pPr>
        <w:sectPr>
          <w:pgSz w:w="11900" w:h="16838" w:orient="portrait"/>
          <w:cols w:equalWidth="0" w:num="2">
            <w:col w:w="5400" w:space="320"/>
            <w:col w:w="4860"/>
          </w:cols>
          <w:pgMar w:left="320" w:top="459" w:right="99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you may vote your shares electronically as described above, submit another later dated proxy by telephone or mail or submit new voting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instructions to your bank, broker, trustee or nominee. Your attendance at the Annual Meeting will not, by itself, revoke your proxy; you must vote via the Internet during the meeting to revoke your proxy.</w:t>
      </w:r>
    </w:p>
    <w:p>
      <w:pPr>
        <w:spacing w:after="0" w:line="200" w:lineRule="exact"/>
        <w:rPr>
          <w:sz w:val="20"/>
          <w:szCs w:val="20"/>
          <w:color w:val="auto"/>
        </w:rPr>
      </w:pPr>
    </w:p>
    <w:p>
      <w:pPr>
        <w:sectPr>
          <w:pgSz w:w="11900" w:h="16838" w:orient="portrait"/>
          <w:cols w:equalWidth="0" w:num="2">
            <w:col w:w="5220" w:space="500"/>
            <w:col w:w="4860"/>
          </w:cols>
          <w:pgMar w:left="320" w:top="459" w:right="999" w:bottom="1440" w:gutter="0" w:footer="0" w:header="0"/>
          <w:type w:val="continuous"/>
        </w:sectPr>
      </w:pPr>
    </w:p>
    <w:p>
      <w:pPr>
        <w:spacing w:after="0" w:line="139" w:lineRule="exact"/>
        <w:rPr>
          <w:sz w:val="20"/>
          <w:szCs w:val="20"/>
          <w:color w:val="auto"/>
        </w:rPr>
      </w:pPr>
    </w:p>
    <w:p>
      <w:pPr>
        <w:ind w:left="660" w:right="220"/>
        <w:spacing w:after="0" w:line="298" w:lineRule="auto"/>
        <w:rPr>
          <w:sz w:val="20"/>
          <w:szCs w:val="20"/>
          <w:color w:val="auto"/>
        </w:rPr>
      </w:pPr>
      <w:r>
        <w:rPr>
          <w:rFonts w:ascii="Arial" w:cs="Arial" w:eastAsia="Arial" w:hAnsi="Arial"/>
          <w:sz w:val="23"/>
          <w:szCs w:val="23"/>
          <w:b w:val="1"/>
          <w:bCs w:val="1"/>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9525</wp:posOffset>
            </wp:positionV>
            <wp:extent cx="62922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2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 election, our Bylaws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provide that any incumbent director that fails to receive a majority of votes cast shall immediately tender his or her resignation. Our Board, in a process managed by the Nominating Committee and following a recommendation by that committee, must decide whether or not to accept the tendered resignation.</w:t>
      </w:r>
    </w:p>
    <w:p>
      <w:pPr>
        <w:spacing w:after="0" w:line="572" w:lineRule="exact"/>
        <w:rPr>
          <w:sz w:val="20"/>
          <w:szCs w:val="20"/>
          <w:color w:val="auto"/>
        </w:rPr>
      </w:pPr>
    </w:p>
    <w:p>
      <w:pPr>
        <w:sectPr>
          <w:pgSz w:w="11900" w:h="16838" w:orient="portrait"/>
          <w:cols w:equalWidth="0" w:num="2">
            <w:col w:w="5340" w:space="380"/>
            <w:col w:w="4860"/>
          </w:cols>
          <w:pgMar w:left="320" w:top="459" w:right="999" w:bottom="1440" w:gutter="0" w:footer="0" w:header="0"/>
          <w:type w:val="continuous"/>
        </w:sectPr>
      </w:pPr>
    </w:p>
    <w:p>
      <w:pPr>
        <w:spacing w:after="0" w:line="361" w:lineRule="exact"/>
        <w:rPr>
          <w:sz w:val="20"/>
          <w:szCs w:val="20"/>
          <w:color w:val="auto"/>
        </w:rPr>
      </w:pPr>
    </w:p>
    <w:p>
      <w:pPr>
        <w:ind w:left="780" w:hanging="393"/>
        <w:spacing w:after="0"/>
        <w:tabs>
          <w:tab w:leader="none" w:pos="7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58420</wp:posOffset>
            </wp:positionV>
            <wp:extent cx="2854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364"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 No. 2) and the advisory approval of our executive compensation (Proposal No. 3), the affirmative vote of the holders of a majority of the shares represented in person or by proxy and entitled to vote on the proposal will be required for approval. Abstentions will not be voted but will be counted for purposes of determining whether there is a quorum.</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Accordingly, abstentions will have the effect of a negative vote on Proposals No. 2 and No. 3. Absent specific instructions on Proposal No. 2, brokers are permitted to exercise voting discretion with respect to such proposal. Broker non-votes will have no effect on Proposal No. 3. For additional information about broker non-votes see “How do I vote if my bank or broker holds my shares in ‘street name’?”</w:t>
      </w:r>
    </w:p>
    <w:p>
      <w:pPr>
        <w:spacing w:after="0" w:line="390" w:lineRule="exact"/>
        <w:rPr>
          <w:sz w:val="20"/>
          <w:szCs w:val="20"/>
          <w:color w:val="auto"/>
        </w:rPr>
      </w:pPr>
    </w:p>
    <w:p>
      <w:pPr>
        <w:sectPr>
          <w:pgSz w:w="11900" w:h="16838" w:orient="portrait"/>
          <w:cols w:equalWidth="0" w:num="2">
            <w:col w:w="5380" w:space="340"/>
            <w:col w:w="5140"/>
          </w:cols>
          <w:pgMar w:left="320" w:top="459" w:right="719" w:bottom="1440" w:gutter="0" w:footer="0" w:header="0"/>
          <w:type w:val="continuous"/>
        </w:sectPr>
      </w:pPr>
    </w:p>
    <w:p>
      <w:pPr>
        <w:spacing w:after="0" w:line="157" w:lineRule="exact"/>
        <w:rPr>
          <w:sz w:val="20"/>
          <w:szCs w:val="20"/>
          <w:color w:val="auto"/>
        </w:rPr>
      </w:pPr>
    </w:p>
    <w:p>
      <w:pPr>
        <w:ind w:left="660" w:right="1040"/>
        <w:spacing w:after="0" w:line="298" w:lineRule="auto"/>
        <w:rPr>
          <w:sz w:val="20"/>
          <w:szCs w:val="20"/>
          <w:color w:val="auto"/>
        </w:rPr>
      </w:pPr>
      <w:r>
        <w:rPr>
          <w:rFonts w:ascii="Arial" w:cs="Arial" w:eastAsia="Arial" w:hAnsi="Arial"/>
          <w:sz w:val="23"/>
          <w:szCs w:val="23"/>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635</wp:posOffset>
            </wp:positionV>
            <wp:extent cx="62922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233"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575" w:lineRule="exact"/>
        <w:rPr>
          <w:sz w:val="20"/>
          <w:szCs w:val="20"/>
          <w:color w:val="auto"/>
        </w:rPr>
      </w:pPr>
    </w:p>
    <w:p>
      <w:pPr>
        <w:sectPr>
          <w:pgSz w:w="11900" w:h="16838" w:orient="portrait"/>
          <w:cols w:equalWidth="0" w:num="2">
            <w:col w:w="5400" w:space="320"/>
            <w:col w:w="5140"/>
          </w:cols>
          <w:pgMar w:left="320" w:top="459" w:right="719" w:bottom="1440" w:gutter="0" w:footer="0" w:header="0"/>
          <w:type w:val="continuous"/>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and No. 3 (advisory vote on executive compensation). Thus, if you do not give your bank, broker 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571" w:lineRule="exact"/>
        <w:rPr>
          <w:sz w:val="20"/>
          <w:szCs w:val="20"/>
          <w:color w:val="auto"/>
        </w:rPr>
      </w:pPr>
    </w:p>
    <w:p>
      <w:pPr>
        <w:sectPr>
          <w:pgSz w:w="11900" w:h="16838" w:orient="portrait"/>
          <w:cols w:equalWidth="0" w:num="2">
            <w:col w:w="5340" w:space="380"/>
            <w:col w:w="5140"/>
          </w:cols>
          <w:pgMar w:left="320" w:top="459" w:right="719" w:bottom="1440" w:gutter="0" w:footer="0" w:header="0"/>
          <w:type w:val="continuous"/>
        </w:sectPr>
      </w:pPr>
    </w:p>
    <w:p>
      <w:pPr>
        <w:spacing w:after="0" w:line="14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7" w:lineRule="exact"/>
        <w:rPr>
          <w:sz w:val="20"/>
          <w:szCs w:val="20"/>
          <w:color w:val="auto"/>
        </w:rPr>
      </w:pPr>
    </w:p>
    <w:p>
      <w:pPr>
        <w:ind w:left="660" w:right="440"/>
        <w:spacing w:after="0" w:line="260" w:lineRule="auto"/>
        <w:rPr>
          <w:sz w:val="20"/>
          <w:szCs w:val="20"/>
          <w:color w:val="auto"/>
        </w:rPr>
      </w:pPr>
      <w:r>
        <w:rPr>
          <w:rFonts w:ascii="Arial" w:cs="Arial" w:eastAsia="Arial" w:hAnsi="Arial"/>
          <w:sz w:val="16"/>
          <w:szCs w:val="16"/>
          <w:color w:val="auto"/>
        </w:rPr>
        <w:t>Each share of common stock that you hold as of the record date entitles you to one vote, without cumulation, on each matter to be voted upon at the Annual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votes will be counted by the inspector of election appointed for the Annual Meeting.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Company will report the final results of the voting at the Annual Meeting in a filing with the SEC on a Current Report on Form 8-K.</w:t>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77</w:t>
      </w:r>
    </w:p>
    <w:p>
      <w:pPr>
        <w:sectPr>
          <w:pgSz w:w="11900" w:h="16838" w:orient="portrait"/>
          <w:cols w:equalWidth="0" w:num="1">
            <w:col w:w="10860"/>
          </w:cols>
          <w:pgMar w:left="320" w:top="459" w:right="71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26574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8" w:lineRule="exact"/>
        <w:rPr>
          <w:sz w:val="20"/>
          <w:szCs w:val="20"/>
          <w:color w:val="auto"/>
        </w:rPr>
      </w:pPr>
    </w:p>
    <w:p>
      <w:pPr>
        <w:jc w:val="right"/>
        <w:ind w:right="4080"/>
        <w:spacing w:after="0"/>
        <w:rPr>
          <w:sz w:val="20"/>
          <w:szCs w:val="20"/>
          <w:color w:val="auto"/>
        </w:rPr>
      </w:pPr>
      <w:r>
        <w:rPr>
          <w:rFonts w:ascii="Arial" w:cs="Arial" w:eastAsia="Arial" w:hAnsi="Arial"/>
          <w:sz w:val="23"/>
          <w:szCs w:val="23"/>
          <w:b w:val="1"/>
          <w:bCs w:val="1"/>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sectPr>
      </w:pPr>
    </w:p>
    <w:p>
      <w:pPr>
        <w:spacing w:after="0" w:line="34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387" w:lineRule="exact"/>
        <w:rPr>
          <w:sz w:val="20"/>
          <w:szCs w:val="20"/>
          <w:color w:val="auto"/>
        </w:rPr>
      </w:pPr>
    </w:p>
    <w:p>
      <w:pPr>
        <w:sectPr>
          <w:pgSz w:w="11900" w:h="16838" w:orient="portrait"/>
          <w:cols w:equalWidth="0" w:num="2">
            <w:col w:w="5320" w:space="400"/>
            <w:col w:w="4860"/>
          </w:cols>
          <w:pgMar w:left="320" w:top="459" w:right="99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of Internet Availability of Proxy Materials, proxy statement or annual report, contact Broadridge Financial</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660"/>
        <w:spacing w:after="0" w:line="253" w:lineRule="auto"/>
        <w:rPr>
          <w:sz w:val="20"/>
          <w:szCs w:val="20"/>
          <w:color w:val="auto"/>
        </w:rPr>
      </w:pPr>
      <w:r>
        <w:rPr>
          <w:rFonts w:ascii="Arial" w:cs="Arial" w:eastAsia="Arial" w:hAnsi="Arial"/>
          <w:sz w:val="16"/>
          <w:szCs w:val="16"/>
          <w:color w:val="auto"/>
        </w:rPr>
        <w:t>Solutions, Inc. by calling 1-800-542-1061 or in writing at Broadridge, Householding Department, 51 Mercedes Way, Edgewood, New York 11717.</w:t>
      </w: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59" w:right="999" w:bottom="1440" w:gutter="0" w:footer="0" w:header="0"/>
          <w:type w:val="continuous"/>
        </w:sectPr>
      </w:pPr>
    </w:p>
    <w:p>
      <w:pPr>
        <w:spacing w:after="0" w:line="342"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We are hosting the Annual Meeting through a virtual web conference. You will not be able to attend the meeting in person. You will be able to attend the virtual meeting, vote your shares electronically, and submit your questions during the live webcast of the meeting by visiting www.virtualshareholdermeeting.com/ LEA2021 and entering your 16-digit control number included in your Notice of Internet Availability of Proxy Materials, on your proxy card, or on any additional voting instructions accompanying these proxy materials. The Annual Meeting will begin promptly at 9:00 a.m. (Eastern Time). Online check-in will be available beginning at 8:30 a.m. (Eastern Time). Please allow ample time for the online check-in process. Please be assured that you will be afforded the same rights and opportunities to participate in the virtual meeting as you would at an in-person meeting.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As part of the Annual Meeting, we will hold a question and answer session, during which we intend to answer questions submitted during the meeting in accordance with the Annual Meeting procedures which are pertinent to the Company and the meeting matters, as time permits. Questions may be submitted during the Annual Meeting through www.virtualshareholdermeeting.com/ LEA2021. Questions and answers will be grouped by topic and substantially similar questions will be grouped and answered once.</w:t>
      </w:r>
    </w:p>
    <w:p>
      <w:pPr>
        <w:spacing w:after="0" w:line="9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There will be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200" w:lineRule="exact"/>
        <w:rPr>
          <w:sz w:val="20"/>
          <w:szCs w:val="20"/>
          <w:color w:val="auto"/>
        </w:rPr>
      </w:pPr>
    </w:p>
    <w:p>
      <w:pPr>
        <w:sectPr>
          <w:pgSz w:w="11900" w:h="16838" w:orient="portrait"/>
          <w:cols w:equalWidth="0" w:num="2">
            <w:col w:w="5420" w:space="300"/>
            <w:col w:w="4860"/>
          </w:cols>
          <w:pgMar w:left="320" w:top="459" w:right="999" w:bottom="1440" w:gutter="0" w:footer="0" w:header="0"/>
          <w:type w:val="continuous"/>
        </w:sectPr>
      </w:pPr>
    </w:p>
    <w:p>
      <w:pPr>
        <w:spacing w:after="0" w:line="344" w:lineRule="exact"/>
        <w:rPr>
          <w:sz w:val="20"/>
          <w:szCs w:val="20"/>
          <w:color w:val="auto"/>
        </w:rPr>
      </w:pPr>
    </w:p>
    <w:p>
      <w:pPr>
        <w:ind w:left="780" w:hanging="393"/>
        <w:spacing w:after="0"/>
        <w:tabs>
          <w:tab w:leader="none" w:pos="78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20"/>
        <w:spacing w:after="0" w:line="274" w:lineRule="auto"/>
        <w:rPr>
          <w:sz w:val="20"/>
          <w:szCs w:val="20"/>
          <w:color w:val="auto"/>
        </w:rPr>
      </w:pPr>
      <w:r>
        <w:rPr>
          <w:rFonts w:ascii="Arial" w:cs="Arial" w:eastAsia="Arial" w:hAnsi="Arial"/>
          <w:sz w:val="40"/>
          <w:szCs w:val="40"/>
          <w:b w:val="1"/>
          <w:bCs w:val="1"/>
          <w:color w:val="E2231A"/>
        </w:rPr>
        <w:t>STOCKHOLDER PROPOSALS FOR 2022 ANNUAL MEETING OF STOCKHOLDERS</w:t>
      </w:r>
    </w:p>
    <w:p>
      <w:pPr>
        <w:sectPr>
          <w:pgSz w:w="11900" w:h="16838" w:orient="portrait"/>
          <w:cols w:equalWidth="0" w:num="1">
            <w:col w:w="10860"/>
          </w:cols>
          <w:pgMar w:left="320" w:top="459" w:right="719" w:bottom="1440" w:gutter="0" w:footer="0" w:header="0"/>
        </w:sectPr>
      </w:pPr>
    </w:p>
    <w:p>
      <w:pPr>
        <w:spacing w:after="0" w:line="210"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Stockholders who intend to present proposals at the Company’s annual meeting of stockholders in 2022 pursuant to Rule 14a-8 under the Exchange Act must send notice of their proposal to us so that we receive it no later than December 7, 2021. Stockholders who intend to present proposals at the annual meeting of stockholders in 2022 other than pursuant to Rule 14a-8 must comply with the notice provisions in our Bylaws. The notice provisions in our Bylaws require that, for a proposal to be properly brought before the annual meeting of stockholders in 2022, proper notice of the proposal be received by us not less than 90 days nor more than 120 days prior to the first anniversary of the preceding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340"/>
        <w:spacing w:after="0" w:line="247" w:lineRule="auto"/>
        <w:rPr>
          <w:sz w:val="20"/>
          <w:szCs w:val="20"/>
          <w:color w:val="auto"/>
        </w:rPr>
      </w:pPr>
      <w:r>
        <w:rPr>
          <w:rFonts w:ascii="Arial" w:cs="Arial" w:eastAsia="Arial" w:hAnsi="Arial"/>
          <w:sz w:val="16"/>
          <w:szCs w:val="16"/>
          <w:color w:val="auto"/>
        </w:rPr>
        <w:t>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19, 2022. Stockholder proposals should be addressed to Lear Corporation, 21557 Telegraph Road, Southfield, Michigan 48033, Attention: Harry A. Kemp, Senior Vice President, General Counsel and Corporate Secretary.</w:t>
      </w:r>
    </w:p>
    <w:p>
      <w:pPr>
        <w:spacing w:after="0" w:line="200"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365"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79</w:t>
      </w:r>
    </w:p>
    <w:p>
      <w:pPr>
        <w:sectPr>
          <w:pgSz w:w="11900" w:h="16838" w:orient="portrait"/>
          <w:cols w:equalWidth="0" w:num="1">
            <w:col w:w="10860"/>
          </w:cols>
          <w:pgMar w:left="320" w:top="459" w:right="719" w:bottom="1440" w:gutter="0" w:footer="0" w:header="0"/>
          <w:type w:val="continuous"/>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460"/>
          </w:cols>
          <w:pgMar w:left="320" w:top="459"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OTHER MATTERS</w:t>
      </w:r>
    </w:p>
    <w:p>
      <w:pPr>
        <w:spacing w:after="0" w:line="342" w:lineRule="exact"/>
        <w:rPr>
          <w:sz w:val="20"/>
          <w:szCs w:val="20"/>
          <w:color w:val="auto"/>
        </w:rPr>
      </w:pPr>
    </w:p>
    <w:p>
      <w:pPr>
        <w:ind w:left="660" w:right="120"/>
        <w:spacing w:after="0" w:line="250"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b w:val="1"/>
          <w:bCs w:val="1"/>
          <w:color w:val="auto"/>
        </w:rPr>
        <w:t>Upon written request by any stockholder entitled to vote at the Annual Meeting, we will promptly furnish, without charge, a copy of the Annual Report on Form 10-K for the fiscal year ended December 31, 2020, which we filed with the SEC, including the financial statements and schedule. If the person requesting the report was not a stockholder of record on March 26, 2021, the request must contain a good faith representation that he or she was a beneficial owner of our common stock at the close of business on that date. Requests should be addressed to Lear Corporation, 21557 Telegraph Road, Southfield, Michigan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auto"/>
        </w:rPr>
        <w:t>48033, Attention: Harry A. Kemp, Senior Vice President, General Counsel and Corporate Secretary.</w:t>
      </w:r>
    </w:p>
    <w:p>
      <w:pPr>
        <w:spacing w:after="0" w:line="147" w:lineRule="exact"/>
        <w:rPr>
          <w:sz w:val="20"/>
          <w:szCs w:val="20"/>
          <w:color w:val="auto"/>
        </w:rPr>
      </w:pPr>
    </w:p>
    <w:p>
      <w:pPr>
        <w:jc w:val="both"/>
        <w:ind w:firstLine="342"/>
        <w:spacing w:after="0" w:line="267" w:lineRule="auto"/>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21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139065</wp:posOffset>
            </wp:positionV>
            <wp:extent cx="1405890" cy="4286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Harry A. Kemp</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Senior Vice President,</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484" w:lineRule="exact"/>
        <w:rPr>
          <w:sz w:val="20"/>
          <w:szCs w:val="20"/>
          <w:color w:val="auto"/>
        </w:rPr>
      </w:pPr>
    </w:p>
    <w:p>
      <w:pPr>
        <w:sectPr>
          <w:pgSz w:w="11900" w:h="16838" w:orient="portrait"/>
          <w:cols w:equalWidth="0" w:num="2">
            <w:col w:w="5420" w:space="300"/>
            <w:col w:w="4740"/>
          </w:cols>
          <w:pgMar w:left="320" w:top="459" w:right="1119" w:bottom="1440" w:gutter="0" w:footer="0" w:header="0"/>
          <w:type w:val="continuous"/>
        </w:sectPr>
      </w:pPr>
    </w:p>
    <w:p>
      <w:pPr>
        <w:spacing w:after="0" w:line="360" w:lineRule="exact"/>
        <w:rPr>
          <w:sz w:val="20"/>
          <w:szCs w:val="20"/>
          <w:color w:val="auto"/>
        </w:rPr>
      </w:pPr>
    </w:p>
    <w:p>
      <w:pPr>
        <w:ind w:left="780" w:hanging="393"/>
        <w:spacing w:after="0"/>
        <w:tabs>
          <w:tab w:leader="none" w:pos="78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60"/>
          </w:cols>
          <w:pgMar w:left="320" w:top="459" w:right="11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APPENDIX A</w:t>
      </w:r>
    </w:p>
    <w:p>
      <w:pPr>
        <w:spacing w:after="0" w:line="107" w:lineRule="exact"/>
        <w:rPr>
          <w:sz w:val="20"/>
          <w:szCs w:val="20"/>
          <w:color w:val="auto"/>
        </w:rPr>
      </w:pPr>
    </w:p>
    <w:p>
      <w:pPr>
        <w:ind w:left="660" w:right="1640"/>
        <w:spacing w:after="0" w:line="265" w:lineRule="auto"/>
        <w:rPr>
          <w:sz w:val="20"/>
          <w:szCs w:val="20"/>
          <w:color w:val="auto"/>
        </w:rPr>
      </w:pPr>
      <w:r>
        <w:rPr>
          <w:rFonts w:ascii="Arial" w:cs="Arial" w:eastAsia="Arial" w:hAnsi="Arial"/>
          <w:sz w:val="40"/>
          <w:szCs w:val="40"/>
          <w:b w:val="1"/>
          <w:bCs w:val="1"/>
          <w:color w:val="E2231A"/>
        </w:rPr>
        <w:t>RECONCILIATION OF NON-GAAP FINANCIAL MEASURES</w:t>
      </w:r>
    </w:p>
    <w:p>
      <w:pPr>
        <w:sectPr>
          <w:pgSz w:w="11900" w:h="16838" w:orient="portrait"/>
          <w:cols w:equalWidth="0" w:num="1">
            <w:col w:w="10860"/>
          </w:cols>
          <w:pgMar w:left="320" w:top="459" w:right="719" w:bottom="1440" w:gutter="0" w:footer="0" w:header="0"/>
        </w:sectPr>
      </w:pPr>
    </w:p>
    <w:p>
      <w:pPr>
        <w:spacing w:after="0" w:line="2"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information presented in this proxy statement under the captions “Proxy Summary” and “Compensation Discussion and Analysis — Executive Summary” regarding core operating earnings, adjusted earnings per share and free cash flow does not conform to GAAP and should not be construed as an alternative to the reported financial results of the Company determined in accordance with GAAP.</w:t>
      </w:r>
    </w:p>
    <w:p>
      <w:pPr>
        <w:spacing w:after="0" w:line="100"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 continuing</w:t>
      </w:r>
    </w:p>
    <w:p>
      <w:pPr>
        <w:spacing w:after="0" w:line="20" w:lineRule="exact"/>
        <w:rPr>
          <w:sz w:val="20"/>
          <w:szCs w:val="20"/>
          <w:color w:val="auto"/>
        </w:rPr>
      </w:pPr>
      <w:r>
        <w:rPr>
          <w:sz w:val="20"/>
          <w:szCs w:val="20"/>
          <w:color w:val="auto"/>
        </w:rPr>
        <w:br w:type="column"/>
      </w:r>
    </w:p>
    <w:p>
      <w:pPr>
        <w:ind w:right="520"/>
        <w:spacing w:after="0" w:line="246" w:lineRule="auto"/>
        <w:rPr>
          <w:sz w:val="20"/>
          <w:szCs w:val="20"/>
          <w:color w:val="auto"/>
        </w:rPr>
      </w:pPr>
      <w:r>
        <w:rPr>
          <w:rFonts w:ascii="Arial" w:cs="Arial" w:eastAsia="Arial" w:hAnsi="Arial"/>
          <w:sz w:val="16"/>
          <w:szCs w:val="16"/>
          <w:color w:val="auto"/>
        </w:rPr>
        <w:t>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w:t>
      </w:r>
    </w:p>
    <w:p>
      <w:pPr>
        <w:spacing w:after="0" w:line="3"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these non-GAAP financial measures for planning and forecasting future periods.</w:t>
      </w:r>
    </w:p>
    <w:p>
      <w:pPr>
        <w:spacing w:after="0" w:line="87"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core operating earnings, adjusted earnings per share and free cash flow is reconciled to the most directly comparable reported GAAP results in the tables below.</w:t>
      </w:r>
    </w:p>
    <w:p>
      <w:pPr>
        <w:spacing w:after="0" w:line="574" w:lineRule="exact"/>
        <w:rPr>
          <w:sz w:val="20"/>
          <w:szCs w:val="20"/>
          <w:color w:val="auto"/>
        </w:rPr>
      </w:pPr>
    </w:p>
    <w:p>
      <w:pPr>
        <w:sectPr>
          <w:pgSz w:w="11900" w:h="16838" w:orient="portrait"/>
          <w:cols w:equalWidth="0" w:num="2">
            <w:col w:w="5420" w:space="300"/>
            <w:col w:w="5140"/>
          </w:cols>
          <w:pgMar w:left="320" w:top="459" w:right="71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Core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69850</wp:posOffset>
            </wp:positionV>
            <wp:extent cx="62922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8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E2231A"/>
              </w:rPr>
              <w:t>2020</w:t>
            </w:r>
          </w:p>
        </w:tc>
      </w:tr>
      <w:tr>
        <w:trPr>
          <w:trHeight w:val="215"/>
        </w:trPr>
        <w:tc>
          <w:tcPr>
            <w:tcW w:w="86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Sales</w:t>
            </w:r>
          </w:p>
        </w:tc>
        <w:tc>
          <w:tcPr>
            <w:tcW w:w="3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FCE9E8"/>
          </w:tcPr>
          <w:p>
            <w:pPr>
              <w:jc w:val="right"/>
              <w:ind w:right="220"/>
              <w:spacing w:after="0"/>
              <w:rPr>
                <w:sz w:val="20"/>
                <w:szCs w:val="20"/>
                <w:color w:val="auto"/>
              </w:rPr>
            </w:pPr>
            <w:r>
              <w:rPr>
                <w:rFonts w:ascii="Arial" w:cs="Arial" w:eastAsia="Arial" w:hAnsi="Arial"/>
                <w:sz w:val="16"/>
                <w:szCs w:val="16"/>
                <w:b w:val="1"/>
                <w:bCs w:val="1"/>
                <w:color w:val="auto"/>
                <w:w w:val="98"/>
              </w:rPr>
              <w:t>17,045.50</w:t>
            </w:r>
          </w:p>
        </w:tc>
      </w:tr>
      <w:tr>
        <w:trPr>
          <w:trHeight w:val="209"/>
        </w:trPr>
        <w:tc>
          <w:tcPr>
            <w:tcW w:w="8600" w:type="dxa"/>
            <w:vAlign w:val="bottom"/>
          </w:tcPr>
          <w:p>
            <w:pPr>
              <w:ind w:left="80"/>
              <w:spacing w:after="0"/>
              <w:rPr>
                <w:sz w:val="20"/>
                <w:szCs w:val="20"/>
                <w:color w:val="auto"/>
              </w:rPr>
            </w:pPr>
            <w:r>
              <w:rPr>
                <w:rFonts w:ascii="Arial" w:cs="Arial" w:eastAsia="Arial" w:hAnsi="Arial"/>
                <w:sz w:val="16"/>
                <w:szCs w:val="16"/>
                <w:b w:val="1"/>
                <w:bCs w:val="1"/>
                <w:color w:val="auto"/>
              </w:rPr>
              <w:t>Net income attributable to Lear</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158.50</w:t>
            </w:r>
          </w:p>
        </w:tc>
      </w:tr>
      <w:tr>
        <w:trPr>
          <w:trHeight w:val="230"/>
        </w:trPr>
        <w:tc>
          <w:tcPr>
            <w:tcW w:w="86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FCE9E8"/>
          </w:tcPr>
          <w:p>
            <w:pPr>
              <w:spacing w:after="0"/>
              <w:rPr>
                <w:sz w:val="20"/>
                <w:szCs w:val="20"/>
                <w:color w:val="auto"/>
              </w:rPr>
            </w:pPr>
          </w:p>
        </w:tc>
        <w:tc>
          <w:tcPr>
            <w:tcW w:w="10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99.60</w:t>
            </w:r>
          </w:p>
        </w:tc>
      </w:tr>
      <w:tr>
        <w:trPr>
          <w:trHeight w:val="226"/>
        </w:trPr>
        <w:tc>
          <w:tcPr>
            <w:tcW w:w="8600" w:type="dxa"/>
            <w:vAlign w:val="bottom"/>
          </w:tcPr>
          <w:p>
            <w:pPr>
              <w:ind w:left="420"/>
              <w:spacing w:after="0"/>
              <w:rPr>
                <w:sz w:val="20"/>
                <w:szCs w:val="20"/>
                <w:color w:val="auto"/>
              </w:rPr>
            </w:pPr>
            <w:r>
              <w:rPr>
                <w:rFonts w:ascii="Arial" w:cs="Arial" w:eastAsia="Arial" w:hAnsi="Arial"/>
                <w:sz w:val="16"/>
                <w:szCs w:val="16"/>
                <w:color w:val="auto"/>
              </w:rPr>
              <w:t>Other expense, net</w:t>
            </w:r>
          </w:p>
        </w:tc>
        <w:tc>
          <w:tcPr>
            <w:tcW w:w="300" w:type="dxa"/>
            <w:vAlign w:val="bottom"/>
          </w:tcPr>
          <w:p>
            <w:pPr>
              <w:spacing w:after="0"/>
              <w:rPr>
                <w:sz w:val="19"/>
                <w:szCs w:val="19"/>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color w:val="auto"/>
              </w:rPr>
              <w:t>55.20</w:t>
            </w:r>
          </w:p>
        </w:tc>
      </w:tr>
      <w:tr>
        <w:trPr>
          <w:trHeight w:val="233"/>
        </w:trPr>
        <w:tc>
          <w:tcPr>
            <w:tcW w:w="86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FCE9E8"/>
          </w:tcPr>
          <w:p>
            <w:pPr>
              <w:spacing w:after="0"/>
              <w:rPr>
                <w:sz w:val="20"/>
                <w:szCs w:val="20"/>
                <w:color w:val="auto"/>
              </w:rPr>
            </w:pPr>
          </w:p>
        </w:tc>
        <w:tc>
          <w:tcPr>
            <w:tcW w:w="10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93.90</w:t>
            </w:r>
          </w:p>
        </w:tc>
      </w:tr>
      <w:tr>
        <w:trPr>
          <w:trHeight w:val="226"/>
        </w:trPr>
        <w:tc>
          <w:tcPr>
            <w:tcW w:w="8600" w:type="dxa"/>
            <w:vAlign w:val="bottom"/>
          </w:tcPr>
          <w:p>
            <w:pPr>
              <w:ind w:left="420"/>
              <w:spacing w:after="0"/>
              <w:rPr>
                <w:sz w:val="20"/>
                <w:szCs w:val="20"/>
                <w:color w:val="auto"/>
              </w:rPr>
            </w:pPr>
            <w:r>
              <w:rPr>
                <w:rFonts w:ascii="Arial" w:cs="Arial" w:eastAsia="Arial" w:hAnsi="Arial"/>
                <w:sz w:val="16"/>
                <w:szCs w:val="16"/>
                <w:color w:val="auto"/>
              </w:rPr>
              <w:t>Equity in net income of affiliates</w:t>
            </w:r>
          </w:p>
        </w:tc>
        <w:tc>
          <w:tcPr>
            <w:tcW w:w="300" w:type="dxa"/>
            <w:vAlign w:val="bottom"/>
          </w:tcPr>
          <w:p>
            <w:pPr>
              <w:spacing w:after="0"/>
              <w:rPr>
                <w:sz w:val="19"/>
                <w:szCs w:val="19"/>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(28.50)</w:t>
            </w:r>
          </w:p>
        </w:tc>
      </w:tr>
      <w:tr>
        <w:trPr>
          <w:trHeight w:val="233"/>
        </w:trPr>
        <w:tc>
          <w:tcPr>
            <w:tcW w:w="86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shd w:val="clear" w:color="auto" w:fill="FCE9E8"/>
          </w:tcPr>
          <w:p>
            <w:pPr>
              <w:spacing w:after="0"/>
              <w:rPr>
                <w:sz w:val="20"/>
                <w:szCs w:val="20"/>
                <w:color w:val="auto"/>
              </w:rPr>
            </w:pPr>
          </w:p>
        </w:tc>
        <w:tc>
          <w:tcPr>
            <w:tcW w:w="10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75.40</w:t>
            </w:r>
          </w:p>
        </w:tc>
      </w:tr>
      <w:tr>
        <w:trPr>
          <w:trHeight w:val="226"/>
        </w:trPr>
        <w:tc>
          <w:tcPr>
            <w:tcW w:w="8600" w:type="dxa"/>
            <w:vAlign w:val="bottom"/>
          </w:tcPr>
          <w:p>
            <w:pPr>
              <w:ind w:left="260"/>
              <w:spacing w:after="0"/>
              <w:rPr>
                <w:sz w:val="20"/>
                <w:szCs w:val="20"/>
                <w:color w:val="auto"/>
              </w:rPr>
            </w:pPr>
            <w:r>
              <w:rPr>
                <w:rFonts w:ascii="Arial" w:cs="Arial" w:eastAsia="Arial" w:hAnsi="Arial"/>
                <w:sz w:val="16"/>
                <w:szCs w:val="16"/>
                <w:color w:val="auto"/>
              </w:rPr>
              <w:t>Restructuring costs and other special items -</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860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300" w:type="dxa"/>
            <w:vAlign w:val="bottom"/>
            <w:shd w:val="clear" w:color="auto" w:fill="FCE9E8"/>
          </w:tcPr>
          <w:p>
            <w:pPr>
              <w:spacing w:after="0"/>
              <w:rPr>
                <w:sz w:val="20"/>
                <w:szCs w:val="20"/>
                <w:color w:val="auto"/>
              </w:rPr>
            </w:pPr>
          </w:p>
        </w:tc>
        <w:tc>
          <w:tcPr>
            <w:tcW w:w="102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143.70</w:t>
            </w:r>
          </w:p>
        </w:tc>
      </w:tr>
      <w:tr>
        <w:trPr>
          <w:trHeight w:val="227"/>
        </w:trPr>
        <w:tc>
          <w:tcPr>
            <w:tcW w:w="86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15.70</w:t>
            </w:r>
          </w:p>
        </w:tc>
      </w:tr>
      <w:tr>
        <w:trPr>
          <w:trHeight w:val="212"/>
        </w:trPr>
        <w:tc>
          <w:tcPr>
            <w:tcW w:w="86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Core operating earnings</w:t>
            </w:r>
          </w:p>
        </w:tc>
        <w:tc>
          <w:tcPr>
            <w:tcW w:w="3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FCE9E8"/>
          </w:tcPr>
          <w:p>
            <w:pPr>
              <w:jc w:val="right"/>
              <w:ind w:right="220"/>
              <w:spacing w:after="0"/>
              <w:rPr>
                <w:sz w:val="20"/>
                <w:szCs w:val="20"/>
                <w:color w:val="auto"/>
              </w:rPr>
            </w:pPr>
            <w:r>
              <w:rPr>
                <w:rFonts w:ascii="Arial" w:cs="Arial" w:eastAsia="Arial" w:hAnsi="Arial"/>
                <w:sz w:val="16"/>
                <w:szCs w:val="16"/>
                <w:color w:val="auto"/>
              </w:rPr>
              <w:t>613.50</w:t>
            </w:r>
          </w:p>
        </w:tc>
      </w:tr>
    </w:tbl>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5"/>
          <w:szCs w:val="15"/>
          <w:b w:val="1"/>
          <w:bCs w:val="1"/>
          <w:color w:val="E2231A"/>
        </w:rPr>
        <w:t>2021 Proxy Statement</w:t>
      </w:r>
      <w:r>
        <w:rPr>
          <w:sz w:val="20"/>
          <w:szCs w:val="20"/>
          <w:color w:val="auto"/>
        </w:rPr>
        <w:tab/>
      </w:r>
      <w:r>
        <w:rPr>
          <w:rFonts w:ascii="Arial" w:cs="Arial" w:eastAsia="Arial" w:hAnsi="Arial"/>
          <w:sz w:val="18"/>
          <w:szCs w:val="18"/>
          <w:b w:val="1"/>
          <w:bCs w:val="1"/>
          <w:color w:val="E2231A"/>
        </w:rPr>
        <w:t xml:space="preserve">|  </w:t>
      </w:r>
      <w:r>
        <w:rPr>
          <w:rFonts w:ascii="Arial" w:cs="Arial" w:eastAsia="Arial" w:hAnsi="Arial"/>
          <w:sz w:val="18"/>
          <w:szCs w:val="18"/>
          <w:color w:val="000000"/>
        </w:rPr>
        <w:t>A-1</w:t>
      </w:r>
    </w:p>
    <w:p>
      <w:pPr>
        <w:sectPr>
          <w:pgSz w:w="11900" w:h="16838" w:orient="portrait"/>
          <w:cols w:equalWidth="0" w:num="1">
            <w:col w:w="10860"/>
          </w:cols>
          <w:pgMar w:left="320" w:top="459" w:right="71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60325</wp:posOffset>
            </wp:positionV>
            <wp:extent cx="556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8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E2231A"/>
              </w:rPr>
              <w:t>2020</w:t>
            </w:r>
          </w:p>
        </w:tc>
      </w:tr>
      <w:tr>
        <w:trPr>
          <w:trHeight w:val="216"/>
        </w:trPr>
        <w:tc>
          <w:tcPr>
            <w:tcW w:w="892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Net income available to Lear common stockholders</w:t>
            </w:r>
          </w:p>
        </w:tc>
        <w:tc>
          <w:tcPr>
            <w:tcW w:w="300" w:type="dxa"/>
            <w:vAlign w:val="bottom"/>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w w:val="98"/>
              </w:rPr>
              <w:t>158.50</w:t>
            </w:r>
          </w:p>
        </w:tc>
      </w:tr>
      <w:tr>
        <w:trPr>
          <w:trHeight w:val="226"/>
        </w:trPr>
        <w:tc>
          <w:tcPr>
            <w:tcW w:w="8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892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Net income attributable to Lear</w:t>
            </w:r>
          </w:p>
        </w:tc>
        <w:tc>
          <w:tcPr>
            <w:tcW w:w="300" w:type="dxa"/>
            <w:vAlign w:val="bottom"/>
            <w:shd w:val="clear" w:color="auto" w:fill="FCE9E8"/>
          </w:tcPr>
          <w:p>
            <w:pPr>
              <w:spacing w:after="0"/>
              <w:rPr>
                <w:sz w:val="18"/>
                <w:szCs w:val="18"/>
                <w:color w:val="auto"/>
              </w:rPr>
            </w:pPr>
          </w:p>
        </w:tc>
        <w:tc>
          <w:tcPr>
            <w:tcW w:w="7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w w:val="98"/>
              </w:rPr>
              <w:t>158.50</w:t>
            </w: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Restructuring costs and other special items -</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9"/>
        </w:trPr>
        <w:tc>
          <w:tcPr>
            <w:tcW w:w="89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300" w:type="dxa"/>
            <w:vAlign w:val="bottom"/>
            <w:shd w:val="clear" w:color="auto" w:fill="FCE9E8"/>
          </w:tcPr>
          <w:p>
            <w:pPr>
              <w:spacing w:after="0"/>
              <w:rPr>
                <w:sz w:val="19"/>
                <w:szCs w:val="19"/>
                <w:color w:val="auto"/>
              </w:rPr>
            </w:pPr>
          </w:p>
        </w:tc>
        <w:tc>
          <w:tcPr>
            <w:tcW w:w="7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w w:val="98"/>
              </w:rPr>
              <w:t>149.90</w:t>
            </w:r>
          </w:p>
        </w:tc>
      </w:tr>
      <w:tr>
        <w:trPr>
          <w:trHeight w:val="227"/>
        </w:trPr>
        <w:tc>
          <w:tcPr>
            <w:tcW w:w="8920" w:type="dxa"/>
            <w:vAlign w:val="bottom"/>
          </w:tcPr>
          <w:p>
            <w:pPr>
              <w:ind w:left="4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21.10</w:t>
            </w:r>
          </w:p>
        </w:tc>
      </w:tr>
      <w:tr>
        <w:trPr>
          <w:trHeight w:val="232"/>
        </w:trPr>
        <w:tc>
          <w:tcPr>
            <w:tcW w:w="8920" w:type="dxa"/>
            <w:vAlign w:val="bottom"/>
            <w:shd w:val="clear" w:color="auto" w:fill="FCE9E8"/>
          </w:tcPr>
          <w:p>
            <w:pPr>
              <w:ind w:left="420"/>
              <w:spacing w:after="0"/>
              <w:rPr>
                <w:sz w:val="20"/>
                <w:szCs w:val="20"/>
                <w:color w:val="auto"/>
              </w:rPr>
            </w:pPr>
            <w:r>
              <w:rPr>
                <w:rFonts w:ascii="Arial" w:cs="Arial" w:eastAsia="Arial" w:hAnsi="Arial"/>
                <w:sz w:val="16"/>
                <w:szCs w:val="16"/>
                <w:color w:val="auto"/>
              </w:rPr>
              <w:t>Loss related to affiliate, net</w:t>
            </w:r>
          </w:p>
        </w:tc>
        <w:tc>
          <w:tcPr>
            <w:tcW w:w="300" w:type="dxa"/>
            <w:vAlign w:val="bottom"/>
            <w:shd w:val="clear" w:color="auto" w:fill="FCE9E8"/>
          </w:tcPr>
          <w:p>
            <w:pPr>
              <w:spacing w:after="0"/>
              <w:rPr>
                <w:sz w:val="20"/>
                <w:szCs w:val="20"/>
                <w:color w:val="auto"/>
              </w:rPr>
            </w:pPr>
          </w:p>
        </w:tc>
        <w:tc>
          <w:tcPr>
            <w:tcW w:w="7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4.00</w:t>
            </w:r>
          </w:p>
        </w:tc>
      </w:tr>
      <w:tr>
        <w:trPr>
          <w:trHeight w:val="227"/>
        </w:trPr>
        <w:tc>
          <w:tcPr>
            <w:tcW w:w="8920" w:type="dxa"/>
            <w:vAlign w:val="bottom"/>
          </w:tcPr>
          <w:p>
            <w:pPr>
              <w:ind w:left="4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700" w:type="dxa"/>
            <w:vAlign w:val="bottom"/>
          </w:tcPr>
          <w:p>
            <w:pPr>
              <w:jc w:val="right"/>
              <w:ind w:right="120"/>
              <w:spacing w:after="0"/>
              <w:rPr>
                <w:sz w:val="20"/>
                <w:szCs w:val="20"/>
                <w:color w:val="auto"/>
              </w:rPr>
            </w:pPr>
            <w:r>
              <w:rPr>
                <w:rFonts w:ascii="Arial" w:cs="Arial" w:eastAsia="Arial" w:hAnsi="Arial"/>
                <w:sz w:val="16"/>
                <w:szCs w:val="16"/>
                <w:color w:val="auto"/>
              </w:rPr>
              <w:t>8.90</w:t>
            </w:r>
          </w:p>
        </w:tc>
      </w:tr>
      <w:tr>
        <w:trPr>
          <w:trHeight w:val="233"/>
        </w:trPr>
        <w:tc>
          <w:tcPr>
            <w:tcW w:w="8920" w:type="dxa"/>
            <w:vAlign w:val="bottom"/>
            <w:tcBorders>
              <w:bottom w:val="single" w:sz="8" w:color="auto"/>
            </w:tcBorders>
            <w:shd w:val="clear" w:color="auto" w:fill="FCE9E8"/>
          </w:tcPr>
          <w:p>
            <w:pPr>
              <w:ind w:left="420"/>
              <w:spacing w:after="0" w:line="232" w:lineRule="exact"/>
              <w:rPr>
                <w:sz w:val="20"/>
                <w:szCs w:val="20"/>
                <w:color w:val="auto"/>
              </w:rPr>
            </w:pPr>
            <w:r>
              <w:rPr>
                <w:rFonts w:ascii="Arial" w:cs="Arial" w:eastAsia="Arial" w:hAnsi="Arial"/>
                <w:sz w:val="16"/>
                <w:szCs w:val="16"/>
                <w:color w:val="auto"/>
              </w:rPr>
              <w:t>Tax impact of special items and other net tax adjustments</w:t>
            </w:r>
            <w:r>
              <w:rPr>
                <w:rFonts w:ascii="Arial" w:cs="Arial" w:eastAsia="Arial" w:hAnsi="Arial"/>
                <w:sz w:val="26"/>
                <w:szCs w:val="26"/>
                <w:color w:val="auto"/>
                <w:vertAlign w:val="superscript"/>
              </w:rPr>
              <w:t>(1)</w:t>
            </w:r>
          </w:p>
        </w:tc>
        <w:tc>
          <w:tcPr>
            <w:tcW w:w="300" w:type="dxa"/>
            <w:vAlign w:val="bottom"/>
            <w:tcBorders>
              <w:bottom w:val="single" w:sz="8" w:color="auto"/>
            </w:tcBorders>
            <w:shd w:val="clear" w:color="auto" w:fill="FCE9E8"/>
          </w:tcPr>
          <w:p>
            <w:pPr>
              <w:spacing w:after="0"/>
              <w:rPr>
                <w:sz w:val="20"/>
                <w:szCs w:val="20"/>
                <w:color w:val="auto"/>
              </w:rPr>
            </w:pPr>
          </w:p>
        </w:tc>
        <w:tc>
          <w:tcPr>
            <w:tcW w:w="700" w:type="dxa"/>
            <w:vAlign w:val="bottom"/>
            <w:tcBorders>
              <w:bottom w:val="single" w:sz="8" w:color="auto"/>
            </w:tcBorders>
            <w:shd w:val="clear" w:color="auto" w:fill="FCE9E8"/>
          </w:tcPr>
          <w:p>
            <w:pPr>
              <w:jc w:val="right"/>
              <w:ind w:right="60"/>
              <w:spacing w:after="0"/>
              <w:rPr>
                <w:sz w:val="20"/>
                <w:szCs w:val="20"/>
                <w:color w:val="auto"/>
              </w:rPr>
            </w:pPr>
            <w:r>
              <w:rPr>
                <w:rFonts w:ascii="Arial" w:cs="Arial" w:eastAsia="Arial" w:hAnsi="Arial"/>
                <w:sz w:val="16"/>
                <w:szCs w:val="16"/>
                <w:color w:val="auto"/>
              </w:rPr>
              <w:t>(20.40)</w:t>
            </w:r>
          </w:p>
        </w:tc>
      </w:tr>
      <w:tr>
        <w:trPr>
          <w:trHeight w:val="209"/>
        </w:trPr>
        <w:tc>
          <w:tcPr>
            <w:tcW w:w="8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 attributable to Lear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98"/>
              </w:rPr>
              <w:t>322.00</w:t>
            </w:r>
          </w:p>
        </w:tc>
      </w:tr>
      <w:tr>
        <w:trPr>
          <w:trHeight w:val="210"/>
        </w:trPr>
        <w:tc>
          <w:tcPr>
            <w:tcW w:w="8920" w:type="dxa"/>
            <w:vAlign w:val="bottom"/>
            <w:shd w:val="clear" w:color="auto" w:fill="FCE9E8"/>
          </w:tcPr>
          <w:p>
            <w:pPr>
              <w:ind w:left="80"/>
              <w:spacing w:after="0"/>
              <w:rPr>
                <w:sz w:val="20"/>
                <w:szCs w:val="20"/>
                <w:color w:val="auto"/>
              </w:rPr>
            </w:pPr>
            <w:r>
              <w:rPr>
                <w:rFonts w:ascii="Arial" w:cs="Arial" w:eastAsia="Arial" w:hAnsi="Arial"/>
                <w:sz w:val="16"/>
                <w:szCs w:val="16"/>
                <w:color w:val="auto"/>
              </w:rPr>
              <w:t>Weighted average number of diluted shares outstanding</w:t>
            </w:r>
          </w:p>
        </w:tc>
        <w:tc>
          <w:tcPr>
            <w:tcW w:w="300" w:type="dxa"/>
            <w:vAlign w:val="bottom"/>
            <w:shd w:val="clear" w:color="auto" w:fill="FCE9E8"/>
          </w:tcPr>
          <w:p>
            <w:pPr>
              <w:spacing w:after="0"/>
              <w:rPr>
                <w:sz w:val="18"/>
                <w:szCs w:val="18"/>
                <w:color w:val="auto"/>
              </w:rPr>
            </w:pPr>
          </w:p>
        </w:tc>
        <w:tc>
          <w:tcPr>
            <w:tcW w:w="7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60.40</w:t>
            </w:r>
          </w:p>
        </w:tc>
      </w:tr>
      <w:tr>
        <w:trPr>
          <w:trHeight w:val="227"/>
        </w:trPr>
        <w:tc>
          <w:tcPr>
            <w:tcW w:w="8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Diluted net income per share attributable to Lear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2.62</w:t>
            </w:r>
          </w:p>
        </w:tc>
      </w:tr>
      <w:tr>
        <w:trPr>
          <w:trHeight w:val="212"/>
        </w:trPr>
        <w:tc>
          <w:tcPr>
            <w:tcW w:w="89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3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FCE9E8"/>
          </w:tcPr>
          <w:p>
            <w:pPr>
              <w:jc w:val="right"/>
              <w:ind w:right="120"/>
              <w:spacing w:after="0"/>
              <w:rPr>
                <w:sz w:val="20"/>
                <w:szCs w:val="20"/>
                <w:color w:val="auto"/>
              </w:rPr>
            </w:pPr>
            <w:r>
              <w:rPr>
                <w:rFonts w:ascii="Arial" w:cs="Arial" w:eastAsia="Arial" w:hAnsi="Arial"/>
                <w:sz w:val="16"/>
                <w:szCs w:val="16"/>
                <w:color w:val="auto"/>
              </w:rPr>
              <w:t>5.33</w:t>
            </w:r>
          </w:p>
        </w:tc>
      </w:tr>
    </w:tbl>
    <w:p>
      <w:pPr>
        <w:spacing w:after="0" w:line="45" w:lineRule="exact"/>
        <w:rPr>
          <w:sz w:val="20"/>
          <w:szCs w:val="20"/>
          <w:color w:val="auto"/>
        </w:rPr>
      </w:pPr>
    </w:p>
    <w:p>
      <w:pPr>
        <w:ind w:left="960" w:right="60" w:hanging="293"/>
        <w:spacing w:after="0" w:line="199" w:lineRule="auto"/>
        <w:tabs>
          <w:tab w:leader="none" w:pos="96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Represents the tax effect of restructuring costs and other special items, as well as several discrete tax items including changes in valuation allowances in several foreign and domestic subsidiaries. The identification of these tax items is judgmental in nature, and their calculation is based on various assumptions and estimates.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78740</wp:posOffset>
            </wp:positionV>
            <wp:extent cx="62922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8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w:t>
            </w: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E2231A"/>
              </w:rPr>
              <w:t>2020</w:t>
            </w:r>
          </w:p>
        </w:tc>
      </w:tr>
      <w:tr>
        <w:trPr>
          <w:trHeight w:val="215"/>
        </w:trPr>
        <w:tc>
          <w:tcPr>
            <w:tcW w:w="878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Net cash provided by operating activities</w:t>
            </w:r>
          </w:p>
        </w:tc>
        <w:tc>
          <w:tcPr>
            <w:tcW w:w="114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$ 633.10</w:t>
            </w:r>
          </w:p>
        </w:tc>
      </w:tr>
      <w:tr>
        <w:trPr>
          <w:trHeight w:val="226"/>
        </w:trPr>
        <w:tc>
          <w:tcPr>
            <w:tcW w:w="8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Capital expenditures</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(452.30)</w:t>
            </w:r>
          </w:p>
        </w:tc>
      </w:tr>
      <w:tr>
        <w:trPr>
          <w:trHeight w:val="212"/>
        </w:trPr>
        <w:tc>
          <w:tcPr>
            <w:tcW w:w="87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b w:val="1"/>
                <w:bCs w:val="1"/>
                <w:color w:val="auto"/>
              </w:rPr>
              <w:t>Free cash flow</w:t>
            </w:r>
          </w:p>
        </w:tc>
        <w:tc>
          <w:tcPr>
            <w:tcW w:w="1140" w:type="dxa"/>
            <w:vAlign w:val="bottom"/>
            <w:tcBorders>
              <w:bottom w:val="single" w:sz="8" w:color="auto"/>
            </w:tcBorders>
            <w:shd w:val="clear" w:color="auto" w:fill="FCE9E8"/>
          </w:tcPr>
          <w:p>
            <w:pPr>
              <w:jc w:val="right"/>
              <w:ind w:right="221"/>
              <w:spacing w:after="0"/>
              <w:rPr>
                <w:sz w:val="20"/>
                <w:szCs w:val="20"/>
                <w:color w:val="auto"/>
              </w:rPr>
            </w:pPr>
            <w:r>
              <w:rPr>
                <w:rFonts w:ascii="Arial" w:cs="Arial" w:eastAsia="Arial" w:hAnsi="Arial"/>
                <w:sz w:val="16"/>
                <w:szCs w:val="16"/>
                <w:color w:val="auto"/>
              </w:rPr>
              <w:t>$ 210.80</w:t>
            </w:r>
          </w:p>
        </w:tc>
      </w:tr>
    </w:tbl>
    <w:p>
      <w:pPr>
        <w:spacing w:after="0" w:line="200" w:lineRule="exact"/>
        <w:rPr>
          <w:sz w:val="20"/>
          <w:szCs w:val="20"/>
          <w:color w:val="auto"/>
        </w:rPr>
      </w:pPr>
    </w:p>
    <w:p>
      <w:pPr>
        <w:spacing w:after="0" w:line="223" w:lineRule="exact"/>
        <w:rPr>
          <w:sz w:val="20"/>
          <w:szCs w:val="20"/>
          <w:color w:val="auto"/>
        </w:rPr>
      </w:pPr>
    </w:p>
    <w:p>
      <w:pPr>
        <w:ind w:left="380"/>
        <w:spacing w:after="0"/>
        <w:tabs>
          <w:tab w:leader="none" w:pos="820" w:val="left"/>
          <w:tab w:leader="none" w:pos="10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59" w:right="99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LEAR CORPORATION</w:t>
      </w:r>
    </w:p>
    <w:p>
      <w:pPr>
        <w:ind w:left="400"/>
        <w:spacing w:after="0"/>
        <w:rPr>
          <w:sz w:val="20"/>
          <w:szCs w:val="20"/>
          <w:color w:val="auto"/>
        </w:rPr>
      </w:pPr>
      <w:r>
        <w:rPr>
          <w:rFonts w:ascii="Arial" w:cs="Arial" w:eastAsia="Arial" w:hAnsi="Arial"/>
          <w:sz w:val="13"/>
          <w:szCs w:val="13"/>
          <w:i w:val="1"/>
          <w:iCs w:val="1"/>
          <w:color w:val="auto"/>
        </w:rPr>
        <w:t>ATTN: INVESTOR RELATIONS</w:t>
      </w:r>
    </w:p>
    <w:p>
      <w:pPr>
        <w:ind w:left="400"/>
        <w:spacing w:after="0" w:line="221" w:lineRule="auto"/>
        <w:rPr>
          <w:sz w:val="20"/>
          <w:szCs w:val="20"/>
          <w:color w:val="auto"/>
        </w:rPr>
      </w:pPr>
      <w:r>
        <w:rPr>
          <w:rFonts w:ascii="Arial" w:cs="Arial" w:eastAsia="Arial" w:hAnsi="Arial"/>
          <w:sz w:val="14"/>
          <w:szCs w:val="14"/>
          <w:i w:val="1"/>
          <w:iCs w:val="1"/>
          <w:color w:val="auto"/>
        </w:rPr>
        <w:t>21557 TELEGRAPH ROAD</w:t>
      </w:r>
    </w:p>
    <w:p>
      <w:pPr>
        <w:ind w:left="400"/>
        <w:spacing w:after="0"/>
        <w:rPr>
          <w:sz w:val="20"/>
          <w:szCs w:val="20"/>
          <w:color w:val="auto"/>
        </w:rPr>
      </w:pPr>
      <w:r>
        <w:rPr>
          <w:rFonts w:ascii="Arial" w:cs="Arial" w:eastAsia="Arial" w:hAnsi="Arial"/>
          <w:sz w:val="14"/>
          <w:szCs w:val="14"/>
          <w:i w:val="1"/>
          <w:iCs w:val="1"/>
          <w:color w:val="auto"/>
        </w:rPr>
        <w:t>SOUTHFIELD, MI 48033</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www.virtualshareholdermeeting.com/LEA2021</w:t>
      </w:r>
    </w:p>
    <w:p>
      <w:pPr>
        <w:spacing w:after="0" w:line="127" w:lineRule="exact"/>
        <w:rPr>
          <w:sz w:val="20"/>
          <w:szCs w:val="20"/>
          <w:color w:val="auto"/>
        </w:rPr>
      </w:pPr>
    </w:p>
    <w:p>
      <w:pPr>
        <w:jc w:val="both"/>
        <w:ind w:right="640"/>
        <w:spacing w:after="0" w:line="238"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0" w:type="dxa"/>
        <w:tblCellMar>
          <w:top w:w="0" w:type="dxa"/>
          <w:left w:w="0" w:type="dxa"/>
          <w:bottom w:w="0" w:type="dxa"/>
          <w:right w:w="0" w:type="dxa"/>
        </w:tblCellMar>
      </w:tblPr>
      <w:tr>
        <w:trPr>
          <w:trHeight w:val="160"/>
        </w:trPr>
        <w:tc>
          <w:tcPr>
            <w:tcW w:w="834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680" w:type="dxa"/>
            <w:vAlign w:val="bottom"/>
          </w:tcPr>
          <w:p>
            <w:pPr>
              <w:spacing w:after="0"/>
              <w:rPr>
                <w:sz w:val="13"/>
                <w:szCs w:val="13"/>
                <w:color w:val="auto"/>
              </w:rPr>
            </w:pPr>
          </w:p>
        </w:tc>
      </w:tr>
      <w:tr>
        <w:trPr>
          <w:trHeight w:val="137"/>
        </w:trPr>
        <w:tc>
          <w:tcPr>
            <w:tcW w:w="8340" w:type="dxa"/>
            <w:vAlign w:val="bottom"/>
          </w:tcPr>
          <w:p>
            <w:pPr>
              <w:ind w:left="6800"/>
              <w:spacing w:after="0" w:line="137" w:lineRule="exact"/>
              <w:rPr>
                <w:sz w:val="20"/>
                <w:szCs w:val="20"/>
                <w:color w:val="auto"/>
              </w:rPr>
            </w:pPr>
            <w:r>
              <w:rPr>
                <w:rFonts w:ascii="Arial" w:cs="Arial" w:eastAsia="Arial" w:hAnsi="Arial"/>
                <w:sz w:val="13"/>
                <w:szCs w:val="13"/>
                <w:color w:val="auto"/>
              </w:rPr>
              <w:t>D45921-P53338</w:t>
            </w:r>
          </w:p>
        </w:tc>
        <w:tc>
          <w:tcPr>
            <w:tcW w:w="2680" w:type="dxa"/>
            <w:vAlign w:val="bottom"/>
          </w:tcPr>
          <w:p>
            <w:pPr>
              <w:jc w:val="right"/>
              <w:spacing w:after="0" w:line="137" w:lineRule="exact"/>
              <w:rPr>
                <w:sz w:val="20"/>
                <w:szCs w:val="20"/>
                <w:color w:val="auto"/>
              </w:rPr>
            </w:pPr>
            <w:r>
              <w:rPr>
                <w:rFonts w:ascii="Arial" w:cs="Arial" w:eastAsia="Arial" w:hAnsi="Arial"/>
                <w:sz w:val="13"/>
                <w:szCs w:val="13"/>
                <w:color w:val="auto"/>
                <w:w w:val="97"/>
              </w:rPr>
              <w:t>KEEP THIS PORTION FOR YOUR RECORDS</w:t>
            </w:r>
          </w:p>
        </w:tc>
      </w:tr>
      <w:tr>
        <w:trPr>
          <w:trHeight w:val="135"/>
        </w:trPr>
        <w:tc>
          <w:tcPr>
            <w:tcW w:w="8340" w:type="dxa"/>
            <w:vAlign w:val="bottom"/>
          </w:tcPr>
          <w:p>
            <w:pPr>
              <w:ind w:left="20"/>
              <w:spacing w:after="0" w:line="135" w:lineRule="exact"/>
              <w:rPr>
                <w:sz w:val="20"/>
                <w:szCs w:val="20"/>
                <w:color w:val="auto"/>
              </w:rPr>
            </w:pPr>
            <w:r>
              <w:rPr>
                <w:rFonts w:ascii="Arial" w:cs="Arial" w:eastAsia="Arial" w:hAnsi="Arial"/>
                <w:sz w:val="13"/>
                <w:szCs w:val="13"/>
                <w:color w:val="auto"/>
                <w:w w:val="96"/>
              </w:rPr>
              <w:t>— — — — — — — — — — — — — — — — — — — — — — — — — — — — — — — — — — — — — — — — — — — — — — — — — — — —</w:t>
            </w:r>
          </w:p>
        </w:tc>
        <w:tc>
          <w:tcPr>
            <w:tcW w:w="2680" w:type="dxa"/>
            <w:vAlign w:val="bottom"/>
          </w:tcPr>
          <w:p>
            <w:pPr>
              <w:spacing w:after="0"/>
              <w:rPr>
                <w:sz w:val="11"/>
                <w:szCs w:val="11"/>
                <w:color w:val="auto"/>
              </w:rPr>
            </w:pPr>
          </w:p>
        </w:tc>
      </w:tr>
      <w:tr>
        <w:trPr>
          <w:trHeight w:val="127"/>
        </w:trPr>
        <w:tc>
          <w:tcPr>
            <w:tcW w:w="8340" w:type="dxa"/>
            <w:vAlign w:val="bottom"/>
          </w:tcPr>
          <w:p>
            <w:pPr>
              <w:spacing w:after="0" w:line="127" w:lineRule="exact"/>
              <w:rPr>
                <w:sz w:val="20"/>
                <w:szCs w:val="20"/>
                <w:color w:val="auto"/>
              </w:rPr>
            </w:pPr>
            <w:r>
              <w:rPr>
                <w:rFonts w:ascii="Arial" w:cs="Arial" w:eastAsia="Arial" w:hAnsi="Arial"/>
                <w:sz w:val="13"/>
                <w:szCs w:val="13"/>
                <w:color w:val="auto"/>
              </w:rPr>
              <w:t>— — — — — — — — — — — — — — — — — —</w:t>
            </w:r>
          </w:p>
        </w:tc>
        <w:tc>
          <w:tcPr>
            <w:tcW w:w="2680" w:type="dxa"/>
            <w:vAlign w:val="bottom"/>
          </w:tcPr>
          <w:p>
            <w:pPr>
              <w:spacing w:after="0"/>
              <w:rPr>
                <w:sz w:val="11"/>
                <w:szCs w:val="11"/>
                <w:color w:val="auto"/>
              </w:rPr>
            </w:pPr>
          </w:p>
        </w:tc>
      </w:tr>
      <w:tr>
        <w:trPr>
          <w:trHeight w:val="186"/>
        </w:trPr>
        <w:tc>
          <w:tcPr>
            <w:tcW w:w="8340" w:type="dxa"/>
            <w:vAlign w:val="bottom"/>
          </w:tcPr>
          <w:p>
            <w:pPr>
              <w:ind w:left="31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680" w:type="dxa"/>
            <w:vAlign w:val="bottom"/>
          </w:tcPr>
          <w:p>
            <w:pPr>
              <w:jc w:val="right"/>
              <w:spacing w:after="0"/>
              <w:rPr>
                <w:sz w:val="20"/>
                <w:szCs w:val="20"/>
                <w:color w:val="auto"/>
              </w:rPr>
            </w:pPr>
            <w:r>
              <w:rPr>
                <w:rFonts w:ascii="Arial" w:cs="Arial" w:eastAsia="Arial" w:hAnsi="Arial"/>
                <w:sz w:val="13"/>
                <w:szCs w:val="13"/>
                <w:color w:val="auto"/>
                <w:w w:val="95"/>
              </w:rPr>
              <w:t>DETACH AND RETURN THIS PORTION ONLY</w:t>
            </w:r>
          </w:p>
        </w:tc>
      </w:tr>
      <w:tr>
        <w:trPr>
          <w:trHeight w:val="445"/>
        </w:trPr>
        <w:tc>
          <w:tcPr>
            <w:tcW w:w="8340" w:type="dxa"/>
            <w:vAlign w:val="bottom"/>
          </w:tcPr>
          <w:p>
            <w:pPr>
              <w:ind w:left="180"/>
              <w:spacing w:after="0"/>
              <w:rPr>
                <w:sz w:val="20"/>
                <w:szCs w:val="20"/>
                <w:color w:val="auto"/>
              </w:rPr>
            </w:pPr>
            <w:r>
              <w:rPr>
                <w:rFonts w:ascii="Arial" w:cs="Arial" w:eastAsia="Arial" w:hAnsi="Arial"/>
                <w:sz w:val="14"/>
                <w:szCs w:val="14"/>
                <w:b w:val="1"/>
                <w:bCs w:val="1"/>
                <w:color w:val="auto"/>
              </w:rPr>
              <w:t>LEAR CORPORATION</w:t>
            </w:r>
          </w:p>
        </w:tc>
        <w:tc>
          <w:tcPr>
            <w:tcW w:w="2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994525" cy="37547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4525" cy="37547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5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98" w:lineRule="exact"/>
        <w:rPr>
          <w:sz w:val="20"/>
          <w:szCs w:val="20"/>
          <w:color w:val="auto"/>
        </w:rPr>
      </w:pPr>
    </w:p>
    <w:p>
      <w:pPr>
        <w:ind w:left="1100" w:hanging="377"/>
        <w:spacing w:after="0"/>
        <w:tabs>
          <w:tab w:leader="none" w:pos="110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05" w:lineRule="exact"/>
        <w:rPr>
          <w:sz w:val="20"/>
          <w:szCs w:val="20"/>
          <w:color w:val="auto"/>
        </w:rPr>
      </w:pPr>
    </w:p>
    <w:tbl>
      <w:tblPr>
        <w:tblLayout w:type="fixed"/>
        <w:tblInd w:w="1100" w:type="dxa"/>
        <w:tblCellMar>
          <w:top w:w="0" w:type="dxa"/>
          <w:left w:w="0" w:type="dxa"/>
          <w:bottom w:w="0" w:type="dxa"/>
          <w:right w:w="0" w:type="dxa"/>
        </w:tblCellMar>
      </w:tblPr>
      <w:tr>
        <w:trPr>
          <w:trHeight w:val="186"/>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Against</w:t>
            </w: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89"/>
              </w:rPr>
              <w:t>Abstain</w:t>
            </w:r>
          </w:p>
        </w:tc>
      </w:tr>
      <w:tr>
        <w:trPr>
          <w:trHeight w:val="353"/>
        </w:trPr>
        <w:tc>
          <w:tcPr>
            <w:tcW w:w="240" w:type="dxa"/>
            <w:vAlign w:val="bottom"/>
          </w:tcPr>
          <w:p>
            <w:pPr>
              <w:spacing w:after="0"/>
              <w:rPr>
                <w:sz w:val="20"/>
                <w:szCs w:val="20"/>
                <w:color w:val="auto"/>
              </w:rPr>
            </w:pPr>
            <w:r>
              <w:rPr>
                <w:rFonts w:ascii="Arial" w:cs="Arial" w:eastAsia="Arial" w:hAnsi="Arial"/>
                <w:sz w:val="14"/>
                <w:szCs w:val="14"/>
                <w:color w:val="auto"/>
              </w:rPr>
              <w:t>1a.</w:t>
            </w:r>
          </w:p>
        </w:tc>
        <w:tc>
          <w:tcPr>
            <w:tcW w:w="1460" w:type="dxa"/>
            <w:vAlign w:val="bottom"/>
          </w:tcPr>
          <w:p>
            <w:pPr>
              <w:ind w:left="40"/>
              <w:spacing w:after="0"/>
              <w:rPr>
                <w:sz w:val="20"/>
                <w:szCs w:val="20"/>
                <w:color w:val="auto"/>
              </w:rPr>
            </w:pPr>
            <w:r>
              <w:rPr>
                <w:rFonts w:ascii="Arial" w:cs="Arial" w:eastAsia="Arial" w:hAnsi="Arial"/>
                <w:sz w:val="14"/>
                <w:szCs w:val="14"/>
                <w:color w:val="auto"/>
              </w:rPr>
              <w:t>Mei-Wei Cheng</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240" w:type="dxa"/>
            <w:vAlign w:val="bottom"/>
          </w:tcPr>
          <w:p>
            <w:pPr>
              <w:spacing w:after="0"/>
              <w:rPr>
                <w:sz w:val="20"/>
                <w:szCs w:val="20"/>
                <w:color w:val="auto"/>
              </w:rPr>
            </w:pPr>
            <w:r>
              <w:rPr>
                <w:rFonts w:ascii="Arial" w:cs="Arial" w:eastAsia="Arial" w:hAnsi="Arial"/>
                <w:sz w:val="14"/>
                <w:szCs w:val="14"/>
                <w:color w:val="auto"/>
              </w:rPr>
              <w:t>1b.</w:t>
            </w:r>
          </w:p>
        </w:tc>
        <w:tc>
          <w:tcPr>
            <w:tcW w:w="1460" w:type="dxa"/>
            <w:vAlign w:val="bottom"/>
          </w:tcPr>
          <w:p>
            <w:pPr>
              <w:ind w:left="40"/>
              <w:spacing w:after="0"/>
              <w:rPr>
                <w:sz w:val="20"/>
                <w:szCs w:val="20"/>
                <w:color w:val="auto"/>
              </w:rPr>
            </w:pPr>
            <w:r>
              <w:rPr>
                <w:rFonts w:ascii="Arial" w:cs="Arial" w:eastAsia="Arial" w:hAnsi="Arial"/>
                <w:sz w:val="14"/>
                <w:szCs w:val="14"/>
                <w:color w:val="auto"/>
              </w:rPr>
              <w:t>Jonathan F. Foster</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40" w:type="dxa"/>
            <w:vAlign w:val="bottom"/>
          </w:tcPr>
          <w:p>
            <w:pPr>
              <w:spacing w:after="0"/>
              <w:rPr>
                <w:sz w:val="20"/>
                <w:szCs w:val="20"/>
                <w:color w:val="auto"/>
              </w:rPr>
            </w:pPr>
            <w:r>
              <w:rPr>
                <w:rFonts w:ascii="Arial" w:cs="Arial" w:eastAsia="Arial" w:hAnsi="Arial"/>
                <w:sz w:val="14"/>
                <w:szCs w:val="14"/>
                <w:color w:val="auto"/>
              </w:rPr>
              <w:t>1c.</w:t>
            </w:r>
          </w:p>
        </w:tc>
        <w:tc>
          <w:tcPr>
            <w:tcW w:w="1460" w:type="dxa"/>
            <w:vAlign w:val="bottom"/>
          </w:tcPr>
          <w:p>
            <w:pPr>
              <w:ind w:left="40"/>
              <w:spacing w:after="0"/>
              <w:rPr>
                <w:sz w:val="20"/>
                <w:szCs w:val="20"/>
                <w:color w:val="auto"/>
              </w:rPr>
            </w:pPr>
            <w:r>
              <w:rPr>
                <w:rFonts w:ascii="Arial" w:cs="Arial" w:eastAsia="Arial" w:hAnsi="Arial"/>
                <w:sz w:val="14"/>
                <w:szCs w:val="14"/>
                <w:color w:val="auto"/>
              </w:rPr>
              <w:t>Bradley M. Halverson</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40" w:type="dxa"/>
            <w:vAlign w:val="bottom"/>
          </w:tcPr>
          <w:p>
            <w:pPr>
              <w:spacing w:after="0"/>
              <w:rPr>
                <w:sz w:val="20"/>
                <w:szCs w:val="20"/>
                <w:color w:val="auto"/>
              </w:rPr>
            </w:pPr>
            <w:r>
              <w:rPr>
                <w:rFonts w:ascii="Arial" w:cs="Arial" w:eastAsia="Arial" w:hAnsi="Arial"/>
                <w:sz w:val="14"/>
                <w:szCs w:val="14"/>
                <w:color w:val="auto"/>
              </w:rPr>
              <w:t>1d.</w:t>
            </w:r>
          </w:p>
        </w:tc>
        <w:tc>
          <w:tcPr>
            <w:tcW w:w="1460" w:type="dxa"/>
            <w:vAlign w:val="bottom"/>
          </w:tcPr>
          <w:p>
            <w:pPr>
              <w:ind w:left="40"/>
              <w:spacing w:after="0"/>
              <w:rPr>
                <w:sz w:val="20"/>
                <w:szCs w:val="20"/>
                <w:color w:val="auto"/>
              </w:rPr>
            </w:pPr>
            <w:r>
              <w:rPr>
                <w:rFonts w:ascii="Arial" w:cs="Arial" w:eastAsia="Arial" w:hAnsi="Arial"/>
                <w:sz w:val="14"/>
                <w:szCs w:val="14"/>
                <w:color w:val="auto"/>
              </w:rPr>
              <w:t>Mary Lou Jepsen</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40" w:type="dxa"/>
            <w:vAlign w:val="bottom"/>
          </w:tcPr>
          <w:p>
            <w:pPr>
              <w:spacing w:after="0"/>
              <w:rPr>
                <w:sz w:val="20"/>
                <w:szCs w:val="20"/>
                <w:color w:val="auto"/>
              </w:rPr>
            </w:pPr>
            <w:r>
              <w:rPr>
                <w:rFonts w:ascii="Arial" w:cs="Arial" w:eastAsia="Arial" w:hAnsi="Arial"/>
                <w:sz w:val="14"/>
                <w:szCs w:val="14"/>
                <w:color w:val="auto"/>
              </w:rPr>
              <w:t>1e.</w:t>
            </w:r>
          </w:p>
        </w:tc>
        <w:tc>
          <w:tcPr>
            <w:tcW w:w="1460" w:type="dxa"/>
            <w:vAlign w:val="bottom"/>
          </w:tcPr>
          <w:p>
            <w:pPr>
              <w:ind w:left="40"/>
              <w:spacing w:after="0"/>
              <w:rPr>
                <w:sz w:val="20"/>
                <w:szCs w:val="20"/>
                <w:color w:val="auto"/>
              </w:rPr>
            </w:pPr>
            <w:r>
              <w:rPr>
                <w:rFonts w:ascii="Arial" w:cs="Arial" w:eastAsia="Arial" w:hAnsi="Arial"/>
                <w:sz w:val="14"/>
                <w:szCs w:val="14"/>
                <w:color w:val="auto"/>
              </w:rPr>
              <w:t>Roger A. Krone</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97"/>
        </w:trPr>
        <w:tc>
          <w:tcPr>
            <w:tcW w:w="240" w:type="dxa"/>
            <w:vAlign w:val="bottom"/>
          </w:tcPr>
          <w:p>
            <w:pPr>
              <w:spacing w:after="0"/>
              <w:rPr>
                <w:sz w:val="20"/>
                <w:szCs w:val="20"/>
                <w:color w:val="auto"/>
              </w:rPr>
            </w:pPr>
            <w:r>
              <w:rPr>
                <w:rFonts w:ascii="Arial" w:cs="Arial" w:eastAsia="Arial" w:hAnsi="Arial"/>
                <w:sz w:val="14"/>
                <w:szCs w:val="14"/>
                <w:color w:val="auto"/>
              </w:rPr>
              <w:t>1f.</w:t>
            </w:r>
          </w:p>
        </w:tc>
        <w:tc>
          <w:tcPr>
            <w:tcW w:w="1460" w:type="dxa"/>
            <w:vAlign w:val="bottom"/>
          </w:tcPr>
          <w:p>
            <w:pPr>
              <w:ind w:left="40"/>
              <w:spacing w:after="0"/>
              <w:rPr>
                <w:sz w:val="20"/>
                <w:szCs w:val="20"/>
                <w:color w:val="auto"/>
              </w:rPr>
            </w:pPr>
            <w:r>
              <w:rPr>
                <w:rFonts w:ascii="Arial" w:cs="Arial" w:eastAsia="Arial" w:hAnsi="Arial"/>
                <w:sz w:val="14"/>
                <w:szCs w:val="14"/>
                <w:color w:val="auto"/>
              </w:rPr>
              <w:t>Patricia L. Lewis</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10"/>
        </w:trPr>
        <w:tc>
          <w:tcPr>
            <w:tcW w:w="240" w:type="dxa"/>
            <w:vAlign w:val="bottom"/>
          </w:tcPr>
          <w:p>
            <w:pPr>
              <w:spacing w:after="0"/>
              <w:rPr>
                <w:sz w:val="20"/>
                <w:szCs w:val="20"/>
                <w:color w:val="auto"/>
              </w:rPr>
            </w:pPr>
            <w:r>
              <w:rPr>
                <w:rFonts w:ascii="Arial" w:cs="Arial" w:eastAsia="Arial" w:hAnsi="Arial"/>
                <w:sz w:val="14"/>
                <w:szCs w:val="14"/>
                <w:color w:val="auto"/>
              </w:rPr>
              <w:t>1g.</w:t>
            </w:r>
          </w:p>
        </w:tc>
        <w:tc>
          <w:tcPr>
            <w:tcW w:w="1460" w:type="dxa"/>
            <w:vAlign w:val="bottom"/>
          </w:tcPr>
          <w:p>
            <w:pPr>
              <w:ind w:left="40"/>
              <w:spacing w:after="0"/>
              <w:rPr>
                <w:sz w:val="20"/>
                <w:szCs w:val="20"/>
                <w:color w:val="auto"/>
              </w:rPr>
            </w:pPr>
            <w:r>
              <w:rPr>
                <w:rFonts w:ascii="Arial" w:cs="Arial" w:eastAsia="Arial" w:hAnsi="Arial"/>
                <w:sz w:val="14"/>
                <w:szCs w:val="14"/>
                <w:color w:val="auto"/>
              </w:rPr>
              <w:t>Kathleen A. Ligocki</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51"/>
        </w:trPr>
        <w:tc>
          <w:tcPr>
            <w:tcW w:w="1700" w:type="dxa"/>
            <w:vAlign w:val="bottom"/>
            <w:gridSpan w:val="2"/>
          </w:tcPr>
          <w:p>
            <w:pPr>
              <w:spacing w:after="0"/>
              <w:rPr>
                <w:sz w:val="20"/>
                <w:szCs w:val="20"/>
                <w:color w:val="auto"/>
              </w:rPr>
            </w:pPr>
            <w:r>
              <w:rPr>
                <w:rFonts w:ascii="Arial" w:cs="Arial" w:eastAsia="Arial" w:hAnsi="Arial"/>
                <w:sz w:val="14"/>
                <w:szCs w:val="14"/>
                <w:color w:val="auto"/>
              </w:rPr>
              <w:t>1h.  Conrad L. Mallett, Jr.</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51"/>
        </w:trPr>
        <w:tc>
          <w:tcPr>
            <w:tcW w:w="240" w:type="dxa"/>
            <w:vAlign w:val="bottom"/>
          </w:tcPr>
          <w:p>
            <w:pPr>
              <w:spacing w:after="0"/>
              <w:rPr>
                <w:sz w:val="20"/>
                <w:szCs w:val="20"/>
                <w:color w:val="auto"/>
              </w:rPr>
            </w:pPr>
            <w:r>
              <w:rPr>
                <w:rFonts w:ascii="Arial" w:cs="Arial" w:eastAsia="Arial" w:hAnsi="Arial"/>
                <w:sz w:val="14"/>
                <w:szCs w:val="14"/>
                <w:color w:val="auto"/>
              </w:rPr>
              <w:t>1i.</w:t>
            </w:r>
          </w:p>
        </w:tc>
        <w:tc>
          <w:tcPr>
            <w:tcW w:w="1460" w:type="dxa"/>
            <w:vAlign w:val="bottom"/>
          </w:tcPr>
          <w:p>
            <w:pPr>
              <w:ind w:left="40"/>
              <w:spacing w:after="0"/>
              <w:rPr>
                <w:sz w:val="20"/>
                <w:szCs w:val="20"/>
                <w:color w:val="auto"/>
              </w:rPr>
            </w:pPr>
            <w:r>
              <w:rPr>
                <w:rFonts w:ascii="Arial" w:cs="Arial" w:eastAsia="Arial" w:hAnsi="Arial"/>
                <w:sz w:val="14"/>
                <w:szCs w:val="14"/>
                <w:color w:val="auto"/>
              </w:rPr>
              <w:t>Raymond E. Scott</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51"/>
        </w:trPr>
        <w:tc>
          <w:tcPr>
            <w:tcW w:w="240" w:type="dxa"/>
            <w:vAlign w:val="bottom"/>
          </w:tcPr>
          <w:p>
            <w:pPr>
              <w:spacing w:after="0"/>
              <w:rPr>
                <w:sz w:val="20"/>
                <w:szCs w:val="20"/>
                <w:color w:val="auto"/>
              </w:rPr>
            </w:pPr>
            <w:r>
              <w:rPr>
                <w:rFonts w:ascii="Arial" w:cs="Arial" w:eastAsia="Arial" w:hAnsi="Arial"/>
                <w:sz w:val="14"/>
                <w:szCs w:val="14"/>
                <w:color w:val="auto"/>
              </w:rPr>
              <w:t>1j.</w:t>
            </w:r>
          </w:p>
        </w:tc>
        <w:tc>
          <w:tcPr>
            <w:tcW w:w="1460" w:type="dxa"/>
            <w:vAlign w:val="bottom"/>
          </w:tcPr>
          <w:p>
            <w:pPr>
              <w:ind w:left="40"/>
              <w:spacing w:after="0"/>
              <w:rPr>
                <w:sz w:val="20"/>
                <w:szCs w:val="20"/>
                <w:color w:val="auto"/>
              </w:rPr>
            </w:pPr>
            <w:r>
              <w:rPr>
                <w:rFonts w:ascii="Arial" w:cs="Arial" w:eastAsia="Arial" w:hAnsi="Arial"/>
                <w:sz w:val="14"/>
                <w:szCs w:val="14"/>
                <w:color w:val="auto"/>
              </w:rPr>
              <w:t>Gregory C. Smith</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240" w:val="left"/>
          <w:tab w:leader="none" w:pos="4620" w:val="left"/>
          <w:tab w:leader="none" w:pos="5380" w:val="left"/>
        </w:tabs>
        <w:rPr>
          <w:sz w:val="20"/>
          <w:szCs w:val="20"/>
          <w:color w:val="auto"/>
        </w:rPr>
      </w:pPr>
      <w:r>
        <w:rPr>
          <w:rFonts w:ascii="Arial" w:cs="Arial" w:eastAsia="Arial" w:hAnsi="Arial"/>
          <w:sz w:val="14"/>
          <w:szCs w:val="14"/>
          <w:b w:val="1"/>
          <w:bCs w:val="1"/>
          <w:color w:val="auto"/>
        </w:rPr>
        <w:t>The Board of Directors recommends you vote FOR proposals 2</w:t>
      </w:r>
      <w:r>
        <w:rPr>
          <w:sz w:val="20"/>
          <w:szCs w:val="20"/>
          <w:color w:val="auto"/>
        </w:rPr>
        <w:tab/>
      </w: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 3.</w:t>
      </w:r>
    </w:p>
    <w:p>
      <w:pPr>
        <w:spacing w:after="0" w:line="83" w:lineRule="exact"/>
        <w:rPr>
          <w:sz w:val="20"/>
          <w:szCs w:val="20"/>
          <w:color w:val="auto"/>
        </w:rPr>
      </w:pPr>
    </w:p>
    <w:p>
      <w:pPr>
        <w:spacing w:after="0" w:line="161" w:lineRule="exact"/>
        <w:tabs>
          <w:tab w:leader="none" w:pos="4280" w:val="left"/>
          <w:tab w:leader="none" w:pos="4860" w:val="left"/>
          <w:tab w:leader="none" w:pos="5560" w:val="left"/>
        </w:tabs>
        <w:rPr>
          <w:sz w:val="20"/>
          <w:szCs w:val="20"/>
          <w:color w:val="auto"/>
        </w:rPr>
      </w:pPr>
      <w:r>
        <w:rPr>
          <w:rFonts w:ascii="Arial" w:cs="Arial" w:eastAsia="Arial" w:hAnsi="Arial"/>
          <w:sz w:val="14"/>
          <w:szCs w:val="14"/>
          <w:color w:val="auto"/>
        </w:rPr>
        <w:t>2. Ratification of the retention of Ernst &amp; Young LLP as our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independent registered public accounting firm for 2021.</w:t>
      </w:r>
    </w:p>
    <w:p>
      <w:pPr>
        <w:spacing w:after="0" w:line="150" w:lineRule="exact"/>
        <w:rPr>
          <w:sz w:val="20"/>
          <w:szCs w:val="20"/>
          <w:color w:val="auto"/>
        </w:rPr>
      </w:pPr>
    </w:p>
    <w:p>
      <w:pPr>
        <w:spacing w:after="0" w:line="161" w:lineRule="exact"/>
        <w:tabs>
          <w:tab w:leader="none" w:pos="4280" w:val="left"/>
          <w:tab w:leader="none" w:pos="4860" w:val="left"/>
          <w:tab w:leader="none" w:pos="5560" w:val="left"/>
        </w:tabs>
        <w:rPr>
          <w:sz w:val="20"/>
          <w:szCs w:val="20"/>
          <w:color w:val="auto"/>
        </w:rPr>
      </w:pPr>
      <w:r>
        <w:rPr>
          <w:rFonts w:ascii="Arial" w:cs="Arial" w:eastAsia="Arial" w:hAnsi="Arial"/>
          <w:sz w:val="14"/>
          <w:szCs w:val="14"/>
          <w:color w:val="auto"/>
        </w:rPr>
        <w:t>3. Approve, in a non-binding advisory vote, Lear Corporation’s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executive compensation.</w:t>
      </w:r>
    </w:p>
    <w:p>
      <w:pPr>
        <w:spacing w:after="0" w:line="323" w:lineRule="exact"/>
        <w:rPr>
          <w:sz w:val="20"/>
          <w:szCs w:val="20"/>
          <w:color w:val="auto"/>
        </w:rPr>
      </w:pPr>
    </w:p>
    <w:p>
      <w:pPr>
        <w:ind w:right="1780"/>
        <w:spacing w:after="0" w:line="25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1433" w:lineRule="exact"/>
        <w:rPr>
          <w:sz w:val="20"/>
          <w:szCs w:val="20"/>
          <w:color w:val="auto"/>
        </w:rPr>
      </w:pPr>
    </w:p>
    <w:p>
      <w:pPr>
        <w:sectPr>
          <w:pgSz w:w="11900" w:h="16838" w:orient="portrait"/>
          <w:cols w:equalWidth="0" w:num="2">
            <w:col w:w="4740" w:space="160"/>
            <w:col w:w="6240"/>
          </w:cols>
          <w:pgMar w:left="320" w:top="459" w:right="439" w:bottom="1440" w:gutter="0" w:footer="0" w:header="0"/>
          <w:type w:val="continuous"/>
        </w:sectPr>
      </w:pPr>
    </w:p>
    <w:p>
      <w:pPr>
        <w:spacing w:after="0" w:line="20" w:lineRule="exact"/>
        <w:rPr>
          <w:sz w:val="20"/>
          <w:szCs w:val="20"/>
          <w:color w:val="auto"/>
        </w:rPr>
      </w:pPr>
    </w:p>
    <w:p>
      <w:pPr>
        <w:ind w:left="720" w:right="216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tabs>
          <w:tab w:leader="none" w:pos="3820" w:val="left"/>
          <w:tab w:leader="none" w:pos="6180" w:val="left"/>
          <w:tab w:leader="none" w:pos="89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right="3460"/>
        <w:spacing w:after="0" w:line="256" w:lineRule="auto"/>
        <w:rPr>
          <w:sz w:val="20"/>
          <w:szCs w:val="20"/>
          <w:color w:val="auto"/>
        </w:rPr>
      </w:pPr>
      <w:r>
        <w:rPr>
          <w:rFonts w:ascii="Arial" w:cs="Arial" w:eastAsia="Arial" w:hAnsi="Arial"/>
          <w:sz w:val="18"/>
          <w:szCs w:val="18"/>
          <w:color w:val="auto"/>
        </w:rPr>
        <w:t>— — —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D45922-P53338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15240</wp:posOffset>
            </wp:positionV>
            <wp:extent cx="7003415" cy="42341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03415" cy="423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LEAR CORPORATION</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This proxy is solicited on behalf of the Board of Directors of Lear Corporation for the</w:t>
      </w:r>
    </w:p>
    <w:p>
      <w:pPr>
        <w:jc w:val="center"/>
        <w:ind w:right="-239"/>
        <w:spacing w:after="0" w:line="230" w:lineRule="auto"/>
        <w:rPr>
          <w:sz w:val="20"/>
          <w:szCs w:val="20"/>
          <w:color w:val="auto"/>
        </w:rPr>
      </w:pPr>
      <w:r>
        <w:rPr>
          <w:rFonts w:ascii="Arial" w:cs="Arial" w:eastAsia="Arial" w:hAnsi="Arial"/>
          <w:sz w:val="22"/>
          <w:szCs w:val="22"/>
          <w:b w:val="1"/>
          <w:bCs w:val="1"/>
          <w:color w:val="auto"/>
        </w:rPr>
        <w:t>Annual Meeting of Stockholders 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May 20, 2021, at 9:00 a.m. (Eastern Daylight Time)</w:t>
      </w:r>
    </w:p>
    <w:p>
      <w:pPr>
        <w:spacing w:after="0" w:line="195" w:lineRule="exact"/>
        <w:rPr>
          <w:sz w:val="20"/>
          <w:szCs w:val="20"/>
          <w:color w:val="auto"/>
        </w:rPr>
      </w:pPr>
    </w:p>
    <w:p>
      <w:pPr>
        <w:ind w:left="260" w:right="20"/>
        <w:spacing w:after="0" w:line="273" w:lineRule="auto"/>
        <w:rPr>
          <w:sz w:val="20"/>
          <w:szCs w:val="20"/>
          <w:color w:val="auto"/>
        </w:rPr>
      </w:pPr>
      <w:r>
        <w:rPr>
          <w:rFonts w:ascii="Arial" w:cs="Arial" w:eastAsia="Arial" w:hAnsi="Arial"/>
          <w:sz w:val="17"/>
          <w:szCs w:val="17"/>
          <w:color w:val="auto"/>
        </w:rPr>
        <w:t>This proxy is solicited on behalf of the Board of Directors of Lear Corporation (“Lear”) for the Annual Meeting of Stockholders on May 20, 2021 or any adjournment or postponement thereof (the “Meeting”) to be held through a virtual web conference at www.virtualshareholdermeeting.com/LEA2021. The undersigned appoints Raymond E. Scott and Harry A. Kemp,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74" w:lineRule="exact"/>
        <w:rPr>
          <w:sz w:val="20"/>
          <w:szCs w:val="20"/>
          <w:color w:val="auto"/>
        </w:rPr>
      </w:pPr>
    </w:p>
    <w:p>
      <w:pPr>
        <w:ind w:left="260" w:right="3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all nominees for director and FOR proposals 2 and 3.</w:t>
      </w:r>
    </w:p>
    <w:p>
      <w:pPr>
        <w:sectPr>
          <w:pgSz w:w="11900" w:h="16838" w:orient="portrait"/>
          <w:cols w:equalWidth="0" w:num="1">
            <w:col w:w="11000"/>
          </w:cols>
          <w:pgMar w:left="320" w:top="45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Continued and to be signed on reverse side</w:t>
      </w:r>
    </w:p>
    <w:sectPr>
      <w:pgSz w:w="11900" w:h="16838" w:orient="portrait"/>
      <w:cols w:equalWidth="0" w:num="1">
        <w:col w:w="11000"/>
      </w:cols>
      <w:pgMar w:left="320" w:top="45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lvl w:ilvl="1">
      <w:lvlJc w:val="left"/>
      <w:lvlText w:val="(%2)"/>
      <w:numFmt w:val="decimal"/>
      <w:start w:val="1"/>
    </w:lvl>
  </w:abstractNum>
  <w:abstractNum w:abstractNumId="5">
    <w:nsid w:val="42963E5A"/>
    <w:multiLevelType w:val="hybridMultilevel"/>
    <w:lvl w:ilvl="0">
      <w:lvlJc w:val="left"/>
      <w:lvlText w:val="(%1)"/>
      <w:numFmt w:val="decimal"/>
      <w:start w:val="2"/>
    </w:lvl>
  </w:abstractNum>
  <w:abstractNum w:abstractNumId="6">
    <w:nsid w:val="A0382C5"/>
    <w:multiLevelType w:val="hybridMultilevel"/>
    <w:lvl w:ilvl="0">
      <w:lvlJc w:val="left"/>
      <w:lvlText w:val="%1"/>
      <w:numFmt w:val="lowerRoman"/>
      <w:start w:val="2"/>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1)"/>
      <w:numFmt w:val="decimal"/>
      <w:start w:val="1"/>
    </w:lvl>
  </w:abstractNum>
  <w:abstractNum w:abstractNumId="9">
    <w:nsid w:val="3B0FD379"/>
    <w:multiLevelType w:val="hybridMultilevel"/>
    <w:lvl w:ilvl="0">
      <w:lvlJc w:val="left"/>
      <w:lvlText w:val="2"/>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4"/>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6"/>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8"/>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1"/>
      <w:numFmt w:val="decimal"/>
      <w:start w:val="10"/>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1"/>
      <w:numFmt w:val="decimal"/>
      <w:start w:val="12"/>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1"/>
      <w:numFmt w:val="decimal"/>
      <w:start w:val="14"/>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1"/>
      <w:numFmt w:val="decimal"/>
      <w:start w:val="16"/>
    </w:lvl>
  </w:abstractNum>
  <w:abstractNum w:abstractNumId="34">
    <w:nsid w:val="39EE015C"/>
    <w:multiLevelType w:val="hybridMultilevel"/>
    <w:lvl w:ilvl="0">
      <w:lvlJc w:val="left"/>
      <w:lvlText w:val="(%1)"/>
      <w:numFmt w:val="upperLetter"/>
      <w:start w:val="1"/>
    </w:lvl>
  </w:abstractNum>
  <w:abstractNum w:abstractNumId="35">
    <w:nsid w:val="57FC4FBB"/>
    <w:multiLevelType w:val="hybridMultilevel"/>
    <w:lvl w:ilvl="0">
      <w:lvlJc w:val="left"/>
      <w:lvlText w:val="%1"/>
      <w:numFmt w:val="decimal"/>
      <w:start w:val="18"/>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1"/>
      <w:numFmt w:val="decimal"/>
      <w:start w:val="20"/>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1"/>
      <w:numFmt w:val="decimal"/>
      <w:start w:val="22"/>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1)"/>
      <w:numFmt w:val="decimal"/>
      <w:start w:val="1"/>
    </w:lvl>
  </w:abstractNum>
  <w:abstractNum w:abstractNumId="57">
    <w:nsid w:val="14FCE74E"/>
    <w:multiLevelType w:val="hybridMultilevel"/>
    <w:lvl w:ilvl="0">
      <w:lvlJc w:val="left"/>
      <w:lvlText w:val="%1"/>
      <w:numFmt w:val="decimal"/>
      <w:start w:val="24"/>
    </w:lvl>
  </w:abstractNum>
  <w:abstractNum w:abstractNumId="58">
    <w:nsid w:val="6A3DD3E8"/>
    <w:multiLevelType w:val="hybridMultilevel"/>
    <w:lvl w:ilvl="0">
      <w:lvlJc w:val="left"/>
      <w:lvlText w:val="(%1)"/>
      <w:numFmt w:val="lowerRoman"/>
      <w:start w:val="1"/>
    </w:lvl>
  </w:abstractNum>
  <w:abstractNum w:abstractNumId="59">
    <w:nsid w:val="71C91298"/>
    <w:multiLevelType w:val="hybridMultilevel"/>
    <w:lvl w:ilvl="0">
      <w:lvlJc w:val="left"/>
      <w:lvlText w:val="(%1)"/>
      <w:numFmt w:val="lowerRoman"/>
      <w:start w:val="4"/>
    </w:lvl>
  </w:abstractNum>
  <w:abstractNum w:abstractNumId="60">
    <w:nsid w:val="9DAF632"/>
    <w:multiLevelType w:val="hybridMultilevel"/>
    <w:lvl w:ilvl="0">
      <w:lvlJc w:val="left"/>
      <w:lvlText w:val="(%1)"/>
      <w:numFmt w:val="decimal"/>
      <w:start w:val="1"/>
    </w:lvl>
  </w:abstractNum>
  <w:abstractNum w:abstractNumId="61">
    <w:nsid w:val="53299938"/>
    <w:multiLevelType w:val="hybridMultilevel"/>
    <w:lvl w:ilvl="0">
      <w:lvlJc w:val="left"/>
      <w:lvlText w:val="%1"/>
      <w:numFmt w:val="decimal"/>
      <w:start w:val="26"/>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1"/>
      <w:numFmt w:val="decimal"/>
      <w:start w:val="28"/>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1)"/>
      <w:numFmt w:val="decimal"/>
      <w:start w:val="1"/>
    </w:lvl>
  </w:abstractNum>
  <w:abstractNum w:abstractNumId="66">
    <w:nsid w:val="288F1A34"/>
    <w:multiLevelType w:val="hybridMultilevel"/>
    <w:lvl w:ilvl="0">
      <w:lvlJc w:val="left"/>
      <w:lvlText w:val="(%1)"/>
      <w:numFmt w:val="decimal"/>
      <w:start w:val="3"/>
    </w:lvl>
  </w:abstractNum>
  <w:abstractNum w:abstractNumId="67">
    <w:nsid w:val="2A155DBC"/>
    <w:multiLevelType w:val="hybridMultilevel"/>
    <w:lvl w:ilvl="0">
      <w:lvlJc w:val="left"/>
      <w:lvlText w:val="%1"/>
      <w:numFmt w:val="decimal"/>
      <w:start w:val="30"/>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1"/>
      <w:numFmt w:val="decimal"/>
      <w:start w:val="32"/>
    </w:lvl>
  </w:abstractNum>
  <w:abstractNum w:abstractNumId="72">
    <w:nsid w:val="53584BCB"/>
    <w:multiLevelType w:val="hybridMultilevel"/>
    <w:lvl w:ilvl="0">
      <w:lvlJc w:val="left"/>
      <w:lvlText w:val="•"/>
      <w:numFmt w:val="bullet"/>
      <w:start w:val="1"/>
    </w:lvl>
    <w:lvl w:ilvl="1">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1"/>
      <w:numFmt w:val="decimal"/>
      <w:start w:val="34"/>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lvl w:ilvl="1">
      <w:lvlJc w:val="left"/>
      <w:lvlText w:val="•"/>
      <w:numFmt w:val="bullet"/>
      <w:start w:val="1"/>
    </w:lvl>
  </w:abstractNum>
  <w:abstractNum w:abstractNumId="78">
    <w:nsid w:val="E7FFA2B"/>
    <w:multiLevelType w:val="hybridMultilevel"/>
    <w:lvl w:ilvl="0">
      <w:lvlJc w:val="left"/>
      <w:lvlText w:val="%1."/>
      <w:numFmt w:val="decimal"/>
      <w:start w:val="1"/>
    </w:lvl>
  </w:abstractNum>
  <w:abstractNum w:abstractNumId="79">
    <w:nsid w:val="3C5991AA"/>
    <w:multiLevelType w:val="hybridMultilevel"/>
    <w:lvl w:ilvl="0">
      <w:lvlJc w:val="left"/>
      <w:lvlText w:val="%1."/>
      <w:numFmt w:val="decimal"/>
      <w:start w:val="2"/>
    </w:lvl>
  </w:abstractNum>
  <w:abstractNum w:abstractNumId="80">
    <w:nsid w:val="4BD8591A"/>
    <w:multiLevelType w:val="hybridMultilevel"/>
    <w:lvl w:ilvl="0">
      <w:lvlJc w:val="left"/>
      <w:lvlText w:val="%1"/>
      <w:numFmt w:val="decimal"/>
      <w:start w:val="36"/>
    </w:lvl>
  </w:abstractNum>
  <w:abstractNum w:abstractNumId="81">
    <w:nsid w:val="78DF6A55"/>
    <w:multiLevelType w:val="hybridMultilevel"/>
    <w:lvl w:ilvl="0">
      <w:lvlJc w:val="left"/>
      <w:lvlText w:val="%1."/>
      <w:numFmt w:val="decimal"/>
      <w:start w:val="1"/>
    </w:lvl>
  </w:abstractNum>
  <w:abstractNum w:abstractNumId="82">
    <w:nsid w:val="39B7AAA2"/>
    <w:multiLevelType w:val="hybridMultilevel"/>
    <w:lvl w:ilvl="0">
      <w:lvlJc w:val="left"/>
      <w:lvlText w:val="%1"/>
      <w:numFmt w:val="decimal"/>
      <w:start w:val="38"/>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1"/>
      <w:numFmt w:val="decimal"/>
      <w:start w:val="40"/>
    </w:lvl>
  </w:abstractNum>
  <w:abstractNum w:abstractNumId="87">
    <w:nsid w:val="2C27173B"/>
    <w:multiLevelType w:val="hybridMultilevel"/>
    <w:lvl w:ilvl="0">
      <w:lvlJc w:val="left"/>
      <w:lvlText w:val="(%1)"/>
      <w:numFmt w:val="decimal"/>
    </w:lvl>
    <w:lvl w:ilvl="1">
      <w:lvlJc w:val="left"/>
      <w:lvlText w:val="•"/>
      <w:numFmt w:val="bullet"/>
      <w:start w:val="1"/>
    </w:lvl>
  </w:abstractNum>
  <w:abstractNum w:abstractNumId="88">
    <w:nsid w:val="4C9B0904"/>
    <w:multiLevelType w:val="hybridMultilevel"/>
    <w:lvl w:ilvl="0">
      <w:lvlJc w:val="left"/>
      <w:lvlText w:val="(%1)"/>
      <w:numFmt w:val="decimal"/>
      <w:start w:val="1"/>
    </w:lvl>
  </w:abstractNum>
  <w:abstractNum w:abstractNumId="89">
    <w:nsid w:val="6AA7B75C"/>
    <w:multiLevelType w:val="hybridMultilevel"/>
    <w:lvl w:ilvl="0">
      <w:lvlJc w:val="left"/>
      <w:lvlText w:val="%1"/>
      <w:numFmt w:val="decimal"/>
      <w:start w:val="42"/>
    </w:lvl>
  </w:abstractNum>
  <w:abstractNum w:abstractNumId="90">
    <w:nsid w:val="1DF029D3"/>
    <w:multiLevelType w:val="hybridMultilevel"/>
    <w:lvl w:ilvl="0">
      <w:lvlJc w:val="left"/>
      <w:lvlText w:val="%1"/>
      <w:numFmt w:val="decimal"/>
      <w:start w:val="44"/>
    </w:lvl>
  </w:abstractNum>
  <w:abstractNum w:abstractNumId="91">
    <w:nsid w:val="5675FF36"/>
    <w:multiLevelType w:val="hybridMultilevel"/>
    <w:lvl w:ilvl="0">
      <w:lvlJc w:val="left"/>
      <w:lvlText w:val="(%1)"/>
      <w:numFmt w:val="lowerRoman"/>
      <w:start w:val="1"/>
    </w:lvl>
  </w:abstractNum>
  <w:abstractNum w:abstractNumId="92">
    <w:nsid w:val="3DD15094"/>
    <w:multiLevelType w:val="hybridMultilevel"/>
    <w:lvl w:ilvl="0">
      <w:lvlJc w:val="left"/>
      <w:lvlText w:val="\emdash "/>
      <w:numFmt w:val="bullet"/>
      <w:start w:val="1"/>
    </w:lvl>
  </w:abstractNum>
  <w:abstractNum w:abstractNumId="93">
    <w:nsid w:val="3DB012B3"/>
    <w:multiLevelType w:val="hybridMultilevel"/>
    <w:lvl w:ilvl="0">
      <w:lvlJc w:val="left"/>
      <w:lvlText w:val="%1"/>
      <w:numFmt w:val="decimal"/>
      <w:start w:val="46"/>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1)"/>
      <w:numFmt w:val="decimal"/>
      <w:start w:val="2"/>
    </w:lvl>
  </w:abstractNum>
  <w:abstractNum w:abstractNumId="96">
    <w:nsid w:val="175DFCF0"/>
    <w:multiLevelType w:val="hybridMultilevel"/>
    <w:lvl w:ilvl="0">
      <w:lvlJc w:val="left"/>
      <w:lvlText w:val="%1"/>
      <w:numFmt w:val="decimal"/>
      <w:start w:val="48"/>
    </w:lvl>
  </w:abstractNum>
  <w:abstractNum w:abstractNumId="97">
    <w:nsid w:val="4F97E3E4"/>
    <w:multiLevelType w:val="hybridMultilevel"/>
    <w:lvl w:ilvl="0">
      <w:lvlJc w:val="left"/>
      <w:lvlText w:val="(%1)"/>
      <w:numFmt w:val="decimal"/>
      <w:start w:val="5"/>
    </w:lvl>
    <w:lvl w:ilvl="1">
      <w:lvlJc w:val="left"/>
      <w:lvlText w:val="•"/>
      <w:numFmt w:val="bullet"/>
      <w:start w:val="1"/>
    </w:lvl>
  </w:abstractNum>
  <w:abstractNum w:abstractNumId="98">
    <w:nsid w:val="53B0A9E"/>
    <w:multiLevelType w:val="hybridMultilevel"/>
    <w:lvl w:ilvl="0">
      <w:lvlJc w:val="left"/>
      <w:lvlText w:val="(%1)"/>
      <w:numFmt w:val="decimal"/>
      <w:start w:val="5"/>
    </w:lvl>
    <w:lvl w:ilvl="1">
      <w:lvlJc w:val="left"/>
      <w:lvlText w:val="•"/>
      <w:numFmt w:val="bullet"/>
      <w:start w:val="1"/>
    </w:lvl>
  </w:abstractNum>
  <w:abstractNum w:abstractNumId="99">
    <w:nsid w:val="34FD6B4F"/>
    <w:multiLevelType w:val="hybridMultilevel"/>
    <w:lvl w:ilvl="0">
      <w:lvlJc w:val="left"/>
      <w:lvlText w:val="(%1)"/>
      <w:numFmt w:val="lowerRoman"/>
      <w:start w:val="2"/>
    </w:lvl>
  </w:abstractNum>
  <w:abstractNum w:abstractNumId="100">
    <w:nsid w:val="5915FF32"/>
    <w:multiLevelType w:val="hybridMultilevel"/>
    <w:lvl w:ilvl="0">
      <w:lvlJc w:val="left"/>
      <w:lvlText w:val="(%1)"/>
      <w:numFmt w:val="decimal"/>
      <w:start w:val="1"/>
    </w:lvl>
  </w:abstractNum>
  <w:abstractNum w:abstractNumId="101">
    <w:nsid w:val="56438D15"/>
    <w:multiLevelType w:val="hybridMultilevel"/>
    <w:lvl w:ilvl="0">
      <w:lvlJc w:val="left"/>
      <w:lvlText w:val="%1"/>
      <w:numFmt w:val="decimal"/>
      <w:start w:val="50"/>
    </w:lvl>
  </w:abstractNum>
  <w:abstractNum w:abstractNumId="102">
    <w:nsid w:val="519E3149"/>
    <w:multiLevelType w:val="hybridMultilevel"/>
    <w:lvl w:ilvl="0">
      <w:lvlJc w:val="left"/>
      <w:lvlText w:val="(%1)"/>
      <w:numFmt w:val="decimal"/>
      <w:start w:val="6"/>
    </w:lvl>
  </w:abstractNum>
  <w:abstractNum w:abstractNumId="103">
    <w:nsid w:val="2C6E4AFD"/>
    <w:multiLevelType w:val="hybridMultilevel"/>
    <w:lvl w:ilvl="0">
      <w:lvlJc w:val="left"/>
      <w:lvlText w:val="(%1)"/>
      <w:numFmt w:val="lowerRoman"/>
      <w:start w:val="1"/>
    </w:lvl>
  </w:abstractNum>
  <w:abstractNum w:abstractNumId="104">
    <w:nsid w:val="17A1B582"/>
    <w:multiLevelType w:val="hybridMultilevel"/>
    <w:lvl w:ilvl="0">
      <w:lvlJc w:val="left"/>
      <w:lvlText w:val="(%1)"/>
      <w:numFmt w:val="lowerRoman"/>
      <w:start w:val="3"/>
    </w:lvl>
  </w:abstractNum>
  <w:abstractNum w:abstractNumId="105">
    <w:nsid w:val="4DF72E4E"/>
    <w:multiLevelType w:val="hybridMultilevel"/>
    <w:lvl w:ilvl="0">
      <w:lvlJc w:val="left"/>
      <w:lvlText w:val="%1"/>
      <w:numFmt w:val="decimal"/>
      <w:start w:val="52"/>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1)"/>
      <w:numFmt w:val="decimal"/>
      <w:start w:val="2"/>
    </w:lvl>
  </w:abstractNum>
  <w:abstractNum w:abstractNumId="108">
    <w:nsid w:val="2A082C70"/>
    <w:multiLevelType w:val="hybridMultilevel"/>
    <w:lvl w:ilvl="0">
      <w:lvlJc w:val="left"/>
      <w:lvlText w:val="(%1)"/>
      <w:numFmt w:val="decimal"/>
      <w:start w:val="3"/>
    </w:lvl>
  </w:abstractNum>
  <w:abstractNum w:abstractNumId="109">
    <w:nsid w:val="5EC6AFD4"/>
    <w:multiLevelType w:val="hybridMultilevel"/>
    <w:lvl w:ilvl="0">
      <w:lvlJc w:val="left"/>
      <w:lvlText w:val="%1"/>
      <w:numFmt w:val="decimal"/>
      <w:start w:val="54"/>
    </w:lvl>
  </w:abstractNum>
  <w:abstractNum w:abstractNumId="110">
    <w:nsid w:val="19E21BB2"/>
    <w:multiLevelType w:val="hybridMultilevel"/>
    <w:lvl w:ilvl="0">
      <w:lvlJc w:val="left"/>
      <w:lvlText w:val="(%1)"/>
      <w:numFmt w:val="decimal"/>
      <w:start w:val="1"/>
    </w:lvl>
  </w:abstractNum>
  <w:abstractNum w:abstractNumId="111">
    <w:nsid w:val="75E0858A"/>
    <w:multiLevelType w:val="hybridMultilevel"/>
    <w:lvl w:ilvl="0">
      <w:lvlJc w:val="left"/>
      <w:lvlText w:val="(%1)"/>
      <w:numFmt w:val="decimal"/>
      <w:start w:val="2"/>
    </w:lvl>
  </w:abstractNum>
  <w:abstractNum w:abstractNumId="112">
    <w:nsid w:val="57A61A29"/>
    <w:multiLevelType w:val="hybridMultilevel"/>
    <w:lvl w:ilvl="0">
      <w:lvlJc w:val="left"/>
      <w:lvlText w:val="(%1)"/>
      <w:numFmt w:val="decimal"/>
      <w:start w:val="1"/>
    </w:lvl>
  </w:abstractNum>
  <w:abstractNum w:abstractNumId="113">
    <w:nsid w:val="5399C654"/>
    <w:multiLevelType w:val="hybridMultilevel"/>
    <w:lvl w:ilvl="0">
      <w:lvlJc w:val="left"/>
      <w:lvlText w:val="%1"/>
      <w:numFmt w:val="decimal"/>
      <w:start w:val="56"/>
    </w:lvl>
  </w:abstractNum>
  <w:abstractNum w:abstractNumId="114">
    <w:nsid w:val="20EE1348"/>
    <w:multiLevelType w:val="hybridMultilevel"/>
    <w:lvl w:ilvl="0">
      <w:lvlJc w:val="left"/>
      <w:lvlText w:val="•"/>
      <w:numFmt w:val="bullet"/>
      <w:start w:val="1"/>
    </w:lvl>
    <w:lvl w:ilvl="1">
      <w:lvlJc w:val="left"/>
      <w:lvlText w:val="(%2)"/>
      <w:numFmt w:val="lowerLetter"/>
      <w:start w:val="2"/>
    </w:lvl>
  </w:abstractNum>
  <w:abstractNum w:abstractNumId="115">
    <w:nsid w:val="4427069A"/>
    <w:multiLevelType w:val="hybridMultilevel"/>
    <w:lvl w:ilvl="0">
      <w:lvlJc w:val="left"/>
      <w:lvlText w:val="(%1)"/>
      <w:numFmt w:val="decimal"/>
      <w:start w:val="1"/>
    </w:lvl>
  </w:abstractNum>
  <w:abstractNum w:abstractNumId="116">
    <w:nsid w:val="B37E80A"/>
    <w:multiLevelType w:val="hybridMultilevel"/>
    <w:lvl w:ilvl="0">
      <w:lvlJc w:val="left"/>
      <w:lvlText w:val="%1"/>
      <w:numFmt w:val="decimal"/>
      <w:start w:val="58"/>
    </w:lvl>
  </w:abstractNum>
  <w:abstractNum w:abstractNumId="117">
    <w:nsid w:val="2157F6BC"/>
    <w:multiLevelType w:val="hybridMultilevel"/>
    <w:lvl w:ilvl="0">
      <w:lvlJc w:val="left"/>
      <w:lvlText w:val="(%1)"/>
      <w:numFmt w:val="decimal"/>
      <w:start w:val="1"/>
    </w:lvl>
  </w:abstractNum>
  <w:abstractNum w:abstractNumId="118">
    <w:nsid w:val="704E1DD5"/>
    <w:multiLevelType w:val="hybridMultilevel"/>
    <w:lvl w:ilvl="0">
      <w:lvlJc w:val="left"/>
      <w:lvlText w:val="%1"/>
      <w:numFmt w:val="decimal"/>
      <w:start w:val="60"/>
    </w:lvl>
  </w:abstractNum>
  <w:abstractNum w:abstractNumId="119">
    <w:nsid w:val="57D2F10E"/>
    <w:multiLevelType w:val="hybridMultilevel"/>
    <w:lvl w:ilvl="0">
      <w:lvlJc w:val="left"/>
      <w:lvlText w:val="(%1)"/>
      <w:numFmt w:val="decimal"/>
      <w:start w:val="2"/>
    </w:lvl>
  </w:abstractNum>
  <w:abstractNum w:abstractNumId="120">
    <w:nsid w:val="BFFAE18"/>
    <w:multiLevelType w:val="hybridMultilevel"/>
    <w:lvl w:ilvl="0">
      <w:lvlJc w:val="left"/>
      <w:lvlText w:val="%1"/>
      <w:numFmt w:val="decimal"/>
      <w:start w:val="62"/>
    </w:lvl>
  </w:abstractNum>
  <w:abstractNum w:abstractNumId="121">
    <w:nsid w:val="E3E47A8"/>
    <w:multiLevelType w:val="hybridMultilevel"/>
    <w:lvl w:ilvl="0">
      <w:lvlJc w:val="left"/>
      <w:lvlText w:val="(%1)"/>
      <w:numFmt w:val="lowerRoman"/>
      <w:start w:val="2"/>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
      <w:numFmt w:val="bullet"/>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1."/>
      <w:numFmt w:val="decimal"/>
      <w:start w:val="1"/>
    </w:lvl>
  </w:abstractNum>
  <w:abstractNum w:abstractNumId="128">
    <w:nsid w:val="24E99DD7"/>
    <w:multiLevelType w:val="hybridMultilevel"/>
    <w:lvl w:ilvl="0">
      <w:lvlJc w:val="left"/>
      <w:lvlText w:val="%1"/>
      <w:numFmt w:val="decimal"/>
      <w:start w:val="64"/>
    </w:lvl>
  </w:abstractNum>
  <w:abstractNum w:abstractNumId="129">
    <w:nsid w:val="2A31B62D"/>
    <w:multiLevelType w:val="hybridMultilevel"/>
    <w:lvl w:ilvl="0">
      <w:lvlJc w:val="left"/>
      <w:lvlText w:val="%1."/>
      <w:numFmt w:val="decimal"/>
      <w:start w:val="4"/>
    </w:lvl>
  </w:abstractNum>
  <w:abstractNum w:abstractNumId="130">
    <w:nsid w:val="1849C29B"/>
    <w:multiLevelType w:val="hybridMultilevel"/>
    <w:lvl w:ilvl="0">
      <w:lvlJc w:val="left"/>
      <w:lvlText w:val="%1."/>
      <w:numFmt w:val="decimal"/>
      <w:start w:val="5"/>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1"/>
      <w:numFmt w:val="decimal"/>
      <w:start w:val="66"/>
    </w:lvl>
  </w:abstractNum>
  <w:abstractNum w:abstractNumId="134">
    <w:nsid w:val="2A6DE806"/>
    <w:multiLevelType w:val="hybridMultilevel"/>
    <w:lvl w:ilvl="0">
      <w:lvlJc w:val="left"/>
      <w:lvlText w:val="%1"/>
      <w:numFmt w:val="decimal"/>
      <w:start w:val="68"/>
    </w:lvl>
  </w:abstractNum>
  <w:abstractNum w:abstractNumId="135">
    <w:nsid w:val="1816F8C4"/>
    <w:multiLevelType w:val="hybridMultilevel"/>
    <w:lvl w:ilvl="0">
      <w:lvlJc w:val="left"/>
      <w:lvlText w:val="(%1)"/>
      <w:numFmt w:val="decimal"/>
      <w:start w:val="1"/>
    </w:lvl>
  </w:abstractNum>
  <w:abstractNum w:abstractNumId="136">
    <w:nsid w:val="37DF2233"/>
    <w:multiLevelType w:val="hybridMultilevel"/>
    <w:lvl w:ilvl="0">
      <w:lvlJc w:val="left"/>
      <w:lvlText w:val="%1"/>
      <w:numFmt w:val="decimal"/>
      <w:start w:val="70"/>
    </w:lvl>
  </w:abstractNum>
  <w:abstractNum w:abstractNumId="137">
    <w:nsid w:val="7AB49DAF"/>
    <w:multiLevelType w:val="hybridMultilevel"/>
    <w:lvl w:ilvl="0">
      <w:lvlJc w:val="left"/>
      <w:lvlText w:val="%1"/>
      <w:numFmt w:val="decimal"/>
      <w:start w:val="72"/>
    </w:lvl>
  </w:abstractNum>
  <w:abstractNum w:abstractNumId="138">
    <w:nsid w:val="759F82CD"/>
    <w:multiLevelType w:val="hybridMultilevel"/>
    <w:lvl w:ilvl="0">
      <w:lvlJc w:val="left"/>
      <w:lvlText w:val="%1"/>
      <w:numFmt w:val="decimal"/>
      <w:start w:val="74"/>
    </w:lvl>
  </w:abstractNum>
  <w:abstractNum w:abstractNumId="139">
    <w:nsid w:val="61E74EA3"/>
    <w:multiLevelType w:val="hybridMultilevel"/>
    <w:lvl w:ilvl="0">
      <w:lvlJc w:val="left"/>
      <w:lvlText w:val="%1."/>
      <w:numFmt w:val="decimal"/>
      <w:start w:val="1"/>
    </w:lvl>
  </w:abstractNum>
  <w:abstractNum w:abstractNumId="140">
    <w:nsid w:val="597B4D84"/>
    <w:multiLevelType w:val="hybridMultilevel"/>
    <w:lvl w:ilvl="0">
      <w:lvlJc w:val="left"/>
      <w:lvlText w:val="%1."/>
      <w:numFmt w:val="decimal"/>
      <w:start w:val="4"/>
    </w:lvl>
  </w:abstractNum>
  <w:abstractNum w:abstractNumId="141">
    <w:nsid w:val="F819E7F"/>
    <w:multiLevelType w:val="hybridMultilevel"/>
    <w:lvl w:ilvl="0">
      <w:lvlJc w:val="left"/>
      <w:lvlText w:val="%1."/>
      <w:numFmt w:val="decimal"/>
      <w:start w:val="1"/>
    </w:lvl>
  </w:abstractNum>
  <w:abstractNum w:abstractNumId="142">
    <w:nsid w:val="57C7D42D"/>
    <w:multiLevelType w:val="hybridMultilevel"/>
    <w:lvl w:ilvl="0">
      <w:lvlJc w:val="left"/>
      <w:lvlText w:val="%1."/>
      <w:numFmt w:val="decimal"/>
      <w:start w:val="3"/>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1"/>
      <w:numFmt w:val="decimal"/>
      <w:start w:val="76"/>
    </w:lvl>
  </w:abstractNum>
  <w:abstractNum w:abstractNumId="145">
    <w:nsid w:val="78B5E776"/>
    <w:multiLevelType w:val="hybridMultilevel"/>
    <w:lvl w:ilvl="0">
      <w:lvlJc w:val="left"/>
      <w:lvlText w:val="%1"/>
      <w:numFmt w:val="decimal"/>
      <w:start w:val="78"/>
    </w:lvl>
  </w:abstractNum>
  <w:abstractNum w:abstractNumId="146">
    <w:nsid w:val="75486E47"/>
    <w:multiLevelType w:val="hybridMultilevel"/>
    <w:lvl w:ilvl="0">
      <w:lvlJc w:val="left"/>
      <w:lvlText w:val="%1"/>
      <w:numFmt w:val="decimal"/>
      <w:start w:val="80"/>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2021-04-05T15:16:35Z</dcterms:created>
  <dcterms:modified xsi:type="dcterms:W3CDTF">2021-04-05T15:16:35Z</dcterms:modified>
</cp:coreProperties>
</file>