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OMB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80010</wp:posOffset>
            </wp:positionV>
            <wp:extent cx="22294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19" w:lineRule="exact"/>
        <w:rPr>
          <w:sz w:val="20"/>
          <w:szCs w:val="20"/>
          <w:color w:val="auto"/>
        </w:rPr>
      </w:pPr>
    </w:p>
    <w:tbl>
      <w:tblPr>
        <w:tblLayout w:type="fixed"/>
        <w:tblInd w:w="7900" w:type="dxa"/>
        <w:tblCellMar>
          <w:top w:w="0" w:type="dxa"/>
          <w:left w:w="0" w:type="dxa"/>
          <w:bottom w:w="0" w:type="dxa"/>
          <w:right w:w="0" w:type="dxa"/>
        </w:tblCellMar>
      </w:tblP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OMB Number:</w:t>
            </w:r>
          </w:p>
        </w:tc>
        <w:tc>
          <w:tcPr>
            <w:tcW w:w="1420" w:type="dxa"/>
            <w:vAlign w:val="bottom"/>
          </w:tcPr>
          <w:p>
            <w:pPr>
              <w:jc w:val="right"/>
              <w:spacing w:after="0"/>
              <w:rPr>
                <w:sz w:val="20"/>
                <w:szCs w:val="20"/>
                <w:color w:val="auto"/>
              </w:rPr>
            </w:pPr>
            <w:r>
              <w:rPr>
                <w:rFonts w:ascii="Arial" w:cs="Arial" w:eastAsia="Arial" w:hAnsi="Arial"/>
                <w:sz w:val="18"/>
                <w:szCs w:val="18"/>
                <w:color w:val="auto"/>
              </w:rPr>
              <w:t>3235-0059</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Expires:</w:t>
            </w:r>
          </w:p>
        </w:tc>
        <w:tc>
          <w:tcPr>
            <w:tcW w:w="1420" w:type="dxa"/>
            <w:vAlign w:val="bottom"/>
          </w:tcPr>
          <w:p>
            <w:pPr>
              <w:jc w:val="right"/>
              <w:spacing w:after="0"/>
              <w:rPr>
                <w:sz w:val="20"/>
                <w:szCs w:val="20"/>
                <w:color w:val="auto"/>
              </w:rPr>
            </w:pPr>
            <w:r>
              <w:rPr>
                <w:rFonts w:ascii="Arial" w:cs="Arial" w:eastAsia="Arial" w:hAnsi="Arial"/>
                <w:sz w:val="18"/>
                <w:szCs w:val="18"/>
                <w:color w:val="auto"/>
              </w:rPr>
              <w:t>August 31, 2004</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w w:val="98"/>
              </w:rPr>
              <w:t>Estimated average burden</w:t>
            </w:r>
          </w:p>
        </w:tc>
        <w:tc>
          <w:tcPr>
            <w:tcW w:w="1420" w:type="dxa"/>
            <w:vAlign w:val="bottom"/>
          </w:tcPr>
          <w:p>
            <w:pPr>
              <w:spacing w:after="0"/>
              <w:rPr>
                <w:sz w:val="18"/>
                <w:szCs w:val="18"/>
                <w:color w:val="auto"/>
              </w:rPr>
            </w:pPr>
          </w:p>
        </w:tc>
      </w:tr>
      <w:tr>
        <w:trPr>
          <w:trHeight w:val="222"/>
        </w:trPr>
        <w:tc>
          <w:tcPr>
            <w:tcW w:w="2100" w:type="dxa"/>
            <w:vAlign w:val="bottom"/>
          </w:tcPr>
          <w:p>
            <w:pPr>
              <w:spacing w:after="0"/>
              <w:rPr>
                <w:sz w:val="20"/>
                <w:szCs w:val="20"/>
                <w:color w:val="auto"/>
              </w:rPr>
            </w:pPr>
            <w:r>
              <w:rPr>
                <w:rFonts w:ascii="Arial" w:cs="Arial" w:eastAsia="Arial" w:hAnsi="Arial"/>
                <w:sz w:val="18"/>
                <w:szCs w:val="18"/>
                <w:color w:val="auto"/>
              </w:rPr>
              <w:t>hours per response</w:t>
            </w:r>
          </w:p>
        </w:tc>
        <w:tc>
          <w:tcPr>
            <w:tcW w:w="1420" w:type="dxa"/>
            <w:vAlign w:val="bottom"/>
          </w:tcPr>
          <w:p>
            <w:pPr>
              <w:jc w:val="right"/>
              <w:spacing w:after="0"/>
              <w:rPr>
                <w:sz w:val="20"/>
                <w:szCs w:val="20"/>
                <w:color w:val="auto"/>
              </w:rPr>
            </w:pPr>
            <w:r>
              <w:rPr>
                <w:rFonts w:ascii="Arial" w:cs="Arial" w:eastAsia="Arial" w:hAnsi="Arial"/>
                <w:sz w:val="18"/>
                <w:szCs w:val="18"/>
                <w:color w:val="auto"/>
              </w:rPr>
              <w:t>14.73</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15"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6"/>
          <w:szCs w:val="16"/>
          <w:color w:val="auto"/>
        </w:rPr>
        <w:t>Exchange Act of 1934 (Amendment No.</w:t>
      </w:r>
      <w:r>
        <w:rPr>
          <w:sz w:val="20"/>
          <w:szCs w:val="20"/>
          <w:color w:val="auto"/>
        </w:rPr>
        <w:tab/>
      </w:r>
      <w:r>
        <w:rPr>
          <w:rFonts w:ascii="Arial" w:cs="Arial" w:eastAsia="Arial" w:hAnsi="Arial"/>
          <w:sz w:val="18"/>
          <w:szCs w:val="18"/>
          <w:color w:val="auto"/>
        </w:rPr>
        <w:t>)</w:t>
      </w:r>
    </w:p>
    <w:p>
      <w:pPr>
        <w:spacing w:after="0" w:line="186" w:lineRule="exact"/>
        <w:rPr>
          <w:sz w:val="20"/>
          <w:szCs w:val="20"/>
          <w:color w:val="auto"/>
        </w:rPr>
      </w:pPr>
    </w:p>
    <w:p>
      <w:pPr>
        <w:ind w:left="3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Filed by a Party other than the Registrant  o</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0"/>
          <w:szCs w:val="20"/>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30"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1" w:lineRule="exact"/>
        <w:rPr>
          <w:rFonts w:ascii="Arial" w:cs="Arial" w:eastAsia="Arial" w:hAnsi="Arial"/>
          <w:sz w:val="18"/>
          <w:szCs w:val="18"/>
          <w:color w:val="auto"/>
        </w:rPr>
      </w:pPr>
    </w:p>
    <w:p>
      <w:pPr>
        <w:ind w:left="360"/>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6"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36"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660" w:hanging="301"/>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0"/>
          <w:szCs w:val="20"/>
          <w:color w:val="auto"/>
        </w:rPr>
      </w:pPr>
    </w:p>
    <w:p>
      <w:pPr>
        <w:ind w:left="580" w:hanging="221"/>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Arial" w:cs="Arial" w:eastAsia="Arial" w:hAnsi="Arial"/>
          <w:sz w:val="18"/>
          <w:szCs w:val="18"/>
          <w:color w:val="auto"/>
        </w:rPr>
      </w:pPr>
    </w:p>
    <w:p>
      <w:pPr>
        <w:ind w:left="800" w:hanging="177"/>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177"/>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360" w:right="200" w:firstLine="263"/>
        <w:spacing w:after="0" w:line="268" w:lineRule="auto"/>
        <w:tabs>
          <w:tab w:leader="none" w:pos="813"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820" w:hanging="197"/>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177"/>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-1716405</wp:posOffset>
            </wp:positionV>
            <wp:extent cx="7259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-1278890</wp:posOffset>
            </wp:positionV>
            <wp:extent cx="7259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-721360</wp:posOffset>
            </wp:positionV>
            <wp:extent cx="7259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259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59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40" w:hanging="217"/>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360" w:right="320" w:firstLine="263"/>
        <w:spacing w:after="0" w:line="332" w:lineRule="auto"/>
        <w:tabs>
          <w:tab w:leader="none" w:pos="843"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7259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119" w:lineRule="exact"/>
        <w:rPr>
          <w:sz w:val="20"/>
          <w:szCs w:val="20"/>
          <w:color w:val="auto"/>
        </w:rPr>
      </w:pPr>
    </w:p>
    <w:p>
      <w:pPr>
        <w:ind w:left="800" w:hanging="177"/>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19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19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-721360</wp:posOffset>
            </wp:positionV>
            <wp:extent cx="7259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259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59320" cy="22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9320" cy="22860"/>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bookmarkStart w:id="2" w:name="page3"/>
    <w:bookmarkEnd w:id="2"/>
    <w:p>
      <w:pPr>
        <w:ind w:left="620"/>
        <w:spacing w:after="0"/>
        <w:rPr>
          <w:sz w:val="20"/>
          <w:szCs w:val="20"/>
          <w:color w:val="auto"/>
        </w:rPr>
      </w:pPr>
      <w:r>
        <w:rPr>
          <w:rFonts w:ascii="Arial" w:cs="Arial" w:eastAsia="Arial" w:hAnsi="Arial"/>
          <w:sz w:val="18"/>
          <w:szCs w:val="18"/>
          <w:color w:val="auto"/>
        </w:rPr>
        <w:t>4) 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59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9620" w:type="dxa"/>
            <w:vAlign w:val="bottom"/>
          </w:tcPr>
          <w:p>
            <w:pPr>
              <w:ind w:left="500"/>
              <w:spacing w:after="0"/>
              <w:rPr>
                <w:sz w:val="20"/>
                <w:szCs w:val="20"/>
                <w:color w:val="auto"/>
              </w:rPr>
            </w:pPr>
            <w:r>
              <w:rPr>
                <w:rFonts w:ascii="Arial" w:cs="Arial" w:eastAsia="Arial" w:hAnsi="Arial"/>
                <w:sz w:val="18"/>
                <w:szCs w:val="18"/>
                <w:b w:val="1"/>
                <w:bCs w:val="1"/>
                <w:color w:val="auto"/>
                <w:w w:val="87"/>
              </w:rPr>
              <w:t>Persons who potentially are to respond to the collection of information contained in this form are not required to respond</w:t>
            </w:r>
          </w:p>
        </w:tc>
      </w:tr>
      <w:tr>
        <w:trPr>
          <w:trHeight w:val="228"/>
        </w:trPr>
        <w:tc>
          <w:tcPr>
            <w:tcW w:w="1800" w:type="dxa"/>
            <w:vAlign w:val="bottom"/>
          </w:tcPr>
          <w:p>
            <w:pPr>
              <w:spacing w:after="0"/>
              <w:rPr>
                <w:sz w:val="20"/>
                <w:szCs w:val="20"/>
                <w:color w:val="auto"/>
              </w:rPr>
            </w:pPr>
            <w:r>
              <w:rPr>
                <w:rFonts w:ascii="Arial" w:cs="Arial" w:eastAsia="Arial" w:hAnsi="Arial"/>
                <w:sz w:val="18"/>
                <w:szCs w:val="18"/>
                <w:color w:val="auto"/>
              </w:rPr>
              <w:t>SEC 1913 (02-02)</w:t>
            </w:r>
          </w:p>
        </w:tc>
        <w:tc>
          <w:tcPr>
            <w:tcW w:w="9620" w:type="dxa"/>
            <w:vAlign w:val="bottom"/>
          </w:tcPr>
          <w:p>
            <w:pPr>
              <w:ind w:left="500"/>
              <w:spacing w:after="0"/>
              <w:rPr>
                <w:sz w:val="20"/>
                <w:szCs w:val="20"/>
                <w:color w:val="auto"/>
              </w:rPr>
            </w:pPr>
            <w:r>
              <w:rPr>
                <w:rFonts w:ascii="Arial" w:cs="Arial" w:eastAsia="Arial" w:hAnsi="Arial"/>
                <w:sz w:val="18"/>
                <w:szCs w:val="18"/>
                <w:b w:val="1"/>
                <w:bCs w:val="1"/>
                <w:color w:val="auto"/>
              </w:rPr>
              <w:t>unless the form displays a currently valid OMB control number.</w:t>
            </w:r>
          </w:p>
        </w:tc>
      </w:tr>
      <w:tr>
        <w:trPr>
          <w:trHeight w:val="228"/>
        </w:trPr>
        <w:tc>
          <w:tcPr>
            <w:tcW w:w="1800" w:type="dxa"/>
            <w:vAlign w:val="bottom"/>
            <w:tcBorders>
              <w:bottom w:val="single" w:sz="8" w:color="808080"/>
            </w:tcBorders>
          </w:tcPr>
          <w:p>
            <w:pPr>
              <w:spacing w:after="0"/>
              <w:rPr>
                <w:sz w:val="19"/>
                <w:szCs w:val="19"/>
                <w:color w:val="auto"/>
              </w:rPr>
            </w:pPr>
          </w:p>
        </w:tc>
        <w:tc>
          <w:tcPr>
            <w:tcW w:w="9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LEAR CORPORATION</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21557 Telegraph Road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Southfield, Michigan 48034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06"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Thursday, May 8, 2003</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10:00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133350</wp:posOffset>
            </wp:positionV>
            <wp:extent cx="1895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252"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On behalf of the Board of Directors, you are cordially invited to attend the 2003 Annual Meeting of Stockholders to be held on Thursday, May 8, 2003, at 10:00 a.m. at Lear Corporation, 5200 Auto Club Drive, Dearborn, Michigan 48126. The purpose of the meeting is to:</w:t>
      </w:r>
    </w:p>
    <w:p>
      <w:pPr>
        <w:spacing w:after="0" w:line="213" w:lineRule="exact"/>
        <w:rPr>
          <w:sz w:val="20"/>
          <w:szCs w:val="20"/>
          <w:color w:val="auto"/>
        </w:rPr>
      </w:pPr>
    </w:p>
    <w:p>
      <w:pPr>
        <w:ind w:left="860" w:hanging="177"/>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 three directors;</w:t>
      </w:r>
    </w:p>
    <w:p>
      <w:pPr>
        <w:spacing w:after="0" w:line="279" w:lineRule="exact"/>
        <w:rPr>
          <w:rFonts w:ascii="Arial" w:cs="Arial" w:eastAsia="Arial" w:hAnsi="Arial"/>
          <w:sz w:val="18"/>
          <w:szCs w:val="18"/>
          <w:color w:val="auto"/>
        </w:rPr>
      </w:pPr>
    </w:p>
    <w:p>
      <w:pPr>
        <w:ind w:left="860" w:hanging="177"/>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ratify the appointment of Ernst &amp; Young LLP as our independent auditors for 2003;</w:t>
      </w:r>
    </w:p>
    <w:p>
      <w:pPr>
        <w:spacing w:after="0" w:line="279" w:lineRule="exact"/>
        <w:rPr>
          <w:rFonts w:ascii="Arial" w:cs="Arial" w:eastAsia="Arial" w:hAnsi="Arial"/>
          <w:sz w:val="18"/>
          <w:szCs w:val="18"/>
          <w:color w:val="auto"/>
        </w:rPr>
      </w:pPr>
    </w:p>
    <w:p>
      <w:pPr>
        <w:ind w:left="860" w:hanging="177"/>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approve an amendment to our Long-Term Stock Incentive Plan; and</w:t>
      </w:r>
    </w:p>
    <w:p>
      <w:pPr>
        <w:spacing w:after="0" w:line="279" w:lineRule="exact"/>
        <w:rPr>
          <w:rFonts w:ascii="Arial" w:cs="Arial" w:eastAsia="Arial" w:hAnsi="Arial"/>
          <w:sz w:val="18"/>
          <w:szCs w:val="18"/>
          <w:color w:val="auto"/>
        </w:rPr>
      </w:pPr>
    </w:p>
    <w:p>
      <w:pPr>
        <w:ind w:left="860" w:hanging="177"/>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any other business properly before the meeting.</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Attendance and voting are limited to stockholders of record at the close of business on March 14, 2003. A list of stockholders entitled to vote at the meeting, and any postponements or adjournments of the meeting, will be available for examination between the hours of 9:00 a.m. and 5:00 p.m. at our offices during the ten days prior to the meeting and also at the meeting.</w:t>
      </w:r>
    </w:p>
    <w:p>
      <w:pPr>
        <w:spacing w:after="0" w:line="221"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Your vote is important. Whether you plan to attend or not, please complete, sign and date the enclosed proxy card and return it in the envelope provided. If you attend the meeting and prefer to vote in person, you may do so.</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Thank you for your continued support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148590</wp:posOffset>
            </wp:positionV>
            <wp:extent cx="1277620" cy="497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762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ROBERT E. ROSSITER</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March 27,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 w:name="page5"/>
    <w:bookmarkEnd w:id="4"/>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INTRODUCTION</w:t>
        </w:r>
      </w:hyperlink>
    </w:p>
    <w:p>
      <w:pPr>
        <w:spacing w:after="0" w:line="238"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ELECTION OF DIRECTORS</w:t>
        </w:r>
      </w:hyperlink>
    </w:p>
    <w:p>
      <w:pPr>
        <w:spacing w:after="0" w:line="230"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DIRECTORS AND BENEFICIAL OWNERSHIP</w:t>
        </w:r>
      </w:hyperlink>
    </w:p>
    <w:p>
      <w:pPr>
        <w:ind w:left="320"/>
        <w:spacing w:after="0" w:line="231"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Directors</w:t>
        </w:r>
      </w:hyperlink>
    </w:p>
    <w:p>
      <w:pPr>
        <w:ind w:left="320"/>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Board Information</w:t>
        </w:r>
      </w:hyperlink>
    </w:p>
    <w:p>
      <w:pPr>
        <w:ind w:left="320"/>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Compensation of Directors</w:t>
        </w:r>
      </w:hyperlink>
    </w:p>
    <w:p>
      <w:pPr>
        <w:ind w:left="320"/>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Security Ownership of Certain Beneficial Owners and Management</w:t>
        </w:r>
      </w:hyperlink>
    </w:p>
    <w:p>
      <w:pPr>
        <w:ind w:left="320"/>
        <w:spacing w:after="0" w:line="231"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Section 16(a) Beneficial Ownership Reporting Compliance</w:t>
        </w:r>
      </w:hyperlink>
    </w:p>
    <w:p>
      <w:pPr>
        <w:spacing w:after="0" w:line="230"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EXECUTIVE COMPENSATION</w:t>
        </w:r>
      </w:hyperlink>
    </w:p>
    <w:p>
      <w:pPr>
        <w:ind w:left="320"/>
        <w:spacing w:after="0" w:line="231"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Summary Compensation Table</w:t>
        </w:r>
      </w:hyperlink>
    </w:p>
    <w:p>
      <w:pPr>
        <w:ind w:left="320"/>
        <w:spacing w:after="0"/>
        <w:rPr>
          <w:rFonts w:ascii="Arial" w:cs="Arial" w:eastAsia="Arial" w:hAnsi="Arial"/>
          <w:sz w:val="19"/>
          <w:szCs w:val="19"/>
          <w:u w:val="single" w:color="auto"/>
          <w:color w:val="0000EE"/>
        </w:rPr>
      </w:pPr>
      <w:hyperlink w:anchor="page17">
        <w:r>
          <w:rPr>
            <w:rFonts w:ascii="Arial" w:cs="Arial" w:eastAsia="Arial" w:hAnsi="Arial"/>
            <w:sz w:val="19"/>
            <w:szCs w:val="19"/>
            <w:u w:val="single" w:color="auto"/>
            <w:color w:val="0000EE"/>
          </w:rPr>
          <w:t>Option Grants and Exercises and Long-Term Incentive Awards in Last Fiscal Year</w:t>
        </w:r>
      </w:hyperlink>
    </w:p>
    <w:p>
      <w:pPr>
        <w:spacing w:after="0" w:line="15" w:lineRule="exact"/>
        <w:rPr>
          <w:sz w:val="20"/>
          <w:szCs w:val="20"/>
          <w:color w:val="auto"/>
        </w:rPr>
      </w:pPr>
    </w:p>
    <w:p>
      <w:pPr>
        <w:ind w:left="320"/>
        <w:spacing w:after="0"/>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Pension Plan and Benefits</w:t>
        </w:r>
      </w:hyperlink>
    </w:p>
    <w:p>
      <w:pPr>
        <w:ind w:left="320"/>
        <w:spacing w:after="0" w:line="230"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Retirement Savings Plan</w:t>
        </w:r>
      </w:hyperlink>
    </w:p>
    <w:p>
      <w:pPr>
        <w:ind w:left="320"/>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Employment Agreements</w:t>
        </w:r>
      </w:hyperlink>
    </w:p>
    <w:p>
      <w:pPr>
        <w:spacing w:after="0" w:line="230"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COMPENSATION COMMITTEE INTERLOCKS AND INSIDER PARTICIPATION</w:t>
        </w:r>
      </w:hyperlink>
    </w:p>
    <w:p>
      <w:pPr>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COMPENSATION COMMITTEE REPORT</w:t>
        </w:r>
      </w:hyperlink>
    </w:p>
    <w:p>
      <w:pPr>
        <w:ind w:left="320"/>
        <w:spacing w:after="0" w:line="231"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Introduction</w:t>
        </w:r>
      </w:hyperlink>
    </w:p>
    <w:p>
      <w:pPr>
        <w:ind w:left="320"/>
        <w:spacing w:after="0" w:line="230"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Executive Compensation Policy</w:t>
        </w:r>
      </w:hyperlink>
    </w:p>
    <w:p>
      <w:pPr>
        <w:ind w:left="320"/>
        <w:spacing w:after="0" w:line="231"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Base Salary</w:t>
        </w:r>
      </w:hyperlink>
    </w:p>
    <w:p>
      <w:pPr>
        <w:ind w:left="320"/>
        <w:spacing w:after="0" w:line="231"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Annual Incentives</w:t>
        </w:r>
      </w:hyperlink>
    </w:p>
    <w:p>
      <w:pPr>
        <w:ind w:left="320"/>
        <w:spacing w:after="0" w:line="230"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Long-Term Incentives</w:t>
        </w:r>
      </w:hyperlink>
    </w:p>
    <w:p>
      <w:pPr>
        <w:ind w:left="320"/>
        <w:spacing w:after="0" w:line="231"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Chief Executive Officer Compensation</w:t>
        </w:r>
      </w:hyperlink>
    </w:p>
    <w:p>
      <w:pPr>
        <w:ind w:left="320"/>
        <w:spacing w:after="0" w:line="230"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Tax Treatment of Executive Compensation</w:t>
        </w:r>
      </w:hyperlink>
    </w:p>
    <w:p>
      <w:pPr>
        <w:spacing w:after="0" w:line="231"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PERFORMANCE GRAPH</w:t>
        </w:r>
      </w:hyperlink>
    </w:p>
    <w:p>
      <w:pPr>
        <w:spacing w:after="0" w:line="231"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AUDIT COMMITTEE REPORT</w:t>
        </w:r>
      </w:hyperlink>
    </w:p>
    <w:p>
      <w:pPr>
        <w:spacing w:after="0" w:line="230" w:lineRule="auto"/>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CERTAIN TRANSACTIONS</w:t>
        </w:r>
      </w:hyperlink>
    </w:p>
    <w:p>
      <w:pPr>
        <w:spacing w:after="0" w:line="231" w:lineRule="auto"/>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RATIFICATION OF APPOINTMENT OF INDEPENDENT AUDITORS</w:t>
        </w:r>
      </w:hyperlink>
    </w:p>
    <w:p>
      <w:pPr>
        <w:spacing w:after="0" w:line="231" w:lineRule="auto"/>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AMENDMENT TO OUR LONG-TERM STOCK INCENTIVE PLAN</w:t>
        </w:r>
      </w:hyperlink>
    </w:p>
    <w:p>
      <w:pPr>
        <w:spacing w:after="0" w:line="230" w:lineRule="auto"/>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Equity Compensation Plan Information</w:t>
        </w:r>
      </w:hyperlink>
    </w:p>
    <w:p>
      <w:pPr>
        <w:spacing w:after="0" w:line="1" w:lineRule="exact"/>
        <w:rPr>
          <w:sz w:val="20"/>
          <w:szCs w:val="20"/>
          <w:color w:val="auto"/>
        </w:rPr>
      </w:pPr>
    </w:p>
    <w:p>
      <w:pPr>
        <w:spacing w:after="0"/>
        <w:rPr>
          <w:rFonts w:ascii="Arial" w:cs="Arial" w:eastAsia="Arial" w:hAnsi="Arial"/>
          <w:sz w:val="19"/>
          <w:szCs w:val="19"/>
          <w:u w:val="single" w:color="auto"/>
          <w:color w:val="0000EE"/>
        </w:rPr>
      </w:pPr>
      <w:hyperlink w:anchor="page36">
        <w:r>
          <w:rPr>
            <w:rFonts w:ascii="Arial" w:cs="Arial" w:eastAsia="Arial" w:hAnsi="Arial"/>
            <w:sz w:val="19"/>
            <w:szCs w:val="19"/>
            <w:u w:val="single" w:color="auto"/>
            <w:color w:val="0000EE"/>
          </w:rPr>
          <w:t>STOCKHOLDER PROPOSALS FOR 2004 ANNUAL MEETING OF STOCKHOLDERS</w:t>
        </w:r>
      </w:hyperlink>
    </w:p>
    <w:p>
      <w:pPr>
        <w:spacing w:after="0" w:line="25" w:lineRule="exact"/>
        <w:rPr>
          <w:sz w:val="20"/>
          <w:szCs w:val="20"/>
          <w:color w:val="auto"/>
        </w:rPr>
      </w:pPr>
    </w:p>
    <w:p>
      <w:pPr>
        <w:spacing w:after="0"/>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OTHER MATTERS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660" w:type="dxa"/>
            <w:vAlign w:val="bottom"/>
          </w:tcPr>
          <w:p>
            <w:pPr>
              <w:spacing w:after="0"/>
              <w:rPr>
                <w:sz w:val="15"/>
                <w:szCs w:val="15"/>
                <w:color w:val="auto"/>
              </w:rPr>
            </w:pPr>
          </w:p>
        </w:tc>
        <w:tc>
          <w:tcPr>
            <w:tcW w:w="2760" w:type="dxa"/>
            <w:vAlign w:val="bottom"/>
            <w:gridSpan w:val="2"/>
          </w:tcPr>
          <w:p>
            <w:pPr>
              <w:jc w:val="right"/>
              <w:ind w:right="2440"/>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86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20" w:type="dxa"/>
            <w:vAlign w:val="bottom"/>
          </w:tcPr>
          <w:p>
            <w:pPr>
              <w:spacing w:after="0"/>
              <w:rPr>
                <w:sz w:val="8"/>
                <w:szCs w:val="8"/>
                <w:color w:val="auto"/>
              </w:rPr>
            </w:pPr>
          </w:p>
        </w:tc>
      </w:tr>
      <w:tr>
        <w:trPr>
          <w:trHeight w:val="309"/>
        </w:trPr>
        <w:tc>
          <w:tcPr>
            <w:tcW w:w="8660" w:type="dxa"/>
            <w:vAlign w:val="bottom"/>
          </w:tcPr>
          <w:p>
            <w:pPr>
              <w:ind w:left="2300"/>
              <w:spacing w:after="0"/>
              <w:rPr>
                <w:sz w:val="20"/>
                <w:szCs w:val="20"/>
                <w:color w:val="auto"/>
              </w:rPr>
            </w:pPr>
            <w:r>
              <w:rPr>
                <w:rFonts w:ascii="Arial" w:cs="Arial" w:eastAsia="Arial" w:hAnsi="Arial"/>
                <w:sz w:val="18"/>
                <w:szCs w:val="18"/>
                <w:color w:val="auto"/>
              </w:rPr>
              <w:t>INTRODUCTION</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1</w:t>
            </w: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ELECTION OF DIRECTORS</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3</w:t>
            </w: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DIRECTORS AND BENEFICIAL OWNERSHIP</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4</w:t>
            </w: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Directors</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4</w:t>
            </w: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Board Information</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5</w:t>
            </w: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Compensation of Directors</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6</w:t>
            </w: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Security Ownership of Certain Beneficial Owners and Management</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7</w:t>
            </w: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Section 16(a) Beneficial Ownership Reporting Compliance</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8</w:t>
            </w: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EXECUTIVE COMPENSATION</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9</w:t>
            </w: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Summary Compensation Table</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9</w:t>
            </w: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w w:val="93"/>
              </w:rPr>
              <w:t>Option Grants and Exercises and Long-Term Incentive Awards in Last Fiscal Year</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11</w:t>
            </w: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Pension Plan and Benefits</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12</w:t>
            </w: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Retirement Savings Plan</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14</w:t>
            </w: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Employment Agreements</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14</w:t>
            </w: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Other Compensation Arrangements</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15</w:t>
            </w: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w w:val="98"/>
              </w:rPr>
              <w:t>COMPENSATION COMMITTEE INTERLOCKS AND INSIDER PARTICIPATION</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16</w:t>
            </w: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COMPENSATION COMMITTEE REPORT</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16</w:t>
            </w: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Introduction</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16</w:t>
            </w: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Executive Compensation Policy</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16</w:t>
            </w: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Base Salary</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17</w:t>
            </w: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Annual Incentives</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17</w:t>
            </w: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Long-Term Incentives</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17</w:t>
            </w: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Chief Executive Officer Compensation</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19</w:t>
            </w:r>
          </w:p>
        </w:tc>
      </w:tr>
      <w:tr>
        <w:trPr>
          <w:trHeight w:val="216"/>
        </w:trPr>
        <w:tc>
          <w:tcPr>
            <w:tcW w:w="8660" w:type="dxa"/>
            <w:vAlign w:val="bottom"/>
          </w:tcPr>
          <w:p>
            <w:pPr>
              <w:ind w:left="2500"/>
              <w:spacing w:after="0"/>
              <w:rPr>
                <w:sz w:val="20"/>
                <w:szCs w:val="20"/>
                <w:color w:val="auto"/>
              </w:rPr>
            </w:pPr>
            <w:r>
              <w:rPr>
                <w:rFonts w:ascii="Arial" w:cs="Arial" w:eastAsia="Arial" w:hAnsi="Arial"/>
                <w:sz w:val="18"/>
                <w:szCs w:val="18"/>
                <w:color w:val="auto"/>
              </w:rPr>
              <w:t>Tax Treatment of Executive Compensation</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19</w:t>
            </w: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PERFORMANCE GRAPH</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20</w:t>
            </w: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AUDIT COMMITTEE REPORT</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20</w:t>
            </w: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CERTAIN TRANSACTIONS</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22</w:t>
            </w: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RATIFICATION OF APPOINTMENT OF INDEPENDENT AUDITORS</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24</w:t>
            </w: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AMENDMENT TO OUR LONG-TERM STOCK INCENTIVE PLAN</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24</w:t>
            </w: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EQUITY COMPENSATION PLANS</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29</w:t>
            </w:r>
          </w:p>
        </w:tc>
      </w:tr>
      <w:tr>
        <w:trPr>
          <w:trHeight w:val="216"/>
        </w:trPr>
        <w:tc>
          <w:tcPr>
            <w:tcW w:w="8660" w:type="dxa"/>
            <w:vAlign w:val="bottom"/>
          </w:tcPr>
          <w:p>
            <w:pPr>
              <w:ind w:left="2300"/>
              <w:spacing w:after="0"/>
              <w:rPr>
                <w:sz w:val="20"/>
                <w:szCs w:val="20"/>
                <w:color w:val="auto"/>
              </w:rPr>
            </w:pPr>
            <w:r>
              <w:rPr>
                <w:rFonts w:ascii="Arial" w:cs="Arial" w:eastAsia="Arial" w:hAnsi="Arial"/>
                <w:sz w:val="18"/>
                <w:szCs w:val="18"/>
                <w:color w:val="auto"/>
              </w:rPr>
              <w:t>STOCKHOLDER PROPOSALS FOR 2004 ANNUAL MEETING OF</w:t>
            </w:r>
          </w:p>
        </w:tc>
        <w:tc>
          <w:tcPr>
            <w:tcW w:w="34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660" w:type="dxa"/>
            <w:vAlign w:val="bottom"/>
          </w:tcPr>
          <w:p>
            <w:pPr>
              <w:ind w:left="2420"/>
              <w:spacing w:after="0"/>
              <w:rPr>
                <w:sz w:val="20"/>
                <w:szCs w:val="20"/>
                <w:color w:val="auto"/>
              </w:rPr>
            </w:pPr>
            <w:r>
              <w:rPr>
                <w:rFonts w:ascii="Arial" w:cs="Arial" w:eastAsia="Arial" w:hAnsi="Arial"/>
                <w:sz w:val="18"/>
                <w:szCs w:val="18"/>
                <w:color w:val="auto"/>
              </w:rPr>
              <w:t>STOCKHOLDERS</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30</w:t>
            </w:r>
          </w:p>
        </w:tc>
      </w:tr>
      <w:tr>
        <w:trPr>
          <w:trHeight w:val="222"/>
        </w:trPr>
        <w:tc>
          <w:tcPr>
            <w:tcW w:w="8660" w:type="dxa"/>
            <w:vAlign w:val="bottom"/>
          </w:tcPr>
          <w:p>
            <w:pPr>
              <w:ind w:left="2300"/>
              <w:spacing w:after="0"/>
              <w:rPr>
                <w:sz w:val="20"/>
                <w:szCs w:val="20"/>
                <w:color w:val="auto"/>
              </w:rPr>
            </w:pPr>
            <w:r>
              <w:rPr>
                <w:rFonts w:ascii="Arial" w:cs="Arial" w:eastAsia="Arial" w:hAnsi="Arial"/>
                <w:sz w:val="18"/>
                <w:szCs w:val="18"/>
                <w:color w:val="auto"/>
              </w:rPr>
              <w:t>OTHER MATTERS</w:t>
            </w:r>
          </w:p>
        </w:tc>
        <w:tc>
          <w:tcPr>
            <w:tcW w:w="2760" w:type="dxa"/>
            <w:vAlign w:val="bottom"/>
            <w:gridSpan w:val="2"/>
          </w:tcPr>
          <w:p>
            <w:pPr>
              <w:jc w:val="right"/>
              <w:ind w:right="2420"/>
              <w:spacing w:after="0"/>
              <w:rPr>
                <w:sz w:val="20"/>
                <w:szCs w:val="20"/>
                <w:color w:val="auto"/>
              </w:rPr>
            </w:pPr>
            <w:r>
              <w:rPr>
                <w:rFonts w:ascii="Arial" w:cs="Arial" w:eastAsia="Arial" w:hAnsi="Arial"/>
                <w:sz w:val="18"/>
                <w:szCs w:val="18"/>
                <w:color w:val="auto"/>
              </w:rPr>
              <w:t>30</w:t>
            </w:r>
          </w:p>
        </w:tc>
      </w:tr>
      <w:tr>
        <w:trPr>
          <w:trHeight w:val="228"/>
        </w:trPr>
        <w:tc>
          <w:tcPr>
            <w:tcW w:w="86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LEAR CORPORATION</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21557 Telegraph Road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Southfield, Michigan 48034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w:t>
      </w:r>
    </w:p>
    <w:p>
      <w:pPr>
        <w:spacing w:after="0" w:line="258"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2003 Annual Meeting of Stockholders will be held at Lear Corporation, 5200 Auto Club Drive, Dearborn, Michigan 48126, on Thursday, May 8, 2003, at 10:00 a.m., Eastern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date fixed to determine stockholders entitled to notice of and to vote at the meeting is the close of business on March 14,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Mailing Date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anticipate first mailing this proxy statement, the attached Notice of Annual Meeting and the enclosed proxy card on or about April 8, 2003.</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Agenda</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agenda for the meeting is:</w:t>
      </w:r>
    </w:p>
    <w:p>
      <w:pPr>
        <w:spacing w:after="0" w:line="252" w:lineRule="exact"/>
        <w:rPr>
          <w:sz w:val="20"/>
          <w:szCs w:val="20"/>
          <w:color w:val="auto"/>
        </w:rPr>
      </w:pPr>
    </w:p>
    <w:p>
      <w:pPr>
        <w:ind w:left="1040" w:hanging="357"/>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three directors;</w:t>
      </w:r>
    </w:p>
    <w:p>
      <w:pPr>
        <w:spacing w:after="0" w:line="279" w:lineRule="exact"/>
        <w:rPr>
          <w:rFonts w:ascii="Arial" w:cs="Arial" w:eastAsia="Arial" w:hAnsi="Arial"/>
          <w:sz w:val="18"/>
          <w:szCs w:val="18"/>
          <w:color w:val="auto"/>
        </w:rPr>
      </w:pPr>
    </w:p>
    <w:p>
      <w:pPr>
        <w:ind w:left="1040" w:hanging="357"/>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auditors for 2003;</w:t>
      </w:r>
    </w:p>
    <w:p>
      <w:pPr>
        <w:spacing w:after="0" w:line="279" w:lineRule="exact"/>
        <w:rPr>
          <w:rFonts w:ascii="Arial" w:cs="Arial" w:eastAsia="Arial" w:hAnsi="Arial"/>
          <w:sz w:val="18"/>
          <w:szCs w:val="18"/>
          <w:color w:val="auto"/>
        </w:rPr>
      </w:pPr>
    </w:p>
    <w:p>
      <w:pPr>
        <w:ind w:left="1040" w:hanging="357"/>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amendment to our Long-Term Stock Incentive Plan; and</w:t>
      </w:r>
    </w:p>
    <w:p>
      <w:pPr>
        <w:spacing w:after="0" w:line="279" w:lineRule="exact"/>
        <w:rPr>
          <w:rFonts w:ascii="Arial" w:cs="Arial" w:eastAsia="Arial" w:hAnsi="Arial"/>
          <w:sz w:val="18"/>
          <w:szCs w:val="18"/>
          <w:color w:val="auto"/>
        </w:rPr>
      </w:pPr>
    </w:p>
    <w:p>
      <w:pPr>
        <w:ind w:left="1040" w:hanging="357"/>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any other business properly before the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258" w:lineRule="exact"/>
        <w:rPr>
          <w:sz w:val="20"/>
          <w:szCs w:val="20"/>
          <w:color w:val="auto"/>
        </w:rPr>
      </w:pPr>
    </w:p>
    <w:p>
      <w:pPr>
        <w:ind w:right="360" w:firstLine="324"/>
        <w:spacing w:after="0" w:line="256" w:lineRule="auto"/>
        <w:rPr>
          <w:sz w:val="20"/>
          <w:szCs w:val="20"/>
          <w:color w:val="auto"/>
        </w:rPr>
      </w:pPr>
      <w:r>
        <w:rPr>
          <w:rFonts w:ascii="Arial" w:cs="Arial" w:eastAsia="Arial" w:hAnsi="Arial"/>
          <w:sz w:val="18"/>
          <w:szCs w:val="18"/>
          <w:color w:val="auto"/>
        </w:rPr>
        <w:t>Our Board of Directors is soliciting this proxy. Certain of our officers and employees may also solicit proxies personally and by telephone. The cost of solicitation, including the cost of mailing, will be paid for by the Company. MacKenzie Partners, Inc. will help us to solicit brokers and nominees at a cost of approximately $5,000 plus their expenses. We have requested that banks, brokers and other custodian nominees and fiduciaries supply, at our expense, proxy material to the beneficial owners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258"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Provided you date, execute and return a proxy card, your proxy will be voted in accordance with your instructions. If you provide no specific instructions in the proxy card, your shares will be voted FOR our Board’s nominees in item one, FOR the ratification of the appointment of our independent auditors, and FOR the approval of an amendment to our Long-Term Stock Incentive Plan.</w:t>
      </w:r>
    </w:p>
    <w:p>
      <w:pPr>
        <w:spacing w:after="0" w:line="2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do not intend to bring any matters before the meeting except those indicated in the Notice of Annual Meeting and we do not know of any matter which anyone else intends to present for action at the meeting. If any other matters properly come before the meeting, however, the persons named in the enclosed proxy will be authorized to vote or otherwise act in accordance with their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Proxies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may revoke your proxy at any time before it is voted at the meeting by:</w:t>
      </w:r>
    </w:p>
    <w:p>
      <w:pPr>
        <w:spacing w:after="0" w:line="225" w:lineRule="exact"/>
        <w:rPr>
          <w:sz w:val="20"/>
          <w:szCs w:val="20"/>
          <w:color w:val="auto"/>
        </w:rPr>
      </w:pPr>
    </w:p>
    <w:p>
      <w:pPr>
        <w:ind w:left="460" w:hanging="101"/>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delivering to Joseph F. McCarthy, our Vice President, Secretary and General Counsel, a signed, written revocation letter dated later than your proxy;</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submitting a proxy to the Company with a later date;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attending the meeting and voting either in person or by ballot.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the record date, there were approximately 65,817,312 shares of our common stock outstanding, the only class of voting securities outstanding.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5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A quorum is established when a majority of shares entitled to vote is present at the meeting, either in person or by proxy. Abstentions and broker non-votes are counted for purposes of determining whether a quorum is present.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Each share of common stock that you hold as of the record date entitles you to one vote, without cumulation, on each matter to be voted upon at the meeting.</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58" w:lineRule="exact"/>
        <w:rPr>
          <w:sz w:val="20"/>
          <w:szCs w:val="20"/>
          <w:color w:val="auto"/>
        </w:rPr>
      </w:pPr>
    </w:p>
    <w:p>
      <w:pPr>
        <w:ind w:right="320" w:firstLine="324"/>
        <w:spacing w:after="0" w:line="306" w:lineRule="auto"/>
        <w:rPr>
          <w:sz w:val="20"/>
          <w:szCs w:val="20"/>
          <w:color w:val="auto"/>
        </w:rPr>
      </w:pPr>
      <w:r>
        <w:rPr>
          <w:rFonts w:ascii="Arial" w:cs="Arial" w:eastAsia="Arial" w:hAnsi="Arial"/>
          <w:sz w:val="16"/>
          <w:szCs w:val="16"/>
          <w:color w:val="auto"/>
        </w:rPr>
        <w:t>Our directors are elected by a plurality of the votes cast by the holders of our common stock. “Plurality” means that the three individuals who receive the highest number of the votes will be elected as directors. Any shares not voted (whether by abstention, broker non-vote or otherwise) have no impact in the election of directors except to the extent that the failure to vote for an individual results in another individual receiving a higher number of votes.</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 each other item, the affirmative vote of the holders of a majority of the shares represented in person or by proxy and entitled to vote on the item will be required for approval. A properly executed proxy marked ABSTAIN with respect to any such matter will not be voted, although it will be counted for purposes of determining whether there is a quorum. Accordingly, an abstention will have the effect of a negative vote.</w:t>
      </w:r>
    </w:p>
    <w:p>
      <w:pPr>
        <w:spacing w:after="0" w:line="22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If you hold your shares in “street name” through a broker or other nominee, your broker or nominee may not be permitted to exercise voting discretion with respect to some of the matters to be acted upon. Thus, if you do not give your broker or nominee specific instructions with respect to a non-discretionary matter, your shares will not be voted on such matter and will not be counted as shares entitled to vote on such matter. Shares represented by such “broker non-votes” will, however, be counted in determining whether there is a quorum.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Lear Corporation’s 2002 Annual Report is being mailed to you with this proxy statement.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5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Our Board consists of three classes. One class of directors is elected at each annual meeting of stockholders to serve a three year term. Directors elected at the 2003 Annual Meeting of Stockholders will hold office until their successors are elected at the 2006 Annual Meeting of Stockholders. Directors not up for election this year will continue in office for the remainder of their terms.</w:t>
      </w:r>
    </w:p>
    <w:p>
      <w:pPr>
        <w:spacing w:after="0" w:line="221" w:lineRule="exact"/>
        <w:rPr>
          <w:sz w:val="20"/>
          <w:szCs w:val="20"/>
          <w:color w:val="auto"/>
        </w:rPr>
      </w:pPr>
    </w:p>
    <w:p>
      <w:pPr>
        <w:ind w:right="800" w:firstLine="324"/>
        <w:spacing w:after="0" w:line="332" w:lineRule="auto"/>
        <w:rPr>
          <w:sz w:val="20"/>
          <w:szCs w:val="20"/>
          <w:color w:val="auto"/>
        </w:rPr>
      </w:pPr>
      <w:r>
        <w:rPr>
          <w:rFonts w:ascii="Arial" w:cs="Arial" w:eastAsia="Arial" w:hAnsi="Arial"/>
          <w:sz w:val="16"/>
          <w:szCs w:val="16"/>
          <w:color w:val="auto"/>
        </w:rPr>
        <w:t>The Nominating Committee has nominated David E. Fry, David P. Spalding and James A. Stern to stand for election to our Board. Unless contrary instructions are given, the shares represented by the enclosed proxy will be voted FOR the election of all nominees.</w:t>
      </w:r>
    </w:p>
    <w:p>
      <w:pPr>
        <w:spacing w:after="0" w:line="16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All nominees have consented to being named in this proxy statement and to serve if elected. However, if any nominee becomes unable to serve, proxy holders will have discretion and authority to vote for another nominee proposed by our Board. Alternatively, our Board may reduce the number of directors to be elected at the meeting.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Terms Expiring at the 2006 Annual Meeting</w:t>
      </w:r>
    </w:p>
    <w:p>
      <w:pPr>
        <w:spacing w:after="0" w:line="200" w:lineRule="exact"/>
        <w:rPr>
          <w:sz w:val="20"/>
          <w:szCs w:val="20"/>
          <w:color w:val="auto"/>
        </w:rPr>
      </w:pPr>
    </w:p>
    <w:p>
      <w:pPr>
        <w:spacing w:after="0" w:line="274"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David E. Fry:</w:t>
      </w:r>
      <w:r>
        <w:rPr>
          <w:sz w:val="20"/>
          <w:szCs w:val="20"/>
          <w:color w:val="auto"/>
        </w:rPr>
        <w:tab/>
      </w:r>
      <w:r>
        <w:rPr>
          <w:rFonts w:ascii="Arial" w:cs="Arial" w:eastAsia="Arial" w:hAnsi="Arial"/>
          <w:sz w:val="16"/>
          <w:szCs w:val="16"/>
          <w:color w:val="auto"/>
        </w:rPr>
        <w:t>Age: 59</w:t>
      </w:r>
    </w:p>
    <w:p>
      <w:pPr>
        <w:spacing w:after="0" w:line="225" w:lineRule="exact"/>
        <w:rPr>
          <w:sz w:val="20"/>
          <w:szCs w:val="20"/>
          <w:color w:val="auto"/>
        </w:rPr>
      </w:pPr>
    </w:p>
    <w:p>
      <w:pPr>
        <w:ind w:left="360" w:right="220"/>
        <w:spacing w:after="0" w:line="298" w:lineRule="auto"/>
        <w:rPr>
          <w:sz w:val="20"/>
          <w:szCs w:val="20"/>
          <w:color w:val="auto"/>
        </w:rPr>
      </w:pPr>
      <w:r>
        <w:rPr>
          <w:rFonts w:ascii="Arial" w:cs="Arial" w:eastAsia="Arial" w:hAnsi="Arial"/>
          <w:sz w:val="16"/>
          <w:szCs w:val="16"/>
          <w:color w:val="auto"/>
        </w:rPr>
        <w:t>Dr. Fry, who has been a director of Lear since August 2002, has been the President and CEO of Northwood University, a university of business administration with campuses in Midland, Michigan; Dallas, Texas and Palm Beach, Florida, since 1982. Dr. Fry also serves as a director of Reynolds and Reynolds Company, Decker Energy International and Chemical Bank and Trust Co. (Midland, Michigan). Dr. Fry is also a director and member of the executive committee of the Automotive Hall of Fame and the Chairman of the Michigan Higher Education Facilities Authority.</w:t>
      </w:r>
    </w:p>
    <w:p>
      <w:pPr>
        <w:spacing w:after="0" w:line="200" w:lineRule="exact"/>
        <w:rPr>
          <w:sz w:val="20"/>
          <w:szCs w:val="20"/>
          <w:color w:val="auto"/>
        </w:rPr>
      </w:pPr>
    </w:p>
    <w:p>
      <w:pPr>
        <w:spacing w:after="0" w:line="210"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David P. Spalding:</w:t>
      </w:r>
      <w:r>
        <w:rPr>
          <w:sz w:val="20"/>
          <w:szCs w:val="20"/>
          <w:color w:val="auto"/>
        </w:rPr>
        <w:tab/>
      </w:r>
      <w:r>
        <w:rPr>
          <w:rFonts w:ascii="Arial" w:cs="Arial" w:eastAsia="Arial" w:hAnsi="Arial"/>
          <w:sz w:val="16"/>
          <w:szCs w:val="16"/>
          <w:color w:val="auto"/>
        </w:rPr>
        <w:t>Age: 48</w:t>
      </w:r>
    </w:p>
    <w:p>
      <w:pPr>
        <w:spacing w:after="0" w:line="225" w:lineRule="exact"/>
        <w:rPr>
          <w:sz w:val="20"/>
          <w:szCs w:val="20"/>
          <w:color w:val="auto"/>
        </w:rPr>
      </w:pPr>
    </w:p>
    <w:p>
      <w:pPr>
        <w:ind w:left="360" w:right="200"/>
        <w:spacing w:after="0" w:line="332" w:lineRule="auto"/>
        <w:rPr>
          <w:sz w:val="20"/>
          <w:szCs w:val="20"/>
          <w:color w:val="auto"/>
        </w:rPr>
      </w:pPr>
      <w:r>
        <w:rPr>
          <w:rFonts w:ascii="Arial" w:cs="Arial" w:eastAsia="Arial" w:hAnsi="Arial"/>
          <w:sz w:val="16"/>
          <w:szCs w:val="16"/>
          <w:color w:val="auto"/>
        </w:rPr>
        <w:t>Mr. Spalding has been a director of Lear since 1991. Mr. Spalding has been a Vice Chairman of The Cypress Group L.L.C., a private equity fund manager, since 1994. Mr. Spalding is also a director of AMTROL, Inc., Williams Scotsman, Inc. and Republic National Cabinet Corporation.</w:t>
      </w:r>
    </w:p>
    <w:p>
      <w:pPr>
        <w:spacing w:after="0" w:line="382"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James A. Stern:</w:t>
      </w:r>
      <w:r>
        <w:rPr>
          <w:sz w:val="20"/>
          <w:szCs w:val="20"/>
          <w:color w:val="auto"/>
        </w:rPr>
        <w:tab/>
      </w:r>
      <w:r>
        <w:rPr>
          <w:rFonts w:ascii="Arial" w:cs="Arial" w:eastAsia="Arial" w:hAnsi="Arial"/>
          <w:sz w:val="16"/>
          <w:szCs w:val="16"/>
          <w:color w:val="auto"/>
        </w:rPr>
        <w:t>Age: 52</w:t>
      </w:r>
    </w:p>
    <w:p>
      <w:pPr>
        <w:spacing w:after="0" w:line="225" w:lineRule="exact"/>
        <w:rPr>
          <w:sz w:val="20"/>
          <w:szCs w:val="20"/>
          <w:color w:val="auto"/>
        </w:rPr>
      </w:pPr>
    </w:p>
    <w:p>
      <w:pPr>
        <w:ind w:left="360" w:right="120"/>
        <w:spacing w:after="0" w:line="268" w:lineRule="auto"/>
        <w:rPr>
          <w:sz w:val="20"/>
          <w:szCs w:val="20"/>
          <w:color w:val="auto"/>
        </w:rPr>
      </w:pPr>
      <w:r>
        <w:rPr>
          <w:rFonts w:ascii="Arial" w:cs="Arial" w:eastAsia="Arial" w:hAnsi="Arial"/>
          <w:sz w:val="18"/>
          <w:szCs w:val="18"/>
          <w:color w:val="auto"/>
        </w:rPr>
        <w:t>Mr. Stern has been a director of Lear since 1991. Mr. Stern is Chairman of The Cypress Group L.L.C., a private equity fund manager, a position he has held since 1994. He is also a director of Cinemark U.S.A., Inc., AMTROL, Inc. and WESCO International, Inc.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BOARD RECOMMENDS A VOTE “FOR”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EACH NOMINEE.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BENEFICIAL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58"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Set forth below is a description of the business experience of each of our directors other than Messrs. Fry, Spalding and Stern, whose biographies are set out in the section entitled “Election of Directors.” The terms of directors Messrs. McCurdy, Parrott and Way expire at the annual meeting in 2004 and the terms of directors Messrs. Mallett, Rossiter and Vandenberghe expire at the annual meeting in 2005. Irma B. Elder, whose term expires at this annual meeting, is retiring from our Board effective May 2003.</w:t>
      </w:r>
    </w:p>
    <w:p>
      <w:pPr>
        <w:spacing w:after="0" w:line="200" w:lineRule="exact"/>
        <w:rPr>
          <w:sz w:val="20"/>
          <w:szCs w:val="20"/>
          <w:color w:val="auto"/>
        </w:rPr>
      </w:pPr>
    </w:p>
    <w:p>
      <w:pPr>
        <w:spacing w:after="0" w:line="240"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Conrad L. Mallett, Jr.:</w:t>
      </w:r>
      <w:r>
        <w:rPr>
          <w:sz w:val="20"/>
          <w:szCs w:val="20"/>
          <w:color w:val="auto"/>
        </w:rPr>
        <w:tab/>
      </w:r>
      <w:r>
        <w:rPr>
          <w:rFonts w:ascii="Arial" w:cs="Arial" w:eastAsia="Arial" w:hAnsi="Arial"/>
          <w:sz w:val="16"/>
          <w:szCs w:val="16"/>
          <w:color w:val="auto"/>
        </w:rPr>
        <w:t>Age: 50</w:t>
      </w:r>
    </w:p>
    <w:p>
      <w:pPr>
        <w:spacing w:after="0" w:line="225" w:lineRule="exact"/>
        <w:rPr>
          <w:sz w:val="20"/>
          <w:szCs w:val="20"/>
          <w:color w:val="auto"/>
        </w:rPr>
      </w:pPr>
    </w:p>
    <w:p>
      <w:pPr>
        <w:jc w:val="both"/>
        <w:ind w:left="360" w:right="180"/>
        <w:spacing w:after="0" w:line="284" w:lineRule="auto"/>
        <w:rPr>
          <w:sz w:val="20"/>
          <w:szCs w:val="20"/>
          <w:color w:val="auto"/>
        </w:rPr>
      </w:pPr>
      <w:r>
        <w:rPr>
          <w:rFonts w:ascii="Arial" w:cs="Arial" w:eastAsia="Arial" w:hAnsi="Arial"/>
          <w:sz w:val="16"/>
          <w:szCs w:val="16"/>
          <w:color w:val="auto"/>
        </w:rPr>
        <w:t>Justice Mallett, who has been a director of Lear since August 2002, has been the President and General Counsel of Hawkins Food Group since April 2002. Previously, he was the Transition Director for Detroit Mayor Kwame M. Kilpatrick and served as the Chief Operating Officer for the City of Detroit from January 2002 to April 2002. He was General Counsel and Chief Administrative Officer of the Detroit Medical Center from August 1999 to April 2002.</w:t>
      </w:r>
    </w:p>
    <w:p>
      <w:pPr>
        <w:spacing w:after="0" w:line="1" w:lineRule="exact"/>
        <w:rPr>
          <w:sz w:val="20"/>
          <w:szCs w:val="20"/>
          <w:color w:val="auto"/>
        </w:rPr>
      </w:pPr>
    </w:p>
    <w:p>
      <w:pPr>
        <w:jc w:val="both"/>
        <w:ind w:left="360" w:right="60"/>
        <w:spacing w:after="0" w:line="302" w:lineRule="auto"/>
        <w:rPr>
          <w:sz w:val="20"/>
          <w:szCs w:val="20"/>
          <w:color w:val="auto"/>
        </w:rPr>
      </w:pPr>
      <w:r>
        <w:rPr>
          <w:rFonts w:ascii="Arial" w:cs="Arial" w:eastAsia="Arial" w:hAnsi="Arial"/>
          <w:sz w:val="16"/>
          <w:szCs w:val="16"/>
          <w:color w:val="auto"/>
        </w:rPr>
        <w:t>Justice Mallett was also a Partner in the law firm of Miller, Canfield, Paddock &amp; Stone from January 1999 to August 1999. In addition, Justice Mallett was a Justice of the Michigan Supreme Court from December 1990 to January 1999 and served a two-year term as Chief Justice beginning in 1997. Justice Mallett also serves as a director of TechTeam Global, Inc. and serves on the Executive Board of the Metropolitan Detroit YMCA.</w:t>
      </w:r>
    </w:p>
    <w:p>
      <w:pPr>
        <w:spacing w:after="0" w:line="200" w:lineRule="exact"/>
        <w:rPr>
          <w:sz w:val="20"/>
          <w:szCs w:val="20"/>
          <w:color w:val="auto"/>
        </w:rPr>
      </w:pPr>
    </w:p>
    <w:p>
      <w:pPr>
        <w:spacing w:after="0" w:line="207"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Larry W. McCurdy:</w:t>
      </w:r>
      <w:r>
        <w:rPr>
          <w:sz w:val="20"/>
          <w:szCs w:val="20"/>
          <w:color w:val="auto"/>
        </w:rPr>
        <w:tab/>
      </w:r>
      <w:r>
        <w:rPr>
          <w:rFonts w:ascii="Arial" w:cs="Arial" w:eastAsia="Arial" w:hAnsi="Arial"/>
          <w:sz w:val="16"/>
          <w:szCs w:val="16"/>
          <w:color w:val="auto"/>
        </w:rPr>
        <w:t>Age: 67</w:t>
      </w:r>
    </w:p>
    <w:p>
      <w:pPr>
        <w:spacing w:after="0" w:line="225" w:lineRule="exact"/>
        <w:rPr>
          <w:sz w:val="20"/>
          <w:szCs w:val="20"/>
          <w:color w:val="auto"/>
        </w:rPr>
      </w:pPr>
    </w:p>
    <w:p>
      <w:pPr>
        <w:ind w:left="360" w:right="320"/>
        <w:spacing w:after="0" w:line="254" w:lineRule="auto"/>
        <w:rPr>
          <w:sz w:val="20"/>
          <w:szCs w:val="20"/>
          <w:color w:val="auto"/>
        </w:rPr>
      </w:pPr>
      <w:r>
        <w:rPr>
          <w:rFonts w:ascii="Arial" w:cs="Arial" w:eastAsia="Arial" w:hAnsi="Arial"/>
          <w:sz w:val="18"/>
          <w:szCs w:val="18"/>
          <w:color w:val="auto"/>
        </w:rPr>
        <w:t>Mr. McCurdy has been a director of Lear since 1988. In July 2000, Mr. McCurdy retired from Dana Corporation, a motor vehicle parts manufacturer and after-market supplier, where he served as President, Dana Automotive Aftermarket Group, since July 1998. Mr. McCurdy was Chairman of the Board, President and Chief Executive Officer of Echlin, a motor vehicle parts manufacturer, from March 1997 until July 1998 when it was merged into Dana Corporation. Prior to this, Mr. McCurdy was Executive Vice President, Operations of Cooper Industries, a diversified manufacturing company, from April 1994 to March 1997. Mr. McCurdy also serves as a director of American Axle and Manufacturing Holdings, Inc., General Parts, Inc., Mohawk Industries, Inc. and Breed Technologies,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Roy E. Parrott:</w:t>
      </w:r>
      <w:r>
        <w:rPr>
          <w:sz w:val="20"/>
          <w:szCs w:val="20"/>
          <w:color w:val="auto"/>
        </w:rPr>
        <w:tab/>
      </w:r>
      <w:r>
        <w:rPr>
          <w:rFonts w:ascii="Arial" w:cs="Arial" w:eastAsia="Arial" w:hAnsi="Arial"/>
          <w:sz w:val="16"/>
          <w:szCs w:val="16"/>
          <w:color w:val="auto"/>
        </w:rPr>
        <w:t>Age: 62</w:t>
      </w:r>
    </w:p>
    <w:p>
      <w:pPr>
        <w:spacing w:after="0" w:line="225" w:lineRule="exact"/>
        <w:rPr>
          <w:sz w:val="20"/>
          <w:szCs w:val="20"/>
          <w:color w:val="auto"/>
        </w:rPr>
      </w:pPr>
    </w:p>
    <w:p>
      <w:pPr>
        <w:ind w:left="360" w:right="20"/>
        <w:spacing w:after="0" w:line="256" w:lineRule="auto"/>
        <w:rPr>
          <w:sz w:val="20"/>
          <w:szCs w:val="20"/>
          <w:color w:val="auto"/>
        </w:rPr>
      </w:pPr>
      <w:r>
        <w:rPr>
          <w:rFonts w:ascii="Arial" w:cs="Arial" w:eastAsia="Arial" w:hAnsi="Arial"/>
          <w:sz w:val="18"/>
          <w:szCs w:val="18"/>
          <w:color w:val="auto"/>
        </w:rPr>
        <w:t>Mr. Parrott has been a director of Lear since February 1997. In January 2003, Mr. Parrott retired from Metaldyne Corporation where he served as President of Business Operations since December 2000. Metaldyne Corporation, an integrated metal solutions supplier, purchased Simpson Industries, Inc. in December 2000. Previously, Mr. Parrott was the Chief Executive Officer of Simpson Industries, Inc. from 1994 to December 2000 and Chairman of Simpson Industries, Inc. from November 1997 to December 2000.</w:t>
      </w:r>
    </w:p>
    <w:p>
      <w:pPr>
        <w:spacing w:after="0" w:line="200" w:lineRule="exact"/>
        <w:rPr>
          <w:sz w:val="20"/>
          <w:szCs w:val="20"/>
          <w:color w:val="auto"/>
        </w:rPr>
      </w:pPr>
    </w:p>
    <w:p>
      <w:pPr>
        <w:spacing w:after="0" w:line="240"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Robert E. Rossiter:</w:t>
      </w:r>
      <w:r>
        <w:rPr>
          <w:sz w:val="20"/>
          <w:szCs w:val="20"/>
          <w:color w:val="auto"/>
        </w:rPr>
        <w:tab/>
      </w:r>
      <w:r>
        <w:rPr>
          <w:rFonts w:ascii="Arial" w:cs="Arial" w:eastAsia="Arial" w:hAnsi="Arial"/>
          <w:sz w:val="16"/>
          <w:szCs w:val="16"/>
          <w:color w:val="auto"/>
        </w:rPr>
        <w:t>Age: 57</w:t>
      </w:r>
    </w:p>
    <w:p>
      <w:pPr>
        <w:spacing w:after="0" w:line="225" w:lineRule="exact"/>
        <w:rPr>
          <w:sz w:val="20"/>
          <w:szCs w:val="20"/>
          <w:color w:val="auto"/>
        </w:rPr>
      </w:pPr>
    </w:p>
    <w:p>
      <w:pPr>
        <w:ind w:left="360" w:right="140"/>
        <w:spacing w:after="0" w:line="255" w:lineRule="auto"/>
        <w:rPr>
          <w:sz w:val="20"/>
          <w:szCs w:val="20"/>
          <w:color w:val="auto"/>
        </w:rPr>
      </w:pPr>
      <w:r>
        <w:rPr>
          <w:rFonts w:ascii="Arial" w:cs="Arial" w:eastAsia="Arial" w:hAnsi="Arial"/>
          <w:sz w:val="18"/>
          <w:szCs w:val="18"/>
          <w:color w:val="auto"/>
        </w:rPr>
        <w:t>Mr. Rossiter is our Chairman of the Board, a position he has held since January 1, 2003. Mr. Rossiter also serves as our Chief Executive Officer, a position he has held since October 2000. Mr. Rossiter served as our President from 1984 until December 2002 and served as Chief Operating Officer from 1988 to April 1997 and from November 1998 to October 2000. Mr. Rossiter has been a director of Lear since 1988. Mr. Rossiter also served as our Chief Operating Officer — International Operations from April 1997 to November 1998. Mr. Rossiter also serves on the Board of Trustees of Northwood University as a Trustee.</w:t>
      </w:r>
    </w:p>
    <w:p>
      <w:pPr>
        <w:spacing w:after="0" w:line="200" w:lineRule="exact"/>
        <w:rPr>
          <w:sz w:val="20"/>
          <w:szCs w:val="20"/>
          <w:color w:val="auto"/>
        </w:rPr>
      </w:pPr>
    </w:p>
    <w:p>
      <w:pPr>
        <w:spacing w:after="0" w:line="240"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James H. Vandenberghe:</w:t>
      </w:r>
      <w:r>
        <w:rPr>
          <w:sz w:val="20"/>
          <w:szCs w:val="20"/>
          <w:color w:val="auto"/>
        </w:rPr>
        <w:tab/>
      </w:r>
      <w:r>
        <w:rPr>
          <w:rFonts w:ascii="Arial" w:cs="Arial" w:eastAsia="Arial" w:hAnsi="Arial"/>
          <w:sz w:val="16"/>
          <w:szCs w:val="16"/>
          <w:color w:val="auto"/>
        </w:rPr>
        <w:t>Age: 53</w:t>
      </w:r>
    </w:p>
    <w:p>
      <w:pPr>
        <w:spacing w:after="0" w:line="225" w:lineRule="exact"/>
        <w:rPr>
          <w:sz w:val="20"/>
          <w:szCs w:val="20"/>
          <w:color w:val="auto"/>
        </w:rPr>
      </w:pPr>
    </w:p>
    <w:p>
      <w:pPr>
        <w:ind w:left="360" w:right="180"/>
        <w:spacing w:after="0" w:line="256" w:lineRule="auto"/>
        <w:rPr>
          <w:sz w:val="20"/>
          <w:szCs w:val="20"/>
          <w:color w:val="auto"/>
        </w:rPr>
      </w:pPr>
      <w:r>
        <w:rPr>
          <w:rFonts w:ascii="Arial" w:cs="Arial" w:eastAsia="Arial" w:hAnsi="Arial"/>
          <w:sz w:val="18"/>
          <w:szCs w:val="18"/>
          <w:color w:val="auto"/>
        </w:rPr>
        <w:t>Mr. Vandenberghe is our Vice Chairman, a position which he has held since November 1998. Mr. Vandenberghe has been a director of Lear since 1995. He served as our President and Chief Operating Officer — North American Operations from April 1997 to November 1998. He also served as our Chief Financial Officer from 1988 to April 1997 and as our Executive Vice President from 1993 to April 1997. Mr. Vandenberghe is also a director of Covisint, LLC.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Kenneth L. Way:</w:t>
      </w:r>
      <w:r>
        <w:rPr>
          <w:sz w:val="20"/>
          <w:szCs w:val="20"/>
          <w:color w:val="auto"/>
        </w:rPr>
        <w:tab/>
      </w:r>
      <w:r>
        <w:rPr>
          <w:rFonts w:ascii="Arial" w:cs="Arial" w:eastAsia="Arial" w:hAnsi="Arial"/>
          <w:sz w:val="16"/>
          <w:szCs w:val="16"/>
          <w:color w:val="auto"/>
        </w:rPr>
        <w:t>Age: 63</w:t>
      </w:r>
    </w:p>
    <w:p>
      <w:pPr>
        <w:spacing w:after="0" w:line="225" w:lineRule="exact"/>
        <w:rPr>
          <w:sz w:val="20"/>
          <w:szCs w:val="20"/>
          <w:color w:val="auto"/>
        </w:rPr>
      </w:pPr>
    </w:p>
    <w:p>
      <w:pPr>
        <w:ind w:left="360" w:right="440"/>
        <w:spacing w:after="0" w:line="306" w:lineRule="auto"/>
        <w:rPr>
          <w:sz w:val="20"/>
          <w:szCs w:val="20"/>
          <w:color w:val="auto"/>
        </w:rPr>
      </w:pPr>
      <w:r>
        <w:rPr>
          <w:rFonts w:ascii="Arial" w:cs="Arial" w:eastAsia="Arial" w:hAnsi="Arial"/>
          <w:sz w:val="16"/>
          <w:szCs w:val="16"/>
          <w:color w:val="auto"/>
        </w:rPr>
        <w:t>Mr. Way has been a director since 1988. He served as our Chairman of the Board from 1988 to December 20, 2002. Mr. Way also served as our Chief Executive Officer from 1988 to October 2000. At the time of his retirement in December 2002, Mr. Way had been with Lear for 37 years. Mr. Way also serves as a director of Comerica, Inc., CMS Energy Corporation, WESCO International, Inc. and the Henry Ford Health Systems.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Information</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Board Meetings</w:t>
      </w:r>
    </w:p>
    <w:p>
      <w:pPr>
        <w:spacing w:after="0" w:line="252" w:lineRule="exact"/>
        <w:rPr>
          <w:sz w:val="20"/>
          <w:szCs w:val="20"/>
          <w:color w:val="auto"/>
        </w:rPr>
      </w:pPr>
    </w:p>
    <w:p>
      <w:pPr>
        <w:ind w:right="120" w:firstLine="324"/>
        <w:spacing w:after="0" w:line="332" w:lineRule="auto"/>
        <w:rPr>
          <w:sz w:val="20"/>
          <w:szCs w:val="20"/>
          <w:color w:val="auto"/>
        </w:rPr>
      </w:pPr>
      <w:r>
        <w:rPr>
          <w:rFonts w:ascii="Arial" w:cs="Arial" w:eastAsia="Arial" w:hAnsi="Arial"/>
          <w:sz w:val="16"/>
          <w:szCs w:val="16"/>
          <w:color w:val="auto"/>
        </w:rPr>
        <w:t>In 2002, our full Board held five (5) meetings. In addition to our full Board meetings, our directors attend meetings of permanent committees established by our Board. Each director participated in at least 75% of the total number of meetings of our Board and the committees on which he or she serves.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252"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In 2002, the Executive Committee, which held no meetings during the year, consisted of Mr. Way, Mr. Rossiter, Mr. Stern, Mr. Spalding and Mr. McCurdy, with Mr. Stern serving as Chairman. In August 2002, Mr. McCurdy was appointed to the Executive Committee. In December 2002, Mr. Way resigned from the Executive Committee. The Executive Committee, during intervals between meetings of our Board, may exercise certain powers of our Board in the general supervision and control of the business and affairs of our Company.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52"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In 2002, the Audit Committee, which held seven (7) meetings during the year, consisted of Mr. Robert Shower, Mrs. Elder, Mr. McCurdy and Mr. Stern, with Mr. Shower serving as Chairman until May 2002 and Mr. McCurdy serving as Chairman thereafter. Mr. Shower, Mrs. Elder, Mr. McCurdy and Mr. Stern were all non-employee directors. Mr. Shower did not stand for reelection at the 2002 annual meeting of stockholders. Mrs. Elder is retiring from our Board at this annual meeting of stockholders. For a description of the Audit Committee’s responsibilities and findings, see “Audit Committee Report” beginning on page 20.</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52"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In 2002, the Compensation Committee, which held four (4) meetings during the year, consisted of Mr. Spalding, Mr. Parrott and Mr. McCurdy, with Mr. McCurdy serving as Chairman until May 2002 and Mr. Spalding serving as Chairman thereafter. Mr. McCurdy, Mr. Parrott and Mr. Spalding are all non-employee directors. The Compensation Committee has overall responsibility for approving and evaluating the director and officer compensation plans, policies and programs of our Company.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2002, the Nominating Committee, which held two (2) meetings during the year, consisted of Mr. Rossiter, Mr. Stern, Mr. Mallett and Dr. Fry, with</w:t>
      </w:r>
    </w:p>
    <w:p>
      <w:pPr>
        <w:spacing w:after="0" w:line="38"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Mr. Stern serving as Chairman. Mr. Rossiter resigned from the Nominating Committee in August 2002. Mr. Mallett and Dr. Fry were appointed to the Nominating Committee in August 2002. Mr. Stern, Mr. Mallett and Dr. Fry are all non-employee directors. The Nominating Committee is responsible for, among other things,</w:t>
      </w:r>
    </w:p>
    <w:p>
      <w:pPr>
        <w:spacing w:after="0" w:line="1" w:lineRule="exact"/>
        <w:rPr>
          <w:sz w:val="20"/>
          <w:szCs w:val="20"/>
          <w:color w:val="auto"/>
        </w:rPr>
      </w:pPr>
    </w:p>
    <w:p>
      <w:pPr>
        <w:ind w:right="200" w:firstLine="8"/>
        <w:spacing w:after="0" w:line="255" w:lineRule="auto"/>
        <w:tabs>
          <w:tab w:leader="none" w:pos="21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recommending to our Board director nominees for the next annual meeting of the stockholders, (ii) in the event of a vacancy on or increase in the size of our Board, recommending to our Board director nominees to fill such vacancy or newly established Board seat, and (iii) recommending to our Board director nominees for each committee of our Board.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The Nominating Committee will consider recommendations for director nominees made by our stockholders. Recommendations for nominations to be voted on at our annual meeting of stockholders in 2004 must be in writing and delivered to or received by Joseph F. McCarthy, Vice President, Secretary and General Counsel, not less than sixty days or more than ninety days prior to the annual meeting in 2004, must state the name, age, address, principal occupation, background and qualifications of the person recommended, and must comply with the other applicable provisions of our by-laws, as amended.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58" w:lineRule="exact"/>
        <w:rPr>
          <w:sz w:val="20"/>
          <w:szCs w:val="20"/>
          <w:color w:val="auto"/>
        </w:rPr>
      </w:pPr>
    </w:p>
    <w:p>
      <w:pPr>
        <w:ind w:right="100" w:firstLine="324"/>
        <w:spacing w:after="0" w:line="318" w:lineRule="auto"/>
        <w:rPr>
          <w:sz w:val="20"/>
          <w:szCs w:val="20"/>
          <w:color w:val="auto"/>
        </w:rPr>
      </w:pPr>
      <w:r>
        <w:rPr>
          <w:rFonts w:ascii="Arial" w:cs="Arial" w:eastAsia="Arial" w:hAnsi="Arial"/>
          <w:sz w:val="15"/>
          <w:szCs w:val="15"/>
          <w:color w:val="auto"/>
        </w:rPr>
        <w:t>In 2002, we increased the annual retainer paid to directors who are not employees of Lear from $36,000 to $42,000. During 2002, our non-employee directors received an annual retainer of $39,000. One-half of the annual retainer is payable in shares of common stock and the remaining one-half, at the election of each non-employee director, in either cash or shares of common stock. In 2002, we also increased the per meeting fee paid to non-employee directors for each Board and committee meeting attended from $1,000 to $1,500. Each non-employee director who chaired a committee of our Board received an additional fee of $1,000 for each such committee meeting attended. Non-employee directors were also reimbursed for their expenses incurred in attending meetings.</w:t>
      </w:r>
    </w:p>
    <w:p>
      <w:pPr>
        <w:spacing w:after="0" w:line="181" w:lineRule="exact"/>
        <w:rPr>
          <w:sz w:val="20"/>
          <w:szCs w:val="20"/>
          <w:color w:val="auto"/>
        </w:rPr>
      </w:pPr>
    </w:p>
    <w:p>
      <w:pPr>
        <w:ind w:right="520" w:firstLine="324"/>
        <w:spacing w:after="0" w:line="268" w:lineRule="auto"/>
        <w:rPr>
          <w:sz w:val="20"/>
          <w:szCs w:val="20"/>
          <w:color w:val="auto"/>
        </w:rPr>
      </w:pPr>
      <w:r>
        <w:rPr>
          <w:rFonts w:ascii="Arial" w:cs="Arial" w:eastAsia="Arial" w:hAnsi="Arial"/>
          <w:sz w:val="18"/>
          <w:szCs w:val="18"/>
          <w:color w:val="auto"/>
        </w:rPr>
        <w:t>A non-employee director may elect to defer receipt of all or part of his or her annual retainer payable in cash. At the non-employee director’s election, amounts deferred will be:</w:t>
      </w:r>
    </w:p>
    <w:p>
      <w:pPr>
        <w:spacing w:after="0" w:line="186" w:lineRule="exact"/>
        <w:rPr>
          <w:sz w:val="20"/>
          <w:szCs w:val="20"/>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credited with interest at an annual rate equal to the prime rate plus one percent;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accounted for as if invested in shares of common stock.</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deferred are paid to the non-employee director as of the earliest of:</w:t>
      </w:r>
    </w:p>
    <w:p>
      <w:pPr>
        <w:spacing w:after="0" w:line="225" w:lineRule="exact"/>
        <w:rPr>
          <w:sz w:val="20"/>
          <w:szCs w:val="20"/>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elected by such director;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the director ceases to be a director;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a change of control occurs.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addition, each non-employee director received an option to purchase 2,000 shares at a price equal to the fair market value of the common stock on the date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grant. In 2002, option grants to non-employee directors, with the exceptions of Dr. Fry and Mr. Mallett, were made on June 14th at an exercise price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$41.83 per share. Dr. Fry and Mr. Mallett received option grants on August 8, 2002, at an exercise price of $42.32 per share. The options granted to non-employee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directors expire ten years from the date of grant and generally become exercisable in three years regardless of a non-employee director’s continued service. Non-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employee directors will be eligible to receive option grants in the future as partial compensation for their services.</w:t>
      </w:r>
    </w:p>
    <w:p>
      <w:pPr>
        <w:spacing w:after="0" w:line="246"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In February 1997, we implemented stock ownership guidelines for non-employee directors. These ownership guidelines require each non-employee director to own stock equal in value to three times the annual retainer within five years of becoming a director. Non-employee directors who have not made substantial progress towards this goal within three years of becoming a director will have all of their annual retainer delivered in shares of common stock.</w:t>
      </w:r>
    </w:p>
    <w:p>
      <w:pPr>
        <w:spacing w:after="0" w:line="188" w:lineRule="exact"/>
        <w:rPr>
          <w:sz w:val="20"/>
          <w:szCs w:val="20"/>
          <w:color w:val="auto"/>
        </w:rPr>
      </w:pPr>
    </w:p>
    <w:p>
      <w:pPr>
        <w:ind w:right="580" w:firstLine="324"/>
        <w:spacing w:after="0" w:line="268" w:lineRule="auto"/>
        <w:rPr>
          <w:sz w:val="20"/>
          <w:szCs w:val="20"/>
          <w:color w:val="auto"/>
        </w:rPr>
      </w:pPr>
      <w:r>
        <w:rPr>
          <w:rFonts w:ascii="Arial" w:cs="Arial" w:eastAsia="Arial" w:hAnsi="Arial"/>
          <w:sz w:val="18"/>
          <w:szCs w:val="18"/>
          <w:color w:val="auto"/>
        </w:rPr>
        <w:t>Directors who are also our employees receive no compensation for their services as directors except reimbursement of expenses incurred in attending meetings of our Board or committee meetings of our Board.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58" w:lineRule="exact"/>
        <w:rPr>
          <w:sz w:val="20"/>
          <w:szCs w:val="20"/>
          <w:color w:val="auto"/>
        </w:rPr>
      </w:pPr>
    </w:p>
    <w:p>
      <w:pPr>
        <w:jc w:val="both"/>
        <w:ind w:right="60" w:firstLine="324"/>
        <w:spacing w:after="0" w:line="306" w:lineRule="auto"/>
        <w:rPr>
          <w:sz w:val="20"/>
          <w:szCs w:val="20"/>
          <w:color w:val="auto"/>
        </w:rPr>
      </w:pPr>
      <w:r>
        <w:rPr>
          <w:rFonts w:ascii="Arial" w:cs="Arial" w:eastAsia="Arial" w:hAnsi="Arial"/>
          <w:sz w:val="16"/>
          <w:szCs w:val="16"/>
          <w:color w:val="auto"/>
        </w:rPr>
        <w:t>The following table sets forth, as of March 14, 2003 (except as indicated below), beneficial ownership, as defined by Securities and Exchange Commission rules, of our common stock and ownership of our restricted stock units/ phantom stock units by the persons or groups specified. Each of the persons listed below has sole voting and investment power with respect to the beneficially owned shares listed unless otherwise indicated.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74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6"/>
              </w:rPr>
              <w:t>Number of Shares</w:t>
            </w:r>
          </w:p>
        </w:tc>
        <w:tc>
          <w:tcPr>
            <w:tcW w:w="23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4"/>
              </w:rPr>
              <w:t>Percentage of</w:t>
            </w:r>
          </w:p>
        </w:tc>
        <w:tc>
          <w:tcPr>
            <w:tcW w:w="2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Number of Restricted</w:t>
            </w:r>
          </w:p>
        </w:tc>
      </w:tr>
      <w:tr>
        <w:trPr>
          <w:trHeight w:val="149"/>
        </w:trPr>
        <w:tc>
          <w:tcPr>
            <w:tcW w:w="3740" w:type="dxa"/>
            <w:vAlign w:val="bottom"/>
          </w:tcPr>
          <w:p>
            <w:pPr>
              <w:spacing w:after="0"/>
              <w:rPr>
                <w:sz w:val="12"/>
                <w:szCs w:val="12"/>
                <w:color w:val="auto"/>
              </w:rPr>
            </w:pPr>
          </w:p>
        </w:tc>
        <w:tc>
          <w:tcPr>
            <w:tcW w:w="274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230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2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Stock Units/Phantom</w:t>
            </w:r>
          </w:p>
        </w:tc>
      </w:tr>
      <w:tr>
        <w:trPr>
          <w:trHeight w:val="174"/>
        </w:trPr>
        <w:tc>
          <w:tcPr>
            <w:tcW w:w="3740" w:type="dxa"/>
            <w:vAlign w:val="bottom"/>
          </w:tcPr>
          <w:p>
            <w:pPr>
              <w:spacing w:after="0"/>
              <w:rPr>
                <w:sz w:val="15"/>
                <w:szCs w:val="15"/>
                <w:color w:val="auto"/>
              </w:rPr>
            </w:pPr>
          </w:p>
        </w:tc>
        <w:tc>
          <w:tcPr>
            <w:tcW w:w="274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7"/>
              </w:rPr>
              <w:t>Owned Beneficially</w:t>
            </w:r>
          </w:p>
        </w:tc>
        <w:tc>
          <w:tcPr>
            <w:tcW w:w="230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7"/>
              </w:rPr>
              <w:t>Owned Beneficially</w:t>
            </w:r>
          </w:p>
        </w:tc>
        <w:tc>
          <w:tcPr>
            <w:tcW w:w="2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Stock Units Owned(15)</w:t>
            </w:r>
          </w:p>
        </w:tc>
      </w:tr>
      <w:tr>
        <w:trPr>
          <w:trHeight w:val="95"/>
        </w:trPr>
        <w:tc>
          <w:tcPr>
            <w:tcW w:w="374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102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r>
      <w:tr>
        <w:trPr>
          <w:trHeight w:val="309"/>
        </w:trPr>
        <w:tc>
          <w:tcPr>
            <w:tcW w:w="3740" w:type="dxa"/>
            <w:vAlign w:val="bottom"/>
          </w:tcPr>
          <w:p>
            <w:pPr>
              <w:spacing w:after="0"/>
              <w:rPr>
                <w:sz w:val="20"/>
                <w:szCs w:val="20"/>
                <w:color w:val="auto"/>
              </w:rPr>
            </w:pPr>
            <w:r>
              <w:rPr>
                <w:rFonts w:ascii="Arial" w:cs="Arial" w:eastAsia="Arial" w:hAnsi="Arial"/>
                <w:sz w:val="18"/>
                <w:szCs w:val="18"/>
                <w:color w:val="auto"/>
              </w:rPr>
              <w:t>AXA Financial, Inc.(1)</w:t>
            </w:r>
          </w:p>
        </w:tc>
        <w:tc>
          <w:tcPr>
            <w:tcW w:w="1720" w:type="dxa"/>
            <w:vAlign w:val="bottom"/>
          </w:tcPr>
          <w:p>
            <w:pPr>
              <w:jc w:val="right"/>
              <w:spacing w:after="0"/>
              <w:rPr>
                <w:sz w:val="20"/>
                <w:szCs w:val="20"/>
                <w:color w:val="auto"/>
              </w:rPr>
            </w:pPr>
            <w:r>
              <w:rPr>
                <w:rFonts w:ascii="Arial" w:cs="Arial" w:eastAsia="Arial" w:hAnsi="Arial"/>
                <w:sz w:val="18"/>
                <w:szCs w:val="18"/>
                <w:color w:val="auto"/>
              </w:rPr>
              <w:t>9,396,439</w:t>
            </w:r>
          </w:p>
        </w:tc>
        <w:tc>
          <w:tcPr>
            <w:tcW w:w="1020" w:type="dxa"/>
            <w:vAlign w:val="bottom"/>
          </w:tcPr>
          <w:p>
            <w:pPr>
              <w:spacing w:after="0"/>
              <w:rPr>
                <w:sz w:val="24"/>
                <w:szCs w:val="24"/>
                <w:color w:val="auto"/>
              </w:rPr>
            </w:pPr>
          </w:p>
        </w:tc>
        <w:tc>
          <w:tcPr>
            <w:tcW w:w="2300" w:type="dxa"/>
            <w:vAlign w:val="bottom"/>
            <w:gridSpan w:val="2"/>
          </w:tcPr>
          <w:p>
            <w:pPr>
              <w:jc w:val="right"/>
              <w:ind w:right="840"/>
              <w:spacing w:after="0"/>
              <w:rPr>
                <w:sz w:val="20"/>
                <w:szCs w:val="20"/>
                <w:color w:val="auto"/>
              </w:rPr>
            </w:pPr>
            <w:r>
              <w:rPr>
                <w:rFonts w:ascii="Arial" w:cs="Arial" w:eastAsia="Arial" w:hAnsi="Arial"/>
                <w:sz w:val="18"/>
                <w:szCs w:val="18"/>
                <w:color w:val="auto"/>
              </w:rPr>
              <w:t>14.3%</w:t>
            </w:r>
          </w:p>
        </w:tc>
        <w:tc>
          <w:tcPr>
            <w:tcW w:w="208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Janus Capital Management LLC(2)</w:t>
            </w:r>
          </w:p>
        </w:tc>
        <w:tc>
          <w:tcPr>
            <w:tcW w:w="1720" w:type="dxa"/>
            <w:vAlign w:val="bottom"/>
          </w:tcPr>
          <w:p>
            <w:pPr>
              <w:jc w:val="right"/>
              <w:spacing w:after="0"/>
              <w:rPr>
                <w:sz w:val="20"/>
                <w:szCs w:val="20"/>
                <w:color w:val="auto"/>
              </w:rPr>
            </w:pPr>
            <w:r>
              <w:rPr>
                <w:rFonts w:ascii="Arial" w:cs="Arial" w:eastAsia="Arial" w:hAnsi="Arial"/>
                <w:sz w:val="18"/>
                <w:szCs w:val="18"/>
                <w:color w:val="auto"/>
              </w:rPr>
              <w:t>3,298,415</w:t>
            </w:r>
          </w:p>
        </w:tc>
        <w:tc>
          <w:tcPr>
            <w:tcW w:w="1020" w:type="dxa"/>
            <w:vAlign w:val="bottom"/>
          </w:tcPr>
          <w:p>
            <w:pPr>
              <w:spacing w:after="0"/>
              <w:rPr>
                <w:sz w:val="18"/>
                <w:szCs w:val="18"/>
                <w:color w:val="auto"/>
              </w:rPr>
            </w:pPr>
          </w:p>
        </w:tc>
        <w:tc>
          <w:tcPr>
            <w:tcW w:w="2300" w:type="dxa"/>
            <w:vAlign w:val="bottom"/>
            <w:gridSpan w:val="2"/>
          </w:tcPr>
          <w:p>
            <w:pPr>
              <w:jc w:val="right"/>
              <w:ind w:right="840"/>
              <w:spacing w:after="0"/>
              <w:rPr>
                <w:sz w:val="20"/>
                <w:szCs w:val="20"/>
                <w:color w:val="auto"/>
              </w:rPr>
            </w:pPr>
            <w:r>
              <w:rPr>
                <w:rFonts w:ascii="Arial" w:cs="Arial" w:eastAsia="Arial" w:hAnsi="Arial"/>
                <w:sz w:val="18"/>
                <w:szCs w:val="18"/>
                <w:color w:val="auto"/>
              </w:rPr>
              <w:t>5.0%</w:t>
            </w:r>
          </w:p>
        </w:tc>
        <w:tc>
          <w:tcPr>
            <w:tcW w:w="208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Kenneth L. Way(3)</w:t>
            </w:r>
          </w:p>
        </w:tc>
        <w:tc>
          <w:tcPr>
            <w:tcW w:w="2740" w:type="dxa"/>
            <w:vAlign w:val="bottom"/>
            <w:gridSpan w:val="2"/>
          </w:tcPr>
          <w:p>
            <w:pPr>
              <w:jc w:val="right"/>
              <w:ind w:right="820"/>
              <w:spacing w:after="0"/>
              <w:rPr>
                <w:sz w:val="20"/>
                <w:szCs w:val="20"/>
                <w:color w:val="auto"/>
              </w:rPr>
            </w:pPr>
            <w:r>
              <w:rPr>
                <w:rFonts w:ascii="Arial" w:cs="Arial" w:eastAsia="Arial" w:hAnsi="Arial"/>
                <w:sz w:val="18"/>
                <w:szCs w:val="18"/>
                <w:color w:val="auto"/>
              </w:rPr>
              <w:t>272,929(5)</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8"/>
                <w:szCs w:val="18"/>
                <w:color w:val="auto"/>
              </w:rPr>
              <w:t>55,514</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James H. Vandenberghe(3)(4)</w:t>
            </w:r>
          </w:p>
        </w:tc>
        <w:tc>
          <w:tcPr>
            <w:tcW w:w="2740" w:type="dxa"/>
            <w:vAlign w:val="bottom"/>
            <w:gridSpan w:val="2"/>
          </w:tcPr>
          <w:p>
            <w:pPr>
              <w:jc w:val="right"/>
              <w:ind w:right="820"/>
              <w:spacing w:after="0"/>
              <w:rPr>
                <w:sz w:val="20"/>
                <w:szCs w:val="20"/>
                <w:color w:val="auto"/>
              </w:rPr>
            </w:pPr>
            <w:r>
              <w:rPr>
                <w:rFonts w:ascii="Arial" w:cs="Arial" w:eastAsia="Arial" w:hAnsi="Arial"/>
                <w:sz w:val="18"/>
                <w:szCs w:val="18"/>
                <w:color w:val="auto"/>
              </w:rPr>
              <w:t>245,658(6)</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8"/>
                <w:szCs w:val="18"/>
                <w:color w:val="auto"/>
              </w:rPr>
              <w:t>65,477</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Robert E. Rossiter(3)(4)</w:t>
            </w:r>
          </w:p>
        </w:tc>
        <w:tc>
          <w:tcPr>
            <w:tcW w:w="2740" w:type="dxa"/>
            <w:vAlign w:val="bottom"/>
            <w:gridSpan w:val="2"/>
          </w:tcPr>
          <w:p>
            <w:pPr>
              <w:jc w:val="right"/>
              <w:ind w:right="820"/>
              <w:spacing w:after="0"/>
              <w:rPr>
                <w:sz w:val="20"/>
                <w:szCs w:val="20"/>
                <w:color w:val="auto"/>
              </w:rPr>
            </w:pPr>
            <w:r>
              <w:rPr>
                <w:rFonts w:ascii="Arial" w:cs="Arial" w:eastAsia="Arial" w:hAnsi="Arial"/>
                <w:sz w:val="18"/>
                <w:szCs w:val="18"/>
                <w:color w:val="auto"/>
              </w:rPr>
              <w:t>240,952(7)</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8"/>
                <w:szCs w:val="18"/>
                <w:color w:val="auto"/>
              </w:rPr>
              <w:t>142,392</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Douglas G. DelGrosso(4)</w:t>
            </w:r>
          </w:p>
        </w:tc>
        <w:tc>
          <w:tcPr>
            <w:tcW w:w="2740" w:type="dxa"/>
            <w:vAlign w:val="bottom"/>
            <w:gridSpan w:val="2"/>
          </w:tcPr>
          <w:p>
            <w:pPr>
              <w:jc w:val="right"/>
              <w:ind w:right="820"/>
              <w:spacing w:after="0"/>
              <w:rPr>
                <w:sz w:val="20"/>
                <w:szCs w:val="20"/>
                <w:color w:val="auto"/>
              </w:rPr>
            </w:pPr>
            <w:r>
              <w:rPr>
                <w:rFonts w:ascii="Arial" w:cs="Arial" w:eastAsia="Arial" w:hAnsi="Arial"/>
                <w:sz w:val="18"/>
                <w:szCs w:val="18"/>
                <w:color w:val="auto"/>
              </w:rPr>
              <w:t>155,845(8)</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8"/>
                <w:szCs w:val="18"/>
                <w:color w:val="auto"/>
              </w:rPr>
              <w:t>31,805</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Donald J. Stebbins(4)</w:t>
            </w:r>
          </w:p>
        </w:tc>
        <w:tc>
          <w:tcPr>
            <w:tcW w:w="2740" w:type="dxa"/>
            <w:vAlign w:val="bottom"/>
            <w:gridSpan w:val="2"/>
          </w:tcPr>
          <w:p>
            <w:pPr>
              <w:jc w:val="right"/>
              <w:ind w:right="820"/>
              <w:spacing w:after="0"/>
              <w:rPr>
                <w:sz w:val="20"/>
                <w:szCs w:val="20"/>
                <w:color w:val="auto"/>
              </w:rPr>
            </w:pPr>
            <w:r>
              <w:rPr>
                <w:rFonts w:ascii="Arial" w:cs="Arial" w:eastAsia="Arial" w:hAnsi="Arial"/>
                <w:sz w:val="18"/>
                <w:szCs w:val="18"/>
                <w:color w:val="auto"/>
              </w:rPr>
              <w:t>146,276(9)</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8"/>
                <w:szCs w:val="18"/>
                <w:color w:val="auto"/>
              </w:rPr>
              <w:t>25,336</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David C. Wajsgras(4)</w:t>
            </w:r>
          </w:p>
        </w:tc>
        <w:tc>
          <w:tcPr>
            <w:tcW w:w="2740" w:type="dxa"/>
            <w:vAlign w:val="bottom"/>
            <w:gridSpan w:val="2"/>
          </w:tcPr>
          <w:p>
            <w:pPr>
              <w:jc w:val="right"/>
              <w:ind w:right="740"/>
              <w:spacing w:after="0"/>
              <w:rPr>
                <w:sz w:val="20"/>
                <w:szCs w:val="20"/>
                <w:color w:val="auto"/>
              </w:rPr>
            </w:pPr>
            <w:r>
              <w:rPr>
                <w:rFonts w:ascii="Arial" w:cs="Arial" w:eastAsia="Arial" w:hAnsi="Arial"/>
                <w:sz w:val="18"/>
                <w:szCs w:val="18"/>
                <w:color w:val="auto"/>
              </w:rPr>
              <w:t>35,700(10)</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8"/>
                <w:szCs w:val="18"/>
                <w:color w:val="auto"/>
              </w:rPr>
              <w:t>20,554</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Larry W. McCurdy(3)</w:t>
            </w:r>
          </w:p>
        </w:tc>
        <w:tc>
          <w:tcPr>
            <w:tcW w:w="2740" w:type="dxa"/>
            <w:vAlign w:val="bottom"/>
            <w:gridSpan w:val="2"/>
          </w:tcPr>
          <w:p>
            <w:pPr>
              <w:jc w:val="right"/>
              <w:ind w:right="740"/>
              <w:spacing w:after="0"/>
              <w:rPr>
                <w:sz w:val="20"/>
                <w:szCs w:val="20"/>
                <w:color w:val="auto"/>
              </w:rPr>
            </w:pPr>
            <w:r>
              <w:rPr>
                <w:rFonts w:ascii="Arial" w:cs="Arial" w:eastAsia="Arial" w:hAnsi="Arial"/>
                <w:sz w:val="18"/>
                <w:szCs w:val="18"/>
                <w:color w:val="auto"/>
              </w:rPr>
              <w:t>18,250(11)</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8"/>
                <w:szCs w:val="18"/>
                <w:color w:val="auto"/>
              </w:rPr>
              <w:t>5,210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James A. Stern(3)</w:t>
            </w:r>
          </w:p>
        </w:tc>
        <w:tc>
          <w:tcPr>
            <w:tcW w:w="2740" w:type="dxa"/>
            <w:vAlign w:val="bottom"/>
            <w:gridSpan w:val="2"/>
          </w:tcPr>
          <w:p>
            <w:pPr>
              <w:jc w:val="right"/>
              <w:ind w:right="740"/>
              <w:spacing w:after="0"/>
              <w:rPr>
                <w:sz w:val="20"/>
                <w:szCs w:val="20"/>
                <w:color w:val="auto"/>
              </w:rPr>
            </w:pPr>
            <w:r>
              <w:rPr>
                <w:rFonts w:ascii="Arial" w:cs="Arial" w:eastAsia="Arial" w:hAnsi="Arial"/>
                <w:sz w:val="18"/>
                <w:szCs w:val="18"/>
                <w:color w:val="auto"/>
              </w:rPr>
              <w:t>11,400(12)</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8"/>
                <w:szCs w:val="18"/>
                <w:color w:val="auto"/>
              </w:rPr>
              <w:t>5,210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David P. Spalding(3)</w:t>
            </w:r>
          </w:p>
        </w:tc>
        <w:tc>
          <w:tcPr>
            <w:tcW w:w="2740" w:type="dxa"/>
            <w:vAlign w:val="bottom"/>
            <w:gridSpan w:val="2"/>
          </w:tcPr>
          <w:p>
            <w:pPr>
              <w:jc w:val="right"/>
              <w:ind w:right="740"/>
              <w:spacing w:after="0"/>
              <w:rPr>
                <w:sz w:val="20"/>
                <w:szCs w:val="20"/>
                <w:color w:val="auto"/>
              </w:rPr>
            </w:pPr>
            <w:r>
              <w:rPr>
                <w:rFonts w:ascii="Arial" w:cs="Arial" w:eastAsia="Arial" w:hAnsi="Arial"/>
                <w:sz w:val="18"/>
                <w:szCs w:val="18"/>
                <w:color w:val="auto"/>
              </w:rPr>
              <w:t>11,000(13)</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8"/>
                <w:szCs w:val="18"/>
                <w:color w:val="auto"/>
              </w:rPr>
              <w:t>3,216</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Roy E. Parrott(3)</w:t>
            </w:r>
          </w:p>
        </w:tc>
        <w:tc>
          <w:tcPr>
            <w:tcW w:w="2740" w:type="dxa"/>
            <w:vAlign w:val="bottom"/>
            <w:gridSpan w:val="2"/>
          </w:tcPr>
          <w:p>
            <w:pPr>
              <w:jc w:val="right"/>
              <w:ind w:right="740"/>
              <w:spacing w:after="0"/>
              <w:rPr>
                <w:sz w:val="20"/>
                <w:szCs w:val="20"/>
                <w:color w:val="auto"/>
              </w:rPr>
            </w:pPr>
            <w:r>
              <w:rPr>
                <w:rFonts w:ascii="Arial" w:cs="Arial" w:eastAsia="Arial" w:hAnsi="Arial"/>
                <w:sz w:val="18"/>
                <w:szCs w:val="18"/>
                <w:color w:val="auto"/>
              </w:rPr>
              <w:t>7,360(13)</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Irma B. Elder(3)</w:t>
            </w:r>
          </w:p>
        </w:tc>
        <w:tc>
          <w:tcPr>
            <w:tcW w:w="2740" w:type="dxa"/>
            <w:vAlign w:val="bottom"/>
            <w:gridSpan w:val="2"/>
          </w:tcPr>
          <w:p>
            <w:pPr>
              <w:jc w:val="right"/>
              <w:ind w:right="740"/>
              <w:spacing w:after="0"/>
              <w:rPr>
                <w:sz w:val="20"/>
                <w:szCs w:val="20"/>
                <w:color w:val="auto"/>
              </w:rPr>
            </w:pPr>
            <w:r>
              <w:rPr>
                <w:rFonts w:ascii="Arial" w:cs="Arial" w:eastAsia="Arial" w:hAnsi="Arial"/>
                <w:sz w:val="18"/>
                <w:szCs w:val="18"/>
                <w:color w:val="auto"/>
              </w:rPr>
              <w:t>6,700(13)</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8"/>
                <w:szCs w:val="18"/>
                <w:color w:val="auto"/>
              </w:rPr>
              <w:t>5,210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David E. Fry(3)</w:t>
            </w:r>
          </w:p>
        </w:tc>
        <w:tc>
          <w:tcPr>
            <w:tcW w:w="1720" w:type="dxa"/>
            <w:vAlign w:val="bottom"/>
          </w:tcPr>
          <w:p>
            <w:pPr>
              <w:jc w:val="right"/>
              <w:spacing w:after="0"/>
              <w:rPr>
                <w:sz w:val="20"/>
                <w:szCs w:val="20"/>
                <w:color w:val="auto"/>
              </w:rPr>
            </w:pPr>
            <w:r>
              <w:rPr>
                <w:rFonts w:ascii="Arial" w:cs="Arial" w:eastAsia="Arial" w:hAnsi="Arial"/>
                <w:sz w:val="18"/>
                <w:szCs w:val="18"/>
                <w:color w:val="auto"/>
              </w:rPr>
              <w:t>777</w:t>
            </w:r>
          </w:p>
        </w:tc>
        <w:tc>
          <w:tcPr>
            <w:tcW w:w="10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Conrad L. Mallett(3)</w:t>
            </w:r>
          </w:p>
        </w:tc>
        <w:tc>
          <w:tcPr>
            <w:tcW w:w="1720" w:type="dxa"/>
            <w:vAlign w:val="bottom"/>
          </w:tcPr>
          <w:p>
            <w:pPr>
              <w:jc w:val="right"/>
              <w:spacing w:after="0"/>
              <w:rPr>
                <w:sz w:val="20"/>
                <w:szCs w:val="20"/>
                <w:color w:val="auto"/>
              </w:rPr>
            </w:pPr>
            <w:r>
              <w:rPr>
                <w:rFonts w:ascii="Arial" w:cs="Arial" w:eastAsia="Arial" w:hAnsi="Arial"/>
                <w:sz w:val="18"/>
                <w:szCs w:val="18"/>
                <w:color w:val="auto"/>
              </w:rPr>
              <w:t>475</w:t>
            </w:r>
          </w:p>
        </w:tc>
        <w:tc>
          <w:tcPr>
            <w:tcW w:w="10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8"/>
                <w:szCs w:val="18"/>
                <w:color w:val="auto"/>
              </w:rPr>
              <w:t>395</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Total Executive Officers and Directors as a</w:t>
            </w:r>
          </w:p>
        </w:tc>
        <w:tc>
          <w:tcPr>
            <w:tcW w:w="1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22"/>
        </w:trPr>
        <w:tc>
          <w:tcPr>
            <w:tcW w:w="3740" w:type="dxa"/>
            <w:vAlign w:val="bottom"/>
          </w:tcPr>
          <w:p>
            <w:pPr>
              <w:ind w:left="140"/>
              <w:spacing w:after="0"/>
              <w:rPr>
                <w:sz w:val="20"/>
                <w:szCs w:val="20"/>
                <w:color w:val="auto"/>
              </w:rPr>
            </w:pPr>
            <w:r>
              <w:rPr>
                <w:rFonts w:ascii="Arial" w:cs="Arial" w:eastAsia="Arial" w:hAnsi="Arial"/>
                <w:sz w:val="18"/>
                <w:szCs w:val="18"/>
                <w:color w:val="auto"/>
              </w:rPr>
              <w:t>group (24 individuals)</w:t>
            </w:r>
          </w:p>
        </w:tc>
        <w:tc>
          <w:tcPr>
            <w:tcW w:w="2740" w:type="dxa"/>
            <w:vAlign w:val="bottom"/>
            <w:gridSpan w:val="2"/>
          </w:tcPr>
          <w:p>
            <w:pPr>
              <w:jc w:val="right"/>
              <w:ind w:right="740"/>
              <w:spacing w:after="0"/>
              <w:rPr>
                <w:sz w:val="20"/>
                <w:szCs w:val="20"/>
                <w:color w:val="auto"/>
              </w:rPr>
            </w:pPr>
            <w:r>
              <w:rPr>
                <w:rFonts w:ascii="Arial" w:cs="Arial" w:eastAsia="Arial" w:hAnsi="Arial"/>
                <w:sz w:val="18"/>
                <w:szCs w:val="18"/>
                <w:color w:val="auto"/>
              </w:rPr>
              <w:t>1,846,001(14)</w:t>
            </w:r>
          </w:p>
        </w:tc>
        <w:tc>
          <w:tcPr>
            <w:tcW w:w="2300" w:type="dxa"/>
            <w:vAlign w:val="bottom"/>
            <w:gridSpan w:val="2"/>
          </w:tcPr>
          <w:p>
            <w:pPr>
              <w:jc w:val="right"/>
              <w:ind w:right="840"/>
              <w:spacing w:after="0"/>
              <w:rPr>
                <w:sz w:val="20"/>
                <w:szCs w:val="20"/>
                <w:color w:val="auto"/>
              </w:rPr>
            </w:pPr>
            <w:r>
              <w:rPr>
                <w:rFonts w:ascii="Arial" w:cs="Arial" w:eastAsia="Arial" w:hAnsi="Arial"/>
                <w:sz w:val="18"/>
                <w:szCs w:val="18"/>
                <w:color w:val="auto"/>
              </w:rPr>
              <w:t>2.8%</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510,893(16)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80" w:hanging="407"/>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79" w:lineRule="exact"/>
        <w:rPr>
          <w:sz w:val="20"/>
          <w:szCs w:val="20"/>
          <w:color w:val="auto"/>
        </w:rPr>
      </w:pPr>
    </w:p>
    <w:p>
      <w:pPr>
        <w:ind w:left="580" w:right="100" w:hanging="450"/>
        <w:spacing w:after="0" w:line="291"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been informed by AXA Financial, Inc. and certain of its affiliates, in a amended report on Schedule 13G dated February 12, 2003, that (a) they are parent holding companies of Alliance Capital Management L.P., an investment advisor which acquired the shares solely for investment purposes on behalf of client discretionary investment advisory accounts, (b) they exercise sole power to vote 4,907,658 shares and shared power to vote 1,066,993 shares, (c) they exercise sole dispositive power over 9,396,439 shares and share dispositive power over no shares, and (d) they beneficially own the shares reported pursuant to the investment advisory role of their subsidiary, Alliance Capital Management L.P. The address of AXA Financial, Inc. is 1290 Avenue of the Americas, New York, New York 10104.</w:t>
      </w:r>
    </w:p>
    <w:p>
      <w:pPr>
        <w:spacing w:after="0" w:line="201" w:lineRule="exact"/>
        <w:rPr>
          <w:rFonts w:ascii="Arial" w:cs="Arial" w:eastAsia="Arial" w:hAnsi="Arial"/>
          <w:sz w:val="16"/>
          <w:szCs w:val="16"/>
          <w:color w:val="auto"/>
        </w:rPr>
      </w:pPr>
    </w:p>
    <w:p>
      <w:pPr>
        <w:ind w:left="580" w:hanging="450"/>
        <w:spacing w:after="0" w:line="318" w:lineRule="auto"/>
        <w:tabs>
          <w:tab w:leader="none" w:pos="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have been informed by Janus Capital Management LLC, on behalf of itself and its wholly-owned subsidiary Bay Isle Financial LLC and its majority-owned subsidiary Enhanced Investment Technologies LLC, in a report on Schedule 13G dated February 14, 2003, that (a) Janus and the subsidiaries are registered investment advisors, and because of the ownership structure, holdings for the three entities are aggregated and (b) Janus Capital Management LLC and its subsidiaries exercise sole voting power over 3,297,615 shares, shared voting power over 800 shares, sole dispositive power over 3,297,615 shares and shared dispositive power over 800 shares. The address of Janus Capital Management LLC is 100 Fillmore Street, Denver, Colorado, 80206.</w:t>
      </w:r>
    </w:p>
    <w:p>
      <w:pPr>
        <w:spacing w:after="0" w:line="180" w:lineRule="exact"/>
        <w:rPr>
          <w:rFonts w:ascii="Arial" w:cs="Arial" w:eastAsia="Arial" w:hAnsi="Arial"/>
          <w:sz w:val="15"/>
          <w:szCs w:val="15"/>
          <w:color w:val="auto"/>
        </w:rPr>
      </w:pPr>
    </w:p>
    <w:p>
      <w:pPr>
        <w:ind w:left="580" w:hanging="450"/>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individual is a director.</w:t>
      </w:r>
    </w:p>
    <w:p>
      <w:pPr>
        <w:spacing w:after="0" w:line="279" w:lineRule="exact"/>
        <w:rPr>
          <w:rFonts w:ascii="Arial" w:cs="Arial" w:eastAsia="Arial" w:hAnsi="Arial"/>
          <w:sz w:val="18"/>
          <w:szCs w:val="18"/>
          <w:color w:val="auto"/>
        </w:rPr>
      </w:pPr>
    </w:p>
    <w:p>
      <w:pPr>
        <w:ind w:left="580" w:hanging="450"/>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individual is a named executive officer.</w:t>
      </w:r>
    </w:p>
    <w:p>
      <w:pPr>
        <w:spacing w:after="0" w:line="279" w:lineRule="exact"/>
        <w:rPr>
          <w:rFonts w:ascii="Arial" w:cs="Arial" w:eastAsia="Arial" w:hAnsi="Arial"/>
          <w:sz w:val="18"/>
          <w:szCs w:val="18"/>
          <w:color w:val="auto"/>
        </w:rPr>
      </w:pPr>
    </w:p>
    <w:p>
      <w:pPr>
        <w:ind w:left="580" w:hanging="450"/>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250,000 shares of common stock issuable under options currently exercisable or exercisable within 60 days of the record date.</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450"/>
        <w:spacing w:after="0"/>
        <w:tabs>
          <w:tab w:leader="none" w:pos="5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Includes 213,750 shares of common stock issuable under options currently exercisable or exercisable within 60 days of the record date.</w:t>
      </w:r>
    </w:p>
    <w:p>
      <w:pPr>
        <w:spacing w:after="0" w:line="279" w:lineRule="exact"/>
        <w:rPr>
          <w:rFonts w:ascii="Arial" w:cs="Arial" w:eastAsia="Arial" w:hAnsi="Arial"/>
          <w:sz w:val="18"/>
          <w:szCs w:val="18"/>
          <w:color w:val="auto"/>
        </w:rPr>
      </w:pPr>
    </w:p>
    <w:p>
      <w:pPr>
        <w:ind w:left="580" w:hanging="450"/>
        <w:spacing w:after="0"/>
        <w:tabs>
          <w:tab w:leader="none" w:pos="5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Includes 226,250 shares of common stock issuable under options currently exercisable or exercisable within 60 days of the record date.</w:t>
      </w:r>
    </w:p>
    <w:p>
      <w:pPr>
        <w:spacing w:after="0" w:line="279" w:lineRule="exact"/>
        <w:rPr>
          <w:rFonts w:ascii="Arial" w:cs="Arial" w:eastAsia="Arial" w:hAnsi="Arial"/>
          <w:sz w:val="18"/>
          <w:szCs w:val="18"/>
          <w:color w:val="auto"/>
        </w:rPr>
      </w:pPr>
    </w:p>
    <w:p>
      <w:pPr>
        <w:ind w:left="580" w:hanging="450"/>
        <w:spacing w:after="0"/>
        <w:tabs>
          <w:tab w:leader="none" w:pos="5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Includes 150,500 shares of common stock issuable under options currently exercisable or exercisable within 60 days of the record date.</w:t>
      </w:r>
    </w:p>
    <w:p>
      <w:pPr>
        <w:spacing w:after="0" w:line="279" w:lineRule="exact"/>
        <w:rPr>
          <w:rFonts w:ascii="Arial" w:cs="Arial" w:eastAsia="Arial" w:hAnsi="Arial"/>
          <w:sz w:val="18"/>
          <w:szCs w:val="18"/>
          <w:color w:val="auto"/>
        </w:rPr>
      </w:pPr>
    </w:p>
    <w:p>
      <w:pPr>
        <w:ind w:left="580" w:hanging="450"/>
        <w:spacing w:after="0"/>
        <w:tabs>
          <w:tab w:leader="none" w:pos="5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Includes 140,500 shares of common stock issuable under options currently exercisable or exercisable within 60 days of the record date.</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34,750 shares of common stock issuable under options currently exercisable or exercisable within 60 days of the record date.</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16,250 shares of common stock issuable under options currently exercisable or exercisable within 60 days of the record date.</w:t>
      </w:r>
    </w:p>
    <w:p>
      <w:pPr>
        <w:spacing w:after="0" w:line="252" w:lineRule="exact"/>
        <w:rPr>
          <w:rFonts w:ascii="Arial" w:cs="Arial" w:eastAsia="Arial" w:hAnsi="Arial"/>
          <w:sz w:val="18"/>
          <w:szCs w:val="18"/>
          <w:color w:val="auto"/>
        </w:rPr>
      </w:pPr>
    </w:p>
    <w:p>
      <w:pPr>
        <w:ind w:left="580" w:hanging="572"/>
        <w:spacing w:after="0" w:line="259"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5,000 shares of common stock issuable under options currently exercisable or exercisable within 60 days of the record date. Also, includes 2,400 shares of common stock held by Mr. Stern’s spouse as custodian for two children under the Uniform Gifts to Minors Act of New York. Mr. Stern disclaims beneficial ownership of these shares.</w:t>
      </w:r>
    </w:p>
    <w:p>
      <w:pPr>
        <w:spacing w:after="0" w:line="221" w:lineRule="exact"/>
        <w:rPr>
          <w:rFonts w:ascii="Arial" w:cs="Arial" w:eastAsia="Arial" w:hAnsi="Arial"/>
          <w:sz w:val="18"/>
          <w:szCs w:val="18"/>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5,000 shares of common stock issuable under options currently exercisable or exercisable within 60 days of the record date.</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1,712,700 shares of common stock issuable under options currently exercisable or exercisable within 60 days of the record date.</w:t>
      </w:r>
    </w:p>
    <w:p>
      <w:pPr>
        <w:spacing w:after="0" w:line="275" w:lineRule="exact"/>
        <w:rPr>
          <w:rFonts w:ascii="Arial" w:cs="Arial" w:eastAsia="Arial" w:hAnsi="Arial"/>
          <w:sz w:val="16"/>
          <w:szCs w:val="16"/>
          <w:color w:val="auto"/>
        </w:rPr>
      </w:pPr>
    </w:p>
    <w:p>
      <w:pPr>
        <w:ind w:left="580" w:right="120" w:hanging="572"/>
        <w:spacing w:after="0" w:line="268"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restricted stock units owned by our executive officers and the phantom stock units owned by our non-employee directors have all the economic risk of stock ownership but they may not be voted or sold and, therefore, are not deemed to be beneficially owned.</w:t>
      </w:r>
    </w:p>
    <w:p>
      <w:pPr>
        <w:spacing w:after="0" w:line="212" w:lineRule="exact"/>
        <w:rPr>
          <w:rFonts w:ascii="Arial" w:cs="Arial" w:eastAsia="Arial" w:hAnsi="Arial"/>
          <w:sz w:val="18"/>
          <w:szCs w:val="18"/>
          <w:color w:val="auto"/>
        </w:rPr>
      </w:pPr>
    </w:p>
    <w:p>
      <w:pPr>
        <w:ind w:left="580" w:right="260" w:hanging="572"/>
        <w:spacing w:after="0" w:line="268"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436,138 restricted stock units owned by our executive officers in the aggregate, 55,514 phantom stock units issued to Mr. Way as a special recognition award, and 19,241 phantom stock units owned by our non-employee directors in the aggregate.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8"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Based upon our review of reports filed with the Securities and Exchange Commission by our directors and executive officers and by beneficial owners of 10% or more of our shares, and based upon written representations received from these same persons, we believe that all reports under Section 16(a) of the Securities and Exchange Act were timely made with the following exception: Shari L. Burgess’ beneficial ownership of 947.87 restricted stock units and 270.62 restricted stock units accrued pursuant to the Management Stock Purchase Plan on March 31, 2001 and March 31, 2002, respectively, were not reported on her Form 3 filed August 26, 2002, but were reported on an amended Form 3 on September 6, 2002.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58" w:lineRule="exact"/>
        <w:rPr>
          <w:sz w:val="20"/>
          <w:szCs w:val="20"/>
          <w:color w:val="auto"/>
        </w:rPr>
      </w:pPr>
    </w:p>
    <w:p>
      <w:pPr>
        <w:ind w:right="200" w:firstLine="324"/>
        <w:spacing w:after="0" w:line="332" w:lineRule="auto"/>
        <w:rPr>
          <w:sz w:val="20"/>
          <w:szCs w:val="20"/>
          <w:color w:val="auto"/>
        </w:rPr>
      </w:pPr>
      <w:r>
        <w:rPr>
          <w:rFonts w:ascii="Arial" w:cs="Arial" w:eastAsia="Arial" w:hAnsi="Arial"/>
          <w:sz w:val="16"/>
          <w:szCs w:val="16"/>
          <w:color w:val="auto"/>
        </w:rPr>
        <w:t>The following table sets forth annual and long-term compensation for our named executive officers in the fiscal years ended December 31, 2002, 2001 and 2000. Certain information presented for 2001 and 2000 has been reclassified to be consistent with the presentation for 2002.</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Compensation Table</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20" w:type="dxa"/>
            <w:vAlign w:val="bottom"/>
            <w:gridSpan w:val="4"/>
          </w:tcPr>
          <w:p>
            <w:pPr>
              <w:ind w:left="180"/>
              <w:spacing w:after="0"/>
              <w:rPr>
                <w:sz w:val="20"/>
                <w:szCs w:val="20"/>
                <w:color w:val="auto"/>
              </w:rPr>
            </w:pPr>
            <w:r>
              <w:rPr>
                <w:rFonts w:ascii="Arial" w:cs="Arial" w:eastAsia="Arial" w:hAnsi="Arial"/>
                <w:sz w:val="14"/>
                <w:szCs w:val="14"/>
                <w:b w:val="1"/>
                <w:bCs w:val="1"/>
                <w:color w:val="auto"/>
                <w:w w:val="98"/>
              </w:rPr>
              <w:t>Long-Term Compensation</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w w:val="90"/>
              </w:rPr>
              <w:t>Awards</w:t>
            </w: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4"/>
              </w:rPr>
              <w:t>Payouts</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3"/>
              </w:rPr>
              <w:t>Securities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Annual Compensation</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Restricted</w:t>
            </w: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Underlying</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36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Name and</w:t>
            </w:r>
          </w:p>
        </w:tc>
        <w:tc>
          <w:tcPr>
            <w:tcW w:w="4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Stock Unit</w:t>
            </w:r>
          </w:p>
        </w:tc>
        <w:tc>
          <w:tcPr>
            <w:tcW w:w="13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87"/>
              </w:rPr>
              <w:t>Options/</w:t>
            </w:r>
          </w:p>
        </w:tc>
        <w:tc>
          <w:tcPr>
            <w:tcW w:w="140" w:type="dxa"/>
            <w:vAlign w:val="bottom"/>
          </w:tcPr>
          <w:p>
            <w:pPr>
              <w:spacing w:after="0"/>
              <w:rPr>
                <w:sz w:val="8"/>
                <w:szCs w:val="8"/>
                <w:color w:val="auto"/>
              </w:rPr>
            </w:pPr>
          </w:p>
        </w:tc>
        <w:tc>
          <w:tcPr>
            <w:tcW w:w="10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8"/>
              </w:rPr>
              <w:t>LTIP</w:t>
            </w:r>
          </w:p>
        </w:tc>
        <w:tc>
          <w:tcPr>
            <w:tcW w:w="180" w:type="dxa"/>
            <w:vAlign w:val="bottom"/>
          </w:tcPr>
          <w:p>
            <w:pPr>
              <w:spacing w:after="0"/>
              <w:rPr>
                <w:sz w:val="8"/>
                <w:szCs w:val="8"/>
                <w:color w:val="auto"/>
              </w:rPr>
            </w:pPr>
          </w:p>
        </w:tc>
        <w:tc>
          <w:tcPr>
            <w:tcW w:w="14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74"/>
        </w:trPr>
        <w:tc>
          <w:tcPr>
            <w:tcW w:w="236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gridSpan w:val="3"/>
            <w:vMerge w:val="continue"/>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360" w:type="dxa"/>
            <w:vAlign w:val="bottom"/>
            <w:gridSpan w:val="2"/>
          </w:tcPr>
          <w:p>
            <w:pPr>
              <w:ind w:left="540"/>
              <w:spacing w:after="0"/>
              <w:rPr>
                <w:sz w:val="20"/>
                <w:szCs w:val="20"/>
                <w:color w:val="auto"/>
              </w:rPr>
            </w:pPr>
            <w:r>
              <w:rPr>
                <w:rFonts w:ascii="Arial" w:cs="Arial" w:eastAsia="Arial" w:hAnsi="Arial"/>
                <w:sz w:val="14"/>
                <w:szCs w:val="14"/>
                <w:b w:val="1"/>
                <w:bCs w:val="1"/>
                <w:color w:val="auto"/>
              </w:rPr>
              <w:t>Principal Positions</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Period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93"/>
              <w:spacing w:after="0"/>
              <w:rPr>
                <w:sz w:val="20"/>
                <w:szCs w:val="20"/>
                <w:color w:val="auto"/>
              </w:rPr>
            </w:pPr>
            <w:r>
              <w:rPr>
                <w:rFonts w:ascii="Arial" w:cs="Arial" w:eastAsia="Arial" w:hAnsi="Arial"/>
                <w:sz w:val="14"/>
                <w:szCs w:val="14"/>
                <w:b w:val="1"/>
                <w:bCs w:val="1"/>
                <w:color w:val="auto"/>
                <w:w w:val="97"/>
              </w:rPr>
              <w:t>Salary(1)</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2"/>
              </w:rPr>
              <w:t>Bonus(1)</w:t>
            </w:r>
          </w:p>
        </w:tc>
        <w:tc>
          <w:tcPr>
            <w:tcW w:w="10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Awards(2)</w:t>
            </w: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SARs(3)</w:t>
            </w:r>
          </w:p>
        </w:tc>
        <w:tc>
          <w:tcPr>
            <w:tcW w:w="140" w:type="dxa"/>
            <w:vAlign w:val="bottom"/>
          </w:tcPr>
          <w:p>
            <w:pPr>
              <w:spacing w:after="0"/>
              <w:rPr>
                <w:sz w:val="16"/>
                <w:szCs w:val="16"/>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4"/>
              </w:rPr>
              <w:t>Payouts</w:t>
            </w:r>
          </w:p>
        </w:tc>
        <w:tc>
          <w:tcPr>
            <w:tcW w:w="180" w:type="dxa"/>
            <w:vAlign w:val="bottom"/>
          </w:tcPr>
          <w:p>
            <w:pPr>
              <w:spacing w:after="0"/>
              <w:rPr>
                <w:sz w:val="16"/>
                <w:szCs w:val="16"/>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95"/>
        </w:trPr>
        <w:tc>
          <w:tcPr>
            <w:tcW w:w="21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360" w:type="dxa"/>
            <w:vAlign w:val="bottom"/>
            <w:gridSpan w:val="2"/>
          </w:tcPr>
          <w:p>
            <w:pPr>
              <w:spacing w:after="0"/>
              <w:rPr>
                <w:sz w:val="20"/>
                <w:szCs w:val="20"/>
                <w:color w:val="auto"/>
              </w:rPr>
            </w:pPr>
            <w:r>
              <w:rPr>
                <w:rFonts w:ascii="Arial" w:cs="Arial" w:eastAsia="Arial" w:hAnsi="Arial"/>
                <w:sz w:val="18"/>
                <w:szCs w:val="18"/>
                <w:color w:val="auto"/>
              </w:rPr>
              <w:t>Kenneth L. Way,</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2002</w:t>
            </w:r>
          </w:p>
        </w:tc>
        <w:tc>
          <w:tcPr>
            <w:tcW w:w="30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1,000,000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1,182,000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75,000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150,432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1,684,356(5)</w:t>
            </w:r>
          </w:p>
        </w:tc>
        <w:tc>
          <w:tcPr>
            <w:tcW w:w="0" w:type="dxa"/>
            <w:vAlign w:val="bottom"/>
          </w:tcPr>
          <w:p>
            <w:pPr>
              <w:spacing w:after="0"/>
              <w:rPr>
                <w:sz w:val="1"/>
                <w:szCs w:val="1"/>
                <w:color w:val="auto"/>
              </w:rPr>
            </w:pPr>
          </w:p>
        </w:tc>
      </w:tr>
      <w:tr>
        <w:trPr>
          <w:trHeight w:val="216"/>
        </w:trPr>
        <w:tc>
          <w:tcPr>
            <w:tcW w:w="2360" w:type="dxa"/>
            <w:vAlign w:val="bottom"/>
            <w:gridSpan w:val="2"/>
          </w:tcPr>
          <w:p>
            <w:pPr>
              <w:ind w:left="220"/>
              <w:spacing w:after="0"/>
              <w:rPr>
                <w:sz w:val="20"/>
                <w:szCs w:val="20"/>
                <w:color w:val="auto"/>
              </w:rPr>
            </w:pPr>
            <w:r>
              <w:rPr>
                <w:rFonts w:ascii="Arial" w:cs="Arial" w:eastAsia="Arial" w:hAnsi="Arial"/>
                <w:sz w:val="18"/>
                <w:szCs w:val="18"/>
                <w:color w:val="auto"/>
              </w:rPr>
              <w:t>Chairman(4)</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1,000,000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420,000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130,000</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142,821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1,000,000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1,050,008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156,250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125,000</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57,850</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131,254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Robert E. Rossiter,</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2002</w:t>
            </w:r>
          </w:p>
        </w:tc>
        <w:tc>
          <w:tcPr>
            <w:tcW w:w="30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1,000,000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1,300,200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325,050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125,000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126,378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50,966(6)</w:t>
            </w:r>
          </w:p>
        </w:tc>
        <w:tc>
          <w:tcPr>
            <w:tcW w:w="0" w:type="dxa"/>
            <w:vAlign w:val="bottom"/>
          </w:tcPr>
          <w:p>
            <w:pPr>
              <w:spacing w:after="0"/>
              <w:rPr>
                <w:sz w:val="1"/>
                <w:szCs w:val="1"/>
                <w:color w:val="auto"/>
              </w:rPr>
            </w:pPr>
          </w:p>
        </w:tc>
      </w:tr>
      <w:tr>
        <w:trPr>
          <w:trHeight w:val="216"/>
        </w:trPr>
        <w:tc>
          <w:tcPr>
            <w:tcW w:w="2360" w:type="dxa"/>
            <w:vAlign w:val="bottom"/>
            <w:gridSpan w:val="2"/>
          </w:tcPr>
          <w:p>
            <w:pPr>
              <w:ind w:left="220"/>
              <w:spacing w:after="0"/>
              <w:rPr>
                <w:sz w:val="20"/>
                <w:szCs w:val="20"/>
                <w:color w:val="auto"/>
              </w:rPr>
            </w:pPr>
            <w:r>
              <w:rPr>
                <w:rFonts w:ascii="Arial" w:cs="Arial" w:eastAsia="Arial" w:hAnsi="Arial"/>
                <w:sz w:val="18"/>
                <w:szCs w:val="18"/>
                <w:color w:val="auto"/>
              </w:rPr>
              <w:t>Chairman and Chief</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1,000,000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420,000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217,500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162,500</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122,965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ind w:left="220"/>
              <w:spacing w:after="0"/>
              <w:rPr>
                <w:sz w:val="20"/>
                <w:szCs w:val="20"/>
                <w:color w:val="auto"/>
              </w:rPr>
            </w:pPr>
            <w:r>
              <w:rPr>
                <w:rFonts w:ascii="Arial" w:cs="Arial" w:eastAsia="Arial" w:hAnsi="Arial"/>
                <w:sz w:val="18"/>
                <w:szCs w:val="18"/>
                <w:color w:val="auto"/>
              </w:rPr>
              <w:t>Executive Officer(4)</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880,000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924,002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231,025</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200,000</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41,024</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99,788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James H. Vandenberghe,</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2002</w:t>
            </w:r>
          </w:p>
        </w:tc>
        <w:tc>
          <w:tcPr>
            <w:tcW w:w="30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825,000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780,120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78,012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75,000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100,048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26,221(7)</w:t>
            </w:r>
          </w:p>
        </w:tc>
        <w:tc>
          <w:tcPr>
            <w:tcW w:w="0" w:type="dxa"/>
            <w:vAlign w:val="bottom"/>
          </w:tcPr>
          <w:p>
            <w:pPr>
              <w:spacing w:after="0"/>
              <w:rPr>
                <w:sz w:val="1"/>
                <w:szCs w:val="1"/>
                <w:color w:val="auto"/>
              </w:rPr>
            </w:pPr>
          </w:p>
        </w:tc>
      </w:tr>
      <w:tr>
        <w:trPr>
          <w:trHeight w:val="216"/>
        </w:trPr>
        <w:tc>
          <w:tcPr>
            <w:tcW w:w="2360" w:type="dxa"/>
            <w:vAlign w:val="bottom"/>
            <w:gridSpan w:val="2"/>
          </w:tcPr>
          <w:p>
            <w:pPr>
              <w:ind w:left="220"/>
              <w:spacing w:after="0"/>
              <w:rPr>
                <w:sz w:val="20"/>
                <w:szCs w:val="20"/>
                <w:color w:val="auto"/>
              </w:rPr>
            </w:pPr>
            <w:r>
              <w:rPr>
                <w:rFonts w:ascii="Arial" w:cs="Arial" w:eastAsia="Arial" w:hAnsi="Arial"/>
                <w:sz w:val="18"/>
                <w:szCs w:val="18"/>
                <w:color w:val="auto"/>
              </w:rPr>
              <w:t>Vice Chairman</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785,000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263,760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95,625</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97,500</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91,019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690,000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579,595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144,899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32,755</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83,106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Douglas G. DelGrosso,</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2002</w:t>
            </w:r>
          </w:p>
        </w:tc>
        <w:tc>
          <w:tcPr>
            <w:tcW w:w="30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591,668</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559,479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50,000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60,173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16,531(8)</w:t>
            </w:r>
          </w:p>
        </w:tc>
        <w:tc>
          <w:tcPr>
            <w:tcW w:w="0" w:type="dxa"/>
            <w:vAlign w:val="bottom"/>
          </w:tcPr>
          <w:p>
            <w:pPr>
              <w:spacing w:after="0"/>
              <w:rPr>
                <w:sz w:val="1"/>
                <w:szCs w:val="1"/>
                <w:color w:val="auto"/>
              </w:rPr>
            </w:pPr>
          </w:p>
        </w:tc>
      </w:tr>
      <w:tr>
        <w:trPr>
          <w:trHeight w:val="216"/>
        </w:trPr>
        <w:tc>
          <w:tcPr>
            <w:tcW w:w="2360" w:type="dxa"/>
            <w:vAlign w:val="bottom"/>
            <w:gridSpan w:val="2"/>
          </w:tcPr>
          <w:p>
            <w:pPr>
              <w:ind w:left="220"/>
              <w:spacing w:after="0"/>
              <w:rPr>
                <w:sz w:val="20"/>
                <w:szCs w:val="20"/>
                <w:color w:val="auto"/>
              </w:rPr>
            </w:pPr>
            <w:r>
              <w:rPr>
                <w:rFonts w:ascii="Arial" w:cs="Arial" w:eastAsia="Arial" w:hAnsi="Arial"/>
                <w:sz w:val="18"/>
                <w:szCs w:val="18"/>
                <w:color w:val="auto"/>
              </w:rPr>
              <w:t>President and Chief</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ind w:left="360"/>
              <w:spacing w:after="0"/>
              <w:rPr>
                <w:sz w:val="20"/>
                <w:szCs w:val="20"/>
                <w:color w:val="auto"/>
              </w:rPr>
            </w:pPr>
            <w:r>
              <w:rPr>
                <w:rFonts w:ascii="Arial" w:cs="Arial" w:eastAsia="Arial" w:hAnsi="Arial"/>
                <w:sz w:val="18"/>
                <w:szCs w:val="18"/>
                <w:color w:val="auto"/>
              </w:rPr>
              <w:t>Operating</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521,667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148,852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22,362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65,000</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55,922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ind w:left="220"/>
              <w:spacing w:after="0"/>
              <w:rPr>
                <w:sz w:val="20"/>
                <w:szCs w:val="20"/>
                <w:color w:val="auto"/>
              </w:rPr>
            </w:pPr>
            <w:r>
              <w:rPr>
                <w:rFonts w:ascii="Arial" w:cs="Arial" w:eastAsia="Arial" w:hAnsi="Arial"/>
                <w:sz w:val="18"/>
                <w:szCs w:val="18"/>
                <w:color w:val="auto"/>
              </w:rPr>
              <w:t>Officer-Europe, Asia and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ind w:left="360"/>
              <w:spacing w:after="0"/>
              <w:rPr>
                <w:sz w:val="20"/>
                <w:szCs w:val="20"/>
                <w:color w:val="auto"/>
              </w:rPr>
            </w:pPr>
            <w:r>
              <w:rPr>
                <w:rFonts w:ascii="Arial" w:cs="Arial" w:eastAsia="Arial" w:hAnsi="Arial"/>
                <w:sz w:val="18"/>
                <w:szCs w:val="18"/>
                <w:color w:val="auto"/>
              </w:rPr>
              <w:t>Africa</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453,333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285,602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81,400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15,993</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50,294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Donald J. Stebbins,</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2002</w:t>
            </w:r>
          </w:p>
        </w:tc>
        <w:tc>
          <w:tcPr>
            <w:tcW w:w="30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591,668</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559,479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50,000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54,140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21,249(9)</w:t>
            </w:r>
          </w:p>
        </w:tc>
        <w:tc>
          <w:tcPr>
            <w:tcW w:w="0" w:type="dxa"/>
            <w:vAlign w:val="bottom"/>
          </w:tcPr>
          <w:p>
            <w:pPr>
              <w:spacing w:after="0"/>
              <w:rPr>
                <w:sz w:val="1"/>
                <w:szCs w:val="1"/>
                <w:color w:val="auto"/>
              </w:rPr>
            </w:pPr>
          </w:p>
        </w:tc>
      </w:tr>
      <w:tr>
        <w:trPr>
          <w:trHeight w:val="216"/>
        </w:trPr>
        <w:tc>
          <w:tcPr>
            <w:tcW w:w="2360" w:type="dxa"/>
            <w:vAlign w:val="bottom"/>
            <w:gridSpan w:val="2"/>
          </w:tcPr>
          <w:p>
            <w:pPr>
              <w:ind w:left="220"/>
              <w:spacing w:after="0"/>
              <w:rPr>
                <w:sz w:val="20"/>
                <w:szCs w:val="20"/>
                <w:color w:val="auto"/>
              </w:rPr>
            </w:pPr>
            <w:r>
              <w:rPr>
                <w:rFonts w:ascii="Arial" w:cs="Arial" w:eastAsia="Arial" w:hAnsi="Arial"/>
                <w:sz w:val="18"/>
                <w:szCs w:val="18"/>
                <w:color w:val="auto"/>
              </w:rPr>
              <w:t>President and Chief</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ind w:left="360"/>
              <w:spacing w:after="0"/>
              <w:rPr>
                <w:sz w:val="20"/>
                <w:szCs w:val="20"/>
                <w:color w:val="auto"/>
              </w:rPr>
            </w:pPr>
            <w:r>
              <w:rPr>
                <w:rFonts w:ascii="Arial" w:cs="Arial" w:eastAsia="Arial" w:hAnsi="Arial"/>
                <w:sz w:val="18"/>
                <w:szCs w:val="18"/>
                <w:color w:val="auto"/>
              </w:rPr>
              <w:t>Operating</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493,334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140,453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10,057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65,000</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53,305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ind w:left="220"/>
              <w:spacing w:after="0"/>
              <w:rPr>
                <w:sz w:val="20"/>
                <w:szCs w:val="20"/>
                <w:color w:val="auto"/>
              </w:rPr>
            </w:pPr>
            <w:r>
              <w:rPr>
                <w:rFonts w:ascii="Arial" w:cs="Arial" w:eastAsia="Arial" w:hAnsi="Arial"/>
                <w:sz w:val="18"/>
                <w:szCs w:val="18"/>
                <w:color w:val="auto"/>
              </w:rPr>
              <w:t>Officer — Americas</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413,333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260,397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65,099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17,115</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42,610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David C. Wajsgras,</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2002</w:t>
            </w:r>
          </w:p>
        </w:tc>
        <w:tc>
          <w:tcPr>
            <w:tcW w:w="30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420,000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297,864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57,500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35,000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41,355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142,752(10)</w:t>
            </w:r>
          </w:p>
        </w:tc>
        <w:tc>
          <w:tcPr>
            <w:tcW w:w="0" w:type="dxa"/>
            <w:vAlign w:val="bottom"/>
          </w:tcPr>
          <w:p>
            <w:pPr>
              <w:spacing w:after="0"/>
              <w:rPr>
                <w:sz w:val="1"/>
                <w:szCs w:val="1"/>
                <w:color w:val="auto"/>
              </w:rPr>
            </w:pPr>
          </w:p>
        </w:tc>
      </w:tr>
      <w:tr>
        <w:trPr>
          <w:trHeight w:val="216"/>
        </w:trPr>
        <w:tc>
          <w:tcPr>
            <w:tcW w:w="2360" w:type="dxa"/>
            <w:vAlign w:val="bottom"/>
            <w:gridSpan w:val="2"/>
          </w:tcPr>
          <w:p>
            <w:pPr>
              <w:ind w:left="220"/>
              <w:spacing w:after="0"/>
              <w:rPr>
                <w:sz w:val="20"/>
                <w:szCs w:val="20"/>
                <w:color w:val="auto"/>
              </w:rPr>
            </w:pPr>
            <w:r>
              <w:rPr>
                <w:rFonts w:ascii="Arial" w:cs="Arial" w:eastAsia="Arial" w:hAnsi="Arial"/>
                <w:sz w:val="18"/>
                <w:szCs w:val="18"/>
                <w:color w:val="auto"/>
              </w:rPr>
              <w:t>Senior Vice President and</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314,375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59,535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14,942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19,500</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27,250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6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281,250</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132,888</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33,222</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18,647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263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03" w:lineRule="exact"/>
        <w:rPr>
          <w:sz w:val="20"/>
          <w:szCs w:val="20"/>
          <w:color w:val="auto"/>
        </w:rPr>
      </w:pPr>
    </w:p>
    <w:p>
      <w:pPr>
        <w:ind w:left="580" w:right="100" w:hanging="450"/>
        <w:spacing w:after="0" w:line="256"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 the Management Stock Purchase Plan, named executive officers elected to defer portions of their 2002 salaries and bonuses. Salaries and bonuses are reported prior to any amounts deferred under the Management Stock Purchase Plan. For a description of the amounts of salary and bonus earned in the year ending December 31, 2002 and deferred by each named executive officer, see “Compensation Committee Report — Base Salary and — Annual Incentives” beginning on page 17.</w:t>
      </w:r>
    </w:p>
    <w:p>
      <w:pPr>
        <w:spacing w:after="0" w:line="224" w:lineRule="exact"/>
        <w:rPr>
          <w:rFonts w:ascii="Arial" w:cs="Arial" w:eastAsia="Arial" w:hAnsi="Arial"/>
          <w:sz w:val="18"/>
          <w:szCs w:val="18"/>
          <w:color w:val="auto"/>
        </w:rPr>
      </w:pPr>
    </w:p>
    <w:p>
      <w:pPr>
        <w:ind w:left="580" w:hanging="450"/>
        <w:spacing w:after="0" w:line="287"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restricted stock unit awards reflect only the gross up amount awarded to each named executive officer based on such officer’s deferral election under the Management Stock Purchase Program. For a description of the amounts of salary and bonus earned in the year ending December 31, 2002 and deferred by each named executive officer, see “Compensation Committee Report — Base Salary and — Annual Incentives” beginning on page 17. Pursuant to deferral elections made under the Management Stock Purchase Plan relating to compensation earned in the year ending December 31, 2002, Mr. Rossiter, Mr. Vandenberghe, Mr. DelGrosso, Mr. Stebbins and Mr. Wajsgras received restricted stock units of 48,120; 11,549; 3,525; 3,513 and 8,400, respectively. See “Compensation Committee Report — Long-Term Incentives” beginning on page 17 for a discussion concerning the calculation of restricted stock awards. Mr. Way did not make any deferral election under the Management Stock Purchase Plan relating to compensation earned in the year ending December 31, 2002. As of December 31, 2002, under the Management Stock Purchase Plan, Mr. Rossiter held 94,272 restricted stock units with an aggregate value of $3,137,372, Mr. Vandenberghe held 53,928 restricted stock units with an aggregate value of $1,794,724, Mr. DelGrosso held 25,217 restricted stock units with an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305" w:lineRule="auto"/>
        <w:rPr>
          <w:sz w:val="20"/>
          <w:szCs w:val="20"/>
          <w:color w:val="auto"/>
        </w:rPr>
      </w:pPr>
      <w:r>
        <w:rPr>
          <w:rFonts w:ascii="Arial" w:cs="Arial" w:eastAsia="Arial" w:hAnsi="Arial"/>
          <w:sz w:val="15"/>
          <w:szCs w:val="15"/>
          <w:color w:val="auto"/>
        </w:rPr>
        <w:t>aggregate value of $839,222, Mr. Stebbins held 18,859 restricted stock units with an aggregate value of $627,628, and Mr. Wajsgras held 12,042 restricted stock units with an aggregate value of $400,758. The aggregate value of restricted stock units is based on a closing price of our common stock of</w:t>
      </w:r>
    </w:p>
    <w:p>
      <w:pPr>
        <w:ind w:left="460"/>
        <w:spacing w:after="0" w:line="253" w:lineRule="auto"/>
        <w:rPr>
          <w:sz w:val="20"/>
          <w:szCs w:val="20"/>
          <w:color w:val="auto"/>
        </w:rPr>
      </w:pPr>
      <w:r>
        <w:rPr>
          <w:rFonts w:ascii="Arial" w:cs="Arial" w:eastAsia="Arial" w:hAnsi="Arial"/>
          <w:sz w:val="18"/>
          <w:szCs w:val="18"/>
          <w:color w:val="auto"/>
        </w:rPr>
        <w:t>$33.28 per share on December 31, 2002, as reported by the New York Stock Exchange. Mr. Way does not currently hold any restricted stock units under the Management Stock Purchase Plan. However, Mr. Way did receive a special recognition award in the amount of $1,500,000 in connection with his retirement which was issued in the form of 55,514.43 phantom stock units. For a description of Mr. Way’s special recognition award see “— Other Compensation Arrangements” beginning on page 15. For a description of the Management Stock Purchase Plan, see “Compensation Committee Report — Long-Term Incentives” beginning on page 17.</w:t>
      </w:r>
    </w:p>
    <w:p>
      <w:pPr>
        <w:spacing w:after="0" w:line="199" w:lineRule="exact"/>
        <w:rPr>
          <w:sz w:val="20"/>
          <w:szCs w:val="20"/>
          <w:color w:val="auto"/>
        </w:rPr>
      </w:pPr>
    </w:p>
    <w:p>
      <w:pPr>
        <w:ind w:left="580" w:right="540" w:hanging="450"/>
        <w:spacing w:after="0" w:line="370" w:lineRule="auto"/>
        <w:tabs>
          <w:tab w:leader="none" w:pos="580" w:val="left"/>
        </w:tabs>
        <w:numPr>
          <w:ilvl w:val="1"/>
          <w:numId w:val="17"/>
        </w:numPr>
        <w:rPr>
          <w:rFonts w:ascii="Arial" w:cs="Arial" w:eastAsia="Arial" w:hAnsi="Arial"/>
          <w:sz w:val="15"/>
          <w:szCs w:val="15"/>
          <w:color w:val="auto"/>
        </w:rPr>
      </w:pPr>
      <w:r>
        <w:rPr>
          <w:rFonts w:ascii="Arial" w:cs="Arial" w:eastAsia="Arial" w:hAnsi="Arial"/>
          <w:sz w:val="15"/>
          <w:szCs w:val="15"/>
          <w:color w:val="auto"/>
        </w:rPr>
        <w:t>On June 14, 2002, Mr. Way, Mr. Rossiter, Mr. Vandenberghe, Mr. DelGrosso, Mr. Stebbins, and Mr. Wajsgras received options to purchase 75,000, 125,000, 75,000, 50,000, 50,000, and 35,000 shares of our common stock, respectively, with an exercise price equal to $41.83 per share.</w:t>
      </w:r>
    </w:p>
    <w:p>
      <w:pPr>
        <w:spacing w:after="0" w:line="143" w:lineRule="exact"/>
        <w:rPr>
          <w:rFonts w:ascii="Arial" w:cs="Arial" w:eastAsia="Arial" w:hAnsi="Arial"/>
          <w:sz w:val="15"/>
          <w:szCs w:val="15"/>
          <w:color w:val="auto"/>
        </w:rPr>
      </w:pPr>
    </w:p>
    <w:p>
      <w:pPr>
        <w:ind w:left="580" w:right="440" w:hanging="450"/>
        <w:spacing w:after="0" w:line="306" w:lineRule="auto"/>
        <w:tabs>
          <w:tab w:leader="none" w:pos="5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On December 20, 2002, Mr. Way resigned as Chairman of the Board, but continues to serves as a director on our Board. Mr. Rossiter was appointed Chairman of the Board on January 1, 2003 and continues to serve as our Chief Executive Officer. For a description of the terms of certain benefit arrangements received by Mr. Way upon retirement see “— Other Compensation Arrangements” beginning on page 15.</w:t>
      </w:r>
    </w:p>
    <w:p>
      <w:pPr>
        <w:spacing w:after="0" w:line="187" w:lineRule="exact"/>
        <w:rPr>
          <w:rFonts w:ascii="Arial" w:cs="Arial" w:eastAsia="Arial" w:hAnsi="Arial"/>
          <w:sz w:val="16"/>
          <w:szCs w:val="16"/>
          <w:color w:val="auto"/>
        </w:rPr>
      </w:pPr>
    </w:p>
    <w:p>
      <w:pPr>
        <w:ind w:left="580" w:right="300" w:hanging="450"/>
        <w:spacing w:after="0" w:line="259" w:lineRule="auto"/>
        <w:tabs>
          <w:tab w:leader="none" w:pos="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Represents: a special recognition award of $1,500,000; life insurance premiums paid by Lear of $24,891; payments of $15,846 for expenses related to financial planning; and $143,619 for the use of corporate transportation. For a description of certain benefit arrangements received by Mr. Way upon retirement see “— Other Compensation Arrangements” beginning on page 15.</w:t>
      </w:r>
    </w:p>
    <w:p>
      <w:pPr>
        <w:spacing w:after="0" w:line="221" w:lineRule="exact"/>
        <w:rPr>
          <w:rFonts w:ascii="Arial" w:cs="Arial" w:eastAsia="Arial" w:hAnsi="Arial"/>
          <w:sz w:val="18"/>
          <w:szCs w:val="18"/>
          <w:color w:val="auto"/>
        </w:rPr>
      </w:pPr>
    </w:p>
    <w:p>
      <w:pPr>
        <w:ind w:left="580" w:right="20" w:hanging="450"/>
        <w:spacing w:after="0" w:line="268" w:lineRule="auto"/>
        <w:tabs>
          <w:tab w:leader="none" w:pos="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Represents: life insurance premiums paid by Lear of $10,359; imputed income of $2,786 with respect to life insurance coverage; payments of $22,919 for expenses related to financial planning; and $14,902 for the use of corporate transportation.</w:t>
      </w:r>
    </w:p>
    <w:p>
      <w:pPr>
        <w:spacing w:after="0" w:line="212" w:lineRule="exact"/>
        <w:rPr>
          <w:rFonts w:ascii="Arial" w:cs="Arial" w:eastAsia="Arial" w:hAnsi="Arial"/>
          <w:sz w:val="18"/>
          <w:szCs w:val="18"/>
          <w:color w:val="auto"/>
        </w:rPr>
      </w:pPr>
    </w:p>
    <w:p>
      <w:pPr>
        <w:ind w:left="580" w:right="280" w:hanging="450"/>
        <w:spacing w:after="0" w:line="268" w:lineRule="auto"/>
        <w:tabs>
          <w:tab w:leader="none" w:pos="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Represents: life insurance premiums paid by Lear of $7,359; payments of $15,846 for expenses related to financial planning; and $3,016 related to the use of corporate transportation.</w:t>
      </w:r>
    </w:p>
    <w:p>
      <w:pPr>
        <w:spacing w:after="0" w:line="212" w:lineRule="exact"/>
        <w:rPr>
          <w:rFonts w:ascii="Arial" w:cs="Arial" w:eastAsia="Arial" w:hAnsi="Arial"/>
          <w:sz w:val="18"/>
          <w:szCs w:val="18"/>
          <w:color w:val="auto"/>
        </w:rPr>
      </w:pPr>
    </w:p>
    <w:p>
      <w:pPr>
        <w:ind w:left="580" w:right="80" w:hanging="450"/>
        <w:spacing w:after="0" w:line="268" w:lineRule="auto"/>
        <w:tabs>
          <w:tab w:leader="none" w:pos="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Represents: life insurance premiums paid by Lear of $780; imputed income of $540 with respect to life insurance coverage; and payments of $15,211 for expenses related to financial planning.</w:t>
      </w:r>
    </w:p>
    <w:p>
      <w:pPr>
        <w:spacing w:after="0" w:line="212" w:lineRule="exact"/>
        <w:rPr>
          <w:rFonts w:ascii="Arial" w:cs="Arial" w:eastAsia="Arial" w:hAnsi="Arial"/>
          <w:sz w:val="18"/>
          <w:szCs w:val="18"/>
          <w:color w:val="auto"/>
        </w:rPr>
      </w:pPr>
    </w:p>
    <w:p>
      <w:pPr>
        <w:ind w:left="580" w:right="380" w:hanging="450"/>
        <w:spacing w:after="0" w:line="268" w:lineRule="auto"/>
        <w:tabs>
          <w:tab w:leader="none" w:pos="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Represents: life insurance premiums paid by Lear of $780; imputed income of $540 with respect to life insurance coverage; payments of $14,682 for expenses related to financial planning; and $5,247 for the use of corporate transportation.</w:t>
      </w:r>
    </w:p>
    <w:p>
      <w:pPr>
        <w:spacing w:after="0" w:line="185" w:lineRule="exact"/>
        <w:rPr>
          <w:rFonts w:ascii="Arial" w:cs="Arial" w:eastAsia="Arial" w:hAnsi="Arial"/>
          <w:sz w:val="18"/>
          <w:szCs w:val="18"/>
          <w:color w:val="auto"/>
        </w:rPr>
      </w:pPr>
    </w:p>
    <w:p>
      <w:pPr>
        <w:ind w:left="580" w:right="380" w:hanging="572"/>
        <w:spacing w:after="0" w:line="268"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life insurance premiums paid by Lear of $780; imputed income of $540 with respect to life insurance coverage; payments of $14,682 for expenses related to financial planning; and a $126,750 retention award.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and Exercises and Long-Term Incentive Awards in Last Fiscal Year</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have three stock option plans (the 1994 Stock Option Plan, the 1996 Stock Option Plan and the Long-Term Stock Incentive Plan), all of which are administered by the Compensation Committee. The following table indicates the options granted to each of our named executive officers during the fiscal year ended December 31, 2002 and the potential value of those options on an aggregated basis. All the options reported below were granted pursuant to the Long-Term Stock Incentive Plan.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Grants in Fiscal Year 2002</w:t>
      </w:r>
    </w:p>
    <w:p>
      <w:pPr>
        <w:spacing w:after="0" w:line="200" w:lineRule="exact"/>
        <w:rPr>
          <w:sz w:val="20"/>
          <w:szCs w:val="20"/>
          <w:color w:val="auto"/>
        </w:rPr>
      </w:pP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44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 of Total</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44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44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Granted</w:t>
            </w:r>
          </w:p>
        </w:tc>
        <w:tc>
          <w:tcPr>
            <w:tcW w:w="240" w:type="dxa"/>
            <w:vAlign w:val="bottom"/>
          </w:tcPr>
          <w:p>
            <w:pPr>
              <w:spacing w:after="0"/>
              <w:rPr>
                <w:sz w:val="12"/>
                <w:szCs w:val="12"/>
                <w:color w:val="auto"/>
              </w:rPr>
            </w:pPr>
          </w:p>
        </w:tc>
        <w:tc>
          <w:tcPr>
            <w:tcW w:w="820" w:type="dxa"/>
            <w:vAlign w:val="bottom"/>
            <w:gridSpan w:val="2"/>
          </w:tcPr>
          <w:p>
            <w:pPr>
              <w:jc w:val="right"/>
              <w:ind w:right="97"/>
              <w:spacing w:after="0" w:line="149" w:lineRule="exact"/>
              <w:rPr>
                <w:sz w:val="20"/>
                <w:szCs w:val="20"/>
                <w:color w:val="auto"/>
              </w:rPr>
            </w:pPr>
            <w:r>
              <w:rPr>
                <w:rFonts w:ascii="Arial" w:cs="Arial" w:eastAsia="Arial" w:hAnsi="Arial"/>
                <w:sz w:val="14"/>
                <w:szCs w:val="14"/>
                <w:b w:val="1"/>
                <w:bCs w:val="1"/>
                <w:color w:val="auto"/>
              </w:rPr>
              <w:t>Exercise</w:t>
            </w: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44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Employees in</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Price</w:t>
            </w:r>
          </w:p>
        </w:tc>
        <w:tc>
          <w:tcPr>
            <w:tcW w:w="400" w:type="dxa"/>
            <w:vAlign w:val="bottom"/>
          </w:tcPr>
          <w:p>
            <w:pPr>
              <w:spacing w:after="0"/>
              <w:rPr>
                <w:sz w:val="12"/>
                <w:szCs w:val="12"/>
                <w:color w:val="auto"/>
              </w:rPr>
            </w:pPr>
          </w:p>
        </w:tc>
        <w:tc>
          <w:tcPr>
            <w:tcW w:w="9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Expiration</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ind w:right="217"/>
              <w:spacing w:after="0" w:line="149" w:lineRule="exact"/>
              <w:rPr>
                <w:sz w:val="20"/>
                <w:szCs w:val="20"/>
                <w:color w:val="auto"/>
              </w:rPr>
            </w:pPr>
            <w:r>
              <w:rPr>
                <w:rFonts w:ascii="Arial" w:cs="Arial" w:eastAsia="Arial" w:hAnsi="Arial"/>
                <w:sz w:val="14"/>
                <w:szCs w:val="14"/>
                <w:b w:val="1"/>
                <w:bCs w:val="1"/>
                <w:color w:val="auto"/>
              </w:rPr>
              <w:t>(1)Grant Date</w:t>
            </w:r>
          </w:p>
        </w:tc>
      </w:tr>
      <w:tr>
        <w:trPr>
          <w:trHeight w:val="174"/>
        </w:trPr>
        <w:tc>
          <w:tcPr>
            <w:tcW w:w="2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Granted</w:t>
            </w:r>
          </w:p>
        </w:tc>
        <w:tc>
          <w:tcPr>
            <w:tcW w:w="44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Fiscal Year</w:t>
            </w: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20"/>
                <w:szCs w:val="20"/>
                <w:color w:val="auto"/>
              </w:rPr>
            </w:pPr>
            <w:r>
              <w:rPr>
                <w:rFonts w:ascii="Arial" w:cs="Arial" w:eastAsia="Arial" w:hAnsi="Arial"/>
                <w:sz w:val="14"/>
                <w:szCs w:val="14"/>
                <w:b w:val="1"/>
                <w:bCs w:val="1"/>
                <w:color w:val="auto"/>
              </w:rPr>
              <w:t>/Share)</w:t>
            </w:r>
          </w:p>
        </w:tc>
        <w:tc>
          <w:tcPr>
            <w:tcW w:w="400" w:type="dxa"/>
            <w:vAlign w:val="bottom"/>
          </w:tcPr>
          <w:p>
            <w:pPr>
              <w:spacing w:after="0"/>
              <w:rPr>
                <w:sz w:val="15"/>
                <w:szCs w:val="15"/>
                <w:color w:val="auto"/>
              </w:rPr>
            </w:pPr>
          </w:p>
        </w:tc>
        <w:tc>
          <w:tcPr>
            <w:tcW w:w="940" w:type="dxa"/>
            <w:vAlign w:val="bottom"/>
          </w:tcPr>
          <w:p>
            <w:pPr>
              <w:ind w:left="320"/>
              <w:spacing w:after="0"/>
              <w:rPr>
                <w:sz w:val="20"/>
                <w:szCs w:val="20"/>
                <w:color w:val="auto"/>
              </w:rPr>
            </w:pPr>
            <w:r>
              <w:rPr>
                <w:rFonts w:ascii="Arial" w:cs="Arial" w:eastAsia="Arial" w:hAnsi="Arial"/>
                <w:sz w:val="14"/>
                <w:szCs w:val="14"/>
                <w:b w:val="1"/>
                <w:bCs w:val="1"/>
                <w:color w:val="auto"/>
              </w:rPr>
              <w:t>Date</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7"/>
              </w:rPr>
              <w:t>Present Value</w:t>
            </w:r>
          </w:p>
        </w:tc>
      </w:tr>
      <w:tr>
        <w:trPr>
          <w:trHeight w:val="95"/>
        </w:trPr>
        <w:tc>
          <w:tcPr>
            <w:tcW w:w="24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r>
      <w:tr>
        <w:trPr>
          <w:trHeight w:val="309"/>
        </w:trPr>
        <w:tc>
          <w:tcPr>
            <w:tcW w:w="2420" w:type="dxa"/>
            <w:vAlign w:val="bottom"/>
          </w:tcPr>
          <w:p>
            <w:pPr>
              <w:spacing w:after="0"/>
              <w:rPr>
                <w:sz w:val="20"/>
                <w:szCs w:val="20"/>
                <w:color w:val="auto"/>
              </w:rPr>
            </w:pPr>
            <w:r>
              <w:rPr>
                <w:rFonts w:ascii="Arial" w:cs="Arial" w:eastAsia="Arial" w:hAnsi="Arial"/>
                <w:sz w:val="18"/>
                <w:szCs w:val="18"/>
                <w:color w:val="auto"/>
              </w:rPr>
              <w:t>Kenneth L. Way</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440" w:type="dxa"/>
            <w:vAlign w:val="bottom"/>
          </w:tcPr>
          <w:p>
            <w:pPr>
              <w:spacing w:after="0"/>
              <w:rPr>
                <w:sz w:val="24"/>
                <w:szCs w:val="24"/>
                <w:color w:val="auto"/>
              </w:rPr>
            </w:pPr>
          </w:p>
        </w:tc>
        <w:tc>
          <w:tcPr>
            <w:tcW w:w="1480" w:type="dxa"/>
            <w:vAlign w:val="bottom"/>
            <w:gridSpan w:val="2"/>
          </w:tcPr>
          <w:p>
            <w:pPr>
              <w:ind w:left="320"/>
              <w:spacing w:after="0"/>
              <w:rPr>
                <w:sz w:val="20"/>
                <w:szCs w:val="20"/>
                <w:color w:val="auto"/>
              </w:rPr>
            </w:pPr>
            <w:r>
              <w:rPr>
                <w:rFonts w:ascii="Arial" w:cs="Arial" w:eastAsia="Arial" w:hAnsi="Arial"/>
                <w:sz w:val="18"/>
                <w:szCs w:val="18"/>
                <w:color w:val="auto"/>
              </w:rPr>
              <w:t>4.00% (total)</w:t>
            </w:r>
          </w:p>
        </w:tc>
        <w:tc>
          <w:tcPr>
            <w:tcW w:w="4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41.83</w:t>
            </w:r>
          </w:p>
        </w:tc>
        <w:tc>
          <w:tcPr>
            <w:tcW w:w="1340" w:type="dxa"/>
            <w:vAlign w:val="bottom"/>
            <w:gridSpan w:val="2"/>
          </w:tcPr>
          <w:p>
            <w:pPr>
              <w:ind w:left="720"/>
              <w:spacing w:after="0"/>
              <w:rPr>
                <w:sz w:val="20"/>
                <w:szCs w:val="20"/>
                <w:color w:val="auto"/>
              </w:rPr>
            </w:pPr>
            <w:r>
              <w:rPr>
                <w:rFonts w:ascii="Arial" w:cs="Arial" w:eastAsia="Arial" w:hAnsi="Arial"/>
                <w:sz w:val="18"/>
                <w:szCs w:val="18"/>
                <w:color w:val="auto"/>
                <w:w w:val="85"/>
              </w:rPr>
              <w:t>06/14/12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1,672,425</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Robert E. Rossiter</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440" w:type="dxa"/>
            <w:vAlign w:val="bottom"/>
          </w:tcPr>
          <w:p>
            <w:pPr>
              <w:spacing w:after="0"/>
              <w:rPr>
                <w:sz w:val="18"/>
                <w:szCs w:val="18"/>
                <w:color w:val="auto"/>
              </w:rPr>
            </w:pPr>
          </w:p>
        </w:tc>
        <w:tc>
          <w:tcPr>
            <w:tcW w:w="1480" w:type="dxa"/>
            <w:vAlign w:val="bottom"/>
            <w:gridSpan w:val="2"/>
          </w:tcPr>
          <w:p>
            <w:pPr>
              <w:ind w:left="320"/>
              <w:spacing w:after="0"/>
              <w:rPr>
                <w:sz w:val="20"/>
                <w:szCs w:val="20"/>
                <w:color w:val="auto"/>
              </w:rPr>
            </w:pPr>
            <w:r>
              <w:rPr>
                <w:rFonts w:ascii="Arial" w:cs="Arial" w:eastAsia="Arial" w:hAnsi="Arial"/>
                <w:sz w:val="18"/>
                <w:szCs w:val="18"/>
                <w:color w:val="auto"/>
              </w:rPr>
              <w:t>6.70% (total)</w:t>
            </w:r>
          </w:p>
        </w:tc>
        <w:tc>
          <w:tcPr>
            <w:tcW w:w="4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41.83</w:t>
            </w:r>
          </w:p>
        </w:tc>
        <w:tc>
          <w:tcPr>
            <w:tcW w:w="1340" w:type="dxa"/>
            <w:vAlign w:val="bottom"/>
            <w:gridSpan w:val="2"/>
          </w:tcPr>
          <w:p>
            <w:pPr>
              <w:ind w:left="720"/>
              <w:spacing w:after="0"/>
              <w:rPr>
                <w:sz w:val="20"/>
                <w:szCs w:val="20"/>
                <w:color w:val="auto"/>
              </w:rPr>
            </w:pPr>
            <w:r>
              <w:rPr>
                <w:rFonts w:ascii="Arial" w:cs="Arial" w:eastAsia="Arial" w:hAnsi="Arial"/>
                <w:sz w:val="18"/>
                <w:szCs w:val="18"/>
                <w:color w:val="auto"/>
                <w:w w:val="85"/>
              </w:rPr>
              <w:t>06/14/12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2,787,375</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James H. Vandenberghe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440" w:type="dxa"/>
            <w:vAlign w:val="bottom"/>
          </w:tcPr>
          <w:p>
            <w:pPr>
              <w:spacing w:after="0"/>
              <w:rPr>
                <w:sz w:val="18"/>
                <w:szCs w:val="18"/>
                <w:color w:val="auto"/>
              </w:rPr>
            </w:pPr>
          </w:p>
        </w:tc>
        <w:tc>
          <w:tcPr>
            <w:tcW w:w="1480" w:type="dxa"/>
            <w:vAlign w:val="bottom"/>
            <w:gridSpan w:val="2"/>
          </w:tcPr>
          <w:p>
            <w:pPr>
              <w:ind w:left="320"/>
              <w:spacing w:after="0"/>
              <w:rPr>
                <w:sz w:val="20"/>
                <w:szCs w:val="20"/>
                <w:color w:val="auto"/>
              </w:rPr>
            </w:pPr>
            <w:r>
              <w:rPr>
                <w:rFonts w:ascii="Arial" w:cs="Arial" w:eastAsia="Arial" w:hAnsi="Arial"/>
                <w:sz w:val="18"/>
                <w:szCs w:val="18"/>
                <w:color w:val="auto"/>
              </w:rPr>
              <w:t>4.00% (total)</w:t>
            </w:r>
          </w:p>
        </w:tc>
        <w:tc>
          <w:tcPr>
            <w:tcW w:w="4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41.83</w:t>
            </w:r>
          </w:p>
        </w:tc>
        <w:tc>
          <w:tcPr>
            <w:tcW w:w="1340" w:type="dxa"/>
            <w:vAlign w:val="bottom"/>
            <w:gridSpan w:val="2"/>
          </w:tcPr>
          <w:p>
            <w:pPr>
              <w:ind w:left="720"/>
              <w:spacing w:after="0"/>
              <w:rPr>
                <w:sz w:val="20"/>
                <w:szCs w:val="20"/>
                <w:color w:val="auto"/>
              </w:rPr>
            </w:pPr>
            <w:r>
              <w:rPr>
                <w:rFonts w:ascii="Arial" w:cs="Arial" w:eastAsia="Arial" w:hAnsi="Arial"/>
                <w:sz w:val="18"/>
                <w:szCs w:val="18"/>
                <w:color w:val="auto"/>
                <w:w w:val="85"/>
              </w:rPr>
              <w:t>06/14/12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1,672,425</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Douglas G. DelGrosso</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440" w:type="dxa"/>
            <w:vAlign w:val="bottom"/>
          </w:tcPr>
          <w:p>
            <w:pPr>
              <w:spacing w:after="0"/>
              <w:rPr>
                <w:sz w:val="18"/>
                <w:szCs w:val="18"/>
                <w:color w:val="auto"/>
              </w:rPr>
            </w:pPr>
          </w:p>
        </w:tc>
        <w:tc>
          <w:tcPr>
            <w:tcW w:w="1480" w:type="dxa"/>
            <w:vAlign w:val="bottom"/>
            <w:gridSpan w:val="2"/>
          </w:tcPr>
          <w:p>
            <w:pPr>
              <w:ind w:left="320"/>
              <w:spacing w:after="0"/>
              <w:rPr>
                <w:sz w:val="20"/>
                <w:szCs w:val="20"/>
                <w:color w:val="auto"/>
              </w:rPr>
            </w:pPr>
            <w:r>
              <w:rPr>
                <w:rFonts w:ascii="Arial" w:cs="Arial" w:eastAsia="Arial" w:hAnsi="Arial"/>
                <w:sz w:val="18"/>
                <w:szCs w:val="18"/>
                <w:color w:val="auto"/>
              </w:rPr>
              <w:t>2.70% (total)</w:t>
            </w:r>
          </w:p>
        </w:tc>
        <w:tc>
          <w:tcPr>
            <w:tcW w:w="4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41.83</w:t>
            </w:r>
          </w:p>
        </w:tc>
        <w:tc>
          <w:tcPr>
            <w:tcW w:w="1340" w:type="dxa"/>
            <w:vAlign w:val="bottom"/>
            <w:gridSpan w:val="2"/>
          </w:tcPr>
          <w:p>
            <w:pPr>
              <w:ind w:left="720"/>
              <w:spacing w:after="0"/>
              <w:rPr>
                <w:sz w:val="20"/>
                <w:szCs w:val="20"/>
                <w:color w:val="auto"/>
              </w:rPr>
            </w:pPr>
            <w:r>
              <w:rPr>
                <w:rFonts w:ascii="Arial" w:cs="Arial" w:eastAsia="Arial" w:hAnsi="Arial"/>
                <w:sz w:val="18"/>
                <w:szCs w:val="18"/>
                <w:color w:val="auto"/>
                <w:w w:val="85"/>
              </w:rPr>
              <w:t>06/14/12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1,114,950</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Donald J. Stebbins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440" w:type="dxa"/>
            <w:vAlign w:val="bottom"/>
          </w:tcPr>
          <w:p>
            <w:pPr>
              <w:spacing w:after="0"/>
              <w:rPr>
                <w:sz w:val="18"/>
                <w:szCs w:val="18"/>
                <w:color w:val="auto"/>
              </w:rPr>
            </w:pPr>
          </w:p>
        </w:tc>
        <w:tc>
          <w:tcPr>
            <w:tcW w:w="1480" w:type="dxa"/>
            <w:vAlign w:val="bottom"/>
            <w:gridSpan w:val="2"/>
          </w:tcPr>
          <w:p>
            <w:pPr>
              <w:ind w:left="320"/>
              <w:spacing w:after="0"/>
              <w:rPr>
                <w:sz w:val="20"/>
                <w:szCs w:val="20"/>
                <w:color w:val="auto"/>
              </w:rPr>
            </w:pPr>
            <w:r>
              <w:rPr>
                <w:rFonts w:ascii="Arial" w:cs="Arial" w:eastAsia="Arial" w:hAnsi="Arial"/>
                <w:sz w:val="18"/>
                <w:szCs w:val="18"/>
                <w:color w:val="auto"/>
              </w:rPr>
              <w:t>2.70% (total)</w:t>
            </w:r>
          </w:p>
        </w:tc>
        <w:tc>
          <w:tcPr>
            <w:tcW w:w="4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41.83</w:t>
            </w:r>
          </w:p>
        </w:tc>
        <w:tc>
          <w:tcPr>
            <w:tcW w:w="1340" w:type="dxa"/>
            <w:vAlign w:val="bottom"/>
            <w:gridSpan w:val="2"/>
          </w:tcPr>
          <w:p>
            <w:pPr>
              <w:ind w:left="720"/>
              <w:spacing w:after="0"/>
              <w:rPr>
                <w:sz w:val="20"/>
                <w:szCs w:val="20"/>
                <w:color w:val="auto"/>
              </w:rPr>
            </w:pPr>
            <w:r>
              <w:rPr>
                <w:rFonts w:ascii="Arial" w:cs="Arial" w:eastAsia="Arial" w:hAnsi="Arial"/>
                <w:sz w:val="18"/>
                <w:szCs w:val="18"/>
                <w:color w:val="auto"/>
                <w:w w:val="85"/>
              </w:rPr>
              <w:t>06/14/12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1,114,950</w:t>
            </w:r>
          </w:p>
        </w:tc>
      </w:tr>
      <w:tr>
        <w:trPr>
          <w:trHeight w:val="222"/>
        </w:trPr>
        <w:tc>
          <w:tcPr>
            <w:tcW w:w="2420" w:type="dxa"/>
            <w:vAlign w:val="bottom"/>
          </w:tcPr>
          <w:p>
            <w:pPr>
              <w:spacing w:after="0"/>
              <w:rPr>
                <w:sz w:val="20"/>
                <w:szCs w:val="20"/>
                <w:color w:val="auto"/>
              </w:rPr>
            </w:pPr>
            <w:r>
              <w:rPr>
                <w:rFonts w:ascii="Arial" w:cs="Arial" w:eastAsia="Arial" w:hAnsi="Arial"/>
                <w:sz w:val="18"/>
                <w:szCs w:val="18"/>
                <w:color w:val="auto"/>
              </w:rPr>
              <w:t>David C. Wajsgras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440" w:type="dxa"/>
            <w:vAlign w:val="bottom"/>
          </w:tcPr>
          <w:p>
            <w:pPr>
              <w:spacing w:after="0"/>
              <w:rPr>
                <w:sz w:val="19"/>
                <w:szCs w:val="19"/>
                <w:color w:val="auto"/>
              </w:rPr>
            </w:pPr>
          </w:p>
        </w:tc>
        <w:tc>
          <w:tcPr>
            <w:tcW w:w="1480" w:type="dxa"/>
            <w:vAlign w:val="bottom"/>
            <w:gridSpan w:val="2"/>
          </w:tcPr>
          <w:p>
            <w:pPr>
              <w:ind w:left="320"/>
              <w:spacing w:after="0"/>
              <w:rPr>
                <w:sz w:val="20"/>
                <w:szCs w:val="20"/>
                <w:color w:val="auto"/>
              </w:rPr>
            </w:pPr>
            <w:r>
              <w:rPr>
                <w:rFonts w:ascii="Arial" w:cs="Arial" w:eastAsia="Arial" w:hAnsi="Arial"/>
                <w:sz w:val="18"/>
                <w:szCs w:val="18"/>
                <w:color w:val="auto"/>
              </w:rPr>
              <w:t>1.87% (total)</w:t>
            </w:r>
          </w:p>
        </w:tc>
        <w:tc>
          <w:tcPr>
            <w:tcW w:w="4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41.83</w:t>
            </w:r>
          </w:p>
        </w:tc>
        <w:tc>
          <w:tcPr>
            <w:tcW w:w="1340" w:type="dxa"/>
            <w:vAlign w:val="bottom"/>
            <w:gridSpan w:val="2"/>
          </w:tcPr>
          <w:p>
            <w:pPr>
              <w:ind w:left="720"/>
              <w:spacing w:after="0"/>
              <w:rPr>
                <w:sz w:val="20"/>
                <w:szCs w:val="20"/>
                <w:color w:val="auto"/>
              </w:rPr>
            </w:pPr>
            <w:r>
              <w:rPr>
                <w:rFonts w:ascii="Arial" w:cs="Arial" w:eastAsia="Arial" w:hAnsi="Arial"/>
                <w:sz w:val="18"/>
                <w:szCs w:val="18"/>
                <w:color w:val="auto"/>
                <w:w w:val="85"/>
              </w:rPr>
              <w:t>06/14/12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780,465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263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03" w:lineRule="exact"/>
        <w:rPr>
          <w:sz w:val="20"/>
          <w:szCs w:val="20"/>
          <w:color w:val="auto"/>
        </w:rPr>
      </w:pPr>
    </w:p>
    <w:p>
      <w:pPr>
        <w:ind w:left="460" w:right="240" w:hanging="452"/>
        <w:spacing w:after="0" w:line="306"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grant-date valuation shown is based upon a Black-Scholes based option pricing model using the following assumptions: (i) an expected volatility of 41.35%; (ii) an interest rate of 5.75%; (iii) dividend payments of zero; (iv) a zero risk of forfeiture; and (v) an estimated time of seven (7) years until exercise. For a discussion of the terms of the options granted, see “Compensation Committee Report — Long-Term Incentives” beginning on page 17.</w:t>
      </w:r>
    </w:p>
    <w:p>
      <w:pPr>
        <w:spacing w:after="0" w:line="18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following table indicates the value of stock options exercised during the fiscal year ended December 31, 2002 and the value of unexercised stock options held as of December 31, 2002 by each of our named executive officers.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Aggregated Option Exercises in Last Fiscal Year and Fiscal Year-End Option Values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6"/>
              </w:rPr>
              <w:t>Number of Unexercised</w:t>
            </w:r>
          </w:p>
        </w:tc>
        <w:tc>
          <w:tcPr>
            <w:tcW w:w="260" w:type="dxa"/>
            <w:vAlign w:val="bottom"/>
          </w:tcPr>
          <w:p>
            <w:pPr>
              <w:spacing w:after="0"/>
              <w:rPr>
                <w:sz w:val="14"/>
                <w:szCs w:val="14"/>
                <w:color w:val="auto"/>
              </w:rPr>
            </w:pPr>
          </w:p>
        </w:tc>
        <w:tc>
          <w:tcPr>
            <w:tcW w:w="2140" w:type="dxa"/>
            <w:vAlign w:val="bottom"/>
          </w:tcPr>
          <w:p>
            <w:pPr>
              <w:jc w:val="center"/>
              <w:ind w:right="180"/>
              <w:spacing w:after="0"/>
              <w:rPr>
                <w:sz w:val="20"/>
                <w:szCs w:val="20"/>
                <w:color w:val="auto"/>
              </w:rPr>
            </w:pPr>
            <w:r>
              <w:rPr>
                <w:rFonts w:ascii="Arial" w:cs="Arial" w:eastAsia="Arial" w:hAnsi="Arial"/>
                <w:sz w:val="14"/>
                <w:szCs w:val="14"/>
                <w:b w:val="1"/>
                <w:bCs w:val="1"/>
                <w:color w:val="auto"/>
                <w:w w:val="84"/>
              </w:rPr>
              <w:t>Value of Unexercised</w:t>
            </w:r>
          </w:p>
        </w:tc>
      </w:tr>
      <w:tr>
        <w:trPr>
          <w:trHeight w:val="149"/>
        </w:trPr>
        <w:tc>
          <w:tcPr>
            <w:tcW w:w="1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Value</w:t>
            </w:r>
          </w:p>
        </w:tc>
        <w:tc>
          <w:tcPr>
            <w:tcW w:w="33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Options at</w:t>
            </w:r>
          </w:p>
        </w:tc>
        <w:tc>
          <w:tcPr>
            <w:tcW w:w="260" w:type="dxa"/>
            <w:vAlign w:val="bottom"/>
          </w:tcPr>
          <w:p>
            <w:pPr>
              <w:spacing w:after="0"/>
              <w:rPr>
                <w:sz w:val="12"/>
                <w:szCs w:val="12"/>
                <w:color w:val="auto"/>
              </w:rPr>
            </w:pPr>
          </w:p>
        </w:tc>
        <w:tc>
          <w:tcPr>
            <w:tcW w:w="214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In-the-Money Options</w:t>
            </w:r>
          </w:p>
        </w:tc>
      </w:tr>
      <w:tr>
        <w:trPr>
          <w:trHeight w:val="149"/>
        </w:trPr>
        <w:tc>
          <w:tcPr>
            <w:tcW w:w="1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Realized</w:t>
            </w:r>
          </w:p>
        </w:tc>
        <w:tc>
          <w:tcPr>
            <w:tcW w:w="33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December 31, 2002</w:t>
            </w:r>
          </w:p>
        </w:tc>
        <w:tc>
          <w:tcPr>
            <w:tcW w:w="260" w:type="dxa"/>
            <w:vAlign w:val="bottom"/>
          </w:tcPr>
          <w:p>
            <w:pPr>
              <w:spacing w:after="0"/>
              <w:rPr>
                <w:sz w:val="12"/>
                <w:szCs w:val="12"/>
                <w:color w:val="auto"/>
              </w:rPr>
            </w:pPr>
          </w:p>
        </w:tc>
        <w:tc>
          <w:tcPr>
            <w:tcW w:w="214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at December 31, 2002(1)</w:t>
            </w:r>
          </w:p>
        </w:tc>
      </w:tr>
      <w:tr>
        <w:trPr>
          <w:trHeight w:val="174"/>
        </w:trPr>
        <w:tc>
          <w:tcPr>
            <w:tcW w:w="19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40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380" w:type="dxa"/>
            <w:vAlign w:val="bottom"/>
          </w:tcPr>
          <w:p>
            <w:pPr>
              <w:spacing w:after="0"/>
              <w:rPr>
                <w:sz w:val="15"/>
                <w:szCs w:val="15"/>
                <w:color w:val="auto"/>
              </w:rPr>
            </w:pPr>
          </w:p>
        </w:tc>
        <w:tc>
          <w:tcPr>
            <w:tcW w:w="33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6"/>
              </w:rPr>
              <w:t>Exercisable/Unexercisable</w:t>
            </w:r>
          </w:p>
        </w:tc>
        <w:tc>
          <w:tcPr>
            <w:tcW w:w="260" w:type="dxa"/>
            <w:vAlign w:val="bottom"/>
          </w:tcPr>
          <w:p>
            <w:pPr>
              <w:spacing w:after="0"/>
              <w:rPr>
                <w:sz w:val="15"/>
                <w:szCs w:val="15"/>
                <w:color w:val="auto"/>
              </w:rPr>
            </w:pPr>
          </w:p>
        </w:tc>
        <w:tc>
          <w:tcPr>
            <w:tcW w:w="2140" w:type="dxa"/>
            <w:vAlign w:val="bottom"/>
          </w:tcPr>
          <w:p>
            <w:pPr>
              <w:jc w:val="center"/>
              <w:ind w:right="180"/>
              <w:spacing w:after="0"/>
              <w:rPr>
                <w:sz w:val="20"/>
                <w:szCs w:val="20"/>
                <w:color w:val="auto"/>
              </w:rPr>
            </w:pPr>
            <w:r>
              <w:rPr>
                <w:rFonts w:ascii="Arial" w:cs="Arial" w:eastAsia="Arial" w:hAnsi="Arial"/>
                <w:sz w:val="14"/>
                <w:szCs w:val="14"/>
                <w:b w:val="1"/>
                <w:bCs w:val="1"/>
                <w:color w:val="auto"/>
                <w:w w:val="86"/>
              </w:rPr>
              <w:t>Exercisable/Unexercisable</w:t>
            </w:r>
          </w:p>
        </w:tc>
      </w:tr>
      <w:tr>
        <w:trPr>
          <w:trHeight w:val="95"/>
        </w:trPr>
        <w:tc>
          <w:tcPr>
            <w:tcW w:w="19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56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r>
      <w:tr>
        <w:trPr>
          <w:trHeight w:val="309"/>
        </w:trPr>
        <w:tc>
          <w:tcPr>
            <w:tcW w:w="1960" w:type="dxa"/>
            <w:vAlign w:val="bottom"/>
          </w:tcPr>
          <w:p>
            <w:pPr>
              <w:spacing w:after="0"/>
              <w:rPr>
                <w:sz w:val="20"/>
                <w:szCs w:val="20"/>
                <w:color w:val="auto"/>
              </w:rPr>
            </w:pPr>
            <w:r>
              <w:rPr>
                <w:rFonts w:ascii="Arial" w:cs="Arial" w:eastAsia="Arial" w:hAnsi="Arial"/>
                <w:sz w:val="18"/>
                <w:szCs w:val="18"/>
                <w:color w:val="auto"/>
              </w:rPr>
              <w:t>Kenneth L. Way</w:t>
            </w:r>
          </w:p>
        </w:tc>
        <w:tc>
          <w:tcPr>
            <w:tcW w:w="1920" w:type="dxa"/>
            <w:vAlign w:val="bottom"/>
            <w:gridSpan w:val="3"/>
          </w:tcPr>
          <w:p>
            <w:pPr>
              <w:jc w:val="right"/>
              <w:ind w:right="520"/>
              <w:spacing w:after="0"/>
              <w:rPr>
                <w:sz w:val="20"/>
                <w:szCs w:val="20"/>
                <w:color w:val="auto"/>
              </w:rPr>
            </w:pPr>
            <w:r>
              <w:rPr>
                <w:rFonts w:ascii="Arial" w:cs="Arial" w:eastAsia="Arial" w:hAnsi="Arial"/>
                <w:sz w:val="18"/>
                <w:szCs w:val="18"/>
                <w:color w:val="auto"/>
              </w:rPr>
              <w:t>236,000</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3,616,880</w:t>
            </w:r>
          </w:p>
        </w:tc>
        <w:tc>
          <w:tcPr>
            <w:tcW w:w="3300" w:type="dxa"/>
            <w:vAlign w:val="bottom"/>
            <w:gridSpan w:val="2"/>
          </w:tcPr>
          <w:p>
            <w:pPr>
              <w:jc w:val="right"/>
              <w:ind w:right="740"/>
              <w:spacing w:after="0"/>
              <w:rPr>
                <w:sz w:val="20"/>
                <w:szCs w:val="20"/>
                <w:color w:val="auto"/>
              </w:rPr>
            </w:pPr>
            <w:r>
              <w:rPr>
                <w:rFonts w:ascii="Arial" w:cs="Arial" w:eastAsia="Arial" w:hAnsi="Arial"/>
                <w:sz w:val="18"/>
                <w:szCs w:val="18"/>
                <w:color w:val="auto"/>
              </w:rPr>
              <w:t>250,000/0</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1,428,660/0</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Robert E. Rossiter</w:t>
            </w:r>
          </w:p>
        </w:tc>
        <w:tc>
          <w:tcPr>
            <w:tcW w:w="1920" w:type="dxa"/>
            <w:vAlign w:val="bottom"/>
            <w:gridSpan w:val="3"/>
          </w:tcPr>
          <w:p>
            <w:pPr>
              <w:jc w:val="right"/>
              <w:ind w:right="520"/>
              <w:spacing w:after="0"/>
              <w:rPr>
                <w:sz w:val="20"/>
                <w:szCs w:val="20"/>
                <w:color w:val="auto"/>
              </w:rPr>
            </w:pPr>
            <w:r>
              <w:rPr>
                <w:rFonts w:ascii="Arial" w:cs="Arial" w:eastAsia="Arial" w:hAnsi="Arial"/>
                <w:sz w:val="18"/>
                <w:szCs w:val="18"/>
                <w:color w:val="auto"/>
              </w:rPr>
              <w:t>167,250</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2,835,240</w:t>
            </w:r>
          </w:p>
        </w:tc>
        <w:tc>
          <w:tcPr>
            <w:tcW w:w="3300" w:type="dxa"/>
            <w:vAlign w:val="bottom"/>
            <w:gridSpan w:val="2"/>
          </w:tcPr>
          <w:p>
            <w:pPr>
              <w:jc w:val="right"/>
              <w:ind w:right="740"/>
              <w:spacing w:after="0"/>
              <w:rPr>
                <w:sz w:val="20"/>
                <w:szCs w:val="20"/>
                <w:color w:val="auto"/>
              </w:rPr>
            </w:pPr>
            <w:r>
              <w:rPr>
                <w:rFonts w:ascii="Arial" w:cs="Arial" w:eastAsia="Arial" w:hAnsi="Arial"/>
                <w:sz w:val="18"/>
                <w:szCs w:val="18"/>
                <w:color w:val="auto"/>
              </w:rPr>
              <w:t>126,250/325,000</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0/2,419,000</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w w:val="97"/>
              </w:rPr>
              <w:t>James H. Vandenberghe</w:t>
            </w:r>
          </w:p>
        </w:tc>
        <w:tc>
          <w:tcPr>
            <w:tcW w:w="1920" w:type="dxa"/>
            <w:vAlign w:val="bottom"/>
            <w:gridSpan w:val="3"/>
          </w:tcPr>
          <w:p>
            <w:pPr>
              <w:jc w:val="right"/>
              <w:ind w:right="520"/>
              <w:spacing w:after="0"/>
              <w:rPr>
                <w:sz w:val="20"/>
                <w:szCs w:val="20"/>
                <w:color w:val="auto"/>
              </w:rPr>
            </w:pPr>
            <w:r>
              <w:rPr>
                <w:rFonts w:ascii="Arial" w:cs="Arial" w:eastAsia="Arial" w:hAnsi="Arial"/>
                <w:sz w:val="18"/>
                <w:szCs w:val="18"/>
                <w:color w:val="auto"/>
              </w:rPr>
              <w:t>80,750</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1,515,780</w:t>
            </w:r>
          </w:p>
        </w:tc>
        <w:tc>
          <w:tcPr>
            <w:tcW w:w="3300" w:type="dxa"/>
            <w:vAlign w:val="bottom"/>
            <w:gridSpan w:val="2"/>
          </w:tcPr>
          <w:p>
            <w:pPr>
              <w:jc w:val="right"/>
              <w:ind w:right="740"/>
              <w:spacing w:after="0"/>
              <w:rPr>
                <w:sz w:val="20"/>
                <w:szCs w:val="20"/>
                <w:color w:val="auto"/>
              </w:rPr>
            </w:pPr>
            <w:r>
              <w:rPr>
                <w:rFonts w:ascii="Arial" w:cs="Arial" w:eastAsia="Arial" w:hAnsi="Arial"/>
                <w:sz w:val="18"/>
                <w:szCs w:val="18"/>
                <w:color w:val="auto"/>
              </w:rPr>
              <w:t>138,750/150,000</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0/837,000</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Douglas G. DelGrosso</w:t>
            </w:r>
          </w:p>
        </w:tc>
        <w:tc>
          <w:tcPr>
            <w:tcW w:w="1920" w:type="dxa"/>
            <w:vAlign w:val="bottom"/>
            <w:gridSpan w:val="3"/>
          </w:tcPr>
          <w:p>
            <w:pPr>
              <w:jc w:val="right"/>
              <w:ind w:right="520"/>
              <w:spacing w:after="0"/>
              <w:rPr>
                <w:sz w:val="20"/>
                <w:szCs w:val="20"/>
                <w:color w:val="auto"/>
              </w:rPr>
            </w:pPr>
            <w:r>
              <w:rPr>
                <w:rFonts w:ascii="Arial" w:cs="Arial" w:eastAsia="Arial" w:hAnsi="Arial"/>
                <w:sz w:val="18"/>
                <w:szCs w:val="18"/>
                <w:color w:val="auto"/>
              </w:rPr>
              <w:t>32,500</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691,600</w:t>
            </w:r>
          </w:p>
        </w:tc>
        <w:tc>
          <w:tcPr>
            <w:tcW w:w="3300" w:type="dxa"/>
            <w:vAlign w:val="bottom"/>
            <w:gridSpan w:val="2"/>
          </w:tcPr>
          <w:p>
            <w:pPr>
              <w:jc w:val="right"/>
              <w:ind w:right="740"/>
              <w:spacing w:after="0"/>
              <w:rPr>
                <w:sz w:val="20"/>
                <w:szCs w:val="20"/>
                <w:color w:val="auto"/>
              </w:rPr>
            </w:pPr>
            <w:r>
              <w:rPr>
                <w:rFonts w:ascii="Arial" w:cs="Arial" w:eastAsia="Arial" w:hAnsi="Arial"/>
                <w:sz w:val="18"/>
                <w:szCs w:val="18"/>
                <w:color w:val="auto"/>
              </w:rPr>
              <w:t>100,500/100,000</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2,240/558,000</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Donald J. Stebbins</w:t>
            </w:r>
          </w:p>
        </w:tc>
        <w:tc>
          <w:tcPr>
            <w:tcW w:w="1920" w:type="dxa"/>
            <w:vAlign w:val="bottom"/>
            <w:gridSpan w:val="3"/>
          </w:tcPr>
          <w:p>
            <w:pPr>
              <w:jc w:val="right"/>
              <w:ind w:right="520"/>
              <w:spacing w:after="0"/>
              <w:rPr>
                <w:sz w:val="20"/>
                <w:szCs w:val="20"/>
                <w:color w:val="auto"/>
              </w:rPr>
            </w:pPr>
            <w:r>
              <w:rPr>
                <w:rFonts w:ascii="Arial" w:cs="Arial" w:eastAsia="Arial" w:hAnsi="Arial"/>
                <w:sz w:val="18"/>
                <w:szCs w:val="18"/>
                <w:color w:val="auto"/>
              </w:rPr>
              <w:t>39,500</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800,310</w:t>
            </w:r>
          </w:p>
        </w:tc>
        <w:tc>
          <w:tcPr>
            <w:tcW w:w="3300" w:type="dxa"/>
            <w:vAlign w:val="bottom"/>
            <w:gridSpan w:val="2"/>
          </w:tcPr>
          <w:p>
            <w:pPr>
              <w:jc w:val="right"/>
              <w:ind w:right="740"/>
              <w:spacing w:after="0"/>
              <w:rPr>
                <w:sz w:val="20"/>
                <w:szCs w:val="20"/>
                <w:color w:val="auto"/>
              </w:rPr>
            </w:pPr>
            <w:r>
              <w:rPr>
                <w:rFonts w:ascii="Arial" w:cs="Arial" w:eastAsia="Arial" w:hAnsi="Arial"/>
                <w:sz w:val="18"/>
                <w:szCs w:val="18"/>
                <w:color w:val="auto"/>
              </w:rPr>
              <w:t>90,500/100,000</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0/558,000</w:t>
            </w:r>
          </w:p>
        </w:tc>
      </w:tr>
      <w:tr>
        <w:trPr>
          <w:trHeight w:val="222"/>
        </w:trPr>
        <w:tc>
          <w:tcPr>
            <w:tcW w:w="1960" w:type="dxa"/>
            <w:vAlign w:val="bottom"/>
          </w:tcPr>
          <w:p>
            <w:pPr>
              <w:spacing w:after="0"/>
              <w:rPr>
                <w:sz w:val="20"/>
                <w:szCs w:val="20"/>
                <w:color w:val="auto"/>
              </w:rPr>
            </w:pPr>
            <w:r>
              <w:rPr>
                <w:rFonts w:ascii="Arial" w:cs="Arial" w:eastAsia="Arial" w:hAnsi="Arial"/>
                <w:sz w:val="18"/>
                <w:szCs w:val="18"/>
                <w:color w:val="auto"/>
              </w:rPr>
              <w:t>David C. Wajsgras</w:t>
            </w:r>
          </w:p>
        </w:tc>
        <w:tc>
          <w:tcPr>
            <w:tcW w:w="1920" w:type="dxa"/>
            <w:vAlign w:val="bottom"/>
            <w:gridSpan w:val="3"/>
          </w:tcPr>
          <w:p>
            <w:pPr>
              <w:jc w:val="right"/>
              <w:ind w:right="520"/>
              <w:spacing w:after="0"/>
              <w:rPr>
                <w:sz w:val="20"/>
                <w:szCs w:val="20"/>
                <w:color w:val="auto"/>
              </w:rPr>
            </w:pPr>
            <w:r>
              <w:rPr>
                <w:rFonts w:ascii="Arial" w:cs="Arial" w:eastAsia="Arial" w:hAnsi="Arial"/>
                <w:sz w:val="18"/>
                <w:szCs w:val="18"/>
                <w:color w:val="auto"/>
              </w:rPr>
              <w:t>0</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3300" w:type="dxa"/>
            <w:vAlign w:val="bottom"/>
            <w:gridSpan w:val="2"/>
          </w:tcPr>
          <w:p>
            <w:pPr>
              <w:jc w:val="right"/>
              <w:ind w:right="740"/>
              <w:spacing w:after="0"/>
              <w:rPr>
                <w:sz w:val="20"/>
                <w:szCs w:val="20"/>
                <w:color w:val="auto"/>
              </w:rPr>
            </w:pPr>
            <w:r>
              <w:rPr>
                <w:rFonts w:ascii="Arial" w:cs="Arial" w:eastAsia="Arial" w:hAnsi="Arial"/>
                <w:sz w:val="18"/>
                <w:szCs w:val="18"/>
                <w:color w:val="auto"/>
              </w:rPr>
              <w:t>19,750/50,000</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0/167,400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620" w:right="2840" w:hanging="5612"/>
        <w:spacing w:after="0" w:line="519" w:lineRule="auto"/>
        <w:tabs>
          <w:tab w:leader="none" w:pos="45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a closing price of $33.28 per share on December 31, 2002, as reported by the New York Stock Exchange.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following table provides information, with respect to our named executive officers, concerning the grants of performance share awards under the Long-Term Stock Incentive Plan.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Long-Term Incentive Plan — Performance Share Awards in Last Fiscal Year</w:t>
      </w:r>
    </w:p>
    <w:p>
      <w:pPr>
        <w:spacing w:after="0" w:line="200" w:lineRule="exact"/>
        <w:rPr>
          <w:sz w:val="20"/>
          <w:szCs w:val="20"/>
          <w:color w:val="auto"/>
        </w:rPr>
      </w:pP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60" w:type="dxa"/>
            <w:vAlign w:val="bottom"/>
            <w:gridSpan w:val="3"/>
          </w:tcPr>
          <w:p>
            <w:pPr>
              <w:jc w:val="center"/>
              <w:ind w:left="681"/>
              <w:spacing w:after="0" w:line="149" w:lineRule="exact"/>
              <w:rPr>
                <w:sz w:val="20"/>
                <w:szCs w:val="20"/>
                <w:color w:val="auto"/>
              </w:rPr>
            </w:pPr>
            <w:r>
              <w:rPr>
                <w:rFonts w:ascii="Arial" w:cs="Arial" w:eastAsia="Arial" w:hAnsi="Arial"/>
                <w:sz w:val="14"/>
                <w:szCs w:val="14"/>
                <w:b w:val="1"/>
                <w:bCs w:val="1"/>
                <w:color w:val="auto"/>
                <w:w w:val="86"/>
              </w:rPr>
              <w:t>under Non-stock</w:t>
            </w: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Performance or</w:t>
            </w:r>
          </w:p>
        </w:tc>
        <w:tc>
          <w:tcPr>
            <w:tcW w:w="1960" w:type="dxa"/>
            <w:vAlign w:val="bottom"/>
            <w:gridSpan w:val="3"/>
          </w:tcPr>
          <w:p>
            <w:pPr>
              <w:jc w:val="center"/>
              <w:ind w:left="701"/>
              <w:spacing w:after="0"/>
              <w:rPr>
                <w:sz w:val="20"/>
                <w:szCs w:val="20"/>
                <w:color w:val="auto"/>
              </w:rPr>
            </w:pPr>
            <w:r>
              <w:rPr>
                <w:rFonts w:ascii="Arial" w:cs="Arial" w:eastAsia="Arial" w:hAnsi="Arial"/>
                <w:sz w:val="14"/>
                <w:szCs w:val="14"/>
                <w:b w:val="1"/>
                <w:bCs w:val="1"/>
                <w:color w:val="auto"/>
                <w:w w:val="85"/>
              </w:rPr>
              <w:t>Price-based Plans(1)</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800" w:type="dxa"/>
            <w:vAlign w:val="bottom"/>
          </w:tcPr>
          <w:p>
            <w:pPr>
              <w:spacing w:after="0"/>
              <w:rPr>
                <w:sz w:val="8"/>
                <w:szCs w:val="8"/>
                <w:color w:val="auto"/>
              </w:rPr>
            </w:pPr>
          </w:p>
        </w:tc>
        <w:tc>
          <w:tcPr>
            <w:tcW w:w="200" w:type="dxa"/>
            <w:vAlign w:val="bottom"/>
            <w:vMerge w:val="restart"/>
          </w:tcPr>
          <w:p>
            <w:pPr>
              <w:spacing w:after="0"/>
              <w:rPr>
                <w:sz w:val="8"/>
                <w:szCs w:val="8"/>
                <w:color w:val="auto"/>
              </w:rPr>
            </w:pPr>
          </w:p>
        </w:tc>
        <w:tc>
          <w:tcPr>
            <w:tcW w:w="270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1"/>
              </w:rPr>
              <w:t>Other Period until</w:t>
            </w:r>
          </w:p>
        </w:tc>
        <w:tc>
          <w:tcPr>
            <w:tcW w:w="1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8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270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gridSpan w:val="2"/>
          </w:tcPr>
          <w:p>
            <w:pPr>
              <w:ind w:left="580"/>
              <w:spacing w:after="0"/>
              <w:rPr>
                <w:sz w:val="20"/>
                <w:szCs w:val="20"/>
                <w:color w:val="auto"/>
              </w:rPr>
            </w:pPr>
            <w:r>
              <w:rPr>
                <w:rFonts w:ascii="Arial" w:cs="Arial" w:eastAsia="Arial" w:hAnsi="Arial"/>
                <w:sz w:val="14"/>
                <w:szCs w:val="14"/>
                <w:b w:val="1"/>
                <w:bCs w:val="1"/>
                <w:color w:val="auto"/>
              </w:rPr>
              <w:t>Maturation or</w:t>
            </w:r>
          </w:p>
        </w:tc>
        <w:tc>
          <w:tcPr>
            <w:tcW w:w="1960" w:type="dxa"/>
            <w:vAlign w:val="bottom"/>
            <w:gridSpan w:val="3"/>
          </w:tcPr>
          <w:p>
            <w:pPr>
              <w:ind w:left="260"/>
              <w:spacing w:after="0"/>
              <w:rPr>
                <w:sz w:val="20"/>
                <w:szCs w:val="20"/>
                <w:color w:val="auto"/>
              </w:rPr>
            </w:pPr>
            <w:r>
              <w:rPr>
                <w:rFonts w:ascii="Arial" w:cs="Arial" w:eastAsia="Arial" w:hAnsi="Arial"/>
                <w:sz w:val="14"/>
                <w:szCs w:val="14"/>
                <w:b w:val="1"/>
                <w:bCs w:val="1"/>
                <w:color w:val="auto"/>
              </w:rPr>
              <w:t>Threshold</w:t>
            </w:r>
          </w:p>
        </w:tc>
        <w:tc>
          <w:tcPr>
            <w:tcW w:w="780" w:type="dxa"/>
            <w:vAlign w:val="bottom"/>
          </w:tcPr>
          <w:p>
            <w:pPr>
              <w:jc w:val="right"/>
              <w:ind w:right="277"/>
              <w:spacing w:after="0"/>
              <w:rPr>
                <w:sz w:val="20"/>
                <w:szCs w:val="20"/>
                <w:color w:val="auto"/>
              </w:rPr>
            </w:pPr>
            <w:r>
              <w:rPr>
                <w:rFonts w:ascii="Arial" w:cs="Arial" w:eastAsia="Arial" w:hAnsi="Arial"/>
                <w:sz w:val="14"/>
                <w:szCs w:val="14"/>
                <w:b w:val="1"/>
                <w:bCs w:val="1"/>
                <w:color w:val="auto"/>
                <w:w w:val="93"/>
              </w:rPr>
              <w:t>Target</w:t>
            </w:r>
          </w:p>
        </w:tc>
        <w:tc>
          <w:tcPr>
            <w:tcW w:w="540" w:type="dxa"/>
            <w:vAlign w:val="bottom"/>
          </w:tcPr>
          <w:p>
            <w:pPr>
              <w:spacing w:after="0"/>
              <w:rPr>
                <w:sz w:val="14"/>
                <w:szCs w:val="14"/>
                <w:color w:val="auto"/>
              </w:rPr>
            </w:pPr>
          </w:p>
        </w:tc>
        <w:tc>
          <w:tcPr>
            <w:tcW w:w="1020" w:type="dxa"/>
            <w:vAlign w:val="bottom"/>
          </w:tcPr>
          <w:p>
            <w:pPr>
              <w:jc w:val="right"/>
              <w:ind w:right="142"/>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74"/>
        </w:trPr>
        <w:tc>
          <w:tcPr>
            <w:tcW w:w="2800" w:type="dxa"/>
            <w:vAlign w:val="bottom"/>
          </w:tcPr>
          <w:p>
            <w:pPr>
              <w:ind w:left="124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27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Payout</w:t>
            </w:r>
          </w:p>
        </w:tc>
        <w:tc>
          <w:tcPr>
            <w:tcW w:w="1100" w:type="dxa"/>
            <w:vAlign w:val="bottom"/>
          </w:tcPr>
          <w:p>
            <w:pPr>
              <w:jc w:val="right"/>
              <w:ind w:right="401"/>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397"/>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2"/>
          </w:tcPr>
          <w:p>
            <w:pPr>
              <w:jc w:val="right"/>
              <w:ind w:right="36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5"/>
        </w:trPr>
        <w:tc>
          <w:tcPr>
            <w:tcW w:w="2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800" w:type="dxa"/>
            <w:vAlign w:val="bottom"/>
          </w:tcPr>
          <w:p>
            <w:pPr>
              <w:spacing w:after="0"/>
              <w:rPr>
                <w:sz w:val="20"/>
                <w:szCs w:val="20"/>
                <w:color w:val="auto"/>
              </w:rPr>
            </w:pPr>
            <w:r>
              <w:rPr>
                <w:rFonts w:ascii="Arial" w:cs="Arial" w:eastAsia="Arial" w:hAnsi="Arial"/>
                <w:sz w:val="18"/>
                <w:szCs w:val="18"/>
                <w:color w:val="auto"/>
              </w:rPr>
              <w:t>Kenneth L. Way</w:t>
            </w:r>
          </w:p>
        </w:tc>
        <w:tc>
          <w:tcPr>
            <w:tcW w:w="200" w:type="dxa"/>
            <w:vAlign w:val="bottom"/>
          </w:tcPr>
          <w:p>
            <w:pPr>
              <w:spacing w:after="0"/>
              <w:rPr>
                <w:sz w:val="24"/>
                <w:szCs w:val="24"/>
                <w:color w:val="auto"/>
              </w:rPr>
            </w:pPr>
          </w:p>
        </w:tc>
        <w:tc>
          <w:tcPr>
            <w:tcW w:w="2700" w:type="dxa"/>
            <w:vAlign w:val="bottom"/>
            <w:gridSpan w:val="2"/>
          </w:tcPr>
          <w:p>
            <w:pPr>
              <w:ind w:left="580"/>
              <w:spacing w:after="0"/>
              <w:rPr>
                <w:sz w:val="20"/>
                <w:szCs w:val="20"/>
                <w:color w:val="auto"/>
              </w:rPr>
            </w:pPr>
            <w:r>
              <w:rPr>
                <w:rFonts w:ascii="Arial" w:cs="Arial" w:eastAsia="Arial" w:hAnsi="Arial"/>
                <w:sz w:val="18"/>
                <w:szCs w:val="18"/>
                <w:color w:val="auto"/>
              </w:rPr>
              <w:t>1/1/2002—12/31/04</w:t>
            </w:r>
          </w:p>
        </w:tc>
        <w:tc>
          <w:tcPr>
            <w:tcW w:w="1960" w:type="dxa"/>
            <w:vAlign w:val="bottom"/>
            <w:gridSpan w:val="3"/>
          </w:tcPr>
          <w:p>
            <w:pPr>
              <w:ind w:left="800"/>
              <w:spacing w:after="0"/>
              <w:rPr>
                <w:sz w:val="20"/>
                <w:szCs w:val="20"/>
                <w:color w:val="auto"/>
              </w:rPr>
            </w:pPr>
            <w:r>
              <w:rPr>
                <w:rFonts w:ascii="Arial" w:cs="Arial" w:eastAsia="Arial" w:hAnsi="Arial"/>
                <w:sz w:val="18"/>
                <w:szCs w:val="18"/>
                <w:color w:val="auto"/>
              </w:rPr>
              <w:t>N/A</w:t>
            </w:r>
          </w:p>
        </w:tc>
        <w:tc>
          <w:tcPr>
            <w:tcW w:w="780" w:type="dxa"/>
            <w:vAlign w:val="bottom"/>
          </w:tcPr>
          <w:p>
            <w:pPr>
              <w:jc w:val="right"/>
              <w:spacing w:after="0"/>
              <w:rPr>
                <w:sz w:val="20"/>
                <w:szCs w:val="20"/>
                <w:color w:val="auto"/>
              </w:rPr>
            </w:pPr>
            <w:r>
              <w:rPr>
                <w:rFonts w:ascii="Arial" w:cs="Arial" w:eastAsia="Arial" w:hAnsi="Arial"/>
                <w:sz w:val="18"/>
                <w:szCs w:val="18"/>
                <w:color w:val="auto"/>
              </w:rPr>
              <w:t>N/A</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Robert E. Rossiter</w:t>
            </w:r>
          </w:p>
        </w:tc>
        <w:tc>
          <w:tcPr>
            <w:tcW w:w="200" w:type="dxa"/>
            <w:vAlign w:val="bottom"/>
          </w:tcPr>
          <w:p>
            <w:pPr>
              <w:spacing w:after="0"/>
              <w:rPr>
                <w:sz w:val="18"/>
                <w:szCs w:val="18"/>
                <w:color w:val="auto"/>
              </w:rPr>
            </w:pPr>
          </w:p>
        </w:tc>
        <w:tc>
          <w:tcPr>
            <w:tcW w:w="2700" w:type="dxa"/>
            <w:vAlign w:val="bottom"/>
            <w:gridSpan w:val="2"/>
          </w:tcPr>
          <w:p>
            <w:pPr>
              <w:ind w:left="580"/>
              <w:spacing w:after="0"/>
              <w:rPr>
                <w:sz w:val="20"/>
                <w:szCs w:val="20"/>
                <w:color w:val="auto"/>
              </w:rPr>
            </w:pPr>
            <w:r>
              <w:rPr>
                <w:rFonts w:ascii="Arial" w:cs="Arial" w:eastAsia="Arial" w:hAnsi="Arial"/>
                <w:sz w:val="18"/>
                <w:szCs w:val="18"/>
                <w:color w:val="auto"/>
              </w:rPr>
              <w:t>1/1/2002—12/31/04</w:t>
            </w:r>
          </w:p>
        </w:tc>
        <w:tc>
          <w:tcPr>
            <w:tcW w:w="1100" w:type="dxa"/>
            <w:vAlign w:val="bottom"/>
          </w:tcPr>
          <w:p>
            <w:pPr>
              <w:jc w:val="right"/>
              <w:spacing w:after="0"/>
              <w:rPr>
                <w:sz w:val="20"/>
                <w:szCs w:val="20"/>
                <w:color w:val="auto"/>
              </w:rPr>
            </w:pPr>
            <w:r>
              <w:rPr>
                <w:rFonts w:ascii="Arial" w:cs="Arial" w:eastAsia="Arial" w:hAnsi="Arial"/>
                <w:sz w:val="18"/>
                <w:szCs w:val="18"/>
                <w:color w:val="auto"/>
              </w:rPr>
              <w:t>1663/1663</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6"/>
              </w:rPr>
              <w:t>3326/3326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4989/4989</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James H. Vandenberghe</w:t>
            </w:r>
          </w:p>
        </w:tc>
        <w:tc>
          <w:tcPr>
            <w:tcW w:w="200" w:type="dxa"/>
            <w:vAlign w:val="bottom"/>
          </w:tcPr>
          <w:p>
            <w:pPr>
              <w:spacing w:after="0"/>
              <w:rPr>
                <w:sz w:val="18"/>
                <w:szCs w:val="18"/>
                <w:color w:val="auto"/>
              </w:rPr>
            </w:pPr>
          </w:p>
        </w:tc>
        <w:tc>
          <w:tcPr>
            <w:tcW w:w="2700" w:type="dxa"/>
            <w:vAlign w:val="bottom"/>
            <w:gridSpan w:val="2"/>
          </w:tcPr>
          <w:p>
            <w:pPr>
              <w:ind w:left="580"/>
              <w:spacing w:after="0"/>
              <w:rPr>
                <w:sz w:val="20"/>
                <w:szCs w:val="20"/>
                <w:color w:val="auto"/>
              </w:rPr>
            </w:pPr>
            <w:r>
              <w:rPr>
                <w:rFonts w:ascii="Arial" w:cs="Arial" w:eastAsia="Arial" w:hAnsi="Arial"/>
                <w:sz w:val="18"/>
                <w:szCs w:val="18"/>
                <w:color w:val="auto"/>
              </w:rPr>
              <w:t>1/1/2002—12/31/04</w:t>
            </w:r>
          </w:p>
        </w:tc>
        <w:tc>
          <w:tcPr>
            <w:tcW w:w="1100" w:type="dxa"/>
            <w:vAlign w:val="bottom"/>
          </w:tcPr>
          <w:p>
            <w:pPr>
              <w:jc w:val="right"/>
              <w:spacing w:after="0"/>
              <w:rPr>
                <w:sz w:val="20"/>
                <w:szCs w:val="20"/>
                <w:color w:val="auto"/>
              </w:rPr>
            </w:pPr>
            <w:r>
              <w:rPr>
                <w:rFonts w:ascii="Arial" w:cs="Arial" w:eastAsia="Arial" w:hAnsi="Arial"/>
                <w:sz w:val="18"/>
                <w:szCs w:val="18"/>
                <w:color w:val="auto"/>
              </w:rPr>
              <w:t>1372/1372</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6"/>
              </w:rPr>
              <w:t>2744/2744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4116/4116</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Douglas G. DelGrosso</w:t>
            </w:r>
          </w:p>
        </w:tc>
        <w:tc>
          <w:tcPr>
            <w:tcW w:w="200" w:type="dxa"/>
            <w:vAlign w:val="bottom"/>
          </w:tcPr>
          <w:p>
            <w:pPr>
              <w:spacing w:after="0"/>
              <w:rPr>
                <w:sz w:val="18"/>
                <w:szCs w:val="18"/>
                <w:color w:val="auto"/>
              </w:rPr>
            </w:pPr>
          </w:p>
        </w:tc>
        <w:tc>
          <w:tcPr>
            <w:tcW w:w="2700" w:type="dxa"/>
            <w:vAlign w:val="bottom"/>
            <w:gridSpan w:val="2"/>
          </w:tcPr>
          <w:p>
            <w:pPr>
              <w:ind w:left="580"/>
              <w:spacing w:after="0"/>
              <w:rPr>
                <w:sz w:val="20"/>
                <w:szCs w:val="20"/>
                <w:color w:val="auto"/>
              </w:rPr>
            </w:pPr>
            <w:r>
              <w:rPr>
                <w:rFonts w:ascii="Arial" w:cs="Arial" w:eastAsia="Arial" w:hAnsi="Arial"/>
                <w:sz w:val="18"/>
                <w:szCs w:val="18"/>
                <w:color w:val="auto"/>
              </w:rPr>
              <w:t>1/1/2002—12/31/04</w:t>
            </w:r>
          </w:p>
        </w:tc>
        <w:tc>
          <w:tcPr>
            <w:tcW w:w="1100" w:type="dxa"/>
            <w:vAlign w:val="bottom"/>
          </w:tcPr>
          <w:p>
            <w:pPr>
              <w:jc w:val="right"/>
              <w:spacing w:after="0"/>
              <w:rPr>
                <w:sz w:val="20"/>
                <w:szCs w:val="20"/>
                <w:color w:val="auto"/>
              </w:rPr>
            </w:pPr>
            <w:r>
              <w:rPr>
                <w:rFonts w:ascii="Arial" w:cs="Arial" w:eastAsia="Arial" w:hAnsi="Arial"/>
                <w:sz w:val="18"/>
                <w:szCs w:val="18"/>
                <w:color w:val="auto"/>
              </w:rPr>
              <w:t>956/956</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6"/>
              </w:rPr>
              <w:t>1912/1912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2868/2868</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Donald J. Stebbins</w:t>
            </w:r>
          </w:p>
        </w:tc>
        <w:tc>
          <w:tcPr>
            <w:tcW w:w="200" w:type="dxa"/>
            <w:vAlign w:val="bottom"/>
          </w:tcPr>
          <w:p>
            <w:pPr>
              <w:spacing w:after="0"/>
              <w:rPr>
                <w:sz w:val="18"/>
                <w:szCs w:val="18"/>
                <w:color w:val="auto"/>
              </w:rPr>
            </w:pPr>
          </w:p>
        </w:tc>
        <w:tc>
          <w:tcPr>
            <w:tcW w:w="2700" w:type="dxa"/>
            <w:vAlign w:val="bottom"/>
            <w:gridSpan w:val="2"/>
          </w:tcPr>
          <w:p>
            <w:pPr>
              <w:ind w:left="580"/>
              <w:spacing w:after="0"/>
              <w:rPr>
                <w:sz w:val="20"/>
                <w:szCs w:val="20"/>
                <w:color w:val="auto"/>
              </w:rPr>
            </w:pPr>
            <w:r>
              <w:rPr>
                <w:rFonts w:ascii="Arial" w:cs="Arial" w:eastAsia="Arial" w:hAnsi="Arial"/>
                <w:sz w:val="18"/>
                <w:szCs w:val="18"/>
                <w:color w:val="auto"/>
              </w:rPr>
              <w:t>1/1/2002—12/31/04</w:t>
            </w:r>
          </w:p>
        </w:tc>
        <w:tc>
          <w:tcPr>
            <w:tcW w:w="1100" w:type="dxa"/>
            <w:vAlign w:val="bottom"/>
          </w:tcPr>
          <w:p>
            <w:pPr>
              <w:jc w:val="right"/>
              <w:spacing w:after="0"/>
              <w:rPr>
                <w:sz w:val="20"/>
                <w:szCs w:val="20"/>
                <w:color w:val="auto"/>
              </w:rPr>
            </w:pPr>
            <w:r>
              <w:rPr>
                <w:rFonts w:ascii="Arial" w:cs="Arial" w:eastAsia="Arial" w:hAnsi="Arial"/>
                <w:sz w:val="18"/>
                <w:szCs w:val="18"/>
                <w:color w:val="auto"/>
              </w:rPr>
              <w:t>956/956</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6"/>
              </w:rPr>
              <w:t>1912/1912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2868/2868</w:t>
            </w:r>
          </w:p>
        </w:tc>
        <w:tc>
          <w:tcPr>
            <w:tcW w:w="0" w:type="dxa"/>
            <w:vAlign w:val="bottom"/>
          </w:tcPr>
          <w:p>
            <w:pPr>
              <w:spacing w:after="0"/>
              <w:rPr>
                <w:sz w:val="1"/>
                <w:szCs w:val="1"/>
                <w:color w:val="auto"/>
              </w:rPr>
            </w:pPr>
          </w:p>
        </w:tc>
      </w:tr>
      <w:tr>
        <w:trPr>
          <w:trHeight w:val="222"/>
        </w:trPr>
        <w:tc>
          <w:tcPr>
            <w:tcW w:w="2800" w:type="dxa"/>
            <w:vAlign w:val="bottom"/>
          </w:tcPr>
          <w:p>
            <w:pPr>
              <w:spacing w:after="0"/>
              <w:rPr>
                <w:sz w:val="20"/>
                <w:szCs w:val="20"/>
                <w:color w:val="auto"/>
              </w:rPr>
            </w:pPr>
            <w:r>
              <w:rPr>
                <w:rFonts w:ascii="Arial" w:cs="Arial" w:eastAsia="Arial" w:hAnsi="Arial"/>
                <w:sz w:val="18"/>
                <w:szCs w:val="18"/>
                <w:color w:val="auto"/>
              </w:rPr>
              <w:t>David C. Wajsgras</w:t>
            </w:r>
          </w:p>
        </w:tc>
        <w:tc>
          <w:tcPr>
            <w:tcW w:w="200" w:type="dxa"/>
            <w:vAlign w:val="bottom"/>
          </w:tcPr>
          <w:p>
            <w:pPr>
              <w:spacing w:after="0"/>
              <w:rPr>
                <w:sz w:val="19"/>
                <w:szCs w:val="19"/>
                <w:color w:val="auto"/>
              </w:rPr>
            </w:pPr>
          </w:p>
        </w:tc>
        <w:tc>
          <w:tcPr>
            <w:tcW w:w="2700" w:type="dxa"/>
            <w:vAlign w:val="bottom"/>
            <w:gridSpan w:val="2"/>
          </w:tcPr>
          <w:p>
            <w:pPr>
              <w:ind w:left="580"/>
              <w:spacing w:after="0"/>
              <w:rPr>
                <w:sz w:val="20"/>
                <w:szCs w:val="20"/>
                <w:color w:val="auto"/>
              </w:rPr>
            </w:pPr>
            <w:r>
              <w:rPr>
                <w:rFonts w:ascii="Arial" w:cs="Arial" w:eastAsia="Arial" w:hAnsi="Arial"/>
                <w:sz w:val="18"/>
                <w:szCs w:val="18"/>
                <w:color w:val="auto"/>
              </w:rPr>
              <w:t>1/1/2002—12/31/04</w:t>
            </w:r>
          </w:p>
        </w:tc>
        <w:tc>
          <w:tcPr>
            <w:tcW w:w="1100" w:type="dxa"/>
            <w:vAlign w:val="bottom"/>
          </w:tcPr>
          <w:p>
            <w:pPr>
              <w:jc w:val="right"/>
              <w:spacing w:after="0"/>
              <w:rPr>
                <w:sz w:val="20"/>
                <w:szCs w:val="20"/>
                <w:color w:val="auto"/>
              </w:rPr>
            </w:pPr>
            <w:r>
              <w:rPr>
                <w:rFonts w:ascii="Arial" w:cs="Arial" w:eastAsia="Arial" w:hAnsi="Arial"/>
                <w:sz w:val="18"/>
                <w:szCs w:val="18"/>
                <w:color w:val="auto"/>
              </w:rPr>
              <w:t>698/698</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6"/>
              </w:rPr>
              <w:t>1396/1396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2094/2094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right="80" w:hanging="452"/>
        <w:spacing w:after="0" w:line="298"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performance share awards under our Long-Term Stock Incentive Plan. See “Compensation Committee Report — Long-Term Incentives — Performance Share Awards” beginning on page 17. The first number represents the number of shares under the performance share awards that a named executive officer may receive based upon the return on invested capital performance criteria and the second number represents the number of shares under the performance share award that a named executive officer may receive based upon the relative return to shareholders performance criteria.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 and Benefits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Qualified Pension Plan</w:t>
      </w:r>
    </w:p>
    <w:p>
      <w:pPr>
        <w:spacing w:after="0" w:line="25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named executive officers (as well as other employees) participate in the Lear Corporation Pension Plan. The pension plan is intended to be a qualified pension plan under the Internal Revenue Code and its benefits are integrated with Social Security benefits. In general, an eligible employee becomes a participant on the July 1st or January 1st after completing one year of service (as defined within the plan). Benefits are funded by employer contributions that are determined under accepted actuarial principles and the Internal Revenue Code.</w:t>
      </w:r>
    </w:p>
    <w:p>
      <w:pPr>
        <w:spacing w:after="0" w:line="224" w:lineRule="exact"/>
        <w:rPr>
          <w:sz w:val="20"/>
          <w:szCs w:val="20"/>
          <w:color w:val="auto"/>
        </w:rPr>
      </w:pPr>
    </w:p>
    <w:p>
      <w:pPr>
        <w:ind w:firstLine="324"/>
        <w:spacing w:after="0" w:line="303" w:lineRule="auto"/>
        <w:rPr>
          <w:sz w:val="20"/>
          <w:szCs w:val="20"/>
          <w:color w:val="auto"/>
        </w:rPr>
      </w:pPr>
      <w:r>
        <w:rPr>
          <w:rFonts w:ascii="Arial" w:cs="Arial" w:eastAsia="Arial" w:hAnsi="Arial"/>
          <w:sz w:val="15"/>
          <w:szCs w:val="15"/>
          <w:color w:val="auto"/>
        </w:rPr>
        <w:t>The pension plan contains multiple benefit formulas but the Lear Corporation benefit formula is the principal formula and all named executive officers are covered by it. Under the Lear Corporation formula, pension benefits are based on a participant’s “final average earnings,” which is the average of the participant’s compensation for the five consecutive calendar years in the last 15 years of employment in which the participant had his highest earnings. Compensation includes</w:t>
      </w:r>
    </w:p>
    <w:p>
      <w:pPr>
        <w:spacing w:after="0" w:line="1" w:lineRule="exact"/>
        <w:rPr>
          <w:sz w:val="20"/>
          <w:szCs w:val="20"/>
          <w:color w:val="auto"/>
        </w:rPr>
      </w:pPr>
    </w:p>
    <w:p>
      <w:pPr>
        <w:ind w:right="380" w:firstLine="8"/>
        <w:spacing w:after="0" w:line="255" w:lineRule="auto"/>
        <w:tabs>
          <w:tab w:leader="none" w:pos="2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cash compensation reported for federal income tax purposes other than long-term incentive bonuses and (b) any elective contributions that are not includable in gross income under Internal Revenue Code Section 125 or 401(k). A participant’s annual retirement benefit, payable as a life annuity at age 65, equals the greater of:</w:t>
      </w:r>
    </w:p>
    <w:p>
      <w:pPr>
        <w:spacing w:after="0" w:line="198" w:lineRule="exact"/>
        <w:rPr>
          <w:rFonts w:ascii="Arial" w:cs="Arial" w:eastAsia="Arial" w:hAnsi="Arial"/>
          <w:sz w:val="18"/>
          <w:szCs w:val="18"/>
          <w:color w:val="auto"/>
        </w:rPr>
      </w:pPr>
    </w:p>
    <w:p>
      <w:pPr>
        <w:ind w:left="460" w:right="120" w:hanging="101"/>
        <w:spacing w:after="0" w:line="306" w:lineRule="auto"/>
        <w:tabs>
          <w:tab w:leader="none" w:pos="4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1.10% times final average earnings times years of credited service before 1997 (to a maximum of 30 years) plus 1.00% times final average earnings times years of credited service after 1996 (with a maximum of 30 years reduced by years of credited service before 1997) plus 0.65% times final average earnings in excess of covered compensation (as defined in I.R.S. Notice 89-70) times years of credited service (with a maximum of 30 years); and</w:t>
      </w:r>
    </w:p>
    <w:p>
      <w:pPr>
        <w:spacing w:after="0" w:line="187" w:lineRule="exact"/>
        <w:rPr>
          <w:rFonts w:ascii="Arial" w:cs="Arial" w:eastAsia="Arial" w:hAnsi="Arial"/>
          <w:sz w:val="16"/>
          <w:szCs w:val="16"/>
          <w:color w:val="auto"/>
        </w:rPr>
      </w:pPr>
    </w:p>
    <w:p>
      <w:pPr>
        <w:ind w:left="460" w:hanging="101"/>
        <w:spacing w:after="0"/>
        <w:tabs>
          <w:tab w:leader="none" w:pos="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$360.00 times years of credited service.</w:t>
      </w:r>
    </w:p>
    <w:p>
      <w:pPr>
        <w:spacing w:after="0" w:line="279"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Any employee who on January 1, 1997 was an active employee and age 50 or older earned benefits under the 1.10% formula for years of credited service through 2001.</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benefits under the pension plan become vested once the participant accrues five years of vesting service under the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Pension Equalization Plan</w:t>
      </w:r>
    </w:p>
    <w:p>
      <w:pPr>
        <w:spacing w:after="0" w:line="252" w:lineRule="exact"/>
        <w:rPr>
          <w:sz w:val="20"/>
          <w:szCs w:val="20"/>
          <w:color w:val="auto"/>
        </w:rPr>
      </w:pPr>
    </w:p>
    <w:p>
      <w:pPr>
        <w:ind w:firstLine="324"/>
        <w:spacing w:after="0" w:line="301" w:lineRule="auto"/>
        <w:rPr>
          <w:sz w:val="20"/>
          <w:szCs w:val="20"/>
          <w:color w:val="auto"/>
        </w:rPr>
      </w:pPr>
      <w:r>
        <w:rPr>
          <w:rFonts w:ascii="Arial" w:cs="Arial" w:eastAsia="Arial" w:hAnsi="Arial"/>
          <w:sz w:val="15"/>
          <w:szCs w:val="15"/>
          <w:color w:val="auto"/>
        </w:rPr>
        <w:t>In addition to the pension plan, we have established the Pension Equalization Plan. Lear Corporation’s pension plan is subject to rules in the Internal Revenue Code that restrict the level of retirement income that can be provided to, and the amount of compensation that can be considered for, highly paid executives under the pension plan. The Pension Equalization Plan is intended to supplement the benefits under the pension plan for certain highly paid executives whose pension plan benefits are limited by those Internal Revenue Code limits. A participant’s Pension Equalization Plan benefit equals the difference between the executive’s actual vested accrued pension plan benefit and the pension plan benefit the executive would have accrued under the Lear Corporation formula if the Internal Revenue Code limits on considered compensation and total benefits were disregarded. Highly compensated executives and other employees whose compensation exceeds the Internal Revenue Code limits for at least three years are eligible to participate in the Pension Equalization Plan. Each of Mr. Way, Mr. Rossiter,</w:t>
      </w:r>
    </w:p>
    <w:p>
      <w:pPr>
        <w:spacing w:after="0" w:line="5"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Mr. Vandenberghe, Mr. DelGrosso, Mr. Stebbins and Mr. Wajsgras participates in the Pension Equalization Plan. The benefits under the Pension Equalization Plan become vested once the participant has either (i) attained age 55 and has 10 years of service with us or (ii) has attained 20 years of service with us.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Executive Supplemental Savings Plan</w:t>
      </w:r>
    </w:p>
    <w:p>
      <w:pPr>
        <w:spacing w:after="0" w:line="252"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addition to the pension plan and the Pension Equalization Plan, we have established the Lear Corporation Executive Supplemental Savings Plan. The purpose of the plan is to provide participants and their beneficiaries with retirement benefits that could not be earned under the Retirement Savings Plan due to limits imposed by the Internal Revenue Code on the amount of pre-tax contributions a participant can make to the Retirement Savings Plan and/or the amount of compensation that can be recognized under the Retirement Savings Plan. In addition, the Executive Supplemental Savings Plan also provides retirement benefits that would have been earned under the Retirement Savings Plan, the Pension Plan and/or the Pension Equalization Plan if the participant had not elected to defer compensation under the plan or the Management Stock Purchase Plan (as described below beginning on page 18). The benefits under the Executive Supplemental Savings Plan become vested once the participant accrues three years of vesting service under the plan. Certain senior officers are eligible to participate in the Executive Supplemental Savings Plan. Each of Mr. Way, Mr. Rossiter, Mr. Vandenberghe, Mr. DelGrosso, Mr. Stebbins and Mr. Wajsgras participates in the Executive Supplemental Savings Plan.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following table indicates estimated total annual benefits payable as a single life annuity beginning at age 65 for various compensation levels and years of service under the pension plan, the pension equalization plan and the supplemental savings plan. Generally, annual compensation used for pension formula purposes includes salary and annual bonus paid in a particular year.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Pension Table</w:t>
      </w:r>
    </w:p>
    <w:p>
      <w:pPr>
        <w:spacing w:after="0" w:line="200" w:lineRule="exact"/>
        <w:rPr>
          <w:sz w:val="20"/>
          <w:szCs w:val="20"/>
          <w:color w:val="auto"/>
        </w:rPr>
      </w:pP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w w:val="86"/>
              </w:rPr>
              <w:t>Years of Service</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Covered</w:t>
            </w:r>
          </w:p>
        </w:tc>
        <w:tc>
          <w:tcPr>
            <w:tcW w:w="4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300" w:type="dxa"/>
            <w:vAlign w:val="bottom"/>
          </w:tcPr>
          <w:p>
            <w:pPr>
              <w:jc w:val="right"/>
              <w:ind w:right="913"/>
              <w:spacing w:after="0"/>
              <w:rPr>
                <w:sz w:val="20"/>
                <w:szCs w:val="20"/>
                <w:color w:val="auto"/>
              </w:rPr>
            </w:pPr>
            <w:r>
              <w:rPr>
                <w:rFonts w:ascii="Arial" w:cs="Arial" w:eastAsia="Arial" w:hAnsi="Arial"/>
                <w:sz w:val="14"/>
                <w:szCs w:val="14"/>
                <w:b w:val="1"/>
                <w:bCs w:val="1"/>
                <w:color w:val="auto"/>
                <w:w w:val="86"/>
              </w:rPr>
              <w:t>Annual Compensation</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95"/>
              <w:spacing w:after="0"/>
              <w:rPr>
                <w:sz w:val="20"/>
                <w:szCs w:val="20"/>
                <w:color w:val="auto"/>
              </w:rPr>
            </w:pPr>
            <w:r>
              <w:rPr>
                <w:rFonts w:ascii="Arial" w:cs="Arial" w:eastAsia="Arial" w:hAnsi="Arial"/>
                <w:sz w:val="14"/>
                <w:szCs w:val="14"/>
                <w:b w:val="1"/>
                <w:bCs w:val="1"/>
                <w:color w:val="auto"/>
                <w:w w:val="91"/>
              </w:rPr>
              <w:t>Compensation*</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10</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15</w:t>
            </w:r>
          </w:p>
        </w:tc>
        <w:tc>
          <w:tcPr>
            <w:tcW w:w="116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333"/>
              <w:spacing w:after="0"/>
              <w:rPr>
                <w:sz w:val="20"/>
                <w:szCs w:val="20"/>
                <w:color w:val="auto"/>
              </w:rPr>
            </w:pPr>
            <w:r>
              <w:rPr>
                <w:rFonts w:ascii="Arial" w:cs="Arial" w:eastAsia="Arial" w:hAnsi="Arial"/>
                <w:sz w:val="14"/>
                <w:szCs w:val="14"/>
                <w:b w:val="1"/>
                <w:bCs w:val="1"/>
                <w:color w:val="auto"/>
              </w:rPr>
              <w:t>25</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333"/>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95"/>
        </w:trPr>
        <w:tc>
          <w:tcPr>
            <w:tcW w:w="23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300" w:type="dxa"/>
            <w:vAlign w:val="bottom"/>
          </w:tcPr>
          <w:p>
            <w:pPr>
              <w:jc w:val="right"/>
              <w:ind w:right="1513"/>
              <w:spacing w:after="0"/>
              <w:rPr>
                <w:sz w:val="20"/>
                <w:szCs w:val="20"/>
                <w:color w:val="auto"/>
              </w:rPr>
            </w:pPr>
            <w:r>
              <w:rPr>
                <w:rFonts w:ascii="Arial" w:cs="Arial" w:eastAsia="Arial" w:hAnsi="Arial"/>
                <w:sz w:val="18"/>
                <w:szCs w:val="18"/>
                <w:color w:val="auto"/>
                <w:w w:val="84"/>
              </w:rPr>
              <w:t>$ 500,000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46,236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83,495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  125,742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167,989</w:t>
            </w:r>
          </w:p>
        </w:tc>
        <w:tc>
          <w:tcPr>
            <w:tcW w:w="340" w:type="dxa"/>
            <w:vAlign w:val="bottom"/>
          </w:tcPr>
          <w:p>
            <w:pPr>
              <w:spacing w:after="0"/>
              <w:rPr>
                <w:sz w:val="24"/>
                <w:szCs w:val="24"/>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210,237</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252,484</w:t>
            </w:r>
          </w:p>
        </w:tc>
        <w:tc>
          <w:tcPr>
            <w:tcW w:w="0" w:type="dxa"/>
            <w:vAlign w:val="bottom"/>
          </w:tcPr>
          <w:p>
            <w:pPr>
              <w:spacing w:after="0"/>
              <w:rPr>
                <w:sz w:val="1"/>
                <w:szCs w:val="1"/>
                <w:color w:val="auto"/>
              </w:rPr>
            </w:pPr>
          </w:p>
        </w:tc>
      </w:tr>
      <w:tr>
        <w:trPr>
          <w:trHeight w:val="216"/>
        </w:trPr>
        <w:tc>
          <w:tcPr>
            <w:tcW w:w="2300" w:type="dxa"/>
            <w:vAlign w:val="bottom"/>
          </w:tcPr>
          <w:p>
            <w:pPr>
              <w:jc w:val="right"/>
              <w:ind w:right="1513"/>
              <w:spacing w:after="0"/>
              <w:rPr>
                <w:sz w:val="20"/>
                <w:szCs w:val="20"/>
                <w:color w:val="auto"/>
              </w:rPr>
            </w:pPr>
            <w:r>
              <w:rPr>
                <w:rFonts w:ascii="Arial" w:cs="Arial" w:eastAsia="Arial" w:hAnsi="Arial"/>
                <w:sz w:val="18"/>
                <w:szCs w:val="18"/>
                <w:color w:val="auto"/>
              </w:rPr>
              <w:t>600,000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100,795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151,792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202,789</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253,787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304,784</w:t>
            </w:r>
          </w:p>
        </w:tc>
        <w:tc>
          <w:tcPr>
            <w:tcW w:w="0" w:type="dxa"/>
            <w:vAlign w:val="bottom"/>
          </w:tcPr>
          <w:p>
            <w:pPr>
              <w:spacing w:after="0"/>
              <w:rPr>
                <w:sz w:val="1"/>
                <w:szCs w:val="1"/>
                <w:color w:val="auto"/>
              </w:rPr>
            </w:pPr>
          </w:p>
        </w:tc>
      </w:tr>
      <w:tr>
        <w:trPr>
          <w:trHeight w:val="216"/>
        </w:trPr>
        <w:tc>
          <w:tcPr>
            <w:tcW w:w="2300" w:type="dxa"/>
            <w:vAlign w:val="bottom"/>
          </w:tcPr>
          <w:p>
            <w:pPr>
              <w:jc w:val="right"/>
              <w:ind w:right="1513"/>
              <w:spacing w:after="0"/>
              <w:rPr>
                <w:sz w:val="20"/>
                <w:szCs w:val="20"/>
                <w:color w:val="auto"/>
              </w:rPr>
            </w:pPr>
            <w:r>
              <w:rPr>
                <w:rFonts w:ascii="Arial" w:cs="Arial" w:eastAsia="Arial" w:hAnsi="Arial"/>
                <w:sz w:val="18"/>
                <w:szCs w:val="18"/>
                <w:color w:val="auto"/>
              </w:rPr>
              <w:t>700,000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118,095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177,842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237,589</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297,337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357,084</w:t>
            </w:r>
          </w:p>
        </w:tc>
        <w:tc>
          <w:tcPr>
            <w:tcW w:w="0" w:type="dxa"/>
            <w:vAlign w:val="bottom"/>
          </w:tcPr>
          <w:p>
            <w:pPr>
              <w:spacing w:after="0"/>
              <w:rPr>
                <w:sz w:val="1"/>
                <w:szCs w:val="1"/>
                <w:color w:val="auto"/>
              </w:rPr>
            </w:pPr>
          </w:p>
        </w:tc>
      </w:tr>
      <w:tr>
        <w:trPr>
          <w:trHeight w:val="216"/>
        </w:trPr>
        <w:tc>
          <w:tcPr>
            <w:tcW w:w="2300" w:type="dxa"/>
            <w:vAlign w:val="bottom"/>
          </w:tcPr>
          <w:p>
            <w:pPr>
              <w:jc w:val="right"/>
              <w:ind w:right="1513"/>
              <w:spacing w:after="0"/>
              <w:rPr>
                <w:sz w:val="20"/>
                <w:szCs w:val="20"/>
                <w:color w:val="auto"/>
              </w:rPr>
            </w:pPr>
            <w:r>
              <w:rPr>
                <w:rFonts w:ascii="Arial" w:cs="Arial" w:eastAsia="Arial" w:hAnsi="Arial"/>
                <w:sz w:val="18"/>
                <w:szCs w:val="18"/>
                <w:color w:val="auto"/>
              </w:rPr>
              <w:t>800,000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135,395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203,892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272,389</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340,887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409,384</w:t>
            </w:r>
          </w:p>
        </w:tc>
        <w:tc>
          <w:tcPr>
            <w:tcW w:w="0" w:type="dxa"/>
            <w:vAlign w:val="bottom"/>
          </w:tcPr>
          <w:p>
            <w:pPr>
              <w:spacing w:after="0"/>
              <w:rPr>
                <w:sz w:val="1"/>
                <w:szCs w:val="1"/>
                <w:color w:val="auto"/>
              </w:rPr>
            </w:pPr>
          </w:p>
        </w:tc>
      </w:tr>
      <w:tr>
        <w:trPr>
          <w:trHeight w:val="216"/>
        </w:trPr>
        <w:tc>
          <w:tcPr>
            <w:tcW w:w="2300" w:type="dxa"/>
            <w:vAlign w:val="bottom"/>
          </w:tcPr>
          <w:p>
            <w:pPr>
              <w:jc w:val="right"/>
              <w:ind w:right="1513"/>
              <w:spacing w:after="0"/>
              <w:rPr>
                <w:sz w:val="20"/>
                <w:szCs w:val="20"/>
                <w:color w:val="auto"/>
              </w:rPr>
            </w:pPr>
            <w:r>
              <w:rPr>
                <w:rFonts w:ascii="Arial" w:cs="Arial" w:eastAsia="Arial" w:hAnsi="Arial"/>
                <w:sz w:val="18"/>
                <w:szCs w:val="18"/>
                <w:color w:val="auto"/>
              </w:rPr>
              <w:t>900,000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152,695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229,942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307,189</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384,437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461,684</w:t>
            </w:r>
          </w:p>
        </w:tc>
        <w:tc>
          <w:tcPr>
            <w:tcW w:w="0" w:type="dxa"/>
            <w:vAlign w:val="bottom"/>
          </w:tcPr>
          <w:p>
            <w:pPr>
              <w:spacing w:after="0"/>
              <w:rPr>
                <w:sz w:val="1"/>
                <w:szCs w:val="1"/>
                <w:color w:val="auto"/>
              </w:rPr>
            </w:pPr>
          </w:p>
        </w:tc>
      </w:tr>
      <w:tr>
        <w:trPr>
          <w:trHeight w:val="216"/>
        </w:trPr>
        <w:tc>
          <w:tcPr>
            <w:tcW w:w="2300" w:type="dxa"/>
            <w:vAlign w:val="bottom"/>
          </w:tcPr>
          <w:p>
            <w:pPr>
              <w:jc w:val="right"/>
              <w:ind w:right="1513"/>
              <w:spacing w:after="0"/>
              <w:rPr>
                <w:sz w:val="20"/>
                <w:szCs w:val="20"/>
                <w:color w:val="auto"/>
              </w:rPr>
            </w:pPr>
            <w:r>
              <w:rPr>
                <w:rFonts w:ascii="Arial" w:cs="Arial" w:eastAsia="Arial" w:hAnsi="Arial"/>
                <w:sz w:val="18"/>
                <w:szCs w:val="18"/>
                <w:color w:val="auto"/>
                <w:w w:val="84"/>
              </w:rPr>
              <w:t>1,000,000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169,995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255,992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341,989</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427,987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513,984</w:t>
            </w:r>
          </w:p>
        </w:tc>
        <w:tc>
          <w:tcPr>
            <w:tcW w:w="0" w:type="dxa"/>
            <w:vAlign w:val="bottom"/>
          </w:tcPr>
          <w:p>
            <w:pPr>
              <w:spacing w:after="0"/>
              <w:rPr>
                <w:sz w:val="1"/>
                <w:szCs w:val="1"/>
                <w:color w:val="auto"/>
              </w:rPr>
            </w:pPr>
          </w:p>
        </w:tc>
      </w:tr>
      <w:tr>
        <w:trPr>
          <w:trHeight w:val="216"/>
        </w:trPr>
        <w:tc>
          <w:tcPr>
            <w:tcW w:w="2300" w:type="dxa"/>
            <w:vAlign w:val="bottom"/>
          </w:tcPr>
          <w:p>
            <w:pPr>
              <w:jc w:val="right"/>
              <w:ind w:right="1513"/>
              <w:spacing w:after="0"/>
              <w:rPr>
                <w:sz w:val="20"/>
                <w:szCs w:val="20"/>
                <w:color w:val="auto"/>
              </w:rPr>
            </w:pPr>
            <w:r>
              <w:rPr>
                <w:rFonts w:ascii="Arial" w:cs="Arial" w:eastAsia="Arial" w:hAnsi="Arial"/>
                <w:sz w:val="18"/>
                <w:szCs w:val="18"/>
                <w:color w:val="auto"/>
                <w:w w:val="84"/>
              </w:rPr>
              <w:t>1,200,000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204,595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308,092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411,589</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515,087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618,584</w:t>
            </w:r>
          </w:p>
        </w:tc>
        <w:tc>
          <w:tcPr>
            <w:tcW w:w="0" w:type="dxa"/>
            <w:vAlign w:val="bottom"/>
          </w:tcPr>
          <w:p>
            <w:pPr>
              <w:spacing w:after="0"/>
              <w:rPr>
                <w:sz w:val="1"/>
                <w:szCs w:val="1"/>
                <w:color w:val="auto"/>
              </w:rPr>
            </w:pPr>
          </w:p>
        </w:tc>
      </w:tr>
      <w:tr>
        <w:trPr>
          <w:trHeight w:val="216"/>
        </w:trPr>
        <w:tc>
          <w:tcPr>
            <w:tcW w:w="2300" w:type="dxa"/>
            <w:vAlign w:val="bottom"/>
          </w:tcPr>
          <w:p>
            <w:pPr>
              <w:jc w:val="right"/>
              <w:ind w:right="1513"/>
              <w:spacing w:after="0"/>
              <w:rPr>
                <w:sz w:val="20"/>
                <w:szCs w:val="20"/>
                <w:color w:val="auto"/>
              </w:rPr>
            </w:pPr>
            <w:r>
              <w:rPr>
                <w:rFonts w:ascii="Arial" w:cs="Arial" w:eastAsia="Arial" w:hAnsi="Arial"/>
                <w:sz w:val="18"/>
                <w:szCs w:val="18"/>
                <w:color w:val="auto"/>
                <w:w w:val="84"/>
              </w:rPr>
              <w:t>1,400,000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239,195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360,192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481,189</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602,187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723,184</w:t>
            </w:r>
          </w:p>
        </w:tc>
        <w:tc>
          <w:tcPr>
            <w:tcW w:w="0" w:type="dxa"/>
            <w:vAlign w:val="bottom"/>
          </w:tcPr>
          <w:p>
            <w:pPr>
              <w:spacing w:after="0"/>
              <w:rPr>
                <w:sz w:val="1"/>
                <w:szCs w:val="1"/>
                <w:color w:val="auto"/>
              </w:rPr>
            </w:pPr>
          </w:p>
        </w:tc>
      </w:tr>
      <w:tr>
        <w:trPr>
          <w:trHeight w:val="216"/>
        </w:trPr>
        <w:tc>
          <w:tcPr>
            <w:tcW w:w="2300" w:type="dxa"/>
            <w:vAlign w:val="bottom"/>
          </w:tcPr>
          <w:p>
            <w:pPr>
              <w:jc w:val="right"/>
              <w:ind w:right="1513"/>
              <w:spacing w:after="0"/>
              <w:rPr>
                <w:sz w:val="20"/>
                <w:szCs w:val="20"/>
                <w:color w:val="auto"/>
              </w:rPr>
            </w:pPr>
            <w:r>
              <w:rPr>
                <w:rFonts w:ascii="Arial" w:cs="Arial" w:eastAsia="Arial" w:hAnsi="Arial"/>
                <w:sz w:val="18"/>
                <w:szCs w:val="18"/>
                <w:color w:val="auto"/>
                <w:w w:val="84"/>
              </w:rPr>
              <w:t>1,600,000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273,795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412,292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550,789</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689,287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827,784</w:t>
            </w:r>
          </w:p>
        </w:tc>
        <w:tc>
          <w:tcPr>
            <w:tcW w:w="0" w:type="dxa"/>
            <w:vAlign w:val="bottom"/>
          </w:tcPr>
          <w:p>
            <w:pPr>
              <w:spacing w:after="0"/>
              <w:rPr>
                <w:sz w:val="1"/>
                <w:szCs w:val="1"/>
                <w:color w:val="auto"/>
              </w:rPr>
            </w:pPr>
          </w:p>
        </w:tc>
      </w:tr>
      <w:tr>
        <w:trPr>
          <w:trHeight w:val="216"/>
        </w:trPr>
        <w:tc>
          <w:tcPr>
            <w:tcW w:w="2300" w:type="dxa"/>
            <w:vAlign w:val="bottom"/>
          </w:tcPr>
          <w:p>
            <w:pPr>
              <w:jc w:val="right"/>
              <w:ind w:right="1513"/>
              <w:spacing w:after="0"/>
              <w:rPr>
                <w:sz w:val="20"/>
                <w:szCs w:val="20"/>
                <w:color w:val="auto"/>
              </w:rPr>
            </w:pPr>
            <w:r>
              <w:rPr>
                <w:rFonts w:ascii="Arial" w:cs="Arial" w:eastAsia="Arial" w:hAnsi="Arial"/>
                <w:sz w:val="18"/>
                <w:szCs w:val="18"/>
                <w:color w:val="auto"/>
                <w:w w:val="84"/>
              </w:rPr>
              <w:t>1,800,000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308,395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464,392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620,389</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776,387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932,384</w:t>
            </w:r>
          </w:p>
        </w:tc>
        <w:tc>
          <w:tcPr>
            <w:tcW w:w="0" w:type="dxa"/>
            <w:vAlign w:val="bottom"/>
          </w:tcPr>
          <w:p>
            <w:pPr>
              <w:spacing w:after="0"/>
              <w:rPr>
                <w:sz w:val="1"/>
                <w:szCs w:val="1"/>
                <w:color w:val="auto"/>
              </w:rPr>
            </w:pPr>
          </w:p>
        </w:tc>
      </w:tr>
      <w:tr>
        <w:trPr>
          <w:trHeight w:val="216"/>
        </w:trPr>
        <w:tc>
          <w:tcPr>
            <w:tcW w:w="2300" w:type="dxa"/>
            <w:vAlign w:val="bottom"/>
          </w:tcPr>
          <w:p>
            <w:pPr>
              <w:jc w:val="right"/>
              <w:ind w:right="1513"/>
              <w:spacing w:after="0"/>
              <w:rPr>
                <w:sz w:val="20"/>
                <w:szCs w:val="20"/>
                <w:color w:val="auto"/>
              </w:rPr>
            </w:pPr>
            <w:r>
              <w:rPr>
                <w:rFonts w:ascii="Arial" w:cs="Arial" w:eastAsia="Arial" w:hAnsi="Arial"/>
                <w:sz w:val="18"/>
                <w:szCs w:val="18"/>
                <w:color w:val="auto"/>
                <w:w w:val="84"/>
              </w:rPr>
              <w:t>2,000,000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342,995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516,492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689,989</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863,487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1,036,984</w:t>
            </w:r>
          </w:p>
        </w:tc>
        <w:tc>
          <w:tcPr>
            <w:tcW w:w="0" w:type="dxa"/>
            <w:vAlign w:val="bottom"/>
          </w:tcPr>
          <w:p>
            <w:pPr>
              <w:spacing w:after="0"/>
              <w:rPr>
                <w:sz w:val="1"/>
                <w:szCs w:val="1"/>
                <w:color w:val="auto"/>
              </w:rPr>
            </w:pPr>
          </w:p>
        </w:tc>
      </w:tr>
      <w:tr>
        <w:trPr>
          <w:trHeight w:val="216"/>
        </w:trPr>
        <w:tc>
          <w:tcPr>
            <w:tcW w:w="2300" w:type="dxa"/>
            <w:vAlign w:val="bottom"/>
          </w:tcPr>
          <w:p>
            <w:pPr>
              <w:jc w:val="right"/>
              <w:ind w:right="1513"/>
              <w:spacing w:after="0"/>
              <w:rPr>
                <w:sz w:val="20"/>
                <w:szCs w:val="20"/>
                <w:color w:val="auto"/>
              </w:rPr>
            </w:pPr>
            <w:r>
              <w:rPr>
                <w:rFonts w:ascii="Arial" w:cs="Arial" w:eastAsia="Arial" w:hAnsi="Arial"/>
                <w:sz w:val="18"/>
                <w:szCs w:val="18"/>
                <w:color w:val="auto"/>
                <w:w w:val="84"/>
              </w:rPr>
              <w:t>2,200,000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377,595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568,592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759,589</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950,587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1,141,584</w:t>
            </w:r>
          </w:p>
        </w:tc>
        <w:tc>
          <w:tcPr>
            <w:tcW w:w="0" w:type="dxa"/>
            <w:vAlign w:val="bottom"/>
          </w:tcPr>
          <w:p>
            <w:pPr>
              <w:spacing w:after="0"/>
              <w:rPr>
                <w:sz w:val="1"/>
                <w:szCs w:val="1"/>
                <w:color w:val="auto"/>
              </w:rPr>
            </w:pPr>
          </w:p>
        </w:tc>
      </w:tr>
      <w:tr>
        <w:trPr>
          <w:trHeight w:val="216"/>
        </w:trPr>
        <w:tc>
          <w:tcPr>
            <w:tcW w:w="2300" w:type="dxa"/>
            <w:vAlign w:val="bottom"/>
          </w:tcPr>
          <w:p>
            <w:pPr>
              <w:jc w:val="right"/>
              <w:ind w:right="1513"/>
              <w:spacing w:after="0"/>
              <w:rPr>
                <w:sz w:val="20"/>
                <w:szCs w:val="20"/>
                <w:color w:val="auto"/>
              </w:rPr>
            </w:pPr>
            <w:r>
              <w:rPr>
                <w:rFonts w:ascii="Arial" w:cs="Arial" w:eastAsia="Arial" w:hAnsi="Arial"/>
                <w:sz w:val="18"/>
                <w:szCs w:val="18"/>
                <w:color w:val="auto"/>
                <w:w w:val="84"/>
              </w:rPr>
              <w:t>2,400,000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412,195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620,692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829,189</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1,037,687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1,246,184</w:t>
            </w:r>
          </w:p>
        </w:tc>
        <w:tc>
          <w:tcPr>
            <w:tcW w:w="0" w:type="dxa"/>
            <w:vAlign w:val="bottom"/>
          </w:tcPr>
          <w:p>
            <w:pPr>
              <w:spacing w:after="0"/>
              <w:rPr>
                <w:sz w:val="1"/>
                <w:szCs w:val="1"/>
                <w:color w:val="auto"/>
              </w:rPr>
            </w:pPr>
          </w:p>
        </w:tc>
      </w:tr>
      <w:tr>
        <w:trPr>
          <w:trHeight w:val="216"/>
        </w:trPr>
        <w:tc>
          <w:tcPr>
            <w:tcW w:w="2300" w:type="dxa"/>
            <w:vAlign w:val="bottom"/>
          </w:tcPr>
          <w:p>
            <w:pPr>
              <w:jc w:val="right"/>
              <w:ind w:right="1513"/>
              <w:spacing w:after="0"/>
              <w:rPr>
                <w:sz w:val="20"/>
                <w:szCs w:val="20"/>
                <w:color w:val="auto"/>
              </w:rPr>
            </w:pPr>
            <w:r>
              <w:rPr>
                <w:rFonts w:ascii="Arial" w:cs="Arial" w:eastAsia="Arial" w:hAnsi="Arial"/>
                <w:sz w:val="18"/>
                <w:szCs w:val="18"/>
                <w:color w:val="auto"/>
                <w:w w:val="84"/>
              </w:rPr>
              <w:t>2,600,000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446,795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672,792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898,789</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1,124,787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1,350,784</w:t>
            </w:r>
          </w:p>
        </w:tc>
        <w:tc>
          <w:tcPr>
            <w:tcW w:w="0" w:type="dxa"/>
            <w:vAlign w:val="bottom"/>
          </w:tcPr>
          <w:p>
            <w:pPr>
              <w:spacing w:after="0"/>
              <w:rPr>
                <w:sz w:val="1"/>
                <w:szCs w:val="1"/>
                <w:color w:val="auto"/>
              </w:rPr>
            </w:pPr>
          </w:p>
        </w:tc>
      </w:tr>
      <w:tr>
        <w:trPr>
          <w:trHeight w:val="222"/>
        </w:trPr>
        <w:tc>
          <w:tcPr>
            <w:tcW w:w="2300" w:type="dxa"/>
            <w:vAlign w:val="bottom"/>
          </w:tcPr>
          <w:p>
            <w:pPr>
              <w:jc w:val="right"/>
              <w:ind w:right="1513"/>
              <w:spacing w:after="0"/>
              <w:rPr>
                <w:sz w:val="20"/>
                <w:szCs w:val="20"/>
                <w:color w:val="auto"/>
              </w:rPr>
            </w:pPr>
            <w:r>
              <w:rPr>
                <w:rFonts w:ascii="Arial" w:cs="Arial" w:eastAsia="Arial" w:hAnsi="Arial"/>
                <w:sz w:val="18"/>
                <w:szCs w:val="18"/>
                <w:color w:val="auto"/>
                <w:w w:val="84"/>
              </w:rPr>
              <w:t>2,800,000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481,395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724,892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968,389</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1,211,887</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1,455,384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263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03" w:lineRule="exact"/>
        <w:rPr>
          <w:sz w:val="20"/>
          <w:szCs w:val="20"/>
          <w:color w:val="auto"/>
        </w:rPr>
      </w:pPr>
    </w:p>
    <w:p>
      <w:pPr>
        <w:jc w:val="both"/>
        <w:ind w:left="240" w:hanging="232"/>
        <w:spacing w:after="0" w:line="306" w:lineRule="auto"/>
        <w:tabs>
          <w:tab w:leader="none" w:pos="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Indicates the covered compensation for Mr. Way who has the lowest covered compensation of all the named executive officers. The covered compensation for the other named executive officers will be a higher amount and their number of years at the 1.10% formula will be fewer than Mr. Way’s, resulting in a slightly lower payout amount for comparable compensation levels and years of service. Such differences are not expected to be material.</w:t>
      </w:r>
    </w:p>
    <w:p>
      <w:pPr>
        <w:spacing w:after="0" w:line="188"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The pension plan, the Pension Equalization Plan and the Executive Supplemental Savings Plan grant credit for all years of pension service with Lear Siegler Diversified Holdings Corp. and with Lear Corporation, and offset the retirement benefit payable by the Lear Siegler Diversified Holdings Corp. Pension Plan against the benefit payable by the plans. At age 65, it is estimated that under the plans Mr. Way, Mr. Rossiter, Mr. Vandenberghe, Mr. DelGrosso and Mr. Stebbins will each have 30 years of credited service, and Mr. Wajsgras will have 25 years of credited service.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Plan</w:t>
      </w:r>
    </w:p>
    <w:p>
      <w:pPr>
        <w:spacing w:after="0" w:line="25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have established a Retirement Savings Plan pursuant to Section 401(k) of the Internal Revenue Code for non-union salaried employees who have completed one month of service. Under the Retirement Savings Plan, each eligible employee may elect to defer, on a pre-tax basis, a portion of his or her base salary and annual bonus each year. We have in the past made matching contributions of up to five percent on contributions by participants, however, no matches were made by us to employees, including our named executive officers, in 2002. Our matching contributions are initially invested in shares of Lear’s common stock and may be invested by the recipient in our other funds under the Retirement Savings Plan on February 1 of the year following such contribution. Matching contributions become vested under the retirement savings plan at a rate of 20% for each full year of service.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58" w:lineRule="exact"/>
        <w:rPr>
          <w:sz w:val="20"/>
          <w:szCs w:val="20"/>
          <w:color w:val="auto"/>
        </w:rPr>
      </w:pPr>
    </w:p>
    <w:p>
      <w:pPr>
        <w:ind w:right="220" w:firstLine="324"/>
        <w:spacing w:after="0" w:line="306" w:lineRule="auto"/>
        <w:rPr>
          <w:sz w:val="20"/>
          <w:szCs w:val="20"/>
          <w:color w:val="auto"/>
        </w:rPr>
      </w:pPr>
      <w:r>
        <w:rPr>
          <w:rFonts w:ascii="Arial" w:cs="Arial" w:eastAsia="Arial" w:hAnsi="Arial"/>
          <w:sz w:val="16"/>
          <w:szCs w:val="16"/>
          <w:color w:val="auto"/>
        </w:rPr>
        <w:t>We have entered into employment agreements, effective as of July 1, 2000, with each of our named executive officers. Mr. Way retired as Chairman of the Board on December 20, 2002. For a description of certain benefit arrangements received by Mr. Way upon retirement see “— Other Compensation Arrangements” beginning on page 15. Each employment agreement automatically renews for a term of three years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and remains in effect until the date three years after a written termination notice is provided by us or the executive or until the date the executive reaches his or her normal retirement date under our retirement plan for salaried employees then in effect, whichever shall occur first. As of December 31, 2002, Mr. Rossiter’s salary was $1,000,000, Mr. Vandenberghe’s salary was $825,000, Mr. DelGrosso’s salary was $625,000, Mr. Stebbins’ salary was $625,000 and Mr. Wajsgras’ salary was $420,000. Mr. Way’s salary was $1,000,000 at the time of his retirement. The salaries of each of our named executive officers may be increased at the discretion of the Compensation Committee. In addition, each of Mr. Rossiter, Mr. Vandenberghe, Mr. DelGrosso, Mr. Stebbins and Mr. Wajsgras are eligible for an annual incentive compensation bonus at the discretion of the Compensation Committee.</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employment agreement provides that:</w:t>
      </w:r>
    </w:p>
    <w:p>
      <w:pPr>
        <w:spacing w:after="0" w:line="225" w:lineRule="exact"/>
        <w:rPr>
          <w:sz w:val="20"/>
          <w:szCs w:val="20"/>
          <w:color w:val="auto"/>
        </w:rPr>
      </w:pPr>
    </w:p>
    <w:p>
      <w:pPr>
        <w:ind w:left="460" w:hanging="101"/>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upon the death of the employee, we will pay to his estate or designated beneficiary his full base salary plus any bonus earned for an additional 12 months;</w:t>
      </w:r>
    </w:p>
    <w:p>
      <w:pPr>
        <w:spacing w:after="0" w:line="302" w:lineRule="exact"/>
        <w:rPr>
          <w:rFonts w:ascii="Arial" w:cs="Arial" w:eastAsia="Arial" w:hAnsi="Arial"/>
          <w:sz w:val="16"/>
          <w:szCs w:val="16"/>
          <w:color w:val="auto"/>
        </w:rPr>
      </w:pPr>
    </w:p>
    <w:p>
      <w:pPr>
        <w:ind w:left="460" w:hanging="101"/>
        <w:spacing w:after="0" w:line="256"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termination for disability, the employee will receive all compensation payable under our disability and medical plans and programs plus an additional payment from us so that the aggregate amount of salary continuation from all sources equals, through the remainder of the calendar year following the termination, his base salary at the rate in effect on the date of termination plus any bonus earned, and for the period thereafter through the end of the term of the agreement, his base salary at the rate in effect on the date of termination;</w:t>
      </w:r>
    </w:p>
    <w:p>
      <w:pPr>
        <w:spacing w:after="0" w:line="224" w:lineRule="exact"/>
        <w:rPr>
          <w:rFonts w:ascii="Arial" w:cs="Arial" w:eastAsia="Arial" w:hAnsi="Arial"/>
          <w:sz w:val="18"/>
          <w:szCs w:val="18"/>
          <w:color w:val="auto"/>
        </w:rPr>
      </w:pPr>
    </w:p>
    <w:p>
      <w:pPr>
        <w:ind w:left="460" w:right="120" w:hanging="101"/>
        <w:spacing w:after="0" w:line="291"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upon termination by the employee for good reason or because of constructive termination after a change in control (each as defined in the employment agreement) or by us other than for cause or disability (each as defined in the employment agreement), the employee will receive, the aggregate base salary he would have earned for two years under the employment agreement (at the highest rate received during the term of the agreement), the aggregate bonus he would have received for two years under the employment agreement (based on the highest annual bonus received in the three calendar years preceding the termination) and the cash value of all benefits that would be payable under certain compensation and benefit plans for two years pursuant to the employment agreement, in each case had his employment continued with us for such period;</w:t>
      </w:r>
    </w:p>
    <w:p>
      <w:pPr>
        <w:spacing w:after="0" w:line="201" w:lineRule="exact"/>
        <w:rPr>
          <w:rFonts w:ascii="Arial" w:cs="Arial" w:eastAsia="Arial" w:hAnsi="Arial"/>
          <w:sz w:val="16"/>
          <w:szCs w:val="16"/>
          <w:color w:val="auto"/>
        </w:rPr>
      </w:pPr>
    </w:p>
    <w:p>
      <w:pPr>
        <w:ind w:left="460" w:right="60" w:hanging="101"/>
        <w:spacing w:after="0" w:line="290"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addition to the foregoing severance payment, upon termination by the employee for good reason or because of constructive termination after a change in control (each as defined in the employment agreement) or by us other than for cause (each as defined in the employment agreement), in consideration for the employee’s non-compete obligation, the employee will receive the aggregate base salary he would have earned for one year under the employment agreement (at the highest rate received during the term of the agreement), the aggregate bonus he would have received for one year under the employment agreement (based on the highest annual bonus received in the three calendar years preceding the termination) and the cash value of all benefits that would be payable under certain compensation and benefit plans for one year pursuant to the employment agreement, in each case had his employment continued with us for such period;</w:t>
      </w:r>
    </w:p>
    <w:p>
      <w:pPr>
        <w:spacing w:after="0" w:line="199" w:lineRule="exact"/>
        <w:rPr>
          <w:rFonts w:ascii="Arial" w:cs="Arial" w:eastAsia="Arial" w:hAnsi="Arial"/>
          <w:sz w:val="16"/>
          <w:szCs w:val="16"/>
          <w:color w:val="auto"/>
        </w:rPr>
      </w:pPr>
    </w:p>
    <w:p>
      <w:pPr>
        <w:ind w:left="460" w:right="520" w:hanging="101"/>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termination by us for cause, the employee is entitled to receive only unpaid salary and benefits, if any, accrued through the effective date of the employee’s termination; and</w:t>
      </w:r>
    </w:p>
    <w:p>
      <w:pPr>
        <w:spacing w:after="0" w:line="212" w:lineRule="exact"/>
        <w:rPr>
          <w:rFonts w:ascii="Arial" w:cs="Arial" w:eastAsia="Arial" w:hAnsi="Arial"/>
          <w:sz w:val="18"/>
          <w:szCs w:val="18"/>
          <w:color w:val="auto"/>
        </w:rPr>
      </w:pPr>
    </w:p>
    <w:p>
      <w:pPr>
        <w:ind w:left="460" w:right="500" w:hanging="101"/>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transfer of all or substantially all of our assets to a successor entity, we will require the successor entity expressly to assume performance of the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Arrangements</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Mr. Way retired from his executive position as the Chairman of our Board in December 2002. Mr. Way led Lear since it became an independent company in 1988, and he contributed significantly to our success. In recognition of Mr. Way’s contributions, our Compensation Committee approved a special recognition award in the amount of $1,500,000. The special recognition award was issued to Mr. Way in the form of 55,514.43 phantom stock units which will be paid in cash or shares of Lear common stock, at the discretion of Lear, 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earlier of January 1, 2006 or the date on which Mr. Way no longer serves as a director or has any other associations with Lear. A cash payment would be determined by the current trading price of our common stock at the time of payment multiplied by the number of phantom stock units. We have also agreed to provide Mr. Way with the following retirement provisions: (a) medical and dental coverage under COBRA until June 2004 (at which time Mr. Way will be covered by our retiree medical plan), (b) use of a company vehicle and gas card until June 2004, (c) dues for existing country club memberships until June 2004, and (d) financial counseling and tax preparation services through the end of 2004. Mr. Way also received a payment in the amount of $79,482.81 in March 2003 in connection with the payout of performance shares to our senior management under the Long-Term Stock Incentive Plan. In connection with his retirement, Mr. Way is also entitled to a pension under our Qualified and Non-Qualified plans as well as payments under our Executive Supplemental Savings Plan and Retirement Savings Plan based on the terms and conditions of such plans and the respective elections made by Mr. Way under such plans.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INSIDER PARTICIPATION</w:t>
      </w:r>
    </w:p>
    <w:p>
      <w:pPr>
        <w:spacing w:after="0" w:line="246"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No member of the Compensation Committee was, during the fiscal year ended December 31, 2002, an officer, former officer or employee of our company or any of our subsidiaries. None of our executive officers served as a member of:</w:t>
      </w:r>
    </w:p>
    <w:p>
      <w:pPr>
        <w:spacing w:after="0" w:line="186" w:lineRule="exact"/>
        <w:rPr>
          <w:sz w:val="20"/>
          <w:szCs w:val="20"/>
          <w:color w:val="auto"/>
        </w:rPr>
      </w:pPr>
    </w:p>
    <w:p>
      <w:pPr>
        <w:ind w:left="460" w:hanging="101"/>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compensation committee of another entity in which one of the executive officers of such entity served on our Compensation Committee;</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board of directors of another entity, one of whose executive officers served on our Compensation Committee;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compensation committee of another entity in which one of the executive officers of such entity served as a member of our Board.</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Regardless of anything indicating the contrary set forth in any of our previous or future filings under the Securities Act of 1933, as amended, or the Securities Exchange Act of 1934, as amended, that might incorporate this proxy statement, in whole or in part, the following report and the performance graph which follows shall not be deemed to be incorporated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Compensation Committee is responsible for approving and evaluating the director and officer compensation plans, policies and programs of our Company. The Compensation Committee is currently composed of three non-employee directors: Mr. McCurdy, Mr. Parrott and Mr. Spalding. Our Board has not rejected or modified any action taken by the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Policy</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objectives of our compensation policies are to:</w:t>
      </w:r>
    </w:p>
    <w:p>
      <w:pPr>
        <w:spacing w:after="0" w:line="225" w:lineRule="exact"/>
        <w:rPr>
          <w:sz w:val="20"/>
          <w:szCs w:val="20"/>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optimize profitability and growth;</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link the interests of management with those of stockholders;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management with incentive for excellence in individual performance;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promote teamwork among managers;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attract and retain highly qualified and effective officers, key employees and directors.</w:t>
      </w:r>
    </w:p>
    <w:p>
      <w:pPr>
        <w:spacing w:after="0" w:line="279" w:lineRule="exact"/>
        <w:rPr>
          <w:sz w:val="20"/>
          <w:szCs w:val="20"/>
          <w:color w:val="auto"/>
        </w:rPr>
      </w:pPr>
    </w:p>
    <w:p>
      <w:pPr>
        <w:ind w:right="240" w:firstLine="324"/>
        <w:spacing w:after="0" w:line="332" w:lineRule="auto"/>
        <w:rPr>
          <w:sz w:val="20"/>
          <w:szCs w:val="20"/>
          <w:color w:val="auto"/>
        </w:rPr>
      </w:pPr>
      <w:r>
        <w:rPr>
          <w:rFonts w:ascii="Arial" w:cs="Arial" w:eastAsia="Arial" w:hAnsi="Arial"/>
          <w:sz w:val="16"/>
          <w:szCs w:val="16"/>
          <w:color w:val="auto"/>
        </w:rPr>
        <w:t>The Compensation Committee targets total remuneration (i.e., base salary, annual incentives and long-term incentives) of our senior executives at the 75th percentile of our peer group in return for comparable performance. A discussion of each component of executive compensation follows.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5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Base salaries for our executive officers are established at levels considered appropriate in light of the duties and scope of responsibilities of each officer’s position. In this regard, the Compensation Committee considers the compensation practices and corporate financial performance of similarly situated companies based on research provided by independent consultants. The Compensation Committee focuses primarily on total compensation, including incentive awards, rather than base salary alone, as the appropriate measure of executive officer remuneration. As of December 31, 2002, Mr. Rossiter’s base salary was $1,000,000, Mr. Vandenberghe’s base salary was $825,000, Mr. DelGrosso’s base salary was $625,000, Mr. Stebbins’ base salary was $625,000 and Mr. Wajsgras’ base salary was $420,000. At the time of his retirement, Mr. Way’s base salary was $1,000,000. Pursuant to elections made under the Management Stock Purchase Plan, Mr. DelGrosso, Mr. Stebbins and Mr. Wajsgras elected to defer $47,000, $50,000 and $30,000 of their 2002 salaries,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Incentives</w:t>
      </w:r>
    </w:p>
    <w:p>
      <w:pPr>
        <w:spacing w:after="0" w:line="258"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Our executive officers participate in the Senior Executive Incentive Compensation Plan. Pursuant to this plan, the Compensation Committee makes annual incentive awards designed to reward past financial performance and the achievement of goals considered important to our future. Awards are made in March of each year based on our performance achieved in the previous calendar year.</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Each named executive officer is assigned an annual target opportunity under the Senior Executive Incentive Compensation Plan. The target opportunity for a</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given year’s performance is based 50% upon whether our earnings per share reaches a goal established by the Compensation Committee and 50% upon whether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return on our net assets reaches a goal set by the Compensation Committee. For the year ended December 31, 2002, Mr. Way, Mr. Rossiter, Mr. Vandenberghe,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Mr. DelGrosso, Mr. Stebbins and Mr. Wajsgras earned annual gross bonuses under the Senior Executive Incentive Compensation Plan in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$1,182,000, $1,300,200, $780,120, $559,479, $559,479, and $297,864, respectively. Pursuant to elections made under the Management Stock Purchase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Rossiter, Mr. Vandenberghe, Mr. DelGrosso, Mr. Stebbins and Mr. Wajsgras elected to defer $1,300,200, $312,048, $53,000, $50,000 and $200,000,</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respectively, of their 2002 annual cash bonuses earned under the Senior Executive Incentive Compensation Plan. Mr. Wajsgras also received a retention award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amount of $126,750.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25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long-term incentive component of our executive compensation program is designed to provide our senior management with substantial at-risk components and to align the interests of our senior management with those of our stockholders. To achieve these goals, the Compensation Committee has taken the following steps with respect to senior management:</w:t>
      </w:r>
    </w:p>
    <w:p>
      <w:pPr>
        <w:spacing w:after="0" w:line="194" w:lineRule="exact"/>
        <w:rPr>
          <w:sz w:val="20"/>
          <w:szCs w:val="20"/>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implemented stock ownership guidelines for certain members of senior management;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granted stock options to certain members of senior management;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granted performance share awards to certain members of senior management;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permitted certain members of senior management to defer a portion of their base salary and annual incentive bonus in restricted stock units.</w:t>
      </w:r>
    </w:p>
    <w:p>
      <w:pPr>
        <w:spacing w:after="0" w:line="2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 Stock Ownership Requirements</w:t>
      </w:r>
    </w:p>
    <w:p>
      <w:pPr>
        <w:spacing w:after="0" w:line="25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Compensation Committee has implemented stock ownership guidelines that require certain of our officers to achieve, within five years of reaching senior officer status, stock ownership levels ranging from one to five times base salary. Shares of common stock owned, restricted stock units and sixty percent of the value of exercisable stock options in the money as of the date of valuation are counted in satisfying these requirements. Management personnel who have not made substantial progress towards these goals after three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years will have up to 50% of their annual incentives delivered in restricted stock units pursuant to the Management Stock Purchase Plan described below.</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jc w:val="both"/>
        <w:ind w:right="320" w:firstLine="324"/>
        <w:spacing w:after="0" w:line="286" w:lineRule="auto"/>
        <w:rPr>
          <w:sz w:val="20"/>
          <w:szCs w:val="20"/>
          <w:color w:val="auto"/>
        </w:rPr>
      </w:pPr>
      <w:r>
        <w:rPr>
          <w:rFonts w:ascii="Arial" w:cs="Arial" w:eastAsia="Arial" w:hAnsi="Arial"/>
          <w:sz w:val="16"/>
          <w:szCs w:val="16"/>
          <w:color w:val="auto"/>
        </w:rPr>
        <w:t>Stock options granted under our stock option plans, which become exercisable three years from the date of grant, provide incentive for officers by giving them a strong economic interest in remaining with us and maximizing price appreciation of our common stock. On June 14, 2002 Mr. Way, Mr. Rossiter,</w:t>
      </w:r>
    </w:p>
    <w:p>
      <w:pPr>
        <w:ind w:right="40"/>
        <w:spacing w:after="0" w:line="323" w:lineRule="auto"/>
        <w:rPr>
          <w:sz w:val="20"/>
          <w:szCs w:val="20"/>
          <w:color w:val="auto"/>
        </w:rPr>
      </w:pPr>
      <w:r>
        <w:rPr>
          <w:rFonts w:ascii="Arial" w:cs="Arial" w:eastAsia="Arial" w:hAnsi="Arial"/>
          <w:sz w:val="16"/>
          <w:szCs w:val="16"/>
          <w:color w:val="auto"/>
        </w:rPr>
        <w:t>Mr. Vandenberghe, Mr. DelGrosso, Mr. Stebbins and Mr. Wajsgras received stock options to purchase 75,000, 125,000, 75,000, 50,000, 50,000 and 35,000 shares of our common stock, respectively, which, in each case, vest and become exercisable on June 14, 2005 and have an exercise price of $41.83 per share.</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52" w:lineRule="exact"/>
        <w:rPr>
          <w:sz w:val="20"/>
          <w:szCs w:val="20"/>
          <w:color w:val="auto"/>
        </w:rPr>
      </w:pPr>
    </w:p>
    <w:p>
      <w:pPr>
        <w:jc w:val="both"/>
        <w:ind w:right="300" w:firstLine="324"/>
        <w:spacing w:after="0" w:line="259" w:lineRule="auto"/>
        <w:rPr>
          <w:sz w:val="20"/>
          <w:szCs w:val="20"/>
          <w:color w:val="auto"/>
        </w:rPr>
      </w:pPr>
      <w:r>
        <w:rPr>
          <w:rFonts w:ascii="Arial" w:cs="Arial" w:eastAsia="Arial" w:hAnsi="Arial"/>
          <w:sz w:val="18"/>
          <w:szCs w:val="18"/>
          <w:color w:val="auto"/>
        </w:rPr>
        <w:t>Performance share awards ensure that a significant component of certain employees’ compensation depends upon the achievement of specified financial performance goals over a three year period. The Compensation Committee chooses from various measures of corporate performance to determine the level of payout of performance share awards.</w:t>
      </w:r>
    </w:p>
    <w:p>
      <w:pPr>
        <w:spacing w:after="0" w:line="221"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In February 2003, the Compensation Committee granted performance share awards effective January 1, 2003 to selected employees under the Long-Term Stock Incentive Plan with target performance shares equal on the date of the award to 25% of such employee’s base salary on January 1, 2003. The 2003 performance criteria over a three year period for these performance share awards are our return on invested capital and our relative return to stockholders compared to a peer group of representative independent automotive suppliers which at the time of the grant consisted of ArvinMeritor, Inc., Dana Corporation, Delphi Automotive Systems Corporation, Eaton Corporation, Johnson Controls, Inc., Magna International, Inc., and Visteon Corporation. For a senior officer to receive shares of common stock or cash for their performance shares, return on invested capital and/or relative return to stockholders over three years must equal or exceed the threshold goals. Our officers may earn additional shares of common stock or cash for their performance share awards if we exceed the target goals for return on invested capital and/or relative return to stockholders.</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 Stock Purchase Plan</w:t>
      </w:r>
    </w:p>
    <w:p>
      <w:pPr>
        <w:spacing w:after="0" w:line="252" w:lineRule="exact"/>
        <w:rPr>
          <w:sz w:val="20"/>
          <w:szCs w:val="20"/>
          <w:color w:val="auto"/>
        </w:rPr>
      </w:pPr>
    </w:p>
    <w:p>
      <w:pPr>
        <w:ind w:firstLine="324"/>
        <w:spacing w:after="0" w:line="306" w:lineRule="auto"/>
        <w:rPr>
          <w:sz w:val="20"/>
          <w:szCs w:val="20"/>
          <w:color w:val="auto"/>
        </w:rPr>
      </w:pPr>
      <w:r>
        <w:rPr>
          <w:rFonts w:ascii="Arial" w:cs="Arial" w:eastAsia="Arial" w:hAnsi="Arial"/>
          <w:sz w:val="15"/>
          <w:szCs w:val="15"/>
          <w:color w:val="auto"/>
        </w:rPr>
        <w:t>In furtherance of its goal of aligning the interests of officers with those of our stockholders, the Compensation Committee to date permits certain members of senior management to participate in the Management Stock Purchase Plan. The program is part of the Long-Term Stock Incentive Plan. Under this program, certain members of senior management can elect to defer a portion of his or her base salary for the year and annual incentive bonuses based upon financial results for the prior year under the Senior Executive Incentive Compensation Plan, and based upon a combination of financial results and such member’s performance for the prior year under the Incentive Compensation Program, and paid under such plans usually during the second quarter of the year. In consideration for deferring their salary and/or incentive bonus, participants receive a number of restricted stock units under the Long-Term Stock Incentive Plan equal to 125% of the amount deferred divided by the fair market value of a share of common stock on the date determined by the Compensation Committee. For restricted stock units credited in April of 2002 for 2002 base salary deferral elections, the value was based on the average high/low price of our common stock during the last five trading days of 2001 which was $37.59, and for restricted stock units credited in April of 2003 for 2002 cash bonus deferral elections, the value was based on the average high/low price of our common stock during the last five trading days of 2002 which was $33.77. Generally, a participant must hold restricted stock units and remain employed for at least three years, at which time the participant receives a number of shares of common stock equal to the restricted stock units held and a cash payment equal to the amount of dividends, if any, the participant would have earned if he or she had held shares of common stock rather than restricted stock units. Pursuant to deferral elections made under the Management Stock Purchase Plan for compensation and annual incentive bonuses earned in the year ending December 31, 2002, Mr. Rossiter, Mr. Vandenberghe, Mr. DelGrosso, Mr. Stebbins and Mr. Wajsgras received restricted stock units of 48,120,</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11,549, 3,525, 3,513, and 8,400, respectively. Mr. Way did not defer any compensation or bonus earned in the year ending December 31, 2002 under the Management Stock Purchase Plan.</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 description of the retirement benefits we provide, see “Executive Compensation — Pension Plan and Benefits” beginning on page 12.</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Estate Preservation Plan</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Compensation Committee has established the Estate Preservation Plan for certain of our senior executives. The Estate Preservation Plan provides the beneficiaries of a participant with funds to pay estate taxes on inherited common stock. Under the Estate Preservation Plan, we purchase a life insurance policy on the joint lives of the participant and his or her spouse. We own the life insurance policy but endorse a portion of the policy’s proceeds to the participant’s designated beneficiaries. Each participant pays a portion of the policy’s annual premium (until he reaches age 65) and we pay the remainder of the annual premium. After the executive reaches age 65, we pay the entire annual premium and the participant pays income taxes on the imputed income from the policy. Upon the later death of a participant or his spouse, we recover the present value of our premium payments from the tax-free insurance proceeds and the participant’s beneficiaries receive the remaining tax-free insurance proceeds, which they can use to pay the estate taxes on inherited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Compensation</w:t>
      </w:r>
    </w:p>
    <w:p>
      <w:pPr>
        <w:spacing w:after="0" w:line="258"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Pursuant to his employment agreement, Mr. Rossiter received a salary of $1,000,000 during the fiscal year ending December 31, 2002. Mr. Rossiter was also eligible to participate in the Senior Executive Incentive Compensation Plan, the Long-Term Stock Incentive Plan, the stock option plans, the Executive Supplemental Savings Plan, the Estate Preservation Plan, the Retirement Savings Plan and the Pension Equalization Plan.</w:t>
      </w:r>
    </w:p>
    <w:p>
      <w:pPr>
        <w:spacing w:after="0" w:line="188"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The Compensation Committee awarded Mr. Rossiter an annual bonus of $1,300,200, for services performed in 2002, which was based upon the attainment of targeted earnings per share and targeted return on net assets pursuant to the Senior Executive Incentive Compensation Plan. The Compensation Committee had raised the bonus target for Mr. Rossiter in 2002 to further align his interests with those of our stockholders, and in recognition of Lear’s performance in 2002 he was awarded the bonus of $1,300,200. In 2002, the Compensation Committee granted to Mr. Rossiter the following compensation to provide substantial at-risk components and to also align the interests of Mr. Rossiter with those of our stockholders: (i) options to purchase 125,000 shares of common stock, and</w:t>
      </w:r>
    </w:p>
    <w:p>
      <w:pPr>
        <w:spacing w:after="0" w:line="2" w:lineRule="exact"/>
        <w:rPr>
          <w:sz w:val="20"/>
          <w:szCs w:val="20"/>
          <w:color w:val="auto"/>
        </w:rPr>
      </w:pPr>
    </w:p>
    <w:p>
      <w:pPr>
        <w:ind w:firstLine="8"/>
        <w:spacing w:after="0" w:line="323" w:lineRule="auto"/>
        <w:tabs>
          <w:tab w:leader="none" w:pos="258" w:val="left"/>
        </w:tabs>
        <w:numPr>
          <w:ilvl w:val="0"/>
          <w:numId w:val="28"/>
        </w:numPr>
        <w:rPr>
          <w:rFonts w:ascii="Arial" w:cs="Arial" w:eastAsia="Arial" w:hAnsi="Arial"/>
          <w:sz w:val="16"/>
          <w:szCs w:val="16"/>
          <w:color w:val="auto"/>
        </w:rPr>
      </w:pPr>
      <w:r>
        <w:rPr>
          <w:rFonts w:ascii="Arial" w:cs="Arial" w:eastAsia="Arial" w:hAnsi="Arial"/>
          <w:sz w:val="16"/>
          <w:szCs w:val="16"/>
          <w:color w:val="auto"/>
        </w:rPr>
        <w:t>performance share awards, the ultimate value of which will be determined by our return on invested capital and relative return to our stockholders over a three year period. See “Executive Compensation — Option Grants and Exercises and Long-Term Incentive Awards in Last Fiscal Year” beginning on page 11.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Executive Compensation</w:t>
      </w:r>
    </w:p>
    <w:p>
      <w:pPr>
        <w:spacing w:after="0" w:line="25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One of the factors the Compensation Committee considers when determining compensation is the anticipated tax treatment to Lear and to the executives of the various payments and benefits. Generally, the Compensation Committee intends to comply with the requirements of Section 162(m) of the Internal Revenue Code with respect to annual and long-term incentives in order to avoid losing the tax deduction for non-performance based compensation in excess of $1,000,000 paid to any named executive officer appearing in the Summary Compensation Table. The Compensation Committee may, however, determine that it is necessary to exceed the limitation on deductibility under Section 162(m) to insure executive officers are compensated in a manner consistent with our best interests and those of our stockholders.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report is submitted by Messrs. McCurdy, Parrott and Spalding, being all of the members of the Compensation Committee.</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David P. Spalding, Chairman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Larry W. McCurdy</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Roy E. Parrott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PERFORMANCE GRAPH</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graph compares the cumulative total stockholder return from December 31, 1997 through December 31, 2002, the S&amp;P 500 and a peer group</w:t>
      </w:r>
    </w:p>
    <w:p>
      <w:pPr>
        <w:spacing w:after="0" w:line="38" w:lineRule="exact"/>
        <w:rPr>
          <w:sz w:val="20"/>
          <w:szCs w:val="20"/>
          <w:color w:val="auto"/>
        </w:rPr>
      </w:pPr>
    </w:p>
    <w:p>
      <w:pPr>
        <w:ind w:right="200" w:firstLine="8"/>
        <w:spacing w:after="0" w:line="302" w:lineRule="auto"/>
        <w:tabs>
          <w:tab w:leader="none" w:pos="2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of companies we selected for purposes of the comparison and more fully described below. Dividend reinvestment has been assumed and the returns of each company has been weighted to reflect relative stock market capitalization. The graph assumes an investment of $100 on December 31, 1997 in each of Lear’s common stock, the stocks comprising the S&amp;P 500 Index and the stocks comprising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2741930</wp:posOffset>
            </wp:positionV>
            <wp:extent cx="70237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109220</wp:posOffset>
            </wp:positionV>
            <wp:extent cx="5093970" cy="22898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93970"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60" w:type="dxa"/>
            <w:vAlign w:val="bottom"/>
          </w:tcPr>
          <w:p>
            <w:pPr>
              <w:spacing w:after="0"/>
              <w:rPr>
                <w:sz w:val="15"/>
                <w:szCs w:val="15"/>
                <w:color w:val="auto"/>
              </w:rPr>
            </w:pPr>
          </w:p>
        </w:tc>
        <w:tc>
          <w:tcPr>
            <w:tcW w:w="1600" w:type="dxa"/>
            <w:vAlign w:val="bottom"/>
          </w:tcPr>
          <w:p>
            <w:pPr>
              <w:jc w:val="right"/>
              <w:ind w:right="557"/>
              <w:spacing w:after="0"/>
              <w:rPr>
                <w:sz w:val="20"/>
                <w:szCs w:val="20"/>
                <w:color w:val="auto"/>
              </w:rPr>
            </w:pPr>
            <w:r>
              <w:rPr>
                <w:rFonts w:ascii="Arial" w:cs="Arial" w:eastAsia="Arial" w:hAnsi="Arial"/>
                <w:sz w:val="14"/>
                <w:szCs w:val="14"/>
                <w:b w:val="1"/>
                <w:bCs w:val="1"/>
                <w:color w:val="auto"/>
              </w:rPr>
              <w:t>12/31/97</w:t>
            </w:r>
          </w:p>
        </w:tc>
        <w:tc>
          <w:tcPr>
            <w:tcW w:w="1520" w:type="dxa"/>
            <w:vAlign w:val="bottom"/>
          </w:tcPr>
          <w:p>
            <w:pPr>
              <w:jc w:val="right"/>
              <w:ind w:right="557"/>
              <w:spacing w:after="0"/>
              <w:rPr>
                <w:sz w:val="20"/>
                <w:szCs w:val="20"/>
                <w:color w:val="auto"/>
              </w:rPr>
            </w:pPr>
            <w:r>
              <w:rPr>
                <w:rFonts w:ascii="Arial" w:cs="Arial" w:eastAsia="Arial" w:hAnsi="Arial"/>
                <w:sz w:val="14"/>
                <w:szCs w:val="14"/>
                <w:b w:val="1"/>
                <w:bCs w:val="1"/>
                <w:color w:val="auto"/>
              </w:rPr>
              <w:t>12/31/98</w:t>
            </w:r>
          </w:p>
        </w:tc>
        <w:tc>
          <w:tcPr>
            <w:tcW w:w="1540" w:type="dxa"/>
            <w:vAlign w:val="bottom"/>
          </w:tcPr>
          <w:p>
            <w:pPr>
              <w:jc w:val="right"/>
              <w:ind w:right="557"/>
              <w:spacing w:after="0"/>
              <w:rPr>
                <w:sz w:val="20"/>
                <w:szCs w:val="20"/>
                <w:color w:val="auto"/>
              </w:rPr>
            </w:pPr>
            <w:r>
              <w:rPr>
                <w:rFonts w:ascii="Arial" w:cs="Arial" w:eastAsia="Arial" w:hAnsi="Arial"/>
                <w:sz w:val="14"/>
                <w:szCs w:val="14"/>
                <w:b w:val="1"/>
                <w:bCs w:val="1"/>
                <w:color w:val="auto"/>
              </w:rPr>
              <w:t>12/31/99</w:t>
            </w:r>
          </w:p>
        </w:tc>
        <w:tc>
          <w:tcPr>
            <w:tcW w:w="1560" w:type="dxa"/>
            <w:vAlign w:val="bottom"/>
          </w:tcPr>
          <w:p>
            <w:pPr>
              <w:jc w:val="right"/>
              <w:ind w:right="557"/>
              <w:spacing w:after="0"/>
              <w:rPr>
                <w:sz w:val="20"/>
                <w:szCs w:val="20"/>
                <w:color w:val="auto"/>
              </w:rPr>
            </w:pPr>
            <w:r>
              <w:rPr>
                <w:rFonts w:ascii="Arial" w:cs="Arial" w:eastAsia="Arial" w:hAnsi="Arial"/>
                <w:sz w:val="14"/>
                <w:szCs w:val="14"/>
                <w:b w:val="1"/>
                <w:bCs w:val="1"/>
                <w:color w:val="auto"/>
              </w:rPr>
              <w:t>12/31/00</w:t>
            </w:r>
          </w:p>
        </w:tc>
        <w:tc>
          <w:tcPr>
            <w:tcW w:w="1540" w:type="dxa"/>
            <w:vAlign w:val="bottom"/>
          </w:tcPr>
          <w:p>
            <w:pPr>
              <w:jc w:val="right"/>
              <w:ind w:right="557"/>
              <w:spacing w:after="0"/>
              <w:rPr>
                <w:sz w:val="20"/>
                <w:szCs w:val="20"/>
                <w:color w:val="auto"/>
              </w:rPr>
            </w:pPr>
            <w:r>
              <w:rPr>
                <w:rFonts w:ascii="Arial" w:cs="Arial" w:eastAsia="Arial" w:hAnsi="Arial"/>
                <w:sz w:val="14"/>
                <w:szCs w:val="14"/>
                <w:b w:val="1"/>
                <w:bCs w:val="1"/>
                <w:color w:val="auto"/>
              </w:rPr>
              <w:t>12/31/01</w:t>
            </w:r>
          </w:p>
        </w:tc>
        <w:tc>
          <w:tcPr>
            <w:tcW w:w="1040" w:type="dxa"/>
            <w:vAlign w:val="bottom"/>
          </w:tcPr>
          <w:p>
            <w:pPr>
              <w:jc w:val="right"/>
              <w:ind w:right="77"/>
              <w:spacing w:after="0"/>
              <w:rPr>
                <w:sz w:val="20"/>
                <w:szCs w:val="20"/>
                <w:color w:val="auto"/>
              </w:rPr>
            </w:pPr>
            <w:r>
              <w:rPr>
                <w:rFonts w:ascii="Arial" w:cs="Arial" w:eastAsia="Arial" w:hAnsi="Arial"/>
                <w:sz w:val="14"/>
                <w:szCs w:val="14"/>
                <w:b w:val="1"/>
                <w:bCs w:val="1"/>
                <w:color w:val="auto"/>
              </w:rPr>
              <w:t>12/31/02</w:t>
            </w:r>
          </w:p>
        </w:tc>
      </w:tr>
      <w:tr>
        <w:trPr>
          <w:trHeight w:val="95"/>
        </w:trPr>
        <w:tc>
          <w:tcPr>
            <w:tcW w:w="226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r>
      <w:tr>
        <w:trPr>
          <w:trHeight w:val="309"/>
        </w:trPr>
        <w:tc>
          <w:tcPr>
            <w:tcW w:w="2260" w:type="dxa"/>
            <w:vAlign w:val="bottom"/>
          </w:tcPr>
          <w:p>
            <w:pPr>
              <w:ind w:left="60"/>
              <w:spacing w:after="0"/>
              <w:rPr>
                <w:sz w:val="20"/>
                <w:szCs w:val="20"/>
                <w:color w:val="auto"/>
              </w:rPr>
            </w:pPr>
            <w:r>
              <w:rPr>
                <w:rFonts w:ascii="Arial" w:cs="Arial" w:eastAsia="Arial" w:hAnsi="Arial"/>
                <w:sz w:val="18"/>
                <w:szCs w:val="18"/>
                <w:color w:val="auto"/>
              </w:rPr>
              <w:t>LEAR CORPORATION</w:t>
            </w: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100.00</w:t>
            </w:r>
          </w:p>
        </w:tc>
        <w:tc>
          <w:tcPr>
            <w:tcW w:w="1520" w:type="dxa"/>
            <w:vAlign w:val="bottom"/>
          </w:tcPr>
          <w:p>
            <w:pPr>
              <w:jc w:val="right"/>
              <w:ind w:right="337"/>
              <w:spacing w:after="0"/>
              <w:rPr>
                <w:sz w:val="20"/>
                <w:szCs w:val="20"/>
                <w:color w:val="auto"/>
              </w:rPr>
            </w:pPr>
            <w:r>
              <w:rPr>
                <w:rFonts w:ascii="Arial" w:cs="Arial" w:eastAsia="Arial" w:hAnsi="Arial"/>
                <w:sz w:val="18"/>
                <w:szCs w:val="18"/>
                <w:color w:val="auto"/>
              </w:rPr>
              <w:t>81.05</w:t>
            </w:r>
          </w:p>
        </w:tc>
        <w:tc>
          <w:tcPr>
            <w:tcW w:w="1540" w:type="dxa"/>
            <w:vAlign w:val="bottom"/>
          </w:tcPr>
          <w:p>
            <w:pPr>
              <w:jc w:val="right"/>
              <w:ind w:right="337"/>
              <w:spacing w:after="0"/>
              <w:rPr>
                <w:sz w:val="20"/>
                <w:szCs w:val="20"/>
                <w:color w:val="auto"/>
              </w:rPr>
            </w:pPr>
            <w:r>
              <w:rPr>
                <w:rFonts w:ascii="Arial" w:cs="Arial" w:eastAsia="Arial" w:hAnsi="Arial"/>
                <w:sz w:val="18"/>
                <w:szCs w:val="18"/>
                <w:color w:val="auto"/>
              </w:rPr>
              <w:t>67.37</w:t>
            </w:r>
          </w:p>
        </w:tc>
        <w:tc>
          <w:tcPr>
            <w:tcW w:w="1560" w:type="dxa"/>
            <w:vAlign w:val="bottom"/>
          </w:tcPr>
          <w:p>
            <w:pPr>
              <w:jc w:val="right"/>
              <w:ind w:right="337"/>
              <w:spacing w:after="0"/>
              <w:rPr>
                <w:sz w:val="20"/>
                <w:szCs w:val="20"/>
                <w:color w:val="auto"/>
              </w:rPr>
            </w:pPr>
            <w:r>
              <w:rPr>
                <w:rFonts w:ascii="Arial" w:cs="Arial" w:eastAsia="Arial" w:hAnsi="Arial"/>
                <w:sz w:val="18"/>
                <w:szCs w:val="18"/>
                <w:color w:val="auto"/>
              </w:rPr>
              <w:t>52.33</w:t>
            </w:r>
          </w:p>
        </w:tc>
        <w:tc>
          <w:tcPr>
            <w:tcW w:w="1540" w:type="dxa"/>
            <w:vAlign w:val="bottom"/>
          </w:tcPr>
          <w:p>
            <w:pPr>
              <w:jc w:val="right"/>
              <w:ind w:right="317"/>
              <w:spacing w:after="0"/>
              <w:rPr>
                <w:sz w:val="20"/>
                <w:szCs w:val="20"/>
                <w:color w:val="auto"/>
              </w:rPr>
            </w:pPr>
            <w:r>
              <w:rPr>
                <w:rFonts w:ascii="Arial" w:cs="Arial" w:eastAsia="Arial" w:hAnsi="Arial"/>
                <w:sz w:val="18"/>
                <w:szCs w:val="18"/>
                <w:color w:val="auto"/>
              </w:rPr>
              <w:t>80.28</w:t>
            </w:r>
          </w:p>
        </w:tc>
        <w:tc>
          <w:tcPr>
            <w:tcW w:w="1040" w:type="dxa"/>
            <w:vAlign w:val="bottom"/>
          </w:tcPr>
          <w:p>
            <w:pPr>
              <w:jc w:val="right"/>
              <w:spacing w:after="0"/>
              <w:rPr>
                <w:sz w:val="20"/>
                <w:szCs w:val="20"/>
                <w:color w:val="auto"/>
              </w:rPr>
            </w:pPr>
            <w:r>
              <w:rPr>
                <w:rFonts w:ascii="Arial" w:cs="Arial" w:eastAsia="Arial" w:hAnsi="Arial"/>
                <w:sz w:val="18"/>
                <w:szCs w:val="18"/>
                <w:color w:val="auto"/>
              </w:rPr>
              <w:t>70.06</w:t>
            </w:r>
          </w:p>
        </w:tc>
      </w:tr>
      <w:tr>
        <w:trPr>
          <w:trHeight w:val="216"/>
        </w:trPr>
        <w:tc>
          <w:tcPr>
            <w:tcW w:w="2260" w:type="dxa"/>
            <w:vAlign w:val="bottom"/>
          </w:tcPr>
          <w:p>
            <w:pPr>
              <w:ind w:left="60"/>
              <w:spacing w:after="0"/>
              <w:rPr>
                <w:sz w:val="20"/>
                <w:szCs w:val="20"/>
                <w:color w:val="auto"/>
              </w:rPr>
            </w:pPr>
            <w:r>
              <w:rPr>
                <w:rFonts w:ascii="Arial" w:cs="Arial" w:eastAsia="Arial" w:hAnsi="Arial"/>
                <w:sz w:val="18"/>
                <w:szCs w:val="18"/>
                <w:color w:val="auto"/>
              </w:rPr>
              <w:t>S&amp;P 500</w:t>
            </w: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100.00</w:t>
            </w:r>
          </w:p>
        </w:tc>
        <w:tc>
          <w:tcPr>
            <w:tcW w:w="1520" w:type="dxa"/>
            <w:vAlign w:val="bottom"/>
          </w:tcPr>
          <w:p>
            <w:pPr>
              <w:jc w:val="right"/>
              <w:ind w:right="337"/>
              <w:spacing w:after="0"/>
              <w:rPr>
                <w:sz w:val="20"/>
                <w:szCs w:val="20"/>
                <w:color w:val="auto"/>
              </w:rPr>
            </w:pPr>
            <w:r>
              <w:rPr>
                <w:rFonts w:ascii="Arial" w:cs="Arial" w:eastAsia="Arial" w:hAnsi="Arial"/>
                <w:sz w:val="18"/>
                <w:szCs w:val="18"/>
                <w:color w:val="auto"/>
              </w:rPr>
              <w:t>128.34</w:t>
            </w:r>
          </w:p>
        </w:tc>
        <w:tc>
          <w:tcPr>
            <w:tcW w:w="1540" w:type="dxa"/>
            <w:vAlign w:val="bottom"/>
          </w:tcPr>
          <w:p>
            <w:pPr>
              <w:jc w:val="right"/>
              <w:ind w:right="337"/>
              <w:spacing w:after="0"/>
              <w:rPr>
                <w:sz w:val="20"/>
                <w:szCs w:val="20"/>
                <w:color w:val="auto"/>
              </w:rPr>
            </w:pPr>
            <w:r>
              <w:rPr>
                <w:rFonts w:ascii="Arial" w:cs="Arial" w:eastAsia="Arial" w:hAnsi="Arial"/>
                <w:sz w:val="18"/>
                <w:szCs w:val="18"/>
                <w:color w:val="auto"/>
              </w:rPr>
              <w:t>155.14</w:t>
            </w:r>
          </w:p>
        </w:tc>
        <w:tc>
          <w:tcPr>
            <w:tcW w:w="1560" w:type="dxa"/>
            <w:vAlign w:val="bottom"/>
          </w:tcPr>
          <w:p>
            <w:pPr>
              <w:jc w:val="right"/>
              <w:ind w:right="337"/>
              <w:spacing w:after="0"/>
              <w:rPr>
                <w:sz w:val="20"/>
                <w:szCs w:val="20"/>
                <w:color w:val="auto"/>
              </w:rPr>
            </w:pPr>
            <w:r>
              <w:rPr>
                <w:rFonts w:ascii="Arial" w:cs="Arial" w:eastAsia="Arial" w:hAnsi="Arial"/>
                <w:sz w:val="18"/>
                <w:szCs w:val="18"/>
                <w:color w:val="auto"/>
              </w:rPr>
              <w:t>141.13</w:t>
            </w:r>
          </w:p>
        </w:tc>
        <w:tc>
          <w:tcPr>
            <w:tcW w:w="1540" w:type="dxa"/>
            <w:vAlign w:val="bottom"/>
          </w:tcPr>
          <w:p>
            <w:pPr>
              <w:jc w:val="right"/>
              <w:ind w:right="317"/>
              <w:spacing w:after="0"/>
              <w:rPr>
                <w:sz w:val="20"/>
                <w:szCs w:val="20"/>
                <w:color w:val="auto"/>
              </w:rPr>
            </w:pPr>
            <w:r>
              <w:rPr>
                <w:rFonts w:ascii="Arial" w:cs="Arial" w:eastAsia="Arial" w:hAnsi="Arial"/>
                <w:sz w:val="18"/>
                <w:szCs w:val="18"/>
                <w:color w:val="auto"/>
              </w:rPr>
              <w:t>124.35</w:t>
            </w:r>
          </w:p>
        </w:tc>
        <w:tc>
          <w:tcPr>
            <w:tcW w:w="1040" w:type="dxa"/>
            <w:vAlign w:val="bottom"/>
          </w:tcPr>
          <w:p>
            <w:pPr>
              <w:jc w:val="right"/>
              <w:spacing w:after="0"/>
              <w:rPr>
                <w:sz w:val="20"/>
                <w:szCs w:val="20"/>
                <w:color w:val="auto"/>
              </w:rPr>
            </w:pPr>
            <w:r>
              <w:rPr>
                <w:rFonts w:ascii="Arial" w:cs="Arial" w:eastAsia="Arial" w:hAnsi="Arial"/>
                <w:sz w:val="18"/>
                <w:szCs w:val="18"/>
                <w:color w:val="auto"/>
              </w:rPr>
              <w:t>97.03</w:t>
            </w:r>
          </w:p>
        </w:tc>
      </w:tr>
      <w:tr>
        <w:trPr>
          <w:trHeight w:val="222"/>
        </w:trPr>
        <w:tc>
          <w:tcPr>
            <w:tcW w:w="2260" w:type="dxa"/>
            <w:vAlign w:val="bottom"/>
          </w:tcPr>
          <w:p>
            <w:pPr>
              <w:ind w:left="60"/>
              <w:spacing w:after="0"/>
              <w:rPr>
                <w:sz w:val="20"/>
                <w:szCs w:val="20"/>
                <w:color w:val="auto"/>
              </w:rPr>
            </w:pPr>
            <w:r>
              <w:rPr>
                <w:rFonts w:ascii="Arial" w:cs="Arial" w:eastAsia="Arial" w:hAnsi="Arial"/>
                <w:sz w:val="18"/>
                <w:szCs w:val="18"/>
                <w:color w:val="auto"/>
              </w:rPr>
              <w:t>PEER GROUP</w:t>
            </w: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100.00</w:t>
            </w:r>
          </w:p>
        </w:tc>
        <w:tc>
          <w:tcPr>
            <w:tcW w:w="1520" w:type="dxa"/>
            <w:vAlign w:val="bottom"/>
          </w:tcPr>
          <w:p>
            <w:pPr>
              <w:jc w:val="right"/>
              <w:ind w:right="337"/>
              <w:spacing w:after="0"/>
              <w:rPr>
                <w:sz w:val="20"/>
                <w:szCs w:val="20"/>
                <w:color w:val="auto"/>
              </w:rPr>
            </w:pPr>
            <w:r>
              <w:rPr>
                <w:rFonts w:ascii="Arial" w:cs="Arial" w:eastAsia="Arial" w:hAnsi="Arial"/>
                <w:sz w:val="18"/>
                <w:szCs w:val="18"/>
                <w:color w:val="auto"/>
              </w:rPr>
              <w:t>103.28</w:t>
            </w:r>
          </w:p>
        </w:tc>
        <w:tc>
          <w:tcPr>
            <w:tcW w:w="1540" w:type="dxa"/>
            <w:vAlign w:val="bottom"/>
          </w:tcPr>
          <w:p>
            <w:pPr>
              <w:jc w:val="right"/>
              <w:ind w:right="337"/>
              <w:spacing w:after="0"/>
              <w:rPr>
                <w:sz w:val="20"/>
                <w:szCs w:val="20"/>
                <w:color w:val="auto"/>
              </w:rPr>
            </w:pPr>
            <w:r>
              <w:rPr>
                <w:rFonts w:ascii="Arial" w:cs="Arial" w:eastAsia="Arial" w:hAnsi="Arial"/>
                <w:sz w:val="18"/>
                <w:szCs w:val="18"/>
                <w:color w:val="auto"/>
              </w:rPr>
              <w:t>92.82</w:t>
            </w:r>
          </w:p>
        </w:tc>
        <w:tc>
          <w:tcPr>
            <w:tcW w:w="1560" w:type="dxa"/>
            <w:vAlign w:val="bottom"/>
          </w:tcPr>
          <w:p>
            <w:pPr>
              <w:jc w:val="right"/>
              <w:ind w:right="337"/>
              <w:spacing w:after="0"/>
              <w:rPr>
                <w:sz w:val="20"/>
                <w:szCs w:val="20"/>
                <w:color w:val="auto"/>
              </w:rPr>
            </w:pPr>
            <w:r>
              <w:rPr>
                <w:rFonts w:ascii="Arial" w:cs="Arial" w:eastAsia="Arial" w:hAnsi="Arial"/>
                <w:sz w:val="18"/>
                <w:szCs w:val="18"/>
                <w:color w:val="auto"/>
              </w:rPr>
              <w:t>80.65</w:t>
            </w:r>
          </w:p>
        </w:tc>
        <w:tc>
          <w:tcPr>
            <w:tcW w:w="1540" w:type="dxa"/>
            <w:vAlign w:val="bottom"/>
          </w:tcPr>
          <w:p>
            <w:pPr>
              <w:jc w:val="right"/>
              <w:ind w:right="317"/>
              <w:spacing w:after="0"/>
              <w:rPr>
                <w:sz w:val="20"/>
                <w:szCs w:val="20"/>
                <w:color w:val="auto"/>
              </w:rPr>
            </w:pPr>
            <w:r>
              <w:rPr>
                <w:rFonts w:ascii="Arial" w:cs="Arial" w:eastAsia="Arial" w:hAnsi="Arial"/>
                <w:sz w:val="18"/>
                <w:szCs w:val="18"/>
                <w:color w:val="auto"/>
              </w:rPr>
              <w:t>108.91</w:t>
            </w:r>
          </w:p>
        </w:tc>
        <w:tc>
          <w:tcPr>
            <w:tcW w:w="1040" w:type="dxa"/>
            <w:vAlign w:val="bottom"/>
          </w:tcPr>
          <w:p>
            <w:pPr>
              <w:jc w:val="right"/>
              <w:spacing w:after="0"/>
              <w:rPr>
                <w:sz w:val="20"/>
                <w:szCs w:val="20"/>
                <w:color w:val="auto"/>
              </w:rPr>
            </w:pPr>
            <w:r>
              <w:rPr>
                <w:rFonts w:ascii="Arial" w:cs="Arial" w:eastAsia="Arial" w:hAnsi="Arial"/>
                <w:sz w:val="18"/>
                <w:szCs w:val="18"/>
                <w:color w:val="auto"/>
              </w:rPr>
              <w:t>100.59</w:t>
            </w:r>
          </w:p>
        </w:tc>
      </w:tr>
    </w:tbl>
    <w:p>
      <w:pPr>
        <w:spacing w:after="0" w:line="210" w:lineRule="exact"/>
        <w:rPr>
          <w:sz w:val="20"/>
          <w:szCs w:val="20"/>
          <w:color w:val="auto"/>
        </w:rPr>
      </w:pPr>
    </w:p>
    <w:p>
      <w:pPr>
        <w:ind w:left="460" w:hanging="452"/>
        <w:spacing w:after="0" w:line="29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do not believe that there is a single published industry or line of business index that is appropriate for comparing stockholder return. The peer group we have selected is made up of representative independent automobile suppliers of comparable size and products whose common stock is traded on domestic stock exchanges. Our peer group includes ArvinMeritor, Inc., Borg-Warner Automotive, Inc., Collins &amp; Aikman Corporation, Dana Corporation, Delphi Corporation (f/k/a Delphi Automotive Systems Corporation), Eaton Corp., Gentex Corp., Johnson Controls, Inc., Magna International, Inc., Superior Industries International, Tower Automotive and Visteon Corporation. The following company was part of our peer group last year but has been removed this year: Donnelly Corp., was acquired by Magna International, Inc. on October 1, 2002.</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COMMITTEE REPORT</w:t>
      </w:r>
    </w:p>
    <w:p>
      <w:pPr>
        <w:spacing w:after="0" w:line="258" w:lineRule="exact"/>
        <w:rPr>
          <w:sz w:val="20"/>
          <w:szCs w:val="20"/>
          <w:color w:val="auto"/>
        </w:rPr>
      </w:pPr>
    </w:p>
    <w:p>
      <w:pPr>
        <w:jc w:val="both"/>
        <w:ind w:right="80" w:firstLine="324"/>
        <w:spacing w:after="0" w:line="306" w:lineRule="auto"/>
        <w:rPr>
          <w:sz w:val="20"/>
          <w:szCs w:val="20"/>
          <w:color w:val="auto"/>
        </w:rPr>
      </w:pPr>
      <w:r>
        <w:rPr>
          <w:rFonts w:ascii="Arial" w:cs="Arial" w:eastAsia="Arial" w:hAnsi="Arial"/>
          <w:sz w:val="16"/>
          <w:szCs w:val="16"/>
          <w:i w:val="1"/>
          <w:iCs w:val="1"/>
          <w:color w:val="auto"/>
        </w:rPr>
        <w:t>The information contained in this report shall not be deemed to be “soliciting material” or to be “filed” with the Securities and Exchange Commission, nor shall such information be incorporated by reference into any past or future filing under the Securities Act of 1933, as amended, or the 1934 Securities Exchange Act, as amended, except to the extent that we specifically incorporate it by reference in such filing.</w:t>
      </w:r>
    </w:p>
    <w:p>
      <w:pPr>
        <w:spacing w:after="0" w:line="188" w:lineRule="exact"/>
        <w:rPr>
          <w:sz w:val="20"/>
          <w:szCs w:val="20"/>
          <w:color w:val="auto"/>
        </w:rPr>
      </w:pPr>
    </w:p>
    <w:p>
      <w:pPr>
        <w:jc w:val="both"/>
        <w:ind w:right="80" w:firstLine="324"/>
        <w:spacing w:after="0" w:line="332" w:lineRule="auto"/>
        <w:rPr>
          <w:sz w:val="20"/>
          <w:szCs w:val="20"/>
          <w:color w:val="auto"/>
        </w:rPr>
      </w:pPr>
      <w:r>
        <w:rPr>
          <w:rFonts w:ascii="Arial" w:cs="Arial" w:eastAsia="Arial" w:hAnsi="Arial"/>
          <w:sz w:val="16"/>
          <w:szCs w:val="16"/>
          <w:color w:val="auto"/>
        </w:rPr>
        <w:t>The Audit Committee of the Board of Directors is responsible for evaluating audit performance, recommending engagement of and managing relations with our independent accountants and evaluating policies and procedures relating to internal accounting functions and controls. The Audit Committee is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currently comprised of Mr. Stern, Mr. McCurdy and Mrs. Elder, each a non-employee director, and operates under a written charter which was amended by our Board in February 2003. Mrs. Elder is retiring from our Board effective May 2003. A copy of the Audit Committee Charter as presently in effect is attached to this proxy statement as Appendix A. Our Board has determined that all members of the Audit Committee are “independent” for purposes of the New York Stock Exchange listing standards.</w:t>
      </w:r>
    </w:p>
    <w:p>
      <w:pPr>
        <w:spacing w:after="0" w:line="22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Audit Committee members are neither professional accountants nor auditors, and their functions are not intended to duplicate or to certify the activities of management and the independent auditor, nor can the Audit Committee certify that the independent auditor is “independent” under applicable rules.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 Our management has the primary responsibility for the financial statements and reporting process, including our systems of internal controls. In fulfilling its oversight responsibilities, the Audit Committee reviewed with management the audited financial statements included in the Annual Report on Form 10-K for the fiscal year ended December 31, 2002. This review included a discussion of the quality and the acceptability of our financial reporting and controls, including the clarity of disclosure in the financial statements.</w:t>
      </w:r>
    </w:p>
    <w:p>
      <w:pPr>
        <w:spacing w:after="0" w:line="199"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The Audit Committee has discussed with Ernst &amp; Young LLP, the Company’s independent accountants for the year ended December 31, 2002, the matters required to be discussed by SAS 61 (Codification of Statements on Accounting Standards) which includes, among other items, matters related to the conduct of the audit of the Company’s financial statements. The Audit Committee has also received written disclosures and the letter from Ernst &amp; Young LLP required by Independence Standards Board Standard No. 1 (which relates to the accountant’s independence from the Company and its related entities) and has discussed with Ernst &amp; Young LLP their independence from the Company.</w:t>
      </w:r>
    </w:p>
    <w:p>
      <w:pPr>
        <w:spacing w:after="0" w:line="19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of Directors that the Company’s audited financial statements be included in the Company’s Annual Report on Form 10-K for the fiscal year ended December 31, 2002, and be filed with the United States Securities and Exchange Commission.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report is submitted by Messrs. Stern, McCurdy, and Mrs. Elder, being all of the members of the Audit Committee.</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Larry W. McCurdy, Chairman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Irma B. Elder</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James A. Stern</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AND NON-AUDIT FEES</w:t>
      </w:r>
    </w:p>
    <w:p>
      <w:pPr>
        <w:spacing w:after="0" w:line="258"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During fiscal year 2002, we retained our former independent accountants, Arthur Andersen LLP, and our current independent accountants, Ernst &amp; Young LLP, to provide services in the following categories and amounts:</w:t>
      </w:r>
    </w:p>
    <w:p>
      <w:pPr>
        <w:spacing w:after="0" w:line="186" w:lineRule="exact"/>
        <w:rPr>
          <w:sz w:val="20"/>
          <w:szCs w:val="20"/>
          <w:color w:val="auto"/>
        </w:rPr>
      </w:pPr>
    </w:p>
    <w:p>
      <w:pPr>
        <w:ind w:left="460" w:hanging="101"/>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$3,250,000 to Ernst &amp; Young LLP, and $30,000 to Arthur Andersen LLP.</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Financial information systems design and implementation fees: </w:t>
      </w:r>
      <w:r>
        <w:rPr>
          <w:rFonts w:ascii="Arial" w:cs="Arial" w:eastAsia="Arial" w:hAnsi="Arial"/>
          <w:sz w:val="18"/>
          <w:szCs w:val="18"/>
          <w:color w:val="auto"/>
        </w:rPr>
        <w:t>$0 to Ernst &amp; Young LLP, and $0 to Arthur Andersen LLP.</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$1,893,000 to Ernst &amp; Young LLP, and $1,104,000 to Arthur Andersen LLP.</w:t>
      </w:r>
    </w:p>
    <w:p>
      <w:pPr>
        <w:spacing w:after="0" w:line="279" w:lineRule="exact"/>
        <w:rPr>
          <w:sz w:val="20"/>
          <w:szCs w:val="20"/>
          <w:color w:val="auto"/>
        </w:rPr>
      </w:pPr>
    </w:p>
    <w:p>
      <w:pPr>
        <w:ind w:right="80" w:firstLine="324"/>
        <w:spacing w:after="0" w:line="335" w:lineRule="auto"/>
        <w:rPr>
          <w:sz w:val="20"/>
          <w:szCs w:val="20"/>
          <w:color w:val="auto"/>
        </w:rPr>
      </w:pPr>
      <w:r>
        <w:rPr>
          <w:rFonts w:ascii="Arial" w:cs="Arial" w:eastAsia="Arial" w:hAnsi="Arial"/>
          <w:sz w:val="15"/>
          <w:szCs w:val="15"/>
          <w:color w:val="auto"/>
        </w:rPr>
        <w:t>Audit fees include services related to the annual audit, the reviews of our quarterly reports on Form 10-Q and statutory audits. All other fees of Ernst &amp; Young LLP consist of $1,808,000 for tax services including tax compliance, tax advice and tax planning and $85,000 for audits of U.S. employee benefit plans and other accounting services. All other fees of Arthur Andersen LLP include $832,000 for tax services and $272,000 for other accounting and auditing services.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301" w:lineRule="auto"/>
        <w:rPr>
          <w:sz w:val="20"/>
          <w:szCs w:val="20"/>
          <w:color w:val="auto"/>
        </w:rPr>
      </w:pPr>
      <w:r>
        <w:rPr>
          <w:rFonts w:ascii="Arial" w:cs="Arial" w:eastAsia="Arial" w:hAnsi="Arial"/>
          <w:sz w:val="15"/>
          <w:szCs w:val="15"/>
          <w:color w:val="auto"/>
        </w:rPr>
        <w:t>The Audit Committee has considered whether the provision of non-audit services rendered above by our principal auditor is compatible with maintaining auditor independence, and believes that the provision of such services is compatible. Notwithstanding the foregoing, the Audit Committee has adopted guidelines which prohibit the engagement of our independent auditors for any of the following non-audit services and arrangements: (1) the performance of any internal audit services; (2) the performance of any information technology systems design services; (3) any arrangement pursuant to which the independent auditors provide personnel to the Company on a temporary basis; and (4) any non-audit services prohibited under Section 10A of the Exchange Act (Section 10A of the Exchange Act currently prohibits (a) bookkeeping or other services related to the accounting records or financial statements of the audit client, (b) financial information systems design and implementation, (c) appraisal or valuation services, fairness opinions, or contribution-in-kind reports, (d) actuarial services,</w:t>
      </w:r>
    </w:p>
    <w:p>
      <w:pPr>
        <w:spacing w:after="0" w:line="5" w:lineRule="exact"/>
        <w:rPr>
          <w:sz w:val="20"/>
          <w:szCs w:val="20"/>
          <w:color w:val="auto"/>
        </w:rPr>
      </w:pPr>
    </w:p>
    <w:p>
      <w:pPr>
        <w:ind w:left="240" w:hanging="232"/>
        <w:spacing w:after="0"/>
        <w:tabs>
          <w:tab w:leader="none" w:pos="2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internal audit outsourcing services, (f) management functions or human resources, (g) broker or dealer, investment adviser, or investment banking services,</w:t>
      </w:r>
    </w:p>
    <w:p>
      <w:pPr>
        <w:spacing w:after="0" w:line="32" w:lineRule="exact"/>
        <w:rPr>
          <w:rFonts w:ascii="Arial" w:cs="Arial" w:eastAsia="Arial" w:hAnsi="Arial"/>
          <w:sz w:val="16"/>
          <w:szCs w:val="16"/>
          <w:color w:val="auto"/>
        </w:rPr>
      </w:pPr>
    </w:p>
    <w:p>
      <w:pPr>
        <w:ind w:right="740" w:firstLine="8"/>
        <w:spacing w:after="0" w:line="261" w:lineRule="auto"/>
        <w:tabs>
          <w:tab w:leader="none" w:pos="2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legal services and expert services unrelated to the audit, and (i) any other service that the Public Company Accounting Oversight Board, which was established under Section 101 of the Sarbanes-Oxley Act of 2002, determines, by regulation, is impermissible).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CHANGE IN INDEPENDENT PUBLIC ACCOUNTANTS</w:t>
      </w:r>
    </w:p>
    <w:p>
      <w:pPr>
        <w:spacing w:after="0" w:line="258" w:lineRule="exact"/>
        <w:rPr>
          <w:sz w:val="20"/>
          <w:szCs w:val="20"/>
          <w:color w:val="auto"/>
        </w:rPr>
      </w:pPr>
    </w:p>
    <w:p>
      <w:pPr>
        <w:ind w:right="440" w:firstLine="324"/>
        <w:spacing w:after="0" w:line="332" w:lineRule="auto"/>
        <w:rPr>
          <w:sz w:val="20"/>
          <w:szCs w:val="20"/>
          <w:color w:val="auto"/>
        </w:rPr>
      </w:pPr>
      <w:r>
        <w:rPr>
          <w:rFonts w:ascii="Arial" w:cs="Arial" w:eastAsia="Arial" w:hAnsi="Arial"/>
          <w:sz w:val="16"/>
          <w:szCs w:val="16"/>
          <w:color w:val="auto"/>
        </w:rPr>
        <w:t>On May 9, 2002, our Board of Directors, upon the recommendation of the Audit Committee, decided to no longer engage Arthur Andersen LLP as our independent public accountants and to engage Ernst &amp; Young LLP to serve as our independent public accountants for the fiscal year 2002.</w:t>
      </w:r>
    </w:p>
    <w:p>
      <w:pPr>
        <w:spacing w:after="0" w:line="166" w:lineRule="exact"/>
        <w:rPr>
          <w:sz w:val="20"/>
          <w:szCs w:val="20"/>
          <w:color w:val="auto"/>
        </w:rPr>
      </w:pPr>
    </w:p>
    <w:p>
      <w:pPr>
        <w:ind w:right="380" w:firstLine="324"/>
        <w:spacing w:after="0" w:line="332" w:lineRule="auto"/>
        <w:rPr>
          <w:sz w:val="20"/>
          <w:szCs w:val="20"/>
          <w:color w:val="auto"/>
        </w:rPr>
      </w:pPr>
      <w:r>
        <w:rPr>
          <w:rFonts w:ascii="Arial" w:cs="Arial" w:eastAsia="Arial" w:hAnsi="Arial"/>
          <w:sz w:val="16"/>
          <w:szCs w:val="16"/>
          <w:color w:val="auto"/>
        </w:rPr>
        <w:t>Arthur Andersen’s reports on our consolidated financial statements for each of the years ended December 31, 2001 and 2000 did not contain an adverse opinion or disclaimer of opinion, nor were they qualified or modified as to uncertainty, audit scope or accounting principles.</w:t>
      </w:r>
    </w:p>
    <w:p>
      <w:pPr>
        <w:spacing w:after="0" w:line="166"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During the years ended December 31, 2001 and 2000 and through May 9, 2002, there were no disagreements with Arthur Andersen on any matter of accounting principle or practice, financial statement disclosure, or auditing scope or procedure which, if not resolved to Arthur Andersen’s satisfaction, would have caused them to make reference to the subject matter in connection with their report on our consolidated financial statements for such years; and there were no reportable events as defined in Item 304(a)(1)(v) of Regulation S-K.</w:t>
      </w:r>
    </w:p>
    <w:p>
      <w:pPr>
        <w:spacing w:after="0" w:line="224"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During the years ended December 31, 2001 and 2000 and through the date of the Board of Directors’ decision, we did not consult Ernst &amp; Young with respect to the application of accounting principles to a specified transaction, either completed or proposed, or the type of audit opinion that might be rendered on our consolidated financial statements, or any other matters or reportable events as set forth in Items 304(a)(2)(i) and (ii) of Regulation S-K.</w:t>
      </w:r>
    </w:p>
    <w:p>
      <w:pPr>
        <w:spacing w:after="0" w:line="15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CERTAIN TRANSACTIONS</w:t>
      </w:r>
    </w:p>
    <w:p>
      <w:pPr>
        <w:spacing w:after="0" w:line="258" w:lineRule="exact"/>
        <w:rPr>
          <w:sz w:val="20"/>
          <w:szCs w:val="20"/>
          <w:color w:val="auto"/>
        </w:rPr>
      </w:pPr>
    </w:p>
    <w:p>
      <w:pPr>
        <w:ind w:right="1000" w:firstLine="324"/>
        <w:spacing w:after="0" w:line="268" w:lineRule="auto"/>
        <w:rPr>
          <w:sz w:val="20"/>
          <w:szCs w:val="20"/>
          <w:color w:val="auto"/>
        </w:rPr>
      </w:pPr>
      <w:r>
        <w:rPr>
          <w:rFonts w:ascii="Arial" w:cs="Arial" w:eastAsia="Arial" w:hAnsi="Arial"/>
          <w:sz w:val="18"/>
          <w:szCs w:val="18"/>
          <w:color w:val="auto"/>
        </w:rPr>
        <w:t>Kenneth L. Way retired as our Chairman in December 2002 and his retirement arrangement is described in “Executive Compensation — Other Compensation Arrangements” beginning on page 15.</w:t>
      </w:r>
    </w:p>
    <w:p>
      <w:pPr>
        <w:spacing w:after="0" w:line="213"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Joseph Carron, a Senior Account Manager of Lear’s GM Division, is the brother of Randall Carron, Lear’s Senior Vice President-Asian OEM Division. In 2002, Joseph Carron earned $97,806, which included a bonus of $9,306. Joseph Carron also received options to purchase 250 shares of Lear’s common stock at an exercise price of $41.83 per share.</w:t>
      </w:r>
    </w:p>
    <w:p>
      <w:pPr>
        <w:spacing w:after="0" w:line="221" w:lineRule="exact"/>
        <w:rPr>
          <w:sz w:val="20"/>
          <w:szCs w:val="20"/>
          <w:color w:val="auto"/>
        </w:rPr>
      </w:pPr>
    </w:p>
    <w:p>
      <w:pPr>
        <w:ind w:right="660" w:firstLine="324"/>
        <w:spacing w:after="0" w:line="268" w:lineRule="auto"/>
        <w:rPr>
          <w:sz w:val="20"/>
          <w:szCs w:val="20"/>
          <w:color w:val="auto"/>
        </w:rPr>
      </w:pPr>
      <w:r>
        <w:rPr>
          <w:rFonts w:ascii="Arial" w:cs="Arial" w:eastAsia="Arial" w:hAnsi="Arial"/>
          <w:sz w:val="18"/>
          <w:szCs w:val="18"/>
          <w:color w:val="auto"/>
        </w:rPr>
        <w:t>Steven DelGrosso, a Quality Supervisor at one of Lear’s plants, is the brother of Douglas DelGrosso, Lear’s President and Chief Operating Officer-International Operations. In 2002, Steven DelGrosso earned $77,061.</w:t>
      </w:r>
    </w:p>
    <w:p>
      <w:pPr>
        <w:spacing w:after="0" w:line="21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Noelle Gill, a Human Resources Staff Manager at one of Lear’s division offices, is the daughter of Roy Parrott, a Director of Lear. In 2002, Ms. Gill earned $82,789, which included a bonus of $8,997. Ms. Gill also received options to purchase 250 shares of Lear’s common stock at an exercise price of $41.83 per share.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420" w:firstLine="324"/>
        <w:spacing w:after="0" w:line="332" w:lineRule="auto"/>
        <w:rPr>
          <w:sz w:val="20"/>
          <w:szCs w:val="20"/>
          <w:color w:val="auto"/>
        </w:rPr>
      </w:pPr>
      <w:r>
        <w:rPr>
          <w:rFonts w:ascii="Arial" w:cs="Arial" w:eastAsia="Arial" w:hAnsi="Arial"/>
          <w:sz w:val="16"/>
          <w:szCs w:val="16"/>
          <w:color w:val="auto"/>
        </w:rPr>
        <w:t>Spencer Gill, a Manager in Lear’s Program Management Group, is the son-in-law of Roy Parrott, a Director of Lear. In 2002, Mr. Gill earned $122,457, which included a bonus of $18,678. Mr. Gill also received options to purchase 500 shares of Lear’s common stock at an exercise price of $41.83 per share.</w:t>
      </w:r>
    </w:p>
    <w:p>
      <w:pPr>
        <w:spacing w:after="0" w:line="166"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Terrence Kittleson, a brother-in-law of Lear’s Chairman and Chief Executive Officer, Robert Rossiter, is employed by Trammell Crow Company as an Executive Vice President. In 2002, Lear paid $2,444,000 to Trammell Crow for facilities maintenance services and $73,000 for real estate brokerage services. Trammell Crow was engaged to maintain these facilities and to provide real estate brokerage services in the ordinary course of Lear’s business and in accordance with Lear’s normal procedures for engaging service providers.</w:t>
      </w:r>
    </w:p>
    <w:p>
      <w:pPr>
        <w:spacing w:after="0" w:line="224"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Brian Rossiter, a brother of Lear’s Chairman and Chief Executive Officer, Robert Rossiter, represented Center Manufacturing and Sarnamotive/ Blue Water in the sale of automotive products to Lear. In 2002, Lear purchased $2,002,838 worth of steel stampings and assemblies from Center Manufacturing and $987,932 worth of injection molded plastic parts from Sarnamotive/ Blue Water with respect to which Brian Rossiter received a commission. These purchases were made in the ordinary course of Lear’s business and in accordance with Lear’s normal sourcing procedures for its suppliers.</w:t>
      </w:r>
    </w:p>
    <w:p>
      <w:pPr>
        <w:spacing w:after="0" w:line="194"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Brian T. Rossiter, a Program Manager in one of Lear’s division offices, is the son of Robert Rossiter, Lear’s Chairman and Chief Executive Officer. In 2002, Brian T. Rossiter earned $78,149, which included a bonus of $7,637.</w:t>
      </w:r>
    </w:p>
    <w:p>
      <w:pPr>
        <w:spacing w:after="0" w:line="213"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Sara Rossiter, an Account Manager in one of Lear’s division offices, is the daughter of Robert Rossiter, Lear’s Chairman and Chief Executive Officer. In 2002, Ms. Rossiter earned $62,562, which included a bonus of $3,295.</w:t>
      </w:r>
    </w:p>
    <w:p>
      <w:pPr>
        <w:spacing w:after="0" w:line="213" w:lineRule="exact"/>
        <w:rPr>
          <w:sz w:val="20"/>
          <w:szCs w:val="20"/>
          <w:color w:val="auto"/>
        </w:rPr>
      </w:pPr>
    </w:p>
    <w:p>
      <w:pPr>
        <w:ind w:right="200" w:firstLine="324"/>
        <w:spacing w:after="0" w:line="294" w:lineRule="auto"/>
        <w:rPr>
          <w:sz w:val="20"/>
          <w:szCs w:val="20"/>
          <w:color w:val="auto"/>
        </w:rPr>
      </w:pPr>
      <w:r>
        <w:rPr>
          <w:rFonts w:ascii="Arial" w:cs="Arial" w:eastAsia="Arial" w:hAnsi="Arial"/>
          <w:sz w:val="16"/>
          <w:szCs w:val="16"/>
          <w:color w:val="auto"/>
        </w:rPr>
        <w:t>Terrence Rossiter, a brother of Lear’s Chairman and Chief Executive Officer, Robert Rossiter, and Ray Green, a brother-in-law of Charles Fisher, Lear’s former President-DaimlerChrysler Division, are employed as salespersons by Analysts International, Sequoia Services Group. In 2002, Lear paid $5,146,757 to Analysts International for software services and $10,834 for the purchase of certain computer equipment. The purchases of these services and equipment were made in the ordinary course of Lear’s business and in accordance with Lear’s normal procedures for engaging service providers in the case of purchases of computer services and normal sourcing procedures for its suppliers in the case of purchases of computer equipment.</w:t>
      </w:r>
    </w:p>
    <w:p>
      <w:pPr>
        <w:spacing w:after="0" w:line="197"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Richard Snyder, a Sales Manager at one of Lear’s division offices, is a brother-in-law of Robert Rossiter, Lear’s Chairman and Chief Executive Officer. In 2002, Mr. Snyder earned $100,680, which included a bonus of $13,501. Mr. Snyder also received options to purchase 500 shares of Lear’s common stock at an exercise price of $41.83 per share.</w:t>
      </w:r>
    </w:p>
    <w:p>
      <w:pPr>
        <w:spacing w:after="0" w:line="221"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Robert Snyder, a Purchasing Manager at Lear’s headquarters, is a brother-in-law of Robert Rossiter, Lear’s Chairman and Chief Executive Officer. In 2002, Mr. Snyder earned $114,336, which included a bonus of $13,515. Mr. Snyder also received options to purchase 675 shares of Lear’s common stock at an exercise price of $41.83 per share.</w:t>
      </w:r>
    </w:p>
    <w:p>
      <w:pPr>
        <w:spacing w:after="0" w:line="221" w:lineRule="exact"/>
        <w:rPr>
          <w:sz w:val="20"/>
          <w:szCs w:val="20"/>
          <w:color w:val="auto"/>
        </w:rPr>
      </w:pPr>
    </w:p>
    <w:p>
      <w:pPr>
        <w:ind w:right="520" w:firstLine="324"/>
        <w:spacing w:after="0" w:line="268" w:lineRule="auto"/>
        <w:rPr>
          <w:sz w:val="20"/>
          <w:szCs w:val="20"/>
          <w:color w:val="auto"/>
        </w:rPr>
      </w:pPr>
      <w:r>
        <w:rPr>
          <w:rFonts w:ascii="Arial" w:cs="Arial" w:eastAsia="Arial" w:hAnsi="Arial"/>
          <w:sz w:val="18"/>
          <w:szCs w:val="18"/>
          <w:color w:val="auto"/>
        </w:rPr>
        <w:t>Michael Spalding, a Senior Account Manager at Lear’s DaimlerChrysler Division office, is the brother of David Spalding, a Director of Lear. In 2002, Michael Spalding earned $84,438, which included a bonus of $8,106.</w:t>
      </w:r>
    </w:p>
    <w:p>
      <w:pPr>
        <w:spacing w:after="0" w:line="21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Patrick VandenBoom, an Information Technology Director for Lear, is the brother-in-law of James Vandenberghe, a Director and the Vice Chairman of Lear. In 2002, Mr. VandenBoom earned $161,344, which included a bonus of $29,465. Mr. VandenBoom also received options to purchase 1,000 shares of Lear’s common stock at an exercise price of $41.83 per share.</w:t>
      </w:r>
    </w:p>
    <w:p>
      <w:pPr>
        <w:spacing w:after="0" w:line="221" w:lineRule="exact"/>
        <w:rPr>
          <w:sz w:val="20"/>
          <w:szCs w:val="20"/>
          <w:color w:val="auto"/>
        </w:rPr>
      </w:pPr>
    </w:p>
    <w:p>
      <w:pPr>
        <w:ind w:right="180" w:firstLine="324"/>
        <w:spacing w:after="0" w:line="370" w:lineRule="auto"/>
        <w:rPr>
          <w:sz w:val="20"/>
          <w:szCs w:val="20"/>
          <w:color w:val="auto"/>
        </w:rPr>
      </w:pPr>
      <w:r>
        <w:rPr>
          <w:rFonts w:ascii="Arial" w:cs="Arial" w:eastAsia="Arial" w:hAnsi="Arial"/>
          <w:sz w:val="15"/>
          <w:szCs w:val="15"/>
          <w:color w:val="auto"/>
        </w:rPr>
        <w:t>David Way, a Sales Director in Lear’s DaimlerChrysler Division, is the son of Kenneth L. Way, a director of Lear. In 2002, David Way earned $103,169, which included a bonus of $18,580. David Way also received options to purchase 1,500 shares of Lear’s common stock at an exercise price of $41.83 per share.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John Youvon, a Sales Manager in Lear’s Ford Division office, is the brother-in-law of Paul Joseph Zimmer, Lear’s President-Seating Systems Division. In 2002, Mr. Youvon earned $107,920,which included a bonus of $14,565.</w:t>
      </w:r>
    </w:p>
    <w:p>
      <w:pPr>
        <w:spacing w:after="0" w:line="21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Thomas Zimmer, a brother of Paul Joseph Zimmer, Lear’s President-Seating Systems Division, is employed by Cornerstone Real Estate, Inc. as a real estate broker. In 2002, Lear paid $74,441 to Cornerstone Real Estate, Inc. for real estate brokerage services for a transaction in which Thomas Zimmer represented Lear. Cornerstone Real Estate, Inc. was engaged to provide real estate brokerage services in the ordinary course of Lear’s business and in accordance with Lear’s normal procedures for engaging service providers.</w:t>
      </w:r>
    </w:p>
    <w:p>
      <w:pPr>
        <w:spacing w:after="0" w:line="224"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Paul Joseph Zimmer, Lear’s President-Seating Systems Division, is a director of Piston Automotive. Lear owns a 49% interest in JL Automotive which sells headliners to original equipment manufacturers. Piston Automotive owns the other 51% interest in JL Automotive. William Zimmer, the brother of Paul Joseph Zimmer, is an employee of Piston Automotive. JL Automotive had sales of $33.6 million in 2002, of which $28.1 million were to Lear.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2)</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Audit Committee has appointed Ernst &amp; Young LLP as our independent auditors for the year ending December 31, 2003. A proposal will be presented at the meeting to ratify the appointment of Ernst &amp; Young LLP as our independent auditors for the year ending December 31, 2003. Ratification of the appointment of our independent auditors requires the affirmative vote of the majority of shares present in person or represented by proxy at the meeting and entitled to vote. If the stockholders fail to ratify such selection by the affirmative vote of a majority of the shares present in person or represented by proxy at the meeting, other independent auditors will be considered by our Audit Committee. We have been advised that a representative of Ernst &amp; Young LLP will be present at the meeting and will be available to respond to appropriate questions.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YOUR BOARD RECOMMENDS A VOTE “FOR” RATIFICATION 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APPOINTMENT OF ERNST &amp; YOUNG LLP AS INDEPENDENT AUDITORS FOR 2003.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 AN AMENDMENT TO OUR LONG-TERM STOCK INCENTIVE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3)</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March 17, 2003, our Compensation Committee adopted, subject to stockholder approval, an amendment to the Long-Term Stock Incentive Plan which</w:t>
      </w:r>
    </w:p>
    <w:p>
      <w:pPr>
        <w:spacing w:after="0" w:line="38" w:lineRule="exact"/>
        <w:rPr>
          <w:sz w:val="20"/>
          <w:szCs w:val="20"/>
          <w:color w:val="auto"/>
        </w:rPr>
      </w:pPr>
    </w:p>
    <w:p>
      <w:pPr>
        <w:ind w:right="20" w:firstLine="8"/>
        <w:spacing w:after="0" w:line="285" w:lineRule="auto"/>
        <w:tabs>
          <w:tab w:leader="none" w:pos="21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increases the maximum number of shares of common stock that may be issued under the plan by 3,000,000, from 8,690,000 plus any shares that are or become available on or after May 3, 2001 under our 1992, 1994 and 1996 stock option plans to 11,690,000 plus any shares that are or become available on or after May 3, 2001 under our 1992, 1994 and 1996 stock option plans, (ii) increases the maximum number of shares that may be issued or transferred to participants under restricted stock units and performance units from 2,000,000 to 4,500,000, and (iii) enables the dollar amount deferred by a participant under the plan to be increased by up to fifty percent for purposes of determining the number of restricted stock units to grant the participant. As of December 31, 2002, without taking into account any increase in the number of shares available under the plan, there were approximately 815,348 shares not subject to outstanding awards under the plan. Our Compensation Committee believes that increasing the total number of shares available for awards under the plan is necessary to ensure that a sufficient number of shares will be available to fund our executive compensation programs over the next two to three years. In addition, in order to keep pace with current trends in executive compensation and to remain competitive with industry equity compensation practice, we wish to emphasize performance-based awards more than we have in the past. Our Compensation Committee believes increasing the number of shares that may be awarded as restricted stock units and performance units, and increasing the premium on participant dollars deferred to purchase restricted stock units, are necessary and desirable to help us achieve that goal. Making a significant portion of the compensation of certain employees whose efforts can affect the value of our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Company depend upon the long-term performance of our common stock, encourages those employees to work in a way that maximizes stockholder value.</w:t>
      </w:r>
    </w:p>
    <w:p>
      <w:pPr>
        <w:spacing w:after="0" w:line="275"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Approval of an amendment to our Long-Term Stock Incentive Plan requires the affirmative vote of the majority of shares present in person or represented by proxy at the meeting and entitled to vote.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our Long-Term Stock Incentive Plan</w:t>
      </w:r>
    </w:p>
    <w:p>
      <w:pPr>
        <w:spacing w:after="0" w:line="258" w:lineRule="exact"/>
        <w:rPr>
          <w:sz w:val="20"/>
          <w:szCs w:val="20"/>
          <w:color w:val="auto"/>
        </w:rPr>
      </w:pPr>
    </w:p>
    <w:p>
      <w:pPr>
        <w:ind w:right="560" w:firstLine="324"/>
        <w:spacing w:after="0" w:line="332" w:lineRule="auto"/>
        <w:rPr>
          <w:sz w:val="20"/>
          <w:szCs w:val="20"/>
          <w:color w:val="auto"/>
        </w:rPr>
      </w:pPr>
      <w:r>
        <w:rPr>
          <w:rFonts w:ascii="Arial" w:cs="Arial" w:eastAsia="Arial" w:hAnsi="Arial"/>
          <w:sz w:val="16"/>
          <w:szCs w:val="16"/>
          <w:color w:val="auto"/>
        </w:rPr>
        <w:t>The following is only a summary of our Long-Term Stock Incentive Plan, as amended, and, upon stockholder approval, effective May 8, 2003, and is qualified in its entirety by reference to its full text, a copy of which is attached as Appendix B to this proxy statement.</w:t>
      </w:r>
    </w:p>
    <w:p>
      <w:pPr>
        <w:spacing w:after="0" w:line="166"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purposes of the Long-Term Stock Incentive Plan are to optimize the profitability and growth of our company through long-term incentives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consistent with our objectives and that link the interests of plan participants to those of our stockholders; to provide plan participants with an incentive for excellence in individual performance; to promote teamwork among plan participants; and to give us an advantage in attracting and retaining officers, key employees and directors.</w:t>
      </w:r>
    </w:p>
    <w:p>
      <w:pPr>
        <w:spacing w:after="0" w:line="22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plan permits awards of nonqualified stock options, incentive stock options, stock appreciation rights, restricted stock, restricted units, restricted stock units, performance shares and performance units. In addition, the plan provides an opportunity for the deferral of payment of salary, bonuses and other forms of incentive compensation.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Term of Plan. </w:t>
      </w:r>
      <w:r>
        <w:rPr>
          <w:rFonts w:ascii="Arial" w:cs="Arial" w:eastAsia="Arial" w:hAnsi="Arial"/>
          <w:sz w:val="18"/>
          <w:szCs w:val="18"/>
          <w:color w:val="auto"/>
        </w:rPr>
        <w:t>Awards may be made under the plan until the earliest of:</w:t>
      </w:r>
    </w:p>
    <w:p>
      <w:pPr>
        <w:spacing w:after="0" w:line="225" w:lineRule="exact"/>
        <w:rPr>
          <w:sz w:val="20"/>
          <w:szCs w:val="20"/>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when all of the shares reserved for issuance under the plan have been exhausted,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3, 2011,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as of which the plan is terminated by our Compensation Committee.</w:t>
      </w:r>
    </w:p>
    <w:p>
      <w:pPr>
        <w:spacing w:after="0" w:line="279"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i w:val="1"/>
          <w:iCs w:val="1"/>
          <w:color w:val="auto"/>
        </w:rPr>
        <w:t xml:space="preserve">Shares Subject to the Plan. </w:t>
      </w:r>
      <w:r>
        <w:rPr>
          <w:rFonts w:ascii="Arial" w:cs="Arial" w:eastAsia="Arial" w:hAnsi="Arial"/>
          <w:sz w:val="16"/>
          <w:szCs w:val="16"/>
          <w:color w:val="auto"/>
        </w:rPr>
        <w:t>If approved by our stockholders, the maximum number of shares that may be issued or transferred to participants under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increased by 3,000,000 from 8,690,000 plus any shares that are or become available on or after May 3, 2001 under our 1992, 1994 and 1996 stock option plans to 11,690,000 plus any shares that are or become available on or after May 3, 2001 under our 1992, 1994 and 1996 stock option plans. The plan’s share reserve is not a simple numeric limit, because when we amended and restated the plan in 2001, we designed it so that future awards would all be made under the Long-Term Stock Incentive Plan. Therefore, shares of common stock that are or become available on or after May 3, 2001 under our 1992, 1994 and 1996 stock option plans are subject to awards under the Long-Term Stock Incentive Plan only. No awards have been made since May 3, 2001, or will in the future be made, under those other, prior stock option plans.</w:t>
      </w:r>
    </w:p>
    <w:p>
      <w:pPr>
        <w:spacing w:after="0" w:line="199" w:lineRule="exact"/>
        <w:rPr>
          <w:sz w:val="20"/>
          <w:szCs w:val="20"/>
          <w:color w:val="auto"/>
        </w:rPr>
      </w:pPr>
    </w:p>
    <w:p>
      <w:pPr>
        <w:jc w:val="both"/>
        <w:ind w:right="180" w:firstLine="324"/>
        <w:spacing w:after="0" w:line="306" w:lineRule="auto"/>
        <w:rPr>
          <w:sz w:val="20"/>
          <w:szCs w:val="20"/>
          <w:color w:val="auto"/>
        </w:rPr>
      </w:pPr>
      <w:r>
        <w:rPr>
          <w:rFonts w:ascii="Arial" w:cs="Arial" w:eastAsia="Arial" w:hAnsi="Arial"/>
          <w:sz w:val="16"/>
          <w:szCs w:val="16"/>
          <w:color w:val="auto"/>
        </w:rPr>
        <w:t>If any award terminates or lapses for any reason, the shares subject to that award will again be available for grant under the plan. If there is a change in our capitalization, our Compensation Committee may make appropriate adjustments to the number and class of shares that may be delivered under the plan, to the number, class or price of shares subject to outstanding awards, and to the annual individual award limit to prevent dilution or enlargement of rights.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Long-Term Stock Incentive Plan is administered by the Compensation Committee of our Board of Directors.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Our employees and employees of our affiliates are eligible to participate in the plan. Our non-employee directors and non-employee directors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affiliates may receive only nonqualified stock options under the plan. An “affiliate” is defined as a corporation, partnership, joint venture or other enterprise of which we own or control, directly or indirectly, at least one half of the voting rights. An employee actually becomes a plan participant when he or she is chosen by our Compensation Committee to receive an award.</w:t>
      </w:r>
    </w:p>
    <w:p>
      <w:pPr>
        <w:spacing w:after="0" w:line="224"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i w:val="1"/>
          <w:iCs w:val="1"/>
          <w:color w:val="auto"/>
        </w:rPr>
        <w:t xml:space="preserve">Limitations. </w:t>
      </w:r>
      <w:r>
        <w:rPr>
          <w:rFonts w:ascii="Arial" w:cs="Arial" w:eastAsia="Arial" w:hAnsi="Arial"/>
          <w:sz w:val="18"/>
          <w:szCs w:val="18"/>
          <w:color w:val="auto"/>
        </w:rPr>
        <w:t>Section 162(m) of the Internal Revenue Code places limits on the deductibility for federal income tax purposes of compensation paid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To ensure that we can deduct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compensation income associated with stock compensation awards granted to our officers, the Long-Term Stock Incentive Plan provides that the maximum number of shares and share equivalent units that may be granted during any calendar year to any one participant under all types of plan awards is 300,000. In addition, the maximum number of shares that may be issued through options intended to be incentive stock options during the entire life of the plan is 2,000,000.</w:t>
      </w:r>
    </w:p>
    <w:p>
      <w:pPr>
        <w:spacing w:after="0" w:line="169"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i w:val="1"/>
          <w:iCs w:val="1"/>
          <w:color w:val="auto"/>
        </w:rPr>
        <w:t xml:space="preserve">Terms and Conditions of Options. </w:t>
      </w:r>
      <w:r>
        <w:rPr>
          <w:rFonts w:ascii="Arial" w:cs="Arial" w:eastAsia="Arial" w:hAnsi="Arial"/>
          <w:sz w:val="18"/>
          <w:szCs w:val="18"/>
          <w:color w:val="auto"/>
        </w:rPr>
        <w:t>Each option will be evidenced by an award agreement. The award agreement is issued in the form of a certificate</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summarizing the broad terms of the option grant, coupled with a longer document that describes the terms and conditions of the grant in greater detail. Our Compensation Committee determines the exercise price of an option at the time it is granted, but that exercise price must equal at least 100% of the fair market value of our common stock at the time the option is granted. “Fair market value” is generally the average of the high and low trading prices of a share of our common stock on the New York Stock Exchange. An option award may not be modified to specify a lower exercise price without the approval of our stockholders.</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Exercise of Options. </w:t>
      </w:r>
      <w:r>
        <w:rPr>
          <w:rFonts w:ascii="Arial" w:cs="Arial" w:eastAsia="Arial" w:hAnsi="Arial"/>
          <w:sz w:val="16"/>
          <w:szCs w:val="16"/>
          <w:color w:val="auto"/>
        </w:rPr>
        <w:t>An option vests and becomes exercisable according to the terms specified in the stock option award agreement that covers the option.</w:t>
      </w:r>
      <w:r>
        <w:rPr>
          <w:rFonts w:ascii="Arial" w:cs="Arial" w:eastAsia="Arial" w:hAnsi="Arial"/>
          <w:sz w:val="16"/>
          <w:szCs w:val="16"/>
          <w:i w:val="1"/>
          <w:iCs w:val="1"/>
          <w:color w:val="auto"/>
        </w:rPr>
        <w:t xml:space="preserve"> </w:t>
      </w:r>
      <w:r>
        <w:rPr>
          <w:rFonts w:ascii="Arial" w:cs="Arial" w:eastAsia="Arial" w:hAnsi="Arial"/>
          <w:sz w:val="16"/>
          <w:szCs w:val="16"/>
          <w:color w:val="auto"/>
        </w:rPr>
        <w:t>Whether and under what circumstances an option may be exercised after the plan participant’s death, retirement, disability or other termination of employment are specified in the stock option award agreement. Notwithstanding the foregoing, no option may be exercised more than ten years after the date of grant. The stock option award agreement also specifies the means of payment that will be permitted. Among the forms of payment that may be permitted under the plan are cash, cashier’s check, surrender of shares the optionee has held for at least six months, any combination of the foregoing or any other type of exercise permitted by applicable law. Broker-assisted “cashless” exercise is possible so long as it meets the requirements of the Federal Reserve Board’s Regulation T.</w:t>
      </w:r>
    </w:p>
    <w:p>
      <w:pPr>
        <w:spacing w:after="0" w:line="201"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i w:val="1"/>
          <w:iCs w:val="1"/>
          <w:color w:val="auto"/>
        </w:rPr>
        <w:t xml:space="preserve">Stock Appreciation Rights (“SARs”). </w:t>
      </w:r>
      <w:r>
        <w:rPr>
          <w:rFonts w:ascii="Arial" w:cs="Arial" w:eastAsia="Arial" w:hAnsi="Arial"/>
          <w:sz w:val="16"/>
          <w:szCs w:val="16"/>
          <w:color w:val="auto"/>
        </w:rPr>
        <w:t>Our Compensation Committee may grant freestanding SARs, tandem SARs, and/or any combination of these forms of</w:t>
      </w:r>
      <w:r>
        <w:rPr>
          <w:rFonts w:ascii="Arial" w:cs="Arial" w:eastAsia="Arial" w:hAnsi="Arial"/>
          <w:sz w:val="16"/>
          <w:szCs w:val="16"/>
          <w:i w:val="1"/>
          <w:iCs w:val="1"/>
          <w:color w:val="auto"/>
        </w:rPr>
        <w:t xml:space="preserve"> </w:t>
      </w:r>
      <w:r>
        <w:rPr>
          <w:rFonts w:ascii="Arial" w:cs="Arial" w:eastAsia="Arial" w:hAnsi="Arial"/>
          <w:sz w:val="16"/>
          <w:szCs w:val="16"/>
          <w:color w:val="auto"/>
        </w:rPr>
        <w:t>SARs under the plan. The grant price of a freestanding SAR will equal the fair market value of our common stock on the date of grant. The grant price of a tandem SAR will equal the exercise price of the related option. A tandem SAR may be exercised for all or some of the shares subject to the related option upon the surrender of the right to exercise the equivalent portion of the related option. A tandem SAR may be exercised only as to the shares for which its related option is then exercisable. The term of a SAR may not exceed ten years. To date, our Compensation Committee has not awarded any SARs.</w:t>
      </w:r>
    </w:p>
    <w:p>
      <w:pPr>
        <w:spacing w:after="0" w:line="19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i w:val="1"/>
          <w:iCs w:val="1"/>
          <w:color w:val="auto"/>
        </w:rPr>
        <w:t xml:space="preserve">Restricted Stock, Restricted Stock Units and Restricted Units. </w:t>
      </w:r>
      <w:r>
        <w:rPr>
          <w:rFonts w:ascii="Arial" w:cs="Arial" w:eastAsia="Arial" w:hAnsi="Arial"/>
          <w:sz w:val="18"/>
          <w:szCs w:val="18"/>
          <w:color w:val="auto"/>
        </w:rPr>
        <w:t>Our Compensation Committee may grant restricted stock, restricted units or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units under the plan. Except as provided in the plan, these types of awards may not be sold, transferred, pledged, assigned, or otherwise alienated until the end of a restriction period or upon earlier satisfaction of other conditions governing the award. Restricted units may be settled in cash or shares as determined by our Compensation Committee and the specific Plan provisions. Restricted stock units are restricted units that must be settled in shares, except to the extent of fractional shares.</w:t>
      </w:r>
    </w:p>
    <w:p>
      <w:pPr>
        <w:spacing w:after="0" w:line="224"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Selected participants may elect to defer a portion of their annual bonus under the Senior Executive Incentive Compensation Plan and/or their base salary in exchange for restricted stock units. Each participant who elects to make a deferral will be credited under the plan with a number of restricted stock units equal to the amount deferred increased by up to twenty-five percent, as determined by our Compensation Committee, divided by the fair market value of the common stock on the date designated by our Compensation Committee. Upon stockholder approval, the amount deferred by a participant may be increased by up to fifty percent, as determined by our Compensation Committee. This compensation deferral program is known as the Management Stock Purchase Plan.</w:t>
      </w:r>
    </w:p>
    <w:p>
      <w:pPr>
        <w:spacing w:after="0" w:line="197" w:lineRule="exact"/>
        <w:rPr>
          <w:sz w:val="20"/>
          <w:szCs w:val="20"/>
          <w:color w:val="auto"/>
        </w:rPr>
      </w:pPr>
    </w:p>
    <w:p>
      <w:pPr>
        <w:ind w:right="160" w:firstLine="324"/>
        <w:spacing w:after="0" w:line="306" w:lineRule="auto"/>
        <w:rPr>
          <w:sz w:val="20"/>
          <w:szCs w:val="20"/>
          <w:color w:val="auto"/>
        </w:rPr>
      </w:pPr>
      <w:r>
        <w:rPr>
          <w:rFonts w:ascii="Arial" w:cs="Arial" w:eastAsia="Arial" w:hAnsi="Arial"/>
          <w:sz w:val="16"/>
          <w:szCs w:val="16"/>
          <w:color w:val="auto"/>
        </w:rPr>
        <w:t>During the restriction period, participants holding restricted stock, if issued (but not restricted stock units or restricted units), may exercise full voting rights with respect to the underlying common stock. In addition, if the award agreement governing the restricted stock or restricted units permits it, a participant may receive regular cash dividends or dividend equivalents that are paid with respect to the underlying shares or share equivalent units during the restriction period.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Upon stockholder approval, the maximum number of shares that may be issued or transferred to the participants under restricted stock units and performance units discussed below will be increased from 2,000,000 to 4,500,000.</w:t>
      </w:r>
    </w:p>
    <w:p>
      <w:pPr>
        <w:spacing w:after="0" w:line="21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i w:val="1"/>
          <w:iCs w:val="1"/>
          <w:color w:val="auto"/>
        </w:rPr>
        <w:t xml:space="preserve">Performance Units and Performance Shares. </w:t>
      </w:r>
      <w:r>
        <w:rPr>
          <w:rFonts w:ascii="Arial" w:cs="Arial" w:eastAsia="Arial" w:hAnsi="Arial"/>
          <w:sz w:val="18"/>
          <w:szCs w:val="18"/>
          <w:color w:val="auto"/>
        </w:rPr>
        <w:t>Our Compensation Committee may grant performance units or performance shares under the plan. Each</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unit has an initial value that is established by our Compensation Committee at the time of grant. Each performance share must have an initial value equal to the fair market value of our common stock on the date of grant.</w:t>
      </w:r>
    </w:p>
    <w:p>
      <w:pPr>
        <w:spacing w:after="0" w:line="22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Compensation Committee will set performance periods and performance objectives that, depending on the extent to which they are met, will determine the number or value (or both) of performance units or performance shares that will be paid out to the participant. Our Compensation Committee may pay earned performance units or performance shares in cash, shares or a combination of cash and shares. Shares may be issued subject to any restrictions deemed appropriate by our Compensation Committee.</w:t>
      </w:r>
    </w:p>
    <w:p>
      <w:pPr>
        <w:spacing w:after="0" w:line="224"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For a description of the performance measures available under the Long-Term Stock Incentive Plan, see “Compensation Committee Report — Long-Term Incentives — Performance Share Awards” beginning on page 18.</w:t>
      </w:r>
    </w:p>
    <w:p>
      <w:pPr>
        <w:spacing w:after="0" w:line="213"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i w:val="1"/>
          <w:iCs w:val="1"/>
          <w:color w:val="auto"/>
        </w:rPr>
        <w:t xml:space="preserve">Transferability of Plan Awards. </w:t>
      </w:r>
      <w:r>
        <w:rPr>
          <w:rFonts w:ascii="Arial" w:cs="Arial" w:eastAsia="Arial" w:hAnsi="Arial"/>
          <w:sz w:val="18"/>
          <w:szCs w:val="18"/>
          <w:color w:val="auto"/>
        </w:rPr>
        <w:t>Plan awards are not transferable other than by the laws of descent and distribution, or pursuant to a domestic relations order</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in Section 414(p) of the Internal Revenue Code). During his or her lifetime, only the participant may exercise an option or a stock appreciation right that has been granted to him or her.</w:t>
      </w:r>
    </w:p>
    <w:p>
      <w:pPr>
        <w:spacing w:after="0" w:line="221"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Notwithstanding the foregoing, at the discretion of our Compensation Committee, options and other awards granted pursuant to the Long-Term Stock Incentive Plan may be transferred or assigned to:</w:t>
      </w:r>
    </w:p>
    <w:p>
      <w:pPr>
        <w:spacing w:after="0" w:line="186" w:lineRule="exact"/>
        <w:rPr>
          <w:sz w:val="20"/>
          <w:szCs w:val="20"/>
          <w:color w:val="auto"/>
        </w:rPr>
      </w:pPr>
    </w:p>
    <w:p>
      <w:pPr>
        <w:ind w:left="460" w:hanging="101"/>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participant’s spouse, children or grandchildren;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trust or trusts for the exclusive benefit of a participant’s spouse, children or grandchildren; or</w:t>
      </w:r>
    </w:p>
    <w:p>
      <w:pPr>
        <w:spacing w:after="0" w:line="279" w:lineRule="exact"/>
        <w:rPr>
          <w:rFonts w:ascii="Arial" w:cs="Arial" w:eastAsia="Arial" w:hAnsi="Arial"/>
          <w:sz w:val="18"/>
          <w:szCs w:val="18"/>
          <w:color w:val="auto"/>
        </w:rPr>
      </w:pPr>
    </w:p>
    <w:p>
      <w:pPr>
        <w:ind w:left="340" w:right="4520" w:firstLine="19"/>
        <w:spacing w:after="0" w:line="548" w:lineRule="auto"/>
        <w:tabs>
          <w:tab w:leader="none" w:pos="4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partnership in which participant’s spouse, children or grandchildren are the only partners. There must, however, be no consideration paid for such a transfer.</w:t>
      </w:r>
    </w:p>
    <w:p>
      <w:pPr>
        <w:ind w:right="320" w:firstLine="324"/>
        <w:spacing w:after="0" w:line="256" w:lineRule="auto"/>
        <w:rPr>
          <w:sz w:val="20"/>
          <w:szCs w:val="20"/>
          <w:color w:val="auto"/>
        </w:rPr>
      </w:pPr>
      <w:r>
        <w:rPr>
          <w:rFonts w:ascii="Arial" w:cs="Arial" w:eastAsia="Arial" w:hAnsi="Arial"/>
          <w:sz w:val="18"/>
          <w:szCs w:val="18"/>
          <w:i w:val="1"/>
          <w:iCs w:val="1"/>
          <w:color w:val="auto"/>
        </w:rPr>
        <w:t xml:space="preserve">Amendment, Modification and Termination. </w:t>
      </w:r>
      <w:r>
        <w:rPr>
          <w:rFonts w:ascii="Arial" w:cs="Arial" w:eastAsia="Arial" w:hAnsi="Arial"/>
          <w:sz w:val="18"/>
          <w:szCs w:val="18"/>
          <w:color w:val="auto"/>
        </w:rPr>
        <w:t>Our Compensation Committee may amend the plan at any time without stockholder approval, except as to</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enumerated matters. Our Compensation Committee may also terminate the plan without stockholder approval. No termination, amendment, or modification of the plan may adversely affect in any material way any award previously granted under the plan, without the written consent of the participant holding the affected award.</w:t>
      </w:r>
    </w:p>
    <w:p>
      <w:pPr>
        <w:spacing w:after="0" w:line="224"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Our Compensation Committee may make adjustments in the terms and conditions of, and the criteria included in, awards in recognition of unusual or nonrecurring events affecting our company or of changes in applicable laws, regulations or accounting principles, if our Compensation Committee determines that such adjustments are appropriate in order to prevent dilution or enlargement of the benefits or potential benefits intended to be made available under the plan. Stockholder approval is required for our Compensation Committee to increase the number of shares available for plan awards, to lower the exercise price of any outstanding option or to grant new awards in exchange for the surrender of outstanding awards.</w:t>
      </w:r>
    </w:p>
    <w:p>
      <w:pPr>
        <w:spacing w:after="0" w:line="197"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If a change in control, as defined in the plan, occurs, then unless otherwise specifically prohibited under the applicable laws or by the</w:t>
      </w:r>
      <w:r>
        <w:rPr>
          <w:rFonts w:ascii="Arial" w:cs="Arial" w:eastAsia="Arial" w:hAnsi="Arial"/>
          <w:sz w:val="18"/>
          <w:szCs w:val="18"/>
          <w:i w:val="1"/>
          <w:iCs w:val="1"/>
          <w:color w:val="auto"/>
        </w:rPr>
        <w:t xml:space="preserve"> </w:t>
      </w:r>
      <w:r>
        <w:rPr>
          <w:rFonts w:ascii="Arial" w:cs="Arial" w:eastAsia="Arial" w:hAnsi="Arial"/>
          <w:sz w:val="18"/>
          <w:szCs w:val="18"/>
          <w:color w:val="auto"/>
        </w:rPr>
        <w:t>rules and regulations of any governing governmental agencies or national securities exchanges:</w:t>
      </w:r>
    </w:p>
    <w:p>
      <w:pPr>
        <w:spacing w:after="0" w:line="186" w:lineRule="exact"/>
        <w:rPr>
          <w:sz w:val="20"/>
          <w:szCs w:val="20"/>
          <w:color w:val="auto"/>
        </w:rPr>
      </w:pPr>
    </w:p>
    <w:p>
      <w:pPr>
        <w:ind w:left="460" w:hanging="101"/>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outstanding options and SARs granted under the plan will become immediately exercisable and remain exercisable throughout their term;</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most cases, any restriction period and any other restrictions imposed on restricted stock or restricted units will lapse; and</w:t>
      </w:r>
    </w:p>
    <w:p>
      <w:pPr>
        <w:spacing w:after="0" w:line="279" w:lineRule="exact"/>
        <w:rPr>
          <w:rFonts w:ascii="Arial" w:cs="Arial" w:eastAsia="Arial" w:hAnsi="Arial"/>
          <w:sz w:val="18"/>
          <w:szCs w:val="18"/>
          <w:color w:val="auto"/>
        </w:rPr>
      </w:pPr>
    </w:p>
    <w:p>
      <w:pPr>
        <w:ind w:left="460" w:right="20" w:hanging="101"/>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generally, the vesting of all performance units and performance shares will be accelerated as of the effective date of the change in control, and there will be paid out in cash to participants a pro rata</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amount based upon an assumed achievement of all relevant performance objectives at target levels and upon the length of time within the performance period which has elapsed prior to the effective date of the change in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 of Awards Granted under the Long-Term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Plan</w:t>
      </w:r>
    </w:p>
    <w:p>
      <w:pPr>
        <w:spacing w:after="0" w:line="2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is a general description of federal income tax consequences to participants and our company relating to options and other awards that may be granted under the Long-Term Stock Incentive Plan. The plan is not qualified under the Internal Revenue Code Section 401(a). This discussion does not purport to cover all tax consequences relating to options and other awards.</w:t>
      </w:r>
    </w:p>
    <w:p>
      <w:pPr>
        <w:spacing w:after="0" w:line="22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i w:val="1"/>
          <w:iCs w:val="1"/>
          <w:color w:val="auto"/>
        </w:rPr>
        <w:t xml:space="preserve">Nonqualified Stock Options. </w:t>
      </w:r>
      <w:r>
        <w:rPr>
          <w:rFonts w:ascii="Arial" w:cs="Arial" w:eastAsia="Arial" w:hAnsi="Arial"/>
          <w:sz w:val="16"/>
          <w:szCs w:val="16"/>
          <w:color w:val="auto"/>
        </w:rPr>
        <w:t>A participant will not recognize income, and we will not be entitled to a deduction from income, at the time of grant of a</w:t>
      </w:r>
      <w:r>
        <w:rPr>
          <w:rFonts w:ascii="Arial" w:cs="Arial" w:eastAsia="Arial" w:hAnsi="Arial"/>
          <w:sz w:val="16"/>
          <w:szCs w:val="16"/>
          <w:i w:val="1"/>
          <w:iCs w:val="1"/>
          <w:color w:val="auto"/>
        </w:rPr>
        <w:t xml:space="preserve"> </w:t>
      </w:r>
      <w:r>
        <w:rPr>
          <w:rFonts w:ascii="Arial" w:cs="Arial" w:eastAsia="Arial" w:hAnsi="Arial"/>
          <w:sz w:val="16"/>
          <w:szCs w:val="16"/>
          <w:color w:val="auto"/>
        </w:rPr>
        <w:t>nonqualified stock option. When the option is exercised, the participant will recognize ordinary income equal to the difference, if any, between the aggregate exercise price paid and the fair market value, as of the date the option is exercised, of the shares received. The participant’s tax basis in shares acquired upon exercise will equal the exercise price paid plus the amount recognized by the participant as ordinary income. We will generally be entitled to a federal income tax deduction, in the tax year in which the option is exercised, equal to the ordinary income recognized by the participant as described above. If the participant holds shares acquired through exercise of a nonqualified stock option for more than one year after the exercise of the option, the capital gain or loss realized upon the sale of those shares will be a long-term capital gain or loss. The participant’s holding period for shares acquired upon the exercise of an option will begin on the date of exercise.</w:t>
      </w:r>
    </w:p>
    <w:p>
      <w:pPr>
        <w:spacing w:after="0" w:line="199"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A participant will not recognize income, and we will not be entitled to a deduction from income, at the time of grant of an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If the option is exercised during employment, or within three months thereafter (or one year in the case of a permanently and totally disabled employee), the participant will not recognize any income and we will not be entitled to a deduction. However, the excess of the fair market value of the shares on the date of exercise over the option price is included in computing the participant’s alternative minimum taxable income.</w:t>
      </w:r>
    </w:p>
    <w:p>
      <w:pPr>
        <w:spacing w:after="0" w:line="194"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Generally, if the participant disposes of shares acquired by exercise of an incentive stock option within either two years after the date of grant or one year after the date of exercise, the participant will recognize ordinary income, and we will be entitled to a deduction, equal to the excess of the fair market value of the shares on the date of exercise over the option price (limited generally to the gain on the sale). The balance of any gain or loss will be treated as a capital gain or loss to the participant. If shares are disposed of after the two year and one year periods described above expire, we will not be entitled to any deduction, and the entire gain or loss for the participant will be treated as a long-term capital gain or loss.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Other Awards. </w:t>
      </w:r>
      <w:r>
        <w:rPr>
          <w:rFonts w:ascii="Arial" w:cs="Arial" w:eastAsia="Arial" w:hAnsi="Arial"/>
          <w:sz w:val="16"/>
          <w:szCs w:val="16"/>
          <w:color w:val="auto"/>
        </w:rPr>
        <w:t>The current federal income tax consequences of other awards authorized under the plan are generally in accordance with the following:</w:t>
      </w:r>
    </w:p>
    <w:p>
      <w:pPr>
        <w:spacing w:after="0" w:line="248" w:lineRule="exact"/>
        <w:rPr>
          <w:sz w:val="20"/>
          <w:szCs w:val="20"/>
          <w:color w:val="auto"/>
        </w:rPr>
      </w:pPr>
    </w:p>
    <w:p>
      <w:pPr>
        <w:ind w:left="460" w:hanging="101"/>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SARs are taxed and deductible by us in substantially the same manner as nonqualified stock options;</w:t>
      </w:r>
    </w:p>
    <w:p>
      <w:pPr>
        <w:spacing w:after="0" w:line="279" w:lineRule="exact"/>
        <w:rPr>
          <w:rFonts w:ascii="Arial" w:cs="Arial" w:eastAsia="Arial" w:hAnsi="Arial"/>
          <w:sz w:val="18"/>
          <w:szCs w:val="18"/>
          <w:color w:val="auto"/>
        </w:rPr>
      </w:pPr>
    </w:p>
    <w:p>
      <w:pPr>
        <w:ind w:left="460" w:right="560" w:hanging="101"/>
        <w:spacing w:after="0" w:line="370"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restricted stock subject to a substantial risk of forfeiture results in income recognition equal to the excess of the fair market value of shares over the purchase price (if any) only at the time the restrictions lapse (unless the Participant elects to accelerate recognition as of the date of grant); and</w:t>
      </w:r>
    </w:p>
    <w:p>
      <w:pPr>
        <w:spacing w:after="0" w:line="143" w:lineRule="exact"/>
        <w:rPr>
          <w:rFonts w:ascii="Arial" w:cs="Arial" w:eastAsia="Arial" w:hAnsi="Arial"/>
          <w:sz w:val="15"/>
          <w:szCs w:val="15"/>
          <w:color w:val="auto"/>
        </w:rPr>
      </w:pPr>
    </w:p>
    <w:p>
      <w:pPr>
        <w:ind w:left="460" w:hanging="101"/>
        <w:spacing w:after="0"/>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restricted stock units, restricted units, performance shares, performance units and dividend equivalents generally are subject to tax at the time of payment.</w:t>
      </w:r>
    </w:p>
    <w:p>
      <w:pPr>
        <w:spacing w:after="0" w:line="3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each of the foregoing cases, we will generally have (at the time the participant recognizes income) a corresponding deduction.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8"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Our Compensation Committee has discretion to determine the type, terms and conditions and recipients of awards granted under the Long-Term Stock Incentive Plan. Accordingly, it is not possible to determine the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amount of the awards that will be received by any director, officer or other employee of Lear under the Long-Term Stock Incentive Plan if the amendment is approved.</w:t>
      </w:r>
    </w:p>
    <w:p>
      <w:pPr>
        <w:spacing w:after="0" w:line="213"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On March 14, 2003, the New York Stock Exchange reported a closing price of $33.39 for our common stock. For option grants and other benefits awarded to our named executive officers in 2002 under our Long-Term Stock Incentive Plan see “Executive Compensation” beginning on page 9.</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YOUR BOARD RECOMMENDS A VOTE “FOR” APPROVAL 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 AMENDMENT TO OUR LONG-TERM STOCK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58"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The following table summarizes information, as of December 31, 2002, relating to our equity compensation plans pursuant to which grants of options, restricted stock, restricted stock units or other rights to acquire shares may be granted from time to time.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remaining available for</w:t>
            </w:r>
          </w:p>
        </w:tc>
      </w:tr>
      <w:tr>
        <w:trPr>
          <w:trHeight w:val="149"/>
        </w:trPr>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Number of securities to be</w:t>
            </w:r>
          </w:p>
        </w:tc>
        <w:tc>
          <w:tcPr>
            <w:tcW w:w="500" w:type="dxa"/>
            <w:vAlign w:val="bottom"/>
          </w:tcPr>
          <w:p>
            <w:pPr>
              <w:spacing w:after="0"/>
              <w:rPr>
                <w:sz w:val="12"/>
                <w:szCs w:val="12"/>
                <w:color w:val="auto"/>
              </w:rPr>
            </w:pPr>
          </w:p>
        </w:tc>
        <w:tc>
          <w:tcPr>
            <w:tcW w:w="2660" w:type="dxa"/>
            <w:vAlign w:val="bottom"/>
            <w:gridSpan w:val="3"/>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Weighted-average exercise</w:t>
            </w:r>
          </w:p>
        </w:tc>
        <w:tc>
          <w:tcPr>
            <w:tcW w:w="2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future issuance under equity</w:t>
            </w:r>
          </w:p>
        </w:tc>
      </w:tr>
      <w:tr>
        <w:trPr>
          <w:trHeight w:val="149"/>
        </w:trPr>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1"/>
              </w:rPr>
              <w:t>issued upon exercise of</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6"/>
              </w:rPr>
              <w:t>price of outstanding</w:t>
            </w:r>
          </w:p>
        </w:tc>
        <w:tc>
          <w:tcPr>
            <w:tcW w:w="2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compensation plans</w:t>
            </w:r>
          </w:p>
        </w:tc>
      </w:tr>
      <w:tr>
        <w:trPr>
          <w:trHeight w:val="149"/>
        </w:trPr>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6"/>
              </w:rPr>
              <w:t>options, warrants and</w:t>
            </w:r>
          </w:p>
        </w:tc>
        <w:tc>
          <w:tcPr>
            <w:tcW w:w="2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(excluding securities</w:t>
            </w:r>
          </w:p>
        </w:tc>
      </w:tr>
      <w:tr>
        <w:trPr>
          <w:trHeight w:val="149"/>
        </w:trPr>
        <w:tc>
          <w:tcPr>
            <w:tcW w:w="2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7"/>
              </w:rPr>
              <w:t>rights</w:t>
            </w:r>
          </w:p>
        </w:tc>
        <w:tc>
          <w:tcPr>
            <w:tcW w:w="2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reflected in column (a))</w:t>
            </w:r>
          </w:p>
        </w:tc>
      </w:tr>
      <w:tr>
        <w:trPr>
          <w:trHeight w:val="174"/>
        </w:trPr>
        <w:tc>
          <w:tcPr>
            <w:tcW w:w="270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280" w:type="dxa"/>
            <w:vAlign w:val="bottom"/>
          </w:tcPr>
          <w:p>
            <w:pPr>
              <w:spacing w:after="0"/>
              <w:rPr>
                <w:sz w:val="15"/>
                <w:szCs w:val="15"/>
                <w:color w:val="auto"/>
              </w:rPr>
            </w:pPr>
          </w:p>
        </w:tc>
        <w:tc>
          <w:tcPr>
            <w:tcW w:w="25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1"/>
              </w:rPr>
              <w:t>(a)</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rPr>
              <w:t>(b)</w:t>
            </w: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w:t>
            </w:r>
          </w:p>
        </w:tc>
      </w:tr>
      <w:tr>
        <w:trPr>
          <w:trHeight w:val="95"/>
        </w:trPr>
        <w:tc>
          <w:tcPr>
            <w:tcW w:w="2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12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309"/>
        </w:trPr>
        <w:tc>
          <w:tcPr>
            <w:tcW w:w="2700" w:type="dxa"/>
            <w:vAlign w:val="bottom"/>
          </w:tcPr>
          <w:p>
            <w:pPr>
              <w:spacing w:after="0"/>
              <w:rPr>
                <w:sz w:val="20"/>
                <w:szCs w:val="20"/>
                <w:color w:val="auto"/>
              </w:rPr>
            </w:pPr>
            <w:r>
              <w:rPr>
                <w:rFonts w:ascii="Arial" w:cs="Arial" w:eastAsia="Arial" w:hAnsi="Arial"/>
                <w:sz w:val="18"/>
                <w:szCs w:val="18"/>
                <w:color w:val="auto"/>
                <w:w w:val="90"/>
              </w:rPr>
              <w:t>Equity compensation plans approved</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2700" w:type="dxa"/>
            <w:vAlign w:val="bottom"/>
          </w:tcPr>
          <w:p>
            <w:pPr>
              <w:ind w:left="140"/>
              <w:spacing w:after="0"/>
              <w:rPr>
                <w:sz w:val="20"/>
                <w:szCs w:val="20"/>
                <w:color w:val="auto"/>
              </w:rPr>
            </w:pPr>
            <w:r>
              <w:rPr>
                <w:rFonts w:ascii="Arial" w:cs="Arial" w:eastAsia="Arial" w:hAnsi="Arial"/>
                <w:sz w:val="18"/>
                <w:szCs w:val="18"/>
                <w:color w:val="auto"/>
              </w:rPr>
              <w:t>by stockholders(1)</w:t>
            </w:r>
          </w:p>
        </w:tc>
        <w:tc>
          <w:tcPr>
            <w:tcW w:w="2800" w:type="dxa"/>
            <w:vAlign w:val="bottom"/>
            <w:gridSpan w:val="3"/>
          </w:tcPr>
          <w:p>
            <w:pPr>
              <w:jc w:val="right"/>
              <w:ind w:right="500"/>
              <w:spacing w:after="0"/>
              <w:rPr>
                <w:sz w:val="20"/>
                <w:szCs w:val="20"/>
                <w:color w:val="auto"/>
              </w:rPr>
            </w:pPr>
            <w:r>
              <w:rPr>
                <w:rFonts w:ascii="Arial" w:cs="Arial" w:eastAsia="Arial" w:hAnsi="Arial"/>
                <w:sz w:val="18"/>
                <w:szCs w:val="18"/>
                <w:color w:val="auto"/>
              </w:rPr>
              <w:t>7,221,384(3)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560" w:type="dxa"/>
            <w:vAlign w:val="bottom"/>
            <w:gridSpan w:val="2"/>
          </w:tcPr>
          <w:p>
            <w:pPr>
              <w:jc w:val="right"/>
              <w:ind w:right="920"/>
              <w:spacing w:after="0"/>
              <w:rPr>
                <w:sz w:val="20"/>
                <w:szCs w:val="20"/>
                <w:color w:val="auto"/>
              </w:rPr>
            </w:pPr>
            <w:r>
              <w:rPr>
                <w:rFonts w:ascii="Arial" w:cs="Arial" w:eastAsia="Arial" w:hAnsi="Arial"/>
                <w:sz w:val="18"/>
                <w:szCs w:val="18"/>
                <w:color w:val="auto"/>
              </w:rPr>
              <w:t>32.89(4)</w:t>
            </w:r>
          </w:p>
        </w:tc>
        <w:tc>
          <w:tcPr>
            <w:tcW w:w="1820" w:type="dxa"/>
            <w:vAlign w:val="bottom"/>
          </w:tcPr>
          <w:p>
            <w:pPr>
              <w:jc w:val="right"/>
              <w:spacing w:after="0"/>
              <w:rPr>
                <w:sz w:val="20"/>
                <w:szCs w:val="20"/>
                <w:color w:val="auto"/>
              </w:rPr>
            </w:pPr>
            <w:r>
              <w:rPr>
                <w:rFonts w:ascii="Arial" w:cs="Arial" w:eastAsia="Arial" w:hAnsi="Arial"/>
                <w:sz w:val="18"/>
                <w:szCs w:val="18"/>
                <w:color w:val="auto"/>
              </w:rPr>
              <w:t>815,348</w:t>
            </w:r>
          </w:p>
        </w:tc>
        <w:tc>
          <w:tcPr>
            <w:tcW w:w="220" w:type="dxa"/>
            <w:vAlign w:val="bottom"/>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Equity compensation plans not</w:t>
            </w: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700" w:type="dxa"/>
            <w:vAlign w:val="bottom"/>
          </w:tcPr>
          <w:p>
            <w:pPr>
              <w:ind w:left="140"/>
              <w:spacing w:after="0"/>
              <w:rPr>
                <w:sz w:val="20"/>
                <w:szCs w:val="20"/>
                <w:color w:val="auto"/>
              </w:rPr>
            </w:pPr>
            <w:r>
              <w:rPr>
                <w:rFonts w:ascii="Arial" w:cs="Arial" w:eastAsia="Arial" w:hAnsi="Arial"/>
                <w:sz w:val="18"/>
                <w:szCs w:val="18"/>
                <w:color w:val="auto"/>
              </w:rPr>
              <w:t>approved by stockholders(2)</w:t>
            </w:r>
          </w:p>
        </w:tc>
        <w:tc>
          <w:tcPr>
            <w:tcW w:w="2800" w:type="dxa"/>
            <w:vAlign w:val="bottom"/>
            <w:gridSpan w:val="3"/>
          </w:tcPr>
          <w:p>
            <w:pPr>
              <w:jc w:val="right"/>
              <w:ind w:right="500"/>
              <w:spacing w:after="0"/>
              <w:rPr>
                <w:sz w:val="20"/>
                <w:szCs w:val="20"/>
                <w:color w:val="auto"/>
              </w:rPr>
            </w:pPr>
            <w:r>
              <w:rPr>
                <w:rFonts w:ascii="Arial" w:cs="Arial" w:eastAsia="Arial" w:hAnsi="Arial"/>
                <w:sz w:val="18"/>
                <w:szCs w:val="18"/>
                <w:color w:val="auto"/>
              </w:rPr>
              <w:t>0(5)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jc w:val="right"/>
              <w:ind w:right="920"/>
              <w:spacing w:after="0"/>
              <w:rPr>
                <w:sz w:val="20"/>
                <w:szCs w:val="20"/>
                <w:color w:val="auto"/>
              </w:rPr>
            </w:pPr>
            <w:r>
              <w:rPr>
                <w:rFonts w:ascii="Arial" w:cs="Arial" w:eastAsia="Arial" w:hAnsi="Arial"/>
                <w:sz w:val="18"/>
                <w:szCs w:val="18"/>
                <w:color w:val="auto"/>
              </w:rPr>
              <w:t>0(5)</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41,985(6)</w:t>
            </w:r>
          </w:p>
        </w:tc>
      </w:tr>
      <w:tr>
        <w:trPr>
          <w:trHeight w:val="228"/>
        </w:trPr>
        <w:tc>
          <w:tcPr>
            <w:tcW w:w="2700" w:type="dxa"/>
            <w:vAlign w:val="bottom"/>
          </w:tcPr>
          <w:p>
            <w:pPr>
              <w:ind w:left="300"/>
              <w:spacing w:after="0"/>
              <w:rPr>
                <w:sz w:val="20"/>
                <w:szCs w:val="20"/>
                <w:color w:val="auto"/>
              </w:rPr>
            </w:pPr>
            <w:r>
              <w:rPr>
                <w:rFonts w:ascii="Arial" w:cs="Arial" w:eastAsia="Arial" w:hAnsi="Arial"/>
                <w:sz w:val="18"/>
                <w:szCs w:val="18"/>
                <w:b w:val="1"/>
                <w:bCs w:val="1"/>
                <w:color w:val="auto"/>
              </w:rPr>
              <w:t>Total(2)</w:t>
            </w:r>
          </w:p>
        </w:tc>
        <w:tc>
          <w:tcPr>
            <w:tcW w:w="2800" w:type="dxa"/>
            <w:vAlign w:val="bottom"/>
            <w:gridSpan w:val="3"/>
          </w:tcPr>
          <w:p>
            <w:pPr>
              <w:jc w:val="right"/>
              <w:ind w:right="700"/>
              <w:spacing w:after="0"/>
              <w:rPr>
                <w:sz w:val="20"/>
                <w:szCs w:val="20"/>
                <w:color w:val="auto"/>
              </w:rPr>
            </w:pPr>
            <w:r>
              <w:rPr>
                <w:rFonts w:ascii="Arial" w:cs="Arial" w:eastAsia="Arial" w:hAnsi="Arial"/>
                <w:sz w:val="18"/>
                <w:szCs w:val="18"/>
                <w:color w:val="auto"/>
              </w:rPr>
              <w:t>7,221,384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560" w:type="dxa"/>
            <w:vAlign w:val="bottom"/>
            <w:gridSpan w:val="2"/>
          </w:tcPr>
          <w:p>
            <w:pPr>
              <w:jc w:val="right"/>
              <w:ind w:right="920"/>
              <w:spacing w:after="0"/>
              <w:rPr>
                <w:sz w:val="20"/>
                <w:szCs w:val="20"/>
                <w:color w:val="auto"/>
              </w:rPr>
            </w:pPr>
            <w:r>
              <w:rPr>
                <w:rFonts w:ascii="Arial" w:cs="Arial" w:eastAsia="Arial" w:hAnsi="Arial"/>
                <w:sz w:val="18"/>
                <w:szCs w:val="18"/>
                <w:color w:val="auto"/>
              </w:rPr>
              <w:t>32.89(4)</w:t>
            </w:r>
          </w:p>
        </w:tc>
        <w:tc>
          <w:tcPr>
            <w:tcW w:w="1820" w:type="dxa"/>
            <w:vAlign w:val="bottom"/>
          </w:tcPr>
          <w:p>
            <w:pPr>
              <w:jc w:val="right"/>
              <w:spacing w:after="0"/>
              <w:rPr>
                <w:sz w:val="20"/>
                <w:szCs w:val="20"/>
                <w:color w:val="auto"/>
              </w:rPr>
            </w:pPr>
            <w:r>
              <w:rPr>
                <w:rFonts w:ascii="Arial" w:cs="Arial" w:eastAsia="Arial" w:hAnsi="Arial"/>
                <w:sz w:val="18"/>
                <w:szCs w:val="18"/>
                <w:color w:val="auto"/>
              </w:rPr>
              <w:t>857,333</w:t>
            </w: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263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03" w:lineRule="exact"/>
        <w:rPr>
          <w:sz w:val="20"/>
          <w:szCs w:val="20"/>
          <w:color w:val="auto"/>
        </w:rPr>
      </w:pPr>
    </w:p>
    <w:p>
      <w:pPr>
        <w:ind w:left="460" w:right="14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the 1994 Stock Option Plan, the 1996 Stock Option Plan, the Long-Term Stock Incentive Plan and plans assumed in connection with acquisition transactions.</w:t>
      </w:r>
    </w:p>
    <w:p>
      <w:pPr>
        <w:spacing w:after="0" w:line="212" w:lineRule="exact"/>
        <w:rPr>
          <w:rFonts w:ascii="Arial" w:cs="Arial" w:eastAsia="Arial" w:hAnsi="Arial"/>
          <w:sz w:val="18"/>
          <w:szCs w:val="18"/>
          <w:color w:val="auto"/>
        </w:rPr>
      </w:pPr>
    </w:p>
    <w:p>
      <w:pPr>
        <w:jc w:val="both"/>
        <w:ind w:left="460" w:right="160" w:hanging="452"/>
        <w:spacing w:after="0" w:line="306"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the 1992 Stock Option Plan. All securities available under the 1992 Stock Option Plan for future issuance are subject to awards under the Long-Term Stock Incentive Plan only. No further awards have been made since May 3, 2001, or will in the future be made, under the 1992 Stock Option Plan. For a description of the Long-Term Stock Incentive Plan see “Summary of our Long-Term Stock Incentive Plan” beginning on page 25.</w:t>
      </w:r>
    </w:p>
    <w:p>
      <w:pPr>
        <w:spacing w:after="0" w:line="187" w:lineRule="exact"/>
        <w:rPr>
          <w:rFonts w:ascii="Arial" w:cs="Arial" w:eastAsia="Arial" w:hAnsi="Arial"/>
          <w:sz w:val="16"/>
          <w:szCs w:val="16"/>
          <w:color w:val="auto"/>
        </w:rPr>
      </w:pPr>
    </w:p>
    <w:p>
      <w:pPr>
        <w:ind w:left="460" w:right="20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6,350,419 outstanding options (including 16,444 outstanding options granted under plans assumed in connection with acquisition transactions), 663,323 restricted stock units and 207,642 performance units.</w:t>
      </w:r>
    </w:p>
    <w:p>
      <w:pPr>
        <w:spacing w:after="0" w:line="212"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outstanding options at a weighted average exercise price of $35.32 (including outstanding options granted under plans assumed in connection with acquisition transactions at a weighted average exercise price of $21.11), outstanding restricted stock units at a weighted average price of $19.89 and performance shares at a weighted average price of zero.</w:t>
      </w:r>
    </w:p>
    <w:p>
      <w:pPr>
        <w:spacing w:after="0" w:line="221" w:lineRule="exact"/>
        <w:rPr>
          <w:rFonts w:ascii="Arial" w:cs="Arial" w:eastAsia="Arial" w:hAnsi="Arial"/>
          <w:sz w:val="18"/>
          <w:szCs w:val="18"/>
          <w:color w:val="auto"/>
        </w:rPr>
      </w:pPr>
    </w:p>
    <w:p>
      <w:pPr>
        <w:ind w:left="460" w:right="26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Excludes 55,514.43 phantom stock units issued to Mr. Way in connection with a special recognition award, which units may be settled in shares of Lear common stock. For a description of the special recognition award see “Executive Compensation — Other Compensation Arrangements” beginning on page 15.</w:t>
      </w:r>
    </w:p>
    <w:p>
      <w:pPr>
        <w:spacing w:after="0" w:line="221" w:lineRule="exact"/>
        <w:rPr>
          <w:rFonts w:ascii="Arial" w:cs="Arial" w:eastAsia="Arial" w:hAnsi="Arial"/>
          <w:sz w:val="18"/>
          <w:szCs w:val="18"/>
          <w:color w:val="auto"/>
        </w:rPr>
      </w:pPr>
    </w:p>
    <w:p>
      <w:pPr>
        <w:ind w:left="460" w:right="40" w:hanging="452"/>
        <w:spacing w:after="0" w:line="294"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Excludes shares of our common stock that may be awarded to our outside directors under the Lear Corporation Independent Directors Compensation Plan. Such Plan provides that one-half of the annual retainer and meeting fees be paid to our outside directors in shares. An outside director may elect to receive all of the annual retainer and meeting fees in shares of common stock or will be required to receive such compensation solely in shares until such director satisfies our ownership guidelines. Shares subject to the Plan are made available from shares of our common stock purchased in the open market and the Plan contains no limit to the number of shares that may be awarded under the Plan.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FOR 2004 ANNUAL MEETING OF STOCKHOLDERS</w:t>
      </w:r>
    </w:p>
    <w:p>
      <w:pPr>
        <w:spacing w:after="0" w:line="258"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Stockholders who intend to present proposals at the Annual Meeting of Stockholders in 2004 pursuant to Securities and Exchange Commission Rule 14a-8 must send notice of their proposal to us so that we receive it no later than November 28, 2003. Stockholders who intend to present proposals at the Annual Meeting of Stockholders in 2004 other than pursuant to Rule 14a-8 must comply with the notice provisions in our by-laws. The notice provisions in our by-laws require that, for a proposal to be properly brought before the Annual Meeting of Stockholders in 2004, proper notice of the proposal be received by us not less than 120 days or more than 150 days prior to the first anniversary of the mailing date of this proxy statement. Stockholder proposals should be addressed to Joseph F. McCarthy, Lear Corporation, 21557 Telegraph Road, P.O. Box 5008, Southfield, Michigan 48086-5008.</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5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We know of no other matters to be submitted to the stockholders at the meeting. If any other matters properly come before the meeting, persons named in the enclosed proxy intend to vote the shares they represent in accordance with their own judgments.</w:t>
      </w:r>
    </w:p>
    <w:p>
      <w:pPr>
        <w:spacing w:after="0" w:line="20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b w:val="1"/>
          <w:bCs w:val="1"/>
          <w:color w:val="auto"/>
        </w:rPr>
        <w:t>Upon written request by any stockholder entitled to vote at the meeting, we will furnish, without charge, a copy of the Form 10-K Annual Report for 2002 which we filed with the Securities and Exchange Commission, including financial statements and schedules. If the person requesting the report was not a stockholder of record on March 14, 2003, the request must contain a good faith representation that he or she was a beneficial owner of our common stock at the close of business on that date. Requests should be addressed to Joseph F. McCarthy, Lear Corporation, 21557 Telegraph Road, P.O. Box 5008, Southfield, Michigan 48086-5008.</w:t>
      </w:r>
    </w:p>
    <w:p>
      <w:pPr>
        <w:spacing w:after="0" w:line="1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182880</wp:posOffset>
            </wp:positionV>
            <wp:extent cx="1277620" cy="4972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762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ROBERT E. ROSSITER</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Purpose</w:t>
      </w:r>
    </w:p>
    <w:p>
      <w:pPr>
        <w:spacing w:after="0" w:line="258"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The primary objectives of the Audit Committee (the “Committee”) are: (1) to assist the Board of Directors (the “Board”) of Lear Corporation (“Lear” or the “Company”) in monitoring (a) the integrity of the Company’s financial statements, (b) the Company’s compliance with legal and regulatory financial accounting requirements, (c) the independent auditor’s qualifications and independence and (d) the performance of the Company’s internal audit function and independent auditor; (2) to prepare the report that Securities and Exchange Commission (the “Commission”) rules require to be included in the Company’s annual proxy statement; and (3) to provide an avenue of communication among the Board, independent auditor, management, and internal auditors.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Membership and Meetings</w:t>
      </w:r>
    </w:p>
    <w:p>
      <w:pPr>
        <w:spacing w:after="0" w:line="258"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The number of members of the Committee shall be determined by the Board but in any event shall not be less than three members. Each member shall meet, as determined by the Board in its reasonable business judgment, the independence and experience requirements of the New York Stock Exchange, Section 10A of the Securities Exchange Act of 1934 (the “Exchange Act”) and the rules and regulations of the Commission, each as in effect from time to time. Each member of the Committee shall also have a basic understanding of finance and accounting and be able to read and understand fundamental financial statements and at least one member of the Committee shall be an “audit committee financial expert” as defined by the rules of the Commission.</w:t>
      </w:r>
    </w:p>
    <w:p>
      <w:pPr>
        <w:spacing w:after="0" w:line="197"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The members of the Committee shall be appointed by the Board. If a Committee chairperson is not designated by the Board, the members of the Committee will designate a chairperson by majority vote.</w:t>
      </w:r>
    </w:p>
    <w:p>
      <w:pPr>
        <w:spacing w:after="0" w:line="213" w:lineRule="exact"/>
        <w:rPr>
          <w:sz w:val="20"/>
          <w:szCs w:val="20"/>
          <w:color w:val="auto"/>
        </w:rPr>
      </w:pPr>
    </w:p>
    <w:p>
      <w:pPr>
        <w:ind w:right="80" w:firstLine="324"/>
        <w:spacing w:after="0" w:line="335" w:lineRule="auto"/>
        <w:rPr>
          <w:sz w:val="20"/>
          <w:szCs w:val="20"/>
          <w:color w:val="auto"/>
        </w:rPr>
      </w:pPr>
      <w:r>
        <w:rPr>
          <w:rFonts w:ascii="Arial" w:cs="Arial" w:eastAsia="Arial" w:hAnsi="Arial"/>
          <w:sz w:val="15"/>
          <w:szCs w:val="15"/>
          <w:color w:val="auto"/>
        </w:rPr>
        <w:t>The Committee shall meet at least four times per year or more frequently as circumstances require. The Committee should meet privately in executive session periodically with management, the director of internal audit, the independent auditor, and as a committee to discuss matters that it or each of these groups believe should be discussed. The Committee may ask members of management or others to attend the meeting and provide pertinent information as necessary.</w:t>
      </w:r>
    </w:p>
    <w:p>
      <w:pPr>
        <w:spacing w:after="0" w:line="169" w:lineRule="exact"/>
        <w:rPr>
          <w:sz w:val="20"/>
          <w:szCs w:val="20"/>
          <w:color w:val="auto"/>
        </w:rPr>
      </w:pPr>
    </w:p>
    <w:p>
      <w:pPr>
        <w:ind w:right="820" w:firstLine="324"/>
        <w:spacing w:after="0" w:line="332" w:lineRule="auto"/>
        <w:rPr>
          <w:sz w:val="20"/>
          <w:szCs w:val="20"/>
          <w:color w:val="auto"/>
        </w:rPr>
      </w:pPr>
      <w:r>
        <w:rPr>
          <w:rFonts w:ascii="Arial" w:cs="Arial" w:eastAsia="Arial" w:hAnsi="Arial"/>
          <w:sz w:val="16"/>
          <w:szCs w:val="16"/>
          <w:color w:val="auto"/>
        </w:rPr>
        <w:t>Each director serving as a member of the Committee shall be indemnified with respect to such director’s service on the Committee pursuant to the Company’s by-laws and any contractual arrangements between such director and the Company providing for director indemnification.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Authority and Responsibilities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Authority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Committee:</w:t>
      </w:r>
    </w:p>
    <w:p>
      <w:pPr>
        <w:spacing w:after="0" w:line="225" w:lineRule="exact"/>
        <w:rPr>
          <w:sz w:val="20"/>
          <w:szCs w:val="20"/>
          <w:color w:val="auto"/>
        </w:rPr>
      </w:pPr>
    </w:p>
    <w:p>
      <w:pPr>
        <w:ind w:left="460" w:right="260" w:hanging="101"/>
        <w:spacing w:after="0" w:line="306"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shall be directly responsible for the appointment, compensation, retention and oversight of the work of the independent auditor (including resolution of disagreements between management and the independent auditor regarding financial reporting) for the purpose of preparing or issuing an audit report or related work or performing other audit, review or attest services for the Company, and the independent auditor shall report directly to the Committee</w:t>
      </w:r>
    </w:p>
    <w:p>
      <w:pPr>
        <w:spacing w:after="0" w:line="187" w:lineRule="exact"/>
        <w:rPr>
          <w:rFonts w:ascii="Arial" w:cs="Arial" w:eastAsia="Arial" w:hAnsi="Arial"/>
          <w:sz w:val="16"/>
          <w:szCs w:val="16"/>
          <w:color w:val="auto"/>
        </w:rPr>
      </w:pPr>
    </w:p>
    <w:p>
      <w:pPr>
        <w:ind w:left="460" w:right="180" w:hanging="101"/>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shall have the authority to obtain advice and assistance from outside legal, accounting or other advisors and shall be provided with appropriate funding to compensate such advisors and to compensate the independent auditor for rendering or issuing an audit report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101"/>
        <w:spacing w:after="0" w:line="268" w:lineRule="auto"/>
        <w:tabs>
          <w:tab w:leader="none" w:pos="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shall have the authority to conduct any investigation appropriate to fulfilling its responsibilities and have direct access to the independent auditor as well as anyone in the Company</w:t>
      </w:r>
    </w:p>
    <w:p>
      <w:pPr>
        <w:spacing w:after="0" w:line="212" w:lineRule="exact"/>
        <w:rPr>
          <w:rFonts w:ascii="Arial" w:cs="Arial" w:eastAsia="Arial" w:hAnsi="Arial"/>
          <w:sz w:val="18"/>
          <w:szCs w:val="18"/>
          <w:color w:val="auto"/>
        </w:rPr>
      </w:pPr>
    </w:p>
    <w:p>
      <w:pPr>
        <w:ind w:left="460" w:right="60" w:hanging="101"/>
        <w:spacing w:after="0" w:line="259" w:lineRule="auto"/>
        <w:tabs>
          <w:tab w:leader="none" w:pos="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shall pre-approve all auditing services and permitted non-audit services to be performed for the Company by its independent auditor, other than de minimis services provided that the requirements pertaining to de minimis exceptions for non-audit services described in Section 10A of the Exchange Act are otherwise satisfied</w:t>
      </w:r>
    </w:p>
    <w:p>
      <w:pPr>
        <w:spacing w:after="0" w:line="221" w:lineRule="exact"/>
        <w:rPr>
          <w:rFonts w:ascii="Arial" w:cs="Arial" w:eastAsia="Arial" w:hAnsi="Arial"/>
          <w:sz w:val="18"/>
          <w:szCs w:val="18"/>
          <w:color w:val="auto"/>
        </w:rPr>
      </w:pPr>
    </w:p>
    <w:p>
      <w:pPr>
        <w:ind w:left="460" w:hanging="101"/>
        <w:spacing w:after="0"/>
        <w:tabs>
          <w:tab w:leader="none" w:pos="460" w:val="left"/>
        </w:tabs>
        <w:numPr>
          <w:ilvl w:val="1"/>
          <w:numId w:val="41"/>
        </w:numPr>
        <w:rPr>
          <w:rFonts w:ascii="Arial" w:cs="Arial" w:eastAsia="Arial" w:hAnsi="Arial"/>
          <w:sz w:val="15"/>
          <w:szCs w:val="15"/>
          <w:color w:val="auto"/>
        </w:rPr>
      </w:pPr>
      <w:r>
        <w:rPr>
          <w:rFonts w:ascii="Arial" w:cs="Arial" w:eastAsia="Arial" w:hAnsi="Arial"/>
          <w:sz w:val="15"/>
          <w:szCs w:val="15"/>
          <w:color w:val="auto"/>
        </w:rPr>
        <w:t>shall not engage, or otherwise permit the Company to engage, the independent auditor to provide any of the following non-audit services and arrangements:</w:t>
      </w:r>
    </w:p>
    <w:p>
      <w:pPr>
        <w:spacing w:after="0" w:line="49" w:lineRule="exact"/>
        <w:rPr>
          <w:rFonts w:ascii="Arial" w:cs="Arial" w:eastAsia="Arial" w:hAnsi="Arial"/>
          <w:sz w:val="15"/>
          <w:szCs w:val="15"/>
          <w:color w:val="auto"/>
        </w:rPr>
      </w:pPr>
    </w:p>
    <w:p>
      <w:pPr>
        <w:ind w:left="460" w:right="140"/>
        <w:spacing w:after="0" w:line="287" w:lineRule="auto"/>
        <w:rPr>
          <w:rFonts w:ascii="Arial" w:cs="Arial" w:eastAsia="Arial" w:hAnsi="Arial"/>
          <w:sz w:val="15"/>
          <w:szCs w:val="15"/>
          <w:color w:val="auto"/>
        </w:rPr>
      </w:pPr>
      <w:r>
        <w:rPr>
          <w:rFonts w:ascii="Arial" w:cs="Arial" w:eastAsia="Arial" w:hAnsi="Arial"/>
          <w:sz w:val="16"/>
          <w:szCs w:val="16"/>
          <w:color w:val="auto"/>
        </w:rPr>
        <w:t>(1) the performance of any internal audit services; (2) the performance of any information technology services; (3) any arrangement pursuant to which the independent auditor provides personnel to the Company on a temporary basis; and (4) any non-audit services prohibited under Section 10A of the Exchange Act (Section 10A of the Exchange Act currently prohibits (a) bookkeeping or other services related to the accounting records or financial statements of the audit client, (b) financial information systems design and implementation, (c) appraisal or valuation services, fairness opinions, or contribution-in-kind reports, (d) actuarial services, (e) internal audit outsourcing services, (f) management functions or human resources, (g) broker or dealer, investment adviser, or investment banking services, (h) legal services and expert services unrelated to the audit, and (i) any other service that the Public Company Accounting Oversight Board, which was established under Section 101 of the Sarbanes-Oxley Act of 2002, determines, by regulation, is impermissible)</w:t>
      </w:r>
    </w:p>
    <w:p>
      <w:pPr>
        <w:spacing w:after="0" w:line="17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B. Responsibilities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respect to independent auditor oversight, the Committee:</w:t>
      </w:r>
    </w:p>
    <w:p>
      <w:pPr>
        <w:spacing w:after="0" w:line="225" w:lineRule="exact"/>
        <w:rPr>
          <w:sz w:val="20"/>
          <w:szCs w:val="20"/>
          <w:color w:val="auto"/>
        </w:rPr>
      </w:pPr>
    </w:p>
    <w:p>
      <w:pPr>
        <w:ind w:left="460" w:right="40" w:hanging="101"/>
        <w:spacing w:after="0" w:line="298"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shall review quarterly a report by the independent auditor regarding: (1) the independent auditor’s internal quality control procedures; (2) any material issues raised by the most recent internal quality-control review, or peer review, of the independent auditor, or by any inquiry or investigation by governmental or professional authorities respecting one or more independent audits carried out by the independent auditor, and any steps taken to deal with any such issues; and (3) working relationships between the independent auditor and the Company</w:t>
      </w:r>
    </w:p>
    <w:p>
      <w:pPr>
        <w:spacing w:after="0" w:line="193" w:lineRule="exact"/>
        <w:rPr>
          <w:rFonts w:ascii="Arial" w:cs="Arial" w:eastAsia="Arial" w:hAnsi="Arial"/>
          <w:sz w:val="16"/>
          <w:szCs w:val="16"/>
          <w:color w:val="auto"/>
        </w:rPr>
      </w:pPr>
    </w:p>
    <w:p>
      <w:pPr>
        <w:ind w:left="460" w:hanging="101"/>
        <w:spacing w:after="0" w:line="33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shall review the independent auditor’s audit plan for completeness of coverage, reduction of redundant efforts, and effective use of audit resources and shall discuss scope, staffing, locations, reliance upon management, and internal audit and the general audit approach, with the independent auditor</w:t>
      </w:r>
    </w:p>
    <w:p>
      <w:pPr>
        <w:spacing w:after="0" w:line="166" w:lineRule="exact"/>
        <w:rPr>
          <w:rFonts w:ascii="Arial" w:cs="Arial" w:eastAsia="Arial" w:hAnsi="Arial"/>
          <w:sz w:val="16"/>
          <w:szCs w:val="16"/>
          <w:color w:val="auto"/>
        </w:rPr>
      </w:pPr>
    </w:p>
    <w:p>
      <w:pPr>
        <w:ind w:left="460" w:right="80" w:hanging="101"/>
        <w:spacing w:after="0" w:line="33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shall annually evaluate the independent auditor’s qualifications, performance and independence, including the review and evaluation of such auditor’s lead partner, and shall consider management’s and the Company’s independent auditor’s opinion while performing these responsibilities</w:t>
      </w:r>
    </w:p>
    <w:p>
      <w:pPr>
        <w:spacing w:after="0" w:line="166" w:lineRule="exact"/>
        <w:rPr>
          <w:rFonts w:ascii="Arial" w:cs="Arial" w:eastAsia="Arial" w:hAnsi="Arial"/>
          <w:sz w:val="16"/>
          <w:szCs w:val="16"/>
          <w:color w:val="auto"/>
        </w:rPr>
      </w:pPr>
    </w:p>
    <w:p>
      <w:pPr>
        <w:ind w:left="460" w:right="20" w:hanging="101"/>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shall ensure the rotation of the independent auditor’s lead partner having primary responsibility for the audit and the audit partner responsible for reviewing the audit as required by law</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shall consider whether the Company should rotate the independent auditor on a regular basis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shall present its conclusions regarding the independent auditor to the full Board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respect to financial statements, the Committee:</w:t>
      </w:r>
    </w:p>
    <w:p>
      <w:pPr>
        <w:spacing w:after="0" w:line="225" w:lineRule="exact"/>
        <w:rPr>
          <w:sz w:val="20"/>
          <w:szCs w:val="20"/>
          <w:color w:val="auto"/>
        </w:rPr>
      </w:pPr>
    </w:p>
    <w:p>
      <w:pPr>
        <w:ind w:left="460" w:right="40" w:hanging="101"/>
        <w:spacing w:after="0" w:line="332"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shall discuss with management and the independent auditor significant financial reporting issues and judgments made in connection with the preparation of the Company’s financial statements, including any significant changes in the Company’s selection or application of accounting principles</w:t>
      </w:r>
    </w:p>
    <w:p>
      <w:pPr>
        <w:spacing w:after="0" w:line="166" w:lineRule="exact"/>
        <w:rPr>
          <w:rFonts w:ascii="Arial" w:cs="Arial" w:eastAsia="Arial" w:hAnsi="Arial"/>
          <w:sz w:val="16"/>
          <w:szCs w:val="16"/>
          <w:color w:val="auto"/>
        </w:rPr>
      </w:pPr>
    </w:p>
    <w:p>
      <w:pPr>
        <w:ind w:left="460" w:right="240" w:hanging="101"/>
        <w:spacing w:after="0" w:line="306"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shall review and discuss quarterly reports from the independent auditor on (1) all critical accounting policies and practices to be used, (2) all alternative treatments of financial information with generally accepted accounting principles that have been discussed with management, ramifications of the use of such alternative disclosures and treatments, and the treatment preferred by the independent auditor,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and (3) other material written communications between the independent auditor and management, such as any management letter or schedule of unadjusted differences</w:t>
      </w:r>
    </w:p>
    <w:p>
      <w:pPr>
        <w:spacing w:after="0" w:line="213" w:lineRule="exact"/>
        <w:rPr>
          <w:sz w:val="20"/>
          <w:szCs w:val="20"/>
          <w:color w:val="auto"/>
        </w:rPr>
      </w:pPr>
    </w:p>
    <w:p>
      <w:pPr>
        <w:ind w:left="460" w:hanging="101"/>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shall examine the effect of regulatory and accounting initiatives, as well as off-balance sheet structures, on the financial statements of the company</w:t>
      </w:r>
    </w:p>
    <w:p>
      <w:pPr>
        <w:spacing w:after="0" w:line="302" w:lineRule="exact"/>
        <w:rPr>
          <w:rFonts w:ascii="Arial" w:cs="Arial" w:eastAsia="Arial" w:hAnsi="Arial"/>
          <w:sz w:val="16"/>
          <w:szCs w:val="16"/>
          <w:color w:val="auto"/>
        </w:rPr>
      </w:pPr>
    </w:p>
    <w:p>
      <w:pPr>
        <w:ind w:left="460" w:right="700" w:hanging="101"/>
        <w:spacing w:after="0" w:line="33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shall discuss the quarterly financial statements, prior to the release of earnings and the statements’ filing or distribution, with management and the independent auditor, including the Company’s disclosures under the Management Discussion and Analysis section</w:t>
      </w:r>
    </w:p>
    <w:p>
      <w:pPr>
        <w:spacing w:after="0" w:line="166" w:lineRule="exact"/>
        <w:rPr>
          <w:rFonts w:ascii="Arial" w:cs="Arial" w:eastAsia="Arial" w:hAnsi="Arial"/>
          <w:sz w:val="16"/>
          <w:szCs w:val="16"/>
          <w:color w:val="auto"/>
        </w:rPr>
      </w:pPr>
    </w:p>
    <w:p>
      <w:pPr>
        <w:ind w:left="460" w:right="80" w:hanging="101"/>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shall discuss annual audited financial statements, prior to the statements’ filing or distribution including the Company’s disclosures under the Management Discussion and Analysis section, with management and the independent auditor</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shall, prior to release of the year end earnings, discuss the results of the audit with the independent auditor</w:t>
      </w:r>
    </w:p>
    <w:p>
      <w:pPr>
        <w:spacing w:after="0" w:line="279" w:lineRule="exact"/>
        <w:rPr>
          <w:rFonts w:ascii="Arial" w:cs="Arial" w:eastAsia="Arial" w:hAnsi="Arial"/>
          <w:sz w:val="18"/>
          <w:szCs w:val="18"/>
          <w:color w:val="auto"/>
        </w:rPr>
      </w:pPr>
    </w:p>
    <w:p>
      <w:pPr>
        <w:ind w:left="460" w:right="580" w:hanging="101"/>
        <w:spacing w:after="0" w:line="259"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shall review, with management and the independent auditor, filings with the Commission and other published documents containing the Company’s financial statements and consider whether the information contained in the documents is consistent with the information contained in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respect to audit functions, the Committee:</w:t>
      </w:r>
    </w:p>
    <w:p>
      <w:pPr>
        <w:spacing w:after="0" w:line="225" w:lineRule="exact"/>
        <w:rPr>
          <w:sz w:val="20"/>
          <w:szCs w:val="20"/>
          <w:color w:val="auto"/>
        </w:rPr>
      </w:pPr>
    </w:p>
    <w:p>
      <w:pPr>
        <w:ind w:left="460" w:right="240" w:hanging="101"/>
        <w:spacing w:after="0" w:line="259"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shall regularly report to the Board and review with the full Board any issues that arise concerning: (1) the quality or integrity of the Company’s financial statements; (2) the Company’s compliance with legal or regulatory requirements; (3) the performance and independence of the Company’s independent auditor; or (4) the performance of the internal audit function</w:t>
      </w:r>
    </w:p>
    <w:p>
      <w:pPr>
        <w:spacing w:after="0" w:line="221" w:lineRule="exact"/>
        <w:rPr>
          <w:rFonts w:ascii="Arial" w:cs="Arial" w:eastAsia="Arial" w:hAnsi="Arial"/>
          <w:sz w:val="18"/>
          <w:szCs w:val="18"/>
          <w:color w:val="auto"/>
        </w:rPr>
      </w:pPr>
    </w:p>
    <w:p>
      <w:pPr>
        <w:ind w:left="460" w:right="160" w:hanging="101"/>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shall ensure that the Company has an internal audit function, that at a minimum consists of an appropriate control process for reviewing and approving its internal transactions and accounting</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shall assess issues regarding the adequacy of the Company’s internal controls and any special audit steps adopted in light of material control deficiencies</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shall periodically and separately meet with management, internal auditors and the independent auditor to discuss auditing issues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shall provide an avenue of communication among the Board, independent auditor, management, and internal auditors</w:t>
      </w:r>
    </w:p>
    <w:p>
      <w:pPr>
        <w:spacing w:after="0" w:line="279" w:lineRule="exact"/>
        <w:rPr>
          <w:rFonts w:ascii="Arial" w:cs="Arial" w:eastAsia="Arial" w:hAnsi="Arial"/>
          <w:sz w:val="18"/>
          <w:szCs w:val="18"/>
          <w:color w:val="auto"/>
        </w:rPr>
      </w:pPr>
    </w:p>
    <w:p>
      <w:pPr>
        <w:ind w:left="460" w:right="220" w:hanging="101"/>
        <w:spacing w:after="0" w:line="259"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shall regularly review with the independent auditor, any problems or difficulties the independent auditor encounters in the course of the audit work, and management’s response thereto, including any restrictions on the scope of the independent auditor’s activities or access to requested information and any significant disagreement with management</w:t>
      </w:r>
    </w:p>
    <w:p>
      <w:pPr>
        <w:spacing w:after="0" w:line="221" w:lineRule="exact"/>
        <w:rPr>
          <w:rFonts w:ascii="Arial" w:cs="Arial" w:eastAsia="Arial" w:hAnsi="Arial"/>
          <w:sz w:val="18"/>
          <w:szCs w:val="18"/>
          <w:color w:val="auto"/>
        </w:rPr>
      </w:pPr>
    </w:p>
    <w:p>
      <w:pPr>
        <w:ind w:left="460" w:hanging="101"/>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shall review the integrity of the Company’s financial reporting process and controls, including computerized information systems controls and security with the management, the independent auditor, and the internal auditors</w:t>
      </w:r>
    </w:p>
    <w:p>
      <w:pPr>
        <w:spacing w:after="0" w:line="212" w:lineRule="exact"/>
        <w:rPr>
          <w:rFonts w:ascii="Arial" w:cs="Arial" w:eastAsia="Arial" w:hAnsi="Arial"/>
          <w:sz w:val="18"/>
          <w:szCs w:val="18"/>
          <w:color w:val="auto"/>
        </w:rPr>
      </w:pPr>
    </w:p>
    <w:p>
      <w:pPr>
        <w:ind w:left="460" w:right="20" w:hanging="101"/>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shall review and discuss earnings press releases, paying particular attention to any use of pro forma or adjusted non-GAAP information, as well as financial information and earnings guidance provided to analysts and rating agencies, with management or the Board</w:t>
      </w:r>
    </w:p>
    <w:p>
      <w:pPr>
        <w:spacing w:after="0" w:line="212" w:lineRule="exact"/>
        <w:rPr>
          <w:rFonts w:ascii="Arial" w:cs="Arial" w:eastAsia="Arial" w:hAnsi="Arial"/>
          <w:sz w:val="18"/>
          <w:szCs w:val="18"/>
          <w:color w:val="auto"/>
        </w:rPr>
      </w:pPr>
    </w:p>
    <w:p>
      <w:pPr>
        <w:ind w:left="460" w:right="60" w:hanging="101"/>
        <w:spacing w:after="0" w:line="256"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shall discuss certain matters requiring communication to the Committee in accordance with the American Institute of Certified Public Accountants SAS 61 including, without limitation, (1) the auditor’s responsibility in an audit and the nature of the assurance provided, (2) initial selection of and changes in significant accounting policies or their application and (3) any disagreements with management about matters that could be significant to the Company’s financial statements or the auditor’s report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60" w:hanging="101"/>
        <w:spacing w:after="0" w:line="332"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shall discuss policies and guidelines to govern the process by which risk assessment and risk management is undertaken by management, including the Company’s major financial risk exposures and the steps management has taken to monitor and control such exposures</w:t>
      </w:r>
    </w:p>
    <w:p>
      <w:pPr>
        <w:spacing w:after="0" w:line="166" w:lineRule="exact"/>
        <w:rPr>
          <w:rFonts w:ascii="Arial" w:cs="Arial" w:eastAsia="Arial" w:hAnsi="Arial"/>
          <w:sz w:val="16"/>
          <w:szCs w:val="16"/>
          <w:color w:val="auto"/>
        </w:rPr>
      </w:pPr>
    </w:p>
    <w:p>
      <w:pPr>
        <w:ind w:left="460" w:hanging="101"/>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shall set hiring policies governing the Company’s hiring of employees or former employees of the Company’s independent auditor</w:t>
      </w:r>
    </w:p>
    <w:p>
      <w:pPr>
        <w:spacing w:after="0" w:line="279" w:lineRule="exact"/>
        <w:rPr>
          <w:rFonts w:ascii="Arial" w:cs="Arial" w:eastAsia="Arial" w:hAnsi="Arial"/>
          <w:sz w:val="18"/>
          <w:szCs w:val="18"/>
          <w:color w:val="auto"/>
        </w:rPr>
      </w:pPr>
    </w:p>
    <w:p>
      <w:pPr>
        <w:ind w:left="460" w:right="160" w:hanging="101"/>
        <w:spacing w:after="0" w:line="259"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shall obtain from the independent auditor assurance that the independent auditor has not been engaged by the Company to provide services in violation of Section 10A of the Exchange Act (prohibition on certain non-audit services and pre-approval by the Committee of any legally permitted non-audit services)</w:t>
      </w:r>
    </w:p>
    <w:p>
      <w:pPr>
        <w:spacing w:after="0" w:line="221" w:lineRule="exact"/>
        <w:rPr>
          <w:rFonts w:ascii="Arial" w:cs="Arial" w:eastAsia="Arial" w:hAnsi="Arial"/>
          <w:sz w:val="18"/>
          <w:szCs w:val="18"/>
          <w:color w:val="auto"/>
        </w:rPr>
      </w:pPr>
    </w:p>
    <w:p>
      <w:pPr>
        <w:ind w:left="460" w:right="380" w:hanging="101"/>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shall annually review the adequacy of this charter and submit any recommended changes to the Board for approval and publication in accordance with Commission regulations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shall annually review its own performance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respect to the internal audit department, the Committee:</w:t>
      </w:r>
    </w:p>
    <w:p>
      <w:pPr>
        <w:spacing w:after="0" w:line="225" w:lineRule="exact"/>
        <w:rPr>
          <w:sz w:val="20"/>
          <w:szCs w:val="20"/>
          <w:color w:val="auto"/>
        </w:rPr>
      </w:pPr>
    </w:p>
    <w:p>
      <w:pPr>
        <w:ind w:left="460" w:right="20" w:hanging="101"/>
        <w:spacing w:after="0" w:line="256"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shall annually review with management and the director of the internal audit department: (1) the internal audit department’s responsibilities; (2) the internal audit department’s budget, staffing and audit plan; (3) the independence and qualifications of the internal audit department staff; (4) any difficulties encountered in the course of their audits, including any restrictions on the scope of their work or access to required information; and (5) any changes required in the planned scope of their audit plan</w:t>
      </w:r>
    </w:p>
    <w:p>
      <w:pPr>
        <w:spacing w:after="0" w:line="224" w:lineRule="exact"/>
        <w:rPr>
          <w:rFonts w:ascii="Arial" w:cs="Arial" w:eastAsia="Arial" w:hAnsi="Arial"/>
          <w:sz w:val="18"/>
          <w:szCs w:val="18"/>
          <w:color w:val="auto"/>
        </w:rPr>
      </w:pPr>
    </w:p>
    <w:p>
      <w:pPr>
        <w:ind w:left="460" w:hanging="101"/>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shall review and concur in the appointment, replacement, reassignment, or dismissal of the director of the internal audit department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 significant reports prepared by the internal audit department together with management’s responses and follow-up to the reports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respect to other responsibilities, the Committee:</w:t>
      </w:r>
    </w:p>
    <w:p>
      <w:pPr>
        <w:spacing w:after="0" w:line="225" w:lineRule="exact"/>
        <w:rPr>
          <w:sz w:val="20"/>
          <w:szCs w:val="20"/>
          <w:color w:val="auto"/>
        </w:rPr>
      </w:pPr>
    </w:p>
    <w:p>
      <w:pPr>
        <w:ind w:left="460" w:right="320" w:hanging="101"/>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shall review disclosures made to the Committee by the Company’s CEO and CFO during their certification process for the Form 10-K and Form 10-Q about any significant deficiencies in the design or operation of internal controls or material weaknesses therein and any fraud involving management or other employees who have a significant role in the Company’s internal controls</w:t>
      </w:r>
    </w:p>
    <w:p>
      <w:pPr>
        <w:spacing w:after="0" w:line="221" w:lineRule="exact"/>
        <w:rPr>
          <w:rFonts w:ascii="Arial" w:cs="Arial" w:eastAsia="Arial" w:hAnsi="Arial"/>
          <w:sz w:val="18"/>
          <w:szCs w:val="18"/>
          <w:color w:val="auto"/>
        </w:rPr>
      </w:pPr>
    </w:p>
    <w:p>
      <w:pPr>
        <w:ind w:left="460" w:hanging="101"/>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shall establish procedures for (1) the receipt, retention and treatment of complaints received by the Company regarding accounting, internal accounting controls, or auditing matters, and (2) the confidential, anonymous submission by employees of the Company of concerns regarding questionable accounting or auditing matters</w:t>
      </w:r>
    </w:p>
    <w:p>
      <w:pPr>
        <w:spacing w:after="0" w:line="221" w:lineRule="exact"/>
        <w:rPr>
          <w:rFonts w:ascii="Arial" w:cs="Arial" w:eastAsia="Arial" w:hAnsi="Arial"/>
          <w:sz w:val="18"/>
          <w:szCs w:val="18"/>
          <w:color w:val="auto"/>
        </w:rPr>
      </w:pPr>
    </w:p>
    <w:p>
      <w:pPr>
        <w:ind w:left="460" w:right="160" w:hanging="101"/>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shall review with the Company’s general counsel, on at least an annual basis, any legal matters that could have a significant impact on the organization’s financial statements, the Company’s compliance with applicable laws and regulations, and inquiries received from regulators or government agencies and advise the Board of its findings</w:t>
      </w:r>
    </w:p>
    <w:p>
      <w:pPr>
        <w:spacing w:after="0" w:line="221" w:lineRule="exact"/>
        <w:rPr>
          <w:rFonts w:ascii="Arial" w:cs="Arial" w:eastAsia="Arial" w:hAnsi="Arial"/>
          <w:sz w:val="18"/>
          <w:szCs w:val="18"/>
          <w:color w:val="auto"/>
        </w:rPr>
      </w:pPr>
    </w:p>
    <w:p>
      <w:pPr>
        <w:ind w:left="460" w:right="540" w:hanging="101"/>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shall review with the Company’s general counsel the results of the review of the Company’s monitoring of compliance with the Company’s Code of Business Conduct and Ethics and advise the Board of its findings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shall prepare any Commission required reports to the shareholders and such reports should be included in the Company’s annual proxy statement</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shall maintain minutes of meetings and periodically report to the Board on significant results of the foregoing activities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 Committee also shall undertake such additional activities within the scope of its primary function as the Board or the Committee may from time to time determine or as may otherwise be required by law, the Board or the Company’s by-laws or charter.</w:t>
      </w:r>
    </w:p>
    <w:p>
      <w:pPr>
        <w:spacing w:after="0" w:line="21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duties and responsibilities of a member of the Committee are in addition to those duties set out for a member of the Board of the Company. While the Committee has the responsibilities and powers set forth by this charter, it is not the duty of the Committee to plan or conduct audits or to determine that the Company’s financial statements are complete and accurate in accordance with generally accepted accounting principles. This is the responsibility of management and the independent auditor.</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STOCK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May 3, 2001)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Conformed Copy through First Amendment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STOCK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May 3, 2001)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380" w:type="dxa"/>
            <w:vAlign w:val="bottom"/>
          </w:tcPr>
          <w:p>
            <w:pPr>
              <w:spacing w:after="0"/>
              <w:rPr>
                <w:sz w:val="15"/>
                <w:szCs w:val="15"/>
                <w:color w:val="auto"/>
              </w:rPr>
            </w:pPr>
          </w:p>
        </w:tc>
        <w:tc>
          <w:tcPr>
            <w:tcW w:w="3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Page</w:t>
            </w:r>
          </w:p>
        </w:tc>
      </w:tr>
      <w:tr>
        <w:trPr>
          <w:trHeight w:val="95"/>
        </w:trPr>
        <w:tc>
          <w:tcPr>
            <w:tcW w:w="83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80" w:type="dxa"/>
            <w:vAlign w:val="bottom"/>
          </w:tcPr>
          <w:p>
            <w:pPr>
              <w:spacing w:after="0"/>
              <w:rPr>
                <w:sz w:val="8"/>
                <w:szCs w:val="8"/>
                <w:color w:val="auto"/>
              </w:rPr>
            </w:pPr>
          </w:p>
        </w:tc>
      </w:tr>
      <w:tr>
        <w:trPr>
          <w:trHeight w:val="309"/>
        </w:trPr>
        <w:tc>
          <w:tcPr>
            <w:tcW w:w="8380" w:type="dxa"/>
            <w:vAlign w:val="bottom"/>
          </w:tcPr>
          <w:p>
            <w:pPr>
              <w:ind w:left="2300"/>
              <w:spacing w:after="0"/>
              <w:rPr>
                <w:sz w:val="20"/>
                <w:szCs w:val="20"/>
                <w:color w:val="auto"/>
              </w:rPr>
            </w:pPr>
            <w:r>
              <w:rPr>
                <w:rFonts w:ascii="Arial" w:cs="Arial" w:eastAsia="Arial" w:hAnsi="Arial"/>
                <w:sz w:val="18"/>
                <w:szCs w:val="18"/>
                <w:color w:val="auto"/>
              </w:rPr>
              <w:t>Article 1. Establishment, Objectives and Duration</w:t>
            </w:r>
          </w:p>
        </w:tc>
        <w:tc>
          <w:tcPr>
            <w:tcW w:w="3040" w:type="dxa"/>
            <w:vAlign w:val="bottom"/>
            <w:gridSpan w:val="2"/>
          </w:tcPr>
          <w:p>
            <w:pPr>
              <w:jc w:val="right"/>
              <w:ind w:right="2480"/>
              <w:spacing w:after="0"/>
              <w:rPr>
                <w:sz w:val="20"/>
                <w:szCs w:val="20"/>
                <w:color w:val="auto"/>
              </w:rPr>
            </w:pPr>
            <w:r>
              <w:rPr>
                <w:rFonts w:ascii="Arial" w:cs="Arial" w:eastAsia="Arial" w:hAnsi="Arial"/>
                <w:sz w:val="18"/>
                <w:szCs w:val="18"/>
                <w:color w:val="auto"/>
              </w:rPr>
              <w:t>B-3</w:t>
            </w:r>
          </w:p>
        </w:tc>
      </w:tr>
      <w:tr>
        <w:trPr>
          <w:trHeight w:val="216"/>
        </w:trPr>
        <w:tc>
          <w:tcPr>
            <w:tcW w:w="8380" w:type="dxa"/>
            <w:vAlign w:val="bottom"/>
          </w:tcPr>
          <w:p>
            <w:pPr>
              <w:ind w:left="2300"/>
              <w:spacing w:after="0"/>
              <w:rPr>
                <w:sz w:val="20"/>
                <w:szCs w:val="20"/>
                <w:color w:val="auto"/>
              </w:rPr>
            </w:pPr>
            <w:r>
              <w:rPr>
                <w:rFonts w:ascii="Arial" w:cs="Arial" w:eastAsia="Arial" w:hAnsi="Arial"/>
                <w:sz w:val="18"/>
                <w:szCs w:val="18"/>
                <w:color w:val="auto"/>
              </w:rPr>
              <w:t>Article 2. Definitions</w:t>
            </w:r>
          </w:p>
        </w:tc>
        <w:tc>
          <w:tcPr>
            <w:tcW w:w="3040" w:type="dxa"/>
            <w:vAlign w:val="bottom"/>
            <w:gridSpan w:val="2"/>
          </w:tcPr>
          <w:p>
            <w:pPr>
              <w:jc w:val="right"/>
              <w:ind w:right="2480"/>
              <w:spacing w:after="0"/>
              <w:rPr>
                <w:sz w:val="20"/>
                <w:szCs w:val="20"/>
                <w:color w:val="auto"/>
              </w:rPr>
            </w:pPr>
            <w:r>
              <w:rPr>
                <w:rFonts w:ascii="Arial" w:cs="Arial" w:eastAsia="Arial" w:hAnsi="Arial"/>
                <w:sz w:val="18"/>
                <w:szCs w:val="18"/>
                <w:color w:val="auto"/>
              </w:rPr>
              <w:t>B-3</w:t>
            </w:r>
          </w:p>
        </w:tc>
      </w:tr>
      <w:tr>
        <w:trPr>
          <w:trHeight w:val="216"/>
        </w:trPr>
        <w:tc>
          <w:tcPr>
            <w:tcW w:w="8380" w:type="dxa"/>
            <w:vAlign w:val="bottom"/>
          </w:tcPr>
          <w:p>
            <w:pPr>
              <w:ind w:left="2300"/>
              <w:spacing w:after="0"/>
              <w:rPr>
                <w:sz w:val="20"/>
                <w:szCs w:val="20"/>
                <w:color w:val="auto"/>
              </w:rPr>
            </w:pPr>
            <w:r>
              <w:rPr>
                <w:rFonts w:ascii="Arial" w:cs="Arial" w:eastAsia="Arial" w:hAnsi="Arial"/>
                <w:sz w:val="18"/>
                <w:szCs w:val="18"/>
                <w:color w:val="auto"/>
              </w:rPr>
              <w:t>Article 3. Administration</w:t>
            </w:r>
          </w:p>
        </w:tc>
        <w:tc>
          <w:tcPr>
            <w:tcW w:w="3040" w:type="dxa"/>
            <w:vAlign w:val="bottom"/>
            <w:gridSpan w:val="2"/>
          </w:tcPr>
          <w:p>
            <w:pPr>
              <w:jc w:val="right"/>
              <w:ind w:right="2480"/>
              <w:spacing w:after="0"/>
              <w:rPr>
                <w:sz w:val="20"/>
                <w:szCs w:val="20"/>
                <w:color w:val="auto"/>
              </w:rPr>
            </w:pPr>
            <w:r>
              <w:rPr>
                <w:rFonts w:ascii="Arial" w:cs="Arial" w:eastAsia="Arial" w:hAnsi="Arial"/>
                <w:sz w:val="18"/>
                <w:szCs w:val="18"/>
                <w:color w:val="auto"/>
              </w:rPr>
              <w:t>B-6</w:t>
            </w:r>
          </w:p>
        </w:tc>
      </w:tr>
      <w:tr>
        <w:trPr>
          <w:trHeight w:val="216"/>
        </w:trPr>
        <w:tc>
          <w:tcPr>
            <w:tcW w:w="8380" w:type="dxa"/>
            <w:vAlign w:val="bottom"/>
          </w:tcPr>
          <w:p>
            <w:pPr>
              <w:ind w:left="2300"/>
              <w:spacing w:after="0"/>
              <w:rPr>
                <w:sz w:val="20"/>
                <w:szCs w:val="20"/>
                <w:color w:val="auto"/>
              </w:rPr>
            </w:pPr>
            <w:r>
              <w:rPr>
                <w:rFonts w:ascii="Arial" w:cs="Arial" w:eastAsia="Arial" w:hAnsi="Arial"/>
                <w:sz w:val="18"/>
                <w:szCs w:val="18"/>
                <w:color w:val="auto"/>
              </w:rPr>
              <w:t>Article 4. Shares Subject to the Plan and Maximum Awards</w:t>
            </w:r>
          </w:p>
        </w:tc>
        <w:tc>
          <w:tcPr>
            <w:tcW w:w="3040" w:type="dxa"/>
            <w:vAlign w:val="bottom"/>
            <w:gridSpan w:val="2"/>
          </w:tcPr>
          <w:p>
            <w:pPr>
              <w:jc w:val="right"/>
              <w:ind w:right="2480"/>
              <w:spacing w:after="0"/>
              <w:rPr>
                <w:sz w:val="20"/>
                <w:szCs w:val="20"/>
                <w:color w:val="auto"/>
              </w:rPr>
            </w:pPr>
            <w:r>
              <w:rPr>
                <w:rFonts w:ascii="Arial" w:cs="Arial" w:eastAsia="Arial" w:hAnsi="Arial"/>
                <w:sz w:val="18"/>
                <w:szCs w:val="18"/>
                <w:color w:val="auto"/>
              </w:rPr>
              <w:t>B-7</w:t>
            </w:r>
          </w:p>
        </w:tc>
      </w:tr>
      <w:tr>
        <w:trPr>
          <w:trHeight w:val="216"/>
        </w:trPr>
        <w:tc>
          <w:tcPr>
            <w:tcW w:w="8380" w:type="dxa"/>
            <w:vAlign w:val="bottom"/>
          </w:tcPr>
          <w:p>
            <w:pPr>
              <w:ind w:left="2300"/>
              <w:spacing w:after="0"/>
              <w:rPr>
                <w:sz w:val="20"/>
                <w:szCs w:val="20"/>
                <w:color w:val="auto"/>
              </w:rPr>
            </w:pPr>
            <w:r>
              <w:rPr>
                <w:rFonts w:ascii="Arial" w:cs="Arial" w:eastAsia="Arial" w:hAnsi="Arial"/>
                <w:sz w:val="18"/>
                <w:szCs w:val="18"/>
                <w:color w:val="auto"/>
              </w:rPr>
              <w:t>Article 5. Eligibility and Participation</w:t>
            </w:r>
          </w:p>
        </w:tc>
        <w:tc>
          <w:tcPr>
            <w:tcW w:w="3040" w:type="dxa"/>
            <w:vAlign w:val="bottom"/>
            <w:gridSpan w:val="2"/>
          </w:tcPr>
          <w:p>
            <w:pPr>
              <w:jc w:val="right"/>
              <w:ind w:right="2480"/>
              <w:spacing w:after="0"/>
              <w:rPr>
                <w:sz w:val="20"/>
                <w:szCs w:val="20"/>
                <w:color w:val="auto"/>
              </w:rPr>
            </w:pPr>
            <w:r>
              <w:rPr>
                <w:rFonts w:ascii="Arial" w:cs="Arial" w:eastAsia="Arial" w:hAnsi="Arial"/>
                <w:sz w:val="18"/>
                <w:szCs w:val="18"/>
                <w:color w:val="auto"/>
              </w:rPr>
              <w:t>B-8</w:t>
            </w:r>
          </w:p>
        </w:tc>
      </w:tr>
      <w:tr>
        <w:trPr>
          <w:trHeight w:val="216"/>
        </w:trPr>
        <w:tc>
          <w:tcPr>
            <w:tcW w:w="8380" w:type="dxa"/>
            <w:vAlign w:val="bottom"/>
          </w:tcPr>
          <w:p>
            <w:pPr>
              <w:ind w:left="2300"/>
              <w:spacing w:after="0"/>
              <w:rPr>
                <w:sz w:val="20"/>
                <w:szCs w:val="20"/>
                <w:color w:val="auto"/>
              </w:rPr>
            </w:pPr>
            <w:r>
              <w:rPr>
                <w:rFonts w:ascii="Arial" w:cs="Arial" w:eastAsia="Arial" w:hAnsi="Arial"/>
                <w:sz w:val="18"/>
                <w:szCs w:val="18"/>
                <w:color w:val="auto"/>
              </w:rPr>
              <w:t>Article 6. Stock Options</w:t>
            </w:r>
          </w:p>
        </w:tc>
        <w:tc>
          <w:tcPr>
            <w:tcW w:w="3040" w:type="dxa"/>
            <w:vAlign w:val="bottom"/>
            <w:gridSpan w:val="2"/>
          </w:tcPr>
          <w:p>
            <w:pPr>
              <w:jc w:val="right"/>
              <w:ind w:right="2480"/>
              <w:spacing w:after="0"/>
              <w:rPr>
                <w:sz w:val="20"/>
                <w:szCs w:val="20"/>
                <w:color w:val="auto"/>
              </w:rPr>
            </w:pPr>
            <w:r>
              <w:rPr>
                <w:rFonts w:ascii="Arial" w:cs="Arial" w:eastAsia="Arial" w:hAnsi="Arial"/>
                <w:sz w:val="18"/>
                <w:szCs w:val="18"/>
                <w:color w:val="auto"/>
              </w:rPr>
              <w:t>B-8</w:t>
            </w:r>
          </w:p>
        </w:tc>
      </w:tr>
      <w:tr>
        <w:trPr>
          <w:trHeight w:val="216"/>
        </w:trPr>
        <w:tc>
          <w:tcPr>
            <w:tcW w:w="8380" w:type="dxa"/>
            <w:vAlign w:val="bottom"/>
          </w:tcPr>
          <w:p>
            <w:pPr>
              <w:ind w:left="2300"/>
              <w:spacing w:after="0"/>
              <w:rPr>
                <w:sz w:val="20"/>
                <w:szCs w:val="20"/>
                <w:color w:val="auto"/>
              </w:rPr>
            </w:pPr>
            <w:r>
              <w:rPr>
                <w:rFonts w:ascii="Arial" w:cs="Arial" w:eastAsia="Arial" w:hAnsi="Arial"/>
                <w:sz w:val="18"/>
                <w:szCs w:val="18"/>
                <w:color w:val="auto"/>
              </w:rPr>
              <w:t>Article 7. Stock Appreciation Rights</w:t>
            </w:r>
          </w:p>
        </w:tc>
        <w:tc>
          <w:tcPr>
            <w:tcW w:w="3040" w:type="dxa"/>
            <w:vAlign w:val="bottom"/>
            <w:gridSpan w:val="2"/>
          </w:tcPr>
          <w:p>
            <w:pPr>
              <w:jc w:val="right"/>
              <w:ind w:right="2480"/>
              <w:spacing w:after="0"/>
              <w:rPr>
                <w:sz w:val="20"/>
                <w:szCs w:val="20"/>
                <w:color w:val="auto"/>
              </w:rPr>
            </w:pPr>
            <w:r>
              <w:rPr>
                <w:rFonts w:ascii="Arial" w:cs="Arial" w:eastAsia="Arial" w:hAnsi="Arial"/>
                <w:sz w:val="18"/>
                <w:szCs w:val="18"/>
                <w:color w:val="auto"/>
              </w:rPr>
              <w:t>B-9</w:t>
            </w:r>
          </w:p>
        </w:tc>
      </w:tr>
      <w:tr>
        <w:trPr>
          <w:trHeight w:val="216"/>
        </w:trPr>
        <w:tc>
          <w:tcPr>
            <w:tcW w:w="8380" w:type="dxa"/>
            <w:vAlign w:val="bottom"/>
          </w:tcPr>
          <w:p>
            <w:pPr>
              <w:ind w:left="2300"/>
              <w:spacing w:after="0"/>
              <w:rPr>
                <w:sz w:val="20"/>
                <w:szCs w:val="20"/>
                <w:color w:val="auto"/>
              </w:rPr>
            </w:pPr>
            <w:r>
              <w:rPr>
                <w:rFonts w:ascii="Arial" w:cs="Arial" w:eastAsia="Arial" w:hAnsi="Arial"/>
                <w:sz w:val="18"/>
                <w:szCs w:val="18"/>
                <w:color w:val="auto"/>
              </w:rPr>
              <w:t>Article 8. Restricted Stock, Restricted Stock Units and Restricted Units</w:t>
            </w:r>
          </w:p>
        </w:tc>
        <w:tc>
          <w:tcPr>
            <w:tcW w:w="3040" w:type="dxa"/>
            <w:vAlign w:val="bottom"/>
            <w:gridSpan w:val="2"/>
          </w:tcPr>
          <w:p>
            <w:pPr>
              <w:jc w:val="right"/>
              <w:ind w:right="2480"/>
              <w:spacing w:after="0"/>
              <w:rPr>
                <w:sz w:val="20"/>
                <w:szCs w:val="20"/>
                <w:color w:val="auto"/>
              </w:rPr>
            </w:pPr>
            <w:r>
              <w:rPr>
                <w:rFonts w:ascii="Arial" w:cs="Arial" w:eastAsia="Arial" w:hAnsi="Arial"/>
                <w:sz w:val="18"/>
                <w:szCs w:val="18"/>
                <w:color w:val="auto"/>
              </w:rPr>
              <w:t>B-10</w:t>
            </w:r>
          </w:p>
        </w:tc>
      </w:tr>
      <w:tr>
        <w:trPr>
          <w:trHeight w:val="216"/>
        </w:trPr>
        <w:tc>
          <w:tcPr>
            <w:tcW w:w="8380" w:type="dxa"/>
            <w:vAlign w:val="bottom"/>
          </w:tcPr>
          <w:p>
            <w:pPr>
              <w:ind w:left="2300"/>
              <w:spacing w:after="0"/>
              <w:rPr>
                <w:sz w:val="20"/>
                <w:szCs w:val="20"/>
                <w:color w:val="auto"/>
              </w:rPr>
            </w:pPr>
            <w:r>
              <w:rPr>
                <w:rFonts w:ascii="Arial" w:cs="Arial" w:eastAsia="Arial" w:hAnsi="Arial"/>
                <w:sz w:val="18"/>
                <w:szCs w:val="18"/>
                <w:color w:val="auto"/>
              </w:rPr>
              <w:t>Article 9. Performance Units and Performance Shares</w:t>
            </w:r>
          </w:p>
        </w:tc>
        <w:tc>
          <w:tcPr>
            <w:tcW w:w="3040" w:type="dxa"/>
            <w:vAlign w:val="bottom"/>
            <w:gridSpan w:val="2"/>
          </w:tcPr>
          <w:p>
            <w:pPr>
              <w:jc w:val="right"/>
              <w:ind w:right="2480"/>
              <w:spacing w:after="0"/>
              <w:rPr>
                <w:sz w:val="20"/>
                <w:szCs w:val="20"/>
                <w:color w:val="auto"/>
              </w:rPr>
            </w:pPr>
            <w:r>
              <w:rPr>
                <w:rFonts w:ascii="Arial" w:cs="Arial" w:eastAsia="Arial" w:hAnsi="Arial"/>
                <w:sz w:val="18"/>
                <w:szCs w:val="18"/>
                <w:color w:val="auto"/>
              </w:rPr>
              <w:t>B-12</w:t>
            </w:r>
          </w:p>
        </w:tc>
      </w:tr>
      <w:tr>
        <w:trPr>
          <w:trHeight w:val="216"/>
        </w:trPr>
        <w:tc>
          <w:tcPr>
            <w:tcW w:w="8380" w:type="dxa"/>
            <w:vAlign w:val="bottom"/>
          </w:tcPr>
          <w:p>
            <w:pPr>
              <w:ind w:left="2300"/>
              <w:spacing w:after="0"/>
              <w:rPr>
                <w:sz w:val="20"/>
                <w:szCs w:val="20"/>
                <w:color w:val="auto"/>
              </w:rPr>
            </w:pPr>
            <w:r>
              <w:rPr>
                <w:rFonts w:ascii="Arial" w:cs="Arial" w:eastAsia="Arial" w:hAnsi="Arial"/>
                <w:sz w:val="18"/>
                <w:szCs w:val="18"/>
                <w:color w:val="auto"/>
              </w:rPr>
              <w:t>Article 10. Performance Measures</w:t>
            </w:r>
          </w:p>
        </w:tc>
        <w:tc>
          <w:tcPr>
            <w:tcW w:w="3040" w:type="dxa"/>
            <w:vAlign w:val="bottom"/>
            <w:gridSpan w:val="2"/>
          </w:tcPr>
          <w:p>
            <w:pPr>
              <w:jc w:val="right"/>
              <w:ind w:right="2480"/>
              <w:spacing w:after="0"/>
              <w:rPr>
                <w:sz w:val="20"/>
                <w:szCs w:val="20"/>
                <w:color w:val="auto"/>
              </w:rPr>
            </w:pPr>
            <w:r>
              <w:rPr>
                <w:rFonts w:ascii="Arial" w:cs="Arial" w:eastAsia="Arial" w:hAnsi="Arial"/>
                <w:sz w:val="18"/>
                <w:szCs w:val="18"/>
                <w:color w:val="auto"/>
              </w:rPr>
              <w:t>B-13</w:t>
            </w:r>
          </w:p>
        </w:tc>
      </w:tr>
      <w:tr>
        <w:trPr>
          <w:trHeight w:val="216"/>
        </w:trPr>
        <w:tc>
          <w:tcPr>
            <w:tcW w:w="8380" w:type="dxa"/>
            <w:vAlign w:val="bottom"/>
          </w:tcPr>
          <w:p>
            <w:pPr>
              <w:ind w:left="2300"/>
              <w:spacing w:after="0"/>
              <w:rPr>
                <w:sz w:val="20"/>
                <w:szCs w:val="20"/>
                <w:color w:val="auto"/>
              </w:rPr>
            </w:pPr>
            <w:r>
              <w:rPr>
                <w:rFonts w:ascii="Arial" w:cs="Arial" w:eastAsia="Arial" w:hAnsi="Arial"/>
                <w:sz w:val="18"/>
                <w:szCs w:val="18"/>
                <w:color w:val="auto"/>
              </w:rPr>
              <w:t>Article 11. Beneficiary Designation</w:t>
            </w:r>
          </w:p>
        </w:tc>
        <w:tc>
          <w:tcPr>
            <w:tcW w:w="3040" w:type="dxa"/>
            <w:vAlign w:val="bottom"/>
            <w:gridSpan w:val="2"/>
          </w:tcPr>
          <w:p>
            <w:pPr>
              <w:jc w:val="right"/>
              <w:ind w:right="2480"/>
              <w:spacing w:after="0"/>
              <w:rPr>
                <w:sz w:val="20"/>
                <w:szCs w:val="20"/>
                <w:color w:val="auto"/>
              </w:rPr>
            </w:pPr>
            <w:r>
              <w:rPr>
                <w:rFonts w:ascii="Arial" w:cs="Arial" w:eastAsia="Arial" w:hAnsi="Arial"/>
                <w:sz w:val="18"/>
                <w:szCs w:val="18"/>
                <w:color w:val="auto"/>
              </w:rPr>
              <w:t>B-13</w:t>
            </w:r>
          </w:p>
        </w:tc>
      </w:tr>
      <w:tr>
        <w:trPr>
          <w:trHeight w:val="216"/>
        </w:trPr>
        <w:tc>
          <w:tcPr>
            <w:tcW w:w="8380" w:type="dxa"/>
            <w:vAlign w:val="bottom"/>
          </w:tcPr>
          <w:p>
            <w:pPr>
              <w:ind w:left="2300"/>
              <w:spacing w:after="0"/>
              <w:rPr>
                <w:sz w:val="20"/>
                <w:szCs w:val="20"/>
                <w:color w:val="auto"/>
              </w:rPr>
            </w:pPr>
            <w:r>
              <w:rPr>
                <w:rFonts w:ascii="Arial" w:cs="Arial" w:eastAsia="Arial" w:hAnsi="Arial"/>
                <w:sz w:val="18"/>
                <w:szCs w:val="18"/>
                <w:color w:val="auto"/>
              </w:rPr>
              <w:t>Article 12. Deferrals</w:t>
            </w:r>
          </w:p>
        </w:tc>
        <w:tc>
          <w:tcPr>
            <w:tcW w:w="3040" w:type="dxa"/>
            <w:vAlign w:val="bottom"/>
            <w:gridSpan w:val="2"/>
          </w:tcPr>
          <w:p>
            <w:pPr>
              <w:jc w:val="right"/>
              <w:ind w:right="2480"/>
              <w:spacing w:after="0"/>
              <w:rPr>
                <w:sz w:val="20"/>
                <w:szCs w:val="20"/>
                <w:color w:val="auto"/>
              </w:rPr>
            </w:pPr>
            <w:r>
              <w:rPr>
                <w:rFonts w:ascii="Arial" w:cs="Arial" w:eastAsia="Arial" w:hAnsi="Arial"/>
                <w:sz w:val="18"/>
                <w:szCs w:val="18"/>
                <w:color w:val="auto"/>
              </w:rPr>
              <w:t>B-14</w:t>
            </w:r>
          </w:p>
        </w:tc>
      </w:tr>
      <w:tr>
        <w:trPr>
          <w:trHeight w:val="216"/>
        </w:trPr>
        <w:tc>
          <w:tcPr>
            <w:tcW w:w="8380" w:type="dxa"/>
            <w:vAlign w:val="bottom"/>
          </w:tcPr>
          <w:p>
            <w:pPr>
              <w:ind w:left="2300"/>
              <w:spacing w:after="0"/>
              <w:rPr>
                <w:sz w:val="20"/>
                <w:szCs w:val="20"/>
                <w:color w:val="auto"/>
              </w:rPr>
            </w:pPr>
            <w:r>
              <w:rPr>
                <w:rFonts w:ascii="Arial" w:cs="Arial" w:eastAsia="Arial" w:hAnsi="Arial"/>
                <w:sz w:val="18"/>
                <w:szCs w:val="18"/>
                <w:color w:val="auto"/>
              </w:rPr>
              <w:t>Article 13. Rights of Employees</w:t>
            </w:r>
          </w:p>
        </w:tc>
        <w:tc>
          <w:tcPr>
            <w:tcW w:w="3040" w:type="dxa"/>
            <w:vAlign w:val="bottom"/>
            <w:gridSpan w:val="2"/>
          </w:tcPr>
          <w:p>
            <w:pPr>
              <w:jc w:val="right"/>
              <w:ind w:right="2480"/>
              <w:spacing w:after="0"/>
              <w:rPr>
                <w:sz w:val="20"/>
                <w:szCs w:val="20"/>
                <w:color w:val="auto"/>
              </w:rPr>
            </w:pPr>
            <w:r>
              <w:rPr>
                <w:rFonts w:ascii="Arial" w:cs="Arial" w:eastAsia="Arial" w:hAnsi="Arial"/>
                <w:sz w:val="18"/>
                <w:szCs w:val="18"/>
                <w:color w:val="auto"/>
              </w:rPr>
              <w:t>B-14</w:t>
            </w:r>
          </w:p>
        </w:tc>
      </w:tr>
      <w:tr>
        <w:trPr>
          <w:trHeight w:val="216"/>
        </w:trPr>
        <w:tc>
          <w:tcPr>
            <w:tcW w:w="8380" w:type="dxa"/>
            <w:vAlign w:val="bottom"/>
          </w:tcPr>
          <w:p>
            <w:pPr>
              <w:ind w:left="2300"/>
              <w:spacing w:after="0"/>
              <w:rPr>
                <w:sz w:val="20"/>
                <w:szCs w:val="20"/>
                <w:color w:val="auto"/>
              </w:rPr>
            </w:pPr>
            <w:r>
              <w:rPr>
                <w:rFonts w:ascii="Arial" w:cs="Arial" w:eastAsia="Arial" w:hAnsi="Arial"/>
                <w:sz w:val="18"/>
                <w:szCs w:val="18"/>
                <w:color w:val="auto"/>
              </w:rPr>
              <w:t>Article 14. Change in Control</w:t>
            </w:r>
          </w:p>
        </w:tc>
        <w:tc>
          <w:tcPr>
            <w:tcW w:w="3040" w:type="dxa"/>
            <w:vAlign w:val="bottom"/>
            <w:gridSpan w:val="2"/>
          </w:tcPr>
          <w:p>
            <w:pPr>
              <w:jc w:val="right"/>
              <w:ind w:right="2480"/>
              <w:spacing w:after="0"/>
              <w:rPr>
                <w:sz w:val="20"/>
                <w:szCs w:val="20"/>
                <w:color w:val="auto"/>
              </w:rPr>
            </w:pPr>
            <w:r>
              <w:rPr>
                <w:rFonts w:ascii="Arial" w:cs="Arial" w:eastAsia="Arial" w:hAnsi="Arial"/>
                <w:sz w:val="18"/>
                <w:szCs w:val="18"/>
                <w:color w:val="auto"/>
              </w:rPr>
              <w:t>B-14</w:t>
            </w:r>
          </w:p>
        </w:tc>
      </w:tr>
      <w:tr>
        <w:trPr>
          <w:trHeight w:val="216"/>
        </w:trPr>
        <w:tc>
          <w:tcPr>
            <w:tcW w:w="8380" w:type="dxa"/>
            <w:vAlign w:val="bottom"/>
          </w:tcPr>
          <w:p>
            <w:pPr>
              <w:ind w:left="2300"/>
              <w:spacing w:after="0"/>
              <w:rPr>
                <w:sz w:val="20"/>
                <w:szCs w:val="20"/>
                <w:color w:val="auto"/>
              </w:rPr>
            </w:pPr>
            <w:r>
              <w:rPr>
                <w:rFonts w:ascii="Arial" w:cs="Arial" w:eastAsia="Arial" w:hAnsi="Arial"/>
                <w:sz w:val="18"/>
                <w:szCs w:val="18"/>
                <w:color w:val="auto"/>
              </w:rPr>
              <w:t>Article 15. Amendment, Modification and Termination</w:t>
            </w:r>
          </w:p>
        </w:tc>
        <w:tc>
          <w:tcPr>
            <w:tcW w:w="3040" w:type="dxa"/>
            <w:vAlign w:val="bottom"/>
            <w:gridSpan w:val="2"/>
          </w:tcPr>
          <w:p>
            <w:pPr>
              <w:jc w:val="right"/>
              <w:ind w:right="2480"/>
              <w:spacing w:after="0"/>
              <w:rPr>
                <w:sz w:val="20"/>
                <w:szCs w:val="20"/>
                <w:color w:val="auto"/>
              </w:rPr>
            </w:pPr>
            <w:r>
              <w:rPr>
                <w:rFonts w:ascii="Arial" w:cs="Arial" w:eastAsia="Arial" w:hAnsi="Arial"/>
                <w:sz w:val="18"/>
                <w:szCs w:val="18"/>
                <w:color w:val="auto"/>
              </w:rPr>
              <w:t>B-15</w:t>
            </w:r>
          </w:p>
        </w:tc>
      </w:tr>
      <w:tr>
        <w:trPr>
          <w:trHeight w:val="216"/>
        </w:trPr>
        <w:tc>
          <w:tcPr>
            <w:tcW w:w="8380" w:type="dxa"/>
            <w:vAlign w:val="bottom"/>
          </w:tcPr>
          <w:p>
            <w:pPr>
              <w:ind w:left="2300"/>
              <w:spacing w:after="0"/>
              <w:rPr>
                <w:sz w:val="20"/>
                <w:szCs w:val="20"/>
                <w:color w:val="auto"/>
              </w:rPr>
            </w:pPr>
            <w:r>
              <w:rPr>
                <w:rFonts w:ascii="Arial" w:cs="Arial" w:eastAsia="Arial" w:hAnsi="Arial"/>
                <w:sz w:val="18"/>
                <w:szCs w:val="18"/>
                <w:color w:val="auto"/>
              </w:rPr>
              <w:t>Article 16. Withholding</w:t>
            </w:r>
          </w:p>
        </w:tc>
        <w:tc>
          <w:tcPr>
            <w:tcW w:w="3040" w:type="dxa"/>
            <w:vAlign w:val="bottom"/>
            <w:gridSpan w:val="2"/>
          </w:tcPr>
          <w:p>
            <w:pPr>
              <w:jc w:val="right"/>
              <w:ind w:right="2480"/>
              <w:spacing w:after="0"/>
              <w:rPr>
                <w:sz w:val="20"/>
                <w:szCs w:val="20"/>
                <w:color w:val="auto"/>
              </w:rPr>
            </w:pPr>
            <w:r>
              <w:rPr>
                <w:rFonts w:ascii="Arial" w:cs="Arial" w:eastAsia="Arial" w:hAnsi="Arial"/>
                <w:sz w:val="18"/>
                <w:szCs w:val="18"/>
                <w:color w:val="auto"/>
              </w:rPr>
              <w:t>B-15</w:t>
            </w:r>
          </w:p>
        </w:tc>
      </w:tr>
      <w:tr>
        <w:trPr>
          <w:trHeight w:val="216"/>
        </w:trPr>
        <w:tc>
          <w:tcPr>
            <w:tcW w:w="8380" w:type="dxa"/>
            <w:vAlign w:val="bottom"/>
          </w:tcPr>
          <w:p>
            <w:pPr>
              <w:ind w:left="2300"/>
              <w:spacing w:after="0"/>
              <w:rPr>
                <w:sz w:val="20"/>
                <w:szCs w:val="20"/>
                <w:color w:val="auto"/>
              </w:rPr>
            </w:pPr>
            <w:r>
              <w:rPr>
                <w:rFonts w:ascii="Arial" w:cs="Arial" w:eastAsia="Arial" w:hAnsi="Arial"/>
                <w:sz w:val="18"/>
                <w:szCs w:val="18"/>
                <w:color w:val="auto"/>
              </w:rPr>
              <w:t>Article 17. Indemnification</w:t>
            </w:r>
          </w:p>
        </w:tc>
        <w:tc>
          <w:tcPr>
            <w:tcW w:w="3040" w:type="dxa"/>
            <w:vAlign w:val="bottom"/>
            <w:gridSpan w:val="2"/>
          </w:tcPr>
          <w:p>
            <w:pPr>
              <w:jc w:val="right"/>
              <w:ind w:right="2480"/>
              <w:spacing w:after="0"/>
              <w:rPr>
                <w:sz w:val="20"/>
                <w:szCs w:val="20"/>
                <w:color w:val="auto"/>
              </w:rPr>
            </w:pPr>
            <w:r>
              <w:rPr>
                <w:rFonts w:ascii="Arial" w:cs="Arial" w:eastAsia="Arial" w:hAnsi="Arial"/>
                <w:sz w:val="18"/>
                <w:szCs w:val="18"/>
                <w:color w:val="auto"/>
              </w:rPr>
              <w:t>B-15</w:t>
            </w:r>
          </w:p>
        </w:tc>
      </w:tr>
      <w:tr>
        <w:trPr>
          <w:trHeight w:val="216"/>
        </w:trPr>
        <w:tc>
          <w:tcPr>
            <w:tcW w:w="8380" w:type="dxa"/>
            <w:vAlign w:val="bottom"/>
          </w:tcPr>
          <w:p>
            <w:pPr>
              <w:ind w:left="2300"/>
              <w:spacing w:after="0"/>
              <w:rPr>
                <w:sz w:val="20"/>
                <w:szCs w:val="20"/>
                <w:color w:val="auto"/>
              </w:rPr>
            </w:pPr>
            <w:r>
              <w:rPr>
                <w:rFonts w:ascii="Arial" w:cs="Arial" w:eastAsia="Arial" w:hAnsi="Arial"/>
                <w:sz w:val="18"/>
                <w:szCs w:val="18"/>
                <w:color w:val="auto"/>
              </w:rPr>
              <w:t>Article 18. Successors</w:t>
            </w:r>
          </w:p>
        </w:tc>
        <w:tc>
          <w:tcPr>
            <w:tcW w:w="3040" w:type="dxa"/>
            <w:vAlign w:val="bottom"/>
            <w:gridSpan w:val="2"/>
          </w:tcPr>
          <w:p>
            <w:pPr>
              <w:jc w:val="right"/>
              <w:ind w:right="2480"/>
              <w:spacing w:after="0"/>
              <w:rPr>
                <w:sz w:val="20"/>
                <w:szCs w:val="20"/>
                <w:color w:val="auto"/>
              </w:rPr>
            </w:pPr>
            <w:r>
              <w:rPr>
                <w:rFonts w:ascii="Arial" w:cs="Arial" w:eastAsia="Arial" w:hAnsi="Arial"/>
                <w:sz w:val="18"/>
                <w:szCs w:val="18"/>
                <w:color w:val="auto"/>
              </w:rPr>
              <w:t>B-16</w:t>
            </w:r>
          </w:p>
        </w:tc>
      </w:tr>
      <w:tr>
        <w:trPr>
          <w:trHeight w:val="222"/>
        </w:trPr>
        <w:tc>
          <w:tcPr>
            <w:tcW w:w="8380" w:type="dxa"/>
            <w:vAlign w:val="bottom"/>
          </w:tcPr>
          <w:p>
            <w:pPr>
              <w:ind w:left="2300"/>
              <w:spacing w:after="0"/>
              <w:rPr>
                <w:sz w:val="20"/>
                <w:szCs w:val="20"/>
                <w:color w:val="auto"/>
              </w:rPr>
            </w:pPr>
            <w:r>
              <w:rPr>
                <w:rFonts w:ascii="Arial" w:cs="Arial" w:eastAsia="Arial" w:hAnsi="Arial"/>
                <w:sz w:val="18"/>
                <w:szCs w:val="18"/>
                <w:color w:val="auto"/>
              </w:rPr>
              <w:t>Article 19. Legal Construction</w:t>
            </w:r>
          </w:p>
        </w:tc>
        <w:tc>
          <w:tcPr>
            <w:tcW w:w="3040" w:type="dxa"/>
            <w:vAlign w:val="bottom"/>
            <w:gridSpan w:val="2"/>
          </w:tcPr>
          <w:p>
            <w:pPr>
              <w:jc w:val="right"/>
              <w:ind w:right="2480"/>
              <w:spacing w:after="0"/>
              <w:rPr>
                <w:sz w:val="20"/>
                <w:szCs w:val="20"/>
                <w:color w:val="auto"/>
              </w:rPr>
            </w:pPr>
            <w:r>
              <w:rPr>
                <w:rFonts w:ascii="Arial" w:cs="Arial" w:eastAsia="Arial" w:hAnsi="Arial"/>
                <w:sz w:val="18"/>
                <w:szCs w:val="18"/>
                <w:color w:val="auto"/>
              </w:rPr>
              <w:t>B-16</w:t>
            </w:r>
          </w:p>
        </w:tc>
      </w:tr>
      <w:tr>
        <w:trPr>
          <w:trHeight w:val="432"/>
        </w:trPr>
        <w:tc>
          <w:tcPr>
            <w:tcW w:w="8380" w:type="dxa"/>
            <w:vAlign w:val="bottom"/>
          </w:tcPr>
          <w:p>
            <w:pPr>
              <w:ind w:left="5580"/>
              <w:spacing w:after="0"/>
              <w:rPr>
                <w:sz w:val="20"/>
                <w:szCs w:val="20"/>
                <w:color w:val="auto"/>
              </w:rPr>
            </w:pPr>
            <w:r>
              <w:rPr>
                <w:rFonts w:ascii="Arial" w:cs="Arial" w:eastAsia="Arial" w:hAnsi="Arial"/>
                <w:sz w:val="18"/>
                <w:szCs w:val="18"/>
                <w:color w:val="auto"/>
              </w:rPr>
              <w:t>B-2</w:t>
            </w:r>
          </w:p>
        </w:tc>
        <w:tc>
          <w:tcPr>
            <w:tcW w:w="5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28"/>
        </w:trPr>
        <w:tc>
          <w:tcPr>
            <w:tcW w:w="83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LEAR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LONG-TERM STOCK INCENTIVE PLAN</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(AS AMENDED AND RESTATED EFFECTIVE MAY 3, 2001)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Article 1. Establishment, Objectives and Duration</w:t>
      </w:r>
    </w:p>
    <w:p>
      <w:pPr>
        <w:spacing w:after="0" w:line="246"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b w:val="1"/>
          <w:bCs w:val="1"/>
          <w:color w:val="auto"/>
        </w:rPr>
        <w:t xml:space="preserve">1.1 Establishment of the Plan. </w:t>
      </w:r>
      <w:r>
        <w:rPr>
          <w:rFonts w:ascii="Arial" w:cs="Arial" w:eastAsia="Arial" w:hAnsi="Arial"/>
          <w:sz w:val="16"/>
          <w:szCs w:val="16"/>
          <w:color w:val="auto"/>
        </w:rPr>
        <w:t>Lear Corporation, a Delaware corporation, hereby amends and restates its long-term incentive compensation plan, to be</w:t>
      </w:r>
      <w:r>
        <w:rPr>
          <w:rFonts w:ascii="Arial" w:cs="Arial" w:eastAsia="Arial" w:hAnsi="Arial"/>
          <w:sz w:val="16"/>
          <w:szCs w:val="16"/>
          <w:b w:val="1"/>
          <w:bCs w:val="1"/>
          <w:color w:val="auto"/>
        </w:rPr>
        <w:t xml:space="preserve"> </w:t>
      </w:r>
      <w:r>
        <w:rPr>
          <w:rFonts w:ascii="Arial" w:cs="Arial" w:eastAsia="Arial" w:hAnsi="Arial"/>
          <w:sz w:val="16"/>
          <w:szCs w:val="16"/>
          <w:color w:val="auto"/>
        </w:rPr>
        <w:t>known as the “Lear Corporation Long-Term Stock Incentive Plan (As Amended and Restated Effective May 3, 2001) as set forth in this document. Capitalized terms used but not otherwise defined herein will have the meanings given to them in Article 2. The Plan permits the grant of Nonqualified Stock Options, Incentive Stock Options, Stock Appreciation Rights, Restricted Stock, Restricted Units, Restricted Stock Units, Performance Shares and Performance Units. In addition, the Plan provides the opportunity for the deferral of the payment of salary, bonuses and other forms of incentive compensation.</w:t>
      </w:r>
    </w:p>
    <w:p>
      <w:pPr>
        <w:spacing w:after="0" w:line="195"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Subject to the approval of the Company’s shareholders, the Plan, as amended and restated herein will become effective as of May 3, 2001, and will remain in effect as provided in Section 1.3 hereof.</w:t>
      </w:r>
    </w:p>
    <w:p>
      <w:pPr>
        <w:spacing w:after="0" w:line="207" w:lineRule="exact"/>
        <w:rPr>
          <w:sz w:val="20"/>
          <w:szCs w:val="20"/>
          <w:color w:val="auto"/>
        </w:rPr>
      </w:pPr>
    </w:p>
    <w:p>
      <w:pPr>
        <w:ind w:right="100" w:firstLine="324"/>
        <w:spacing w:after="0" w:line="258" w:lineRule="auto"/>
        <w:rPr>
          <w:sz w:val="20"/>
          <w:szCs w:val="20"/>
          <w:color w:val="auto"/>
        </w:rPr>
      </w:pPr>
      <w:r>
        <w:rPr>
          <w:rFonts w:ascii="Arial" w:cs="Arial" w:eastAsia="Arial" w:hAnsi="Arial"/>
          <w:sz w:val="18"/>
          <w:szCs w:val="18"/>
          <w:b w:val="1"/>
          <w:bCs w:val="1"/>
          <w:color w:val="auto"/>
        </w:rPr>
        <w:t xml:space="preserve">1.2 Objectives of the Plan. </w:t>
      </w:r>
      <w:r>
        <w:rPr>
          <w:rFonts w:ascii="Arial" w:cs="Arial" w:eastAsia="Arial" w:hAnsi="Arial"/>
          <w:sz w:val="18"/>
          <w:szCs w:val="18"/>
          <w:color w:val="auto"/>
        </w:rPr>
        <w:t>The objectives of the Plan are to optimize the profitability and growth of the Company through long-term incentives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the Company’s objectives and that link the interests of Participants to those of the Company’s shareholders; to provide Participants with an incentive for excellence in individual performance; to promote teamwork among Participants; and to give the Company a significant advantage in attracting and retaining officers, key employees and directors.</w:t>
      </w:r>
    </w:p>
    <w:p>
      <w:pPr>
        <w:spacing w:after="0" w:line="223" w:lineRule="exact"/>
        <w:rPr>
          <w:sz w:val="20"/>
          <w:szCs w:val="20"/>
          <w:color w:val="auto"/>
        </w:rPr>
      </w:pPr>
    </w:p>
    <w:p>
      <w:pPr>
        <w:ind w:right="720" w:firstLine="324"/>
        <w:spacing w:after="0" w:line="332" w:lineRule="auto"/>
        <w:rPr>
          <w:sz w:val="20"/>
          <w:szCs w:val="20"/>
          <w:color w:val="auto"/>
        </w:rPr>
      </w:pPr>
      <w:r>
        <w:rPr>
          <w:rFonts w:ascii="Arial" w:cs="Arial" w:eastAsia="Arial" w:hAnsi="Arial"/>
          <w:sz w:val="16"/>
          <w:szCs w:val="16"/>
          <w:color w:val="auto"/>
        </w:rPr>
        <w:t>The Plan is further intended to provide flexibility to the Company in its ability to motivate, attract and retain the services of Participants who make significant contributions to the Company’s success, and to allow Participants to share in the success of the Company.</w:t>
      </w:r>
    </w:p>
    <w:p>
      <w:pPr>
        <w:spacing w:after="0" w:line="160" w:lineRule="exact"/>
        <w:rPr>
          <w:sz w:val="20"/>
          <w:szCs w:val="20"/>
          <w:color w:val="auto"/>
        </w:rPr>
      </w:pPr>
    </w:p>
    <w:p>
      <w:pPr>
        <w:ind w:right="20" w:firstLine="324"/>
        <w:spacing w:after="0" w:line="310" w:lineRule="auto"/>
        <w:rPr>
          <w:sz w:val="20"/>
          <w:szCs w:val="20"/>
          <w:color w:val="auto"/>
        </w:rPr>
      </w:pPr>
      <w:r>
        <w:rPr>
          <w:rFonts w:ascii="Arial" w:cs="Arial" w:eastAsia="Arial" w:hAnsi="Arial"/>
          <w:sz w:val="16"/>
          <w:szCs w:val="16"/>
          <w:b w:val="1"/>
          <w:bCs w:val="1"/>
          <w:color w:val="auto"/>
        </w:rPr>
        <w:t xml:space="preserve">1.3 Duration of the Plan. </w:t>
      </w:r>
      <w:r>
        <w:rPr>
          <w:rFonts w:ascii="Arial" w:cs="Arial" w:eastAsia="Arial" w:hAnsi="Arial"/>
          <w:sz w:val="16"/>
          <w:szCs w:val="16"/>
          <w:color w:val="auto"/>
        </w:rPr>
        <w:t>This amendment and restatement of the Plan will commence on the Effective Date, as described in Section 1.1, and will remain in</w:t>
      </w:r>
      <w:r>
        <w:rPr>
          <w:rFonts w:ascii="Arial" w:cs="Arial" w:eastAsia="Arial" w:hAnsi="Arial"/>
          <w:sz w:val="16"/>
          <w:szCs w:val="16"/>
          <w:b w:val="1"/>
          <w:bCs w:val="1"/>
          <w:color w:val="auto"/>
        </w:rPr>
        <w:t xml:space="preserve"> </w:t>
      </w:r>
      <w:r>
        <w:rPr>
          <w:rFonts w:ascii="Arial" w:cs="Arial" w:eastAsia="Arial" w:hAnsi="Arial"/>
          <w:sz w:val="16"/>
          <w:szCs w:val="16"/>
          <w:color w:val="auto"/>
        </w:rPr>
        <w:t>effect, subject to the right of the Committee to amend or terminate the Plan at any time pursuant to Article 15, until all Shares subject to it pursuant to Article 4 have been issued or transferred according to the Plan’s provisions. In no event may an Award be granted under the Plan on or after May 3, 2011.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Article 2. Definitions</w:t>
      </w:r>
    </w:p>
    <w:p>
      <w:pPr>
        <w:spacing w:after="0" w:line="252" w:lineRule="exact"/>
        <w:rPr>
          <w:sz w:val="20"/>
          <w:szCs w:val="20"/>
          <w:color w:val="auto"/>
        </w:rPr>
      </w:pPr>
    </w:p>
    <w:p>
      <w:pPr>
        <w:ind w:right="580" w:firstLine="324"/>
        <w:spacing w:after="0" w:line="268" w:lineRule="auto"/>
        <w:rPr>
          <w:sz w:val="20"/>
          <w:szCs w:val="20"/>
          <w:color w:val="auto"/>
        </w:rPr>
      </w:pPr>
      <w:r>
        <w:rPr>
          <w:rFonts w:ascii="Arial" w:cs="Arial" w:eastAsia="Arial" w:hAnsi="Arial"/>
          <w:sz w:val="18"/>
          <w:szCs w:val="18"/>
          <w:color w:val="auto"/>
        </w:rPr>
        <w:t>Whenever used in the Plan, the following terms have the meanings set forth below, and when the meaning is intended, the initial letter of the word is capitalized:</w:t>
      </w:r>
    </w:p>
    <w:p>
      <w:pPr>
        <w:spacing w:after="0" w:line="207"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b w:val="1"/>
          <w:bCs w:val="1"/>
          <w:color w:val="auto"/>
        </w:rPr>
        <w:t xml:space="preserve">“Affiliates” </w:t>
      </w:r>
      <w:r>
        <w:rPr>
          <w:rFonts w:ascii="Arial" w:cs="Arial" w:eastAsia="Arial" w:hAnsi="Arial"/>
          <w:sz w:val="16"/>
          <w:szCs w:val="16"/>
          <w:color w:val="auto"/>
        </w:rPr>
        <w:t>means any corporation (or partnership, joint venture, or other enterprise) of which the Company owns or controls, directly or indirectly, at least</w:t>
      </w:r>
      <w:r>
        <w:rPr>
          <w:rFonts w:ascii="Arial" w:cs="Arial" w:eastAsia="Arial" w:hAnsi="Arial"/>
          <w:sz w:val="16"/>
          <w:szCs w:val="16"/>
          <w:b w:val="1"/>
          <w:bCs w:val="1"/>
          <w:color w:val="auto"/>
        </w:rPr>
        <w:t xml:space="preserve"> </w:t>
      </w:r>
      <w:r>
        <w:rPr>
          <w:rFonts w:ascii="Arial" w:cs="Arial" w:eastAsia="Arial" w:hAnsi="Arial"/>
          <w:sz w:val="16"/>
          <w:szCs w:val="16"/>
          <w:color w:val="auto"/>
        </w:rPr>
        <w:t>fifty percent of the outstanding shares of stock normally entitled to vote for the election of directors (or comparable equity participation and voting power). Notwithstanding the foregoing, for purposes of determining whether an employee has terminated employment with the Company and all Affiliates, “Affiliates” means any corporation (or partnership, joint venture, or other enterprise) of which the Company owns or controls, directly or indirectly, at least ten percent of the outstanding shares of stock normally entitled to vote for the election of directors (or comparable equity participation and voting power).</w:t>
      </w:r>
    </w:p>
    <w:p>
      <w:pPr>
        <w:spacing w:after="0" w:line="189" w:lineRule="exact"/>
        <w:rPr>
          <w:sz w:val="20"/>
          <w:szCs w:val="20"/>
          <w:color w:val="auto"/>
        </w:rPr>
      </w:pPr>
    </w:p>
    <w:p>
      <w:pPr>
        <w:ind w:right="620" w:firstLine="324"/>
        <w:spacing w:after="0" w:line="339" w:lineRule="auto"/>
        <w:rPr>
          <w:sz w:val="20"/>
          <w:szCs w:val="20"/>
          <w:color w:val="auto"/>
        </w:rPr>
      </w:pPr>
      <w:r>
        <w:rPr>
          <w:rFonts w:ascii="Arial" w:cs="Arial" w:eastAsia="Arial" w:hAnsi="Arial"/>
          <w:sz w:val="16"/>
          <w:szCs w:val="16"/>
          <w:b w:val="1"/>
          <w:bCs w:val="1"/>
          <w:color w:val="auto"/>
        </w:rPr>
        <w:t xml:space="preserve">“Award” </w:t>
      </w:r>
      <w:r>
        <w:rPr>
          <w:rFonts w:ascii="Arial" w:cs="Arial" w:eastAsia="Arial" w:hAnsi="Arial"/>
          <w:sz w:val="16"/>
          <w:szCs w:val="16"/>
          <w:color w:val="auto"/>
        </w:rPr>
        <w:t>means, individually or collectively, a grant under this Plan to a Participant of Nonqualified Stock Options, Incentive Stock Options, Stock</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Appreciation Rights, Restricted Stock, Restricted Units, Restricted Stock Units, Performance Shares and Performance Units.</w:t>
      </w:r>
    </w:p>
    <w:p>
      <w:pPr>
        <w:spacing w:after="0" w:line="156" w:lineRule="exact"/>
        <w:rPr>
          <w:sz w:val="20"/>
          <w:szCs w:val="20"/>
          <w:color w:val="auto"/>
        </w:rPr>
      </w:pPr>
    </w:p>
    <w:p>
      <w:pPr>
        <w:ind w:right="180" w:firstLine="324"/>
        <w:spacing w:after="0" w:line="339" w:lineRule="auto"/>
        <w:rPr>
          <w:sz w:val="20"/>
          <w:szCs w:val="20"/>
          <w:color w:val="auto"/>
        </w:rPr>
      </w:pPr>
      <w:r>
        <w:rPr>
          <w:rFonts w:ascii="Arial" w:cs="Arial" w:eastAsia="Arial" w:hAnsi="Arial"/>
          <w:sz w:val="16"/>
          <w:szCs w:val="16"/>
          <w:b w:val="1"/>
          <w:bCs w:val="1"/>
          <w:color w:val="auto"/>
        </w:rPr>
        <w:t xml:space="preserve">“Award Agreement” </w:t>
      </w:r>
      <w:r>
        <w:rPr>
          <w:rFonts w:ascii="Arial" w:cs="Arial" w:eastAsia="Arial" w:hAnsi="Arial"/>
          <w:sz w:val="16"/>
          <w:szCs w:val="16"/>
          <w:color w:val="auto"/>
        </w:rPr>
        <w:t>means an agreement entered into by the Company and a Participant setting forth the terms and provisions applicable to an Award or</w:t>
      </w:r>
      <w:r>
        <w:rPr>
          <w:rFonts w:ascii="Arial" w:cs="Arial" w:eastAsia="Arial" w:hAnsi="Arial"/>
          <w:sz w:val="16"/>
          <w:szCs w:val="16"/>
          <w:b w:val="1"/>
          <w:bCs w:val="1"/>
          <w:color w:val="auto"/>
        </w:rPr>
        <w:t xml:space="preserve"> </w:t>
      </w:r>
      <w:r>
        <w:rPr>
          <w:rFonts w:ascii="Arial" w:cs="Arial" w:eastAsia="Arial" w:hAnsi="Arial"/>
          <w:sz w:val="16"/>
          <w:szCs w:val="16"/>
          <w:color w:val="auto"/>
        </w:rPr>
        <w:t>Awards granted to the Participant or the terms and provisions applicable to an election to defer compensation under Section 8.2.</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520" w:firstLine="324"/>
        <w:spacing w:after="0" w:line="275" w:lineRule="auto"/>
        <w:rPr>
          <w:sz w:val="20"/>
          <w:szCs w:val="20"/>
          <w:color w:val="auto"/>
        </w:rPr>
      </w:pPr>
      <w:r>
        <w:rPr>
          <w:rFonts w:ascii="Arial" w:cs="Arial" w:eastAsia="Arial" w:hAnsi="Arial"/>
          <w:sz w:val="18"/>
          <w:szCs w:val="18"/>
          <w:b w:val="1"/>
          <w:bCs w:val="1"/>
          <w:color w:val="auto"/>
        </w:rPr>
        <w:t xml:space="preserve">“Beneficial Owner” </w:t>
      </w:r>
      <w:r>
        <w:rPr>
          <w:rFonts w:ascii="Arial" w:cs="Arial" w:eastAsia="Arial" w:hAnsi="Arial"/>
          <w:sz w:val="18"/>
          <w:szCs w:val="18"/>
          <w:color w:val="auto"/>
        </w:rPr>
        <w:t>or</w:t>
      </w:r>
      <w:r>
        <w:rPr>
          <w:rFonts w:ascii="Arial" w:cs="Arial" w:eastAsia="Arial" w:hAnsi="Arial"/>
          <w:sz w:val="18"/>
          <w:szCs w:val="18"/>
          <w:b w:val="1"/>
          <w:bCs w:val="1"/>
          <w:color w:val="auto"/>
        </w:rPr>
        <w:t xml:space="preserve"> “Beneficial Ownership” </w:t>
      </w:r>
      <w:r>
        <w:rPr>
          <w:rFonts w:ascii="Arial" w:cs="Arial" w:eastAsia="Arial" w:hAnsi="Arial"/>
          <w:sz w:val="18"/>
          <w:szCs w:val="18"/>
          <w:color w:val="auto"/>
        </w:rPr>
        <w:t>has the meaning ascribed to that term in Rule 13d-3 of the General Rules and Regulations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or</w:t>
      </w:r>
      <w:r>
        <w:rPr>
          <w:rFonts w:ascii="Arial" w:cs="Arial" w:eastAsia="Arial" w:hAnsi="Arial"/>
          <w:sz w:val="18"/>
          <w:szCs w:val="18"/>
          <w:b w:val="1"/>
          <w:bCs w:val="1"/>
          <w:color w:val="auto"/>
        </w:rPr>
        <w:t xml:space="preserve"> “Board of Directors” </w:t>
      </w:r>
      <w:r>
        <w:rPr>
          <w:rFonts w:ascii="Arial" w:cs="Arial" w:eastAsia="Arial" w:hAnsi="Arial"/>
          <w:sz w:val="18"/>
          <w:szCs w:val="18"/>
          <w:color w:val="auto"/>
        </w:rPr>
        <w:t>means the Board of Directors of the Company.</w:t>
      </w:r>
    </w:p>
    <w:p>
      <w:pPr>
        <w:spacing w:after="0" w:line="252"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b w:val="1"/>
          <w:bCs w:val="1"/>
          <w:color w:val="auto"/>
        </w:rPr>
        <w:t xml:space="preserve">“Cause” </w:t>
      </w:r>
      <w:r>
        <w:rPr>
          <w:rFonts w:ascii="Arial" w:cs="Arial" w:eastAsia="Arial" w:hAnsi="Arial"/>
          <w:sz w:val="18"/>
          <w:szCs w:val="18"/>
          <w:color w:val="auto"/>
        </w:rPr>
        <w:t>has the meaning set forth in any unexpired employment or severance agreement between the Participant and the Company or an Affiliate. If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such agreement, “Cause” means:</w:t>
      </w:r>
    </w:p>
    <w:p>
      <w:pPr>
        <w:spacing w:after="0" w:line="180" w:lineRule="exact"/>
        <w:rPr>
          <w:sz w:val="20"/>
          <w:szCs w:val="20"/>
          <w:color w:val="auto"/>
        </w:rPr>
      </w:pPr>
    </w:p>
    <w:p>
      <w:pPr>
        <w:ind w:left="700" w:hanging="341"/>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willful and continued failure of the Participant substantially to perform his or her duties with or for the Company or an Affiliate;</w:t>
      </w:r>
    </w:p>
    <w:p>
      <w:pPr>
        <w:spacing w:after="0" w:line="279" w:lineRule="exact"/>
        <w:rPr>
          <w:rFonts w:ascii="Arial" w:cs="Arial" w:eastAsia="Arial" w:hAnsi="Arial"/>
          <w:sz w:val="18"/>
          <w:szCs w:val="18"/>
          <w:color w:val="auto"/>
        </w:rPr>
      </w:pPr>
    </w:p>
    <w:p>
      <w:pPr>
        <w:ind w:left="700" w:hanging="341"/>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Participant’s engaging in conduct that is significantly injurious to the Company or an Affiliate, monetarily or otherwise;</w:t>
      </w:r>
    </w:p>
    <w:p>
      <w:pPr>
        <w:spacing w:after="0" w:line="279" w:lineRule="exact"/>
        <w:rPr>
          <w:rFonts w:ascii="Arial" w:cs="Arial" w:eastAsia="Arial" w:hAnsi="Arial"/>
          <w:sz w:val="18"/>
          <w:szCs w:val="18"/>
          <w:color w:val="auto"/>
        </w:rPr>
      </w:pPr>
    </w:p>
    <w:p>
      <w:pPr>
        <w:ind w:left="700" w:hanging="341"/>
        <w:spacing w:after="0"/>
        <w:tabs>
          <w:tab w:leader="none" w:pos="7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Participant’s commission of a crime that is significantly injurious to the Company or an Affiliate, monetarily, reputationally or otherwise;</w:t>
      </w:r>
    </w:p>
    <w:p>
      <w:pPr>
        <w:spacing w:after="0" w:line="302" w:lineRule="exact"/>
        <w:rPr>
          <w:rFonts w:ascii="Arial" w:cs="Arial" w:eastAsia="Arial" w:hAnsi="Arial"/>
          <w:sz w:val="16"/>
          <w:szCs w:val="16"/>
          <w:color w:val="auto"/>
        </w:rPr>
      </w:pPr>
    </w:p>
    <w:p>
      <w:pPr>
        <w:ind w:left="700" w:hanging="341"/>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Participant’s abuse of illegal drugs or other controlled substances; or</w:t>
      </w:r>
    </w:p>
    <w:p>
      <w:pPr>
        <w:spacing w:after="0" w:line="252" w:lineRule="exact"/>
        <w:rPr>
          <w:rFonts w:ascii="Arial" w:cs="Arial" w:eastAsia="Arial" w:hAnsi="Arial"/>
          <w:sz w:val="18"/>
          <w:szCs w:val="18"/>
          <w:color w:val="auto"/>
        </w:rPr>
      </w:pPr>
    </w:p>
    <w:p>
      <w:pPr>
        <w:ind w:left="700" w:hanging="341"/>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Participant’s habitual intoxication.</w:t>
      </w:r>
    </w:p>
    <w:p>
      <w:pPr>
        <w:spacing w:after="0" w:line="25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Unless otherwise defined in the Participant’s employment or severance agreement, an act or omission is “willful” for this purpose if it was knowingly done, or knowingly omitted to be done, by the Participant not in good faith and without reasonable belief that the act or omission was in the best interest of the Company or an Affiliate. For purposes of this Plan, if a Participant is convicted of a crime or pleads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criminal charge, he or she will conclusively be deemed to have committed the crime. The Committee has the discretion, in other circumstances, to determine in good faith, from all the facts and circumstances reasonably available to it, whether a Participant who is under investigation for, or has been charged with, a crime will be deemed to have committed it for purposes of this Plan.</w:t>
      </w:r>
    </w:p>
    <w:p>
      <w:pPr>
        <w:spacing w:after="0" w:line="219" w:lineRule="exact"/>
        <w:rPr>
          <w:sz w:val="20"/>
          <w:szCs w:val="20"/>
          <w:color w:val="auto"/>
        </w:rPr>
      </w:pPr>
    </w:p>
    <w:p>
      <w:pPr>
        <w:ind w:right="60" w:firstLine="324"/>
        <w:spacing w:after="0" w:line="275" w:lineRule="auto"/>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of the Company will be deemed to have occurred (as of a particular day, as specified by the Board) as of the first day any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following paragraphs is satisfied.</w:t>
      </w:r>
    </w:p>
    <w:p>
      <w:pPr>
        <w:spacing w:after="0" w:line="180" w:lineRule="exact"/>
        <w:rPr>
          <w:sz w:val="20"/>
          <w:szCs w:val="20"/>
          <w:color w:val="auto"/>
        </w:rPr>
      </w:pPr>
    </w:p>
    <w:p>
      <w:pPr>
        <w:ind w:left="700" w:right="80" w:hanging="341"/>
        <w:spacing w:after="0" w:line="256"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Person (other than the Company or a trustee or other fiduciary holding securities under an employee benefit plan of the Company, or a corporation owned directly or indirectly by the shareholders of the Company in substantially the same proportions as their ownership of stock of the Company) becomes the Beneficial Owner, directly or indirectly, of securities of the Company, representing more than twenty percent of the combined voting power of the Company’s then outstanding securities.</w:t>
      </w:r>
    </w:p>
    <w:p>
      <w:pPr>
        <w:spacing w:after="0" w:line="224" w:lineRule="exact"/>
        <w:rPr>
          <w:rFonts w:ascii="Arial" w:cs="Arial" w:eastAsia="Arial" w:hAnsi="Arial"/>
          <w:sz w:val="18"/>
          <w:szCs w:val="18"/>
          <w:color w:val="auto"/>
        </w:rPr>
      </w:pPr>
    </w:p>
    <w:p>
      <w:pPr>
        <w:ind w:left="700" w:right="20" w:hanging="341"/>
        <w:spacing w:after="0" w:line="294" w:lineRule="auto"/>
        <w:tabs>
          <w:tab w:leader="none" w:pos="7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During any period of twenty-six consecutive months beginning on or after the Effective Date, individuals who at the beginning of the period constituted the Board cease for any reason (other than death, Disability or voluntary Retirement) to constitute a majority of the Board. For this purpose, any new Director whose election by the Board, or nomination for election by the company’s shareholders, was approved by a vote of at least two-thirds of the Directors then still in office, and who either were Directors at the beginning of the period or whose election or nomination for election was so approved, will be deemed to have been a Director at the beginning of any twenty-six month period under consideration.</w:t>
      </w:r>
    </w:p>
    <w:p>
      <w:pPr>
        <w:spacing w:after="0" w:line="196" w:lineRule="exact"/>
        <w:rPr>
          <w:rFonts w:ascii="Arial" w:cs="Arial" w:eastAsia="Arial" w:hAnsi="Arial"/>
          <w:sz w:val="16"/>
          <w:szCs w:val="16"/>
          <w:color w:val="auto"/>
        </w:rPr>
      </w:pPr>
    </w:p>
    <w:p>
      <w:pPr>
        <w:ind w:left="700" w:hanging="341"/>
        <w:spacing w:after="0" w:line="254"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shareholders of the Company approve: (i) a plan of complete liquidation or dissolution of the Company; or (ii) an agreement for the sale or disposition of all or substantially all the Company’s assets; or (iii) a merger, consolidation or reorganization of the Company with or involving any other corporation, other than a merger, consolidation or reorganization that would result in the voting securities of the Company outstanding immediately prior thereto continuing to represent (either by remaining outstanding or by being converted into voting securities of the surviving entity) at least eighty percent of the combined voting power of the voting securities of the Company (or such surviving entity) outstanding immediately after such merger, consolidation, or reorganization.</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Internal Revenue Code of 1986, as amended from time to time.</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380" w:firstLine="324"/>
        <w:spacing w:after="0" w:line="275" w:lineRule="auto"/>
        <w:rPr>
          <w:sz w:val="20"/>
          <w:szCs w:val="20"/>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means, as specified in Article 3, the Compensation Committee of the Board or such other committee as may be appointed by the Board to</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 the Plan.</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Lear Corporation, a Delaware corporation, and any successor thereto as provided in Article 17.</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“Director” </w:t>
      </w:r>
      <w:r>
        <w:rPr>
          <w:rFonts w:ascii="Arial" w:cs="Arial" w:eastAsia="Arial" w:hAnsi="Arial"/>
          <w:sz w:val="18"/>
          <w:szCs w:val="18"/>
          <w:color w:val="auto"/>
        </w:rPr>
        <w:t>means any individual who is a member of the Board of Directors.</w:t>
      </w:r>
    </w:p>
    <w:p>
      <w:pPr>
        <w:spacing w:after="0" w:line="252"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b w:val="1"/>
          <w:bCs w:val="1"/>
          <w:color w:val="auto"/>
        </w:rPr>
        <w:t xml:space="preserve">“Disability” </w:t>
      </w:r>
      <w:r>
        <w:rPr>
          <w:rFonts w:ascii="Arial" w:cs="Arial" w:eastAsia="Arial" w:hAnsi="Arial"/>
          <w:sz w:val="16"/>
          <w:szCs w:val="16"/>
          <w:color w:val="auto"/>
        </w:rPr>
        <w:t>means (a) long-term disability as defined under the long-term disability plan of the Company or an Affiliate that covers that individual, or (b) if</w:t>
      </w:r>
      <w:r>
        <w:rPr>
          <w:rFonts w:ascii="Arial" w:cs="Arial" w:eastAsia="Arial" w:hAnsi="Arial"/>
          <w:sz w:val="16"/>
          <w:szCs w:val="16"/>
          <w:b w:val="1"/>
          <w:bCs w:val="1"/>
          <w:color w:val="auto"/>
        </w:rPr>
        <w:t xml:space="preserve"> </w:t>
      </w:r>
      <w:r>
        <w:rPr>
          <w:rFonts w:ascii="Arial" w:cs="Arial" w:eastAsia="Arial" w:hAnsi="Arial"/>
          <w:sz w:val="16"/>
          <w:szCs w:val="16"/>
          <w:color w:val="auto"/>
        </w:rPr>
        <w:t>the individual is not covered by such a long-term disability plan, disability as defined for purposes of eligibility for a disability award under the Social Security Act. Notwithstanding the foregoing, for purposes of determining the period of time after termination of employment during which a Participant may exercise an ISO, “Disability” will have the meaning set forth in Section 22(e)(3) of the Code, which is, generally, that the Participant is unable to engage in any substantial gainful activity by reason of a medically determinable physical or mental impairment that can be expected to result in death or that has lasted or can be expected to last for a continuous period of at least twelve months.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“Effective Date” </w:t>
      </w:r>
      <w:r>
        <w:rPr>
          <w:rFonts w:ascii="Arial" w:cs="Arial" w:eastAsia="Arial" w:hAnsi="Arial"/>
          <w:sz w:val="16"/>
          <w:szCs w:val="16"/>
          <w:color w:val="auto"/>
        </w:rPr>
        <w:t>means May 3, 2001 for purposes of this amendment and restatement of the Plan. The Plan was originally effective January 1, 1996.</w:t>
      </w:r>
    </w:p>
    <w:p>
      <w:pPr>
        <w:spacing w:after="0" w:line="275" w:lineRule="exact"/>
        <w:rPr>
          <w:sz w:val="20"/>
          <w:szCs w:val="20"/>
          <w:color w:val="auto"/>
        </w:rPr>
      </w:pPr>
    </w:p>
    <w:p>
      <w:pPr>
        <w:ind w:right="80" w:firstLine="324"/>
        <w:spacing w:after="0" w:line="275" w:lineRule="auto"/>
        <w:rPr>
          <w:sz w:val="20"/>
          <w:szCs w:val="20"/>
          <w:color w:val="auto"/>
        </w:rPr>
      </w:pPr>
      <w:r>
        <w:rPr>
          <w:rFonts w:ascii="Arial" w:cs="Arial" w:eastAsia="Arial" w:hAnsi="Arial"/>
          <w:sz w:val="18"/>
          <w:szCs w:val="18"/>
          <w:b w:val="1"/>
          <w:bCs w:val="1"/>
          <w:color w:val="auto"/>
        </w:rPr>
        <w:t xml:space="preserve">“Eligible Employee” </w:t>
      </w:r>
      <w:r>
        <w:rPr>
          <w:rFonts w:ascii="Arial" w:cs="Arial" w:eastAsia="Arial" w:hAnsi="Arial"/>
          <w:sz w:val="18"/>
          <w:szCs w:val="18"/>
          <w:color w:val="auto"/>
        </w:rPr>
        <w:t>means any employee of the Company or any of its Affiliates. Directors who are not employed by the Company or its Affiliates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Eligible Employees under this Plan, but only for purposes of Awards of Nonqualified Stock Options.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as amended from time to time, or any successor act thereto.</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means the price at which a Share may be purchased by a Participant pursuant to an Option.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means:</w:t>
      </w:r>
    </w:p>
    <w:p>
      <w:pPr>
        <w:spacing w:after="0" w:line="231" w:lineRule="exact"/>
        <w:rPr>
          <w:sz w:val="20"/>
          <w:szCs w:val="20"/>
          <w:color w:val="auto"/>
        </w:rPr>
      </w:pPr>
    </w:p>
    <w:p>
      <w:pPr>
        <w:ind w:left="700" w:right="280" w:hanging="341"/>
        <w:spacing w:after="0" w:line="259"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average of the high and low trading prices of the Shares on the New York Stock Exchange or, if the Shares are not traded on the New York Stock Exchange, on any other exchange on which they are traded, or, if the Shares are not traded on any other exchange and are regularly quoted on the NASDAQ National Market System, on the NASDAQ National Market System; or</w:t>
      </w:r>
    </w:p>
    <w:p>
      <w:pPr>
        <w:spacing w:after="0" w:line="221" w:lineRule="exact"/>
        <w:rPr>
          <w:rFonts w:ascii="Arial" w:cs="Arial" w:eastAsia="Arial" w:hAnsi="Arial"/>
          <w:sz w:val="18"/>
          <w:szCs w:val="18"/>
          <w:color w:val="auto"/>
        </w:rPr>
      </w:pPr>
    </w:p>
    <w:p>
      <w:pPr>
        <w:ind w:left="700" w:right="40" w:hanging="341"/>
        <w:spacing w:after="0" w:line="268"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Shares are not traded on any exchange or regularly quoted on the NASDAQ National Market System, the mean between the closing bid and asked prices of the shares in the over-the-counter market; or</w:t>
      </w:r>
    </w:p>
    <w:p>
      <w:pPr>
        <w:spacing w:after="0" w:line="185" w:lineRule="exact"/>
        <w:rPr>
          <w:rFonts w:ascii="Arial" w:cs="Arial" w:eastAsia="Arial" w:hAnsi="Arial"/>
          <w:sz w:val="18"/>
          <w:szCs w:val="18"/>
          <w:color w:val="auto"/>
        </w:rPr>
      </w:pPr>
    </w:p>
    <w:p>
      <w:pPr>
        <w:ind w:left="700" w:right="400" w:hanging="341"/>
        <w:spacing w:after="0" w:line="268"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those bid and asked prices are not available, then the fair market value as reported by any nationally recognized quotation service selected by the Committee or as determined by the Committee.</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“Freestanding SAR” </w:t>
      </w:r>
      <w:r>
        <w:rPr>
          <w:rFonts w:ascii="Arial" w:cs="Arial" w:eastAsia="Arial" w:hAnsi="Arial"/>
          <w:sz w:val="18"/>
          <w:szCs w:val="18"/>
          <w:color w:val="auto"/>
        </w:rPr>
        <w:t>means an SAR that is granted independently of any Options, as described in Article 7.</w:t>
      </w:r>
    </w:p>
    <w:p>
      <w:pPr>
        <w:spacing w:after="0" w:line="252" w:lineRule="exact"/>
        <w:rPr>
          <w:sz w:val="20"/>
          <w:szCs w:val="20"/>
          <w:color w:val="auto"/>
        </w:rPr>
      </w:pPr>
    </w:p>
    <w:p>
      <w:pPr>
        <w:ind w:right="140" w:firstLine="324"/>
        <w:spacing w:after="0" w:line="275" w:lineRule="auto"/>
        <w:rPr>
          <w:sz w:val="20"/>
          <w:szCs w:val="20"/>
          <w:color w:val="auto"/>
        </w:rPr>
      </w:pPr>
      <w:r>
        <w:rPr>
          <w:rFonts w:ascii="Arial" w:cs="Arial" w:eastAsia="Arial" w:hAnsi="Arial"/>
          <w:sz w:val="18"/>
          <w:szCs w:val="18"/>
          <w:b w:val="1"/>
          <w:bCs w:val="1"/>
          <w:color w:val="auto"/>
        </w:rPr>
        <w:t xml:space="preserve">“Incentive Stock Option” </w:t>
      </w:r>
      <w:r>
        <w:rPr>
          <w:rFonts w:ascii="Arial" w:cs="Arial" w:eastAsia="Arial" w:hAnsi="Arial"/>
          <w:sz w:val="18"/>
          <w:szCs w:val="18"/>
          <w:color w:val="auto"/>
        </w:rPr>
        <w:t>or</w:t>
      </w:r>
      <w:r>
        <w:rPr>
          <w:rFonts w:ascii="Arial" w:cs="Arial" w:eastAsia="Arial" w:hAnsi="Arial"/>
          <w:sz w:val="18"/>
          <w:szCs w:val="18"/>
          <w:b w:val="1"/>
          <w:bCs w:val="1"/>
          <w:color w:val="auto"/>
        </w:rPr>
        <w:t xml:space="preserve"> “ISO” </w:t>
      </w:r>
      <w:r>
        <w:rPr>
          <w:rFonts w:ascii="Arial" w:cs="Arial" w:eastAsia="Arial" w:hAnsi="Arial"/>
          <w:sz w:val="18"/>
          <w:szCs w:val="18"/>
          <w:color w:val="auto"/>
        </w:rPr>
        <w:t>means an option to purchase Shares granted under Article 6 that is designated as an Incentive Stock Option and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meet the requirements of Code Section 422.</w:t>
      </w:r>
    </w:p>
    <w:p>
      <w:pPr>
        <w:spacing w:after="0" w:line="201" w:lineRule="exact"/>
        <w:rPr>
          <w:sz w:val="20"/>
          <w:szCs w:val="20"/>
          <w:color w:val="auto"/>
        </w:rPr>
      </w:pPr>
    </w:p>
    <w:p>
      <w:pPr>
        <w:ind w:right="400" w:firstLine="324"/>
        <w:spacing w:after="0" w:line="275" w:lineRule="auto"/>
        <w:rPr>
          <w:sz w:val="20"/>
          <w:szCs w:val="20"/>
          <w:color w:val="auto"/>
        </w:rPr>
      </w:pPr>
      <w:r>
        <w:rPr>
          <w:rFonts w:ascii="Arial" w:cs="Arial" w:eastAsia="Arial" w:hAnsi="Arial"/>
          <w:sz w:val="18"/>
          <w:szCs w:val="18"/>
          <w:b w:val="1"/>
          <w:bCs w:val="1"/>
          <w:color w:val="auto"/>
        </w:rPr>
        <w:t xml:space="preserve">“Nonqualified Stock Option” </w:t>
      </w:r>
      <w:r>
        <w:rPr>
          <w:rFonts w:ascii="Arial" w:cs="Arial" w:eastAsia="Arial" w:hAnsi="Arial"/>
          <w:sz w:val="18"/>
          <w:szCs w:val="18"/>
          <w:color w:val="auto"/>
        </w:rPr>
        <w:t>or</w:t>
      </w:r>
      <w:r>
        <w:rPr>
          <w:rFonts w:ascii="Arial" w:cs="Arial" w:eastAsia="Arial" w:hAnsi="Arial"/>
          <w:sz w:val="18"/>
          <w:szCs w:val="18"/>
          <w:b w:val="1"/>
          <w:bCs w:val="1"/>
          <w:color w:val="auto"/>
        </w:rPr>
        <w:t xml:space="preserve"> “NQSO” </w:t>
      </w:r>
      <w:r>
        <w:rPr>
          <w:rFonts w:ascii="Arial" w:cs="Arial" w:eastAsia="Arial" w:hAnsi="Arial"/>
          <w:sz w:val="18"/>
          <w:szCs w:val="18"/>
          <w:color w:val="auto"/>
        </w:rPr>
        <w:t>means an option to purchase Shares granted under Article 6 that is not intended to meet the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Code Section 422.</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means an Incentive Stock Option or a Nonqualified Stock Option, as described in Article 6.</w:t>
      </w:r>
    </w:p>
    <w:p>
      <w:pPr>
        <w:spacing w:after="0" w:line="252"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means an Eligible Employee who has been selected by the Committee to participate in the Plan pursuant to Section 5.2 and who has</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an Award granted under the Plan. The term “Participant” will include Directors who are not employees of the Company or an Affiliate only if they are chosen to receive Awards of Nonqualified Stock Options, and only for purposes of Nonqualified Stock Options.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800" w:firstLine="324"/>
        <w:spacing w:after="0" w:line="275" w:lineRule="auto"/>
        <w:rPr>
          <w:sz w:val="20"/>
          <w:szCs w:val="20"/>
          <w:color w:val="auto"/>
        </w:rPr>
      </w:pPr>
      <w:r>
        <w:rPr>
          <w:rFonts w:ascii="Arial" w:cs="Arial" w:eastAsia="Arial" w:hAnsi="Arial"/>
          <w:sz w:val="18"/>
          <w:szCs w:val="18"/>
          <w:b w:val="1"/>
          <w:bCs w:val="1"/>
          <w:color w:val="auto"/>
        </w:rPr>
        <w:t xml:space="preserve">“Performance-Based Exception” </w:t>
      </w:r>
      <w:r>
        <w:rPr>
          <w:rFonts w:ascii="Arial" w:cs="Arial" w:eastAsia="Arial" w:hAnsi="Arial"/>
          <w:sz w:val="18"/>
          <w:szCs w:val="18"/>
          <w:color w:val="auto"/>
        </w:rPr>
        <w:t>means the performance-based exception from the tax deductibility limitations of Code Section 162(m)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promulgated thereunder.</w:t>
      </w:r>
    </w:p>
    <w:p>
      <w:pPr>
        <w:spacing w:after="0" w:line="201" w:lineRule="exact"/>
        <w:rPr>
          <w:sz w:val="20"/>
          <w:szCs w:val="20"/>
          <w:color w:val="auto"/>
        </w:rPr>
      </w:pPr>
    </w:p>
    <w:p>
      <w:pPr>
        <w:ind w:right="380" w:firstLine="324"/>
        <w:spacing w:after="0" w:line="275" w:lineRule="auto"/>
        <w:rPr>
          <w:sz w:val="20"/>
          <w:szCs w:val="20"/>
          <w:color w:val="auto"/>
        </w:rPr>
      </w:pPr>
      <w:r>
        <w:rPr>
          <w:rFonts w:ascii="Arial" w:cs="Arial" w:eastAsia="Arial" w:hAnsi="Arial"/>
          <w:sz w:val="18"/>
          <w:szCs w:val="18"/>
          <w:b w:val="1"/>
          <w:bCs w:val="1"/>
          <w:color w:val="auto"/>
        </w:rPr>
        <w:t xml:space="preserve">“Performance Period” </w:t>
      </w:r>
      <w:r>
        <w:rPr>
          <w:rFonts w:ascii="Arial" w:cs="Arial" w:eastAsia="Arial" w:hAnsi="Arial"/>
          <w:sz w:val="18"/>
          <w:szCs w:val="18"/>
          <w:color w:val="auto"/>
        </w:rPr>
        <w:t>means the time period during which performance objectives must be met in order for a Participant to earn Performance Units or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Shares granted under Article 9.</w:t>
      </w:r>
    </w:p>
    <w:p>
      <w:pPr>
        <w:spacing w:after="0" w:line="201" w:lineRule="exact"/>
        <w:rPr>
          <w:sz w:val="20"/>
          <w:szCs w:val="20"/>
          <w:color w:val="auto"/>
        </w:rPr>
      </w:pPr>
    </w:p>
    <w:p>
      <w:pPr>
        <w:ind w:right="740" w:firstLine="324"/>
        <w:spacing w:after="0" w:line="275" w:lineRule="auto"/>
        <w:rPr>
          <w:sz w:val="20"/>
          <w:szCs w:val="20"/>
          <w:color w:val="auto"/>
        </w:rPr>
      </w:pPr>
      <w:r>
        <w:rPr>
          <w:rFonts w:ascii="Arial" w:cs="Arial" w:eastAsia="Arial" w:hAnsi="Arial"/>
          <w:sz w:val="18"/>
          <w:szCs w:val="18"/>
          <w:b w:val="1"/>
          <w:bCs w:val="1"/>
          <w:color w:val="auto"/>
        </w:rPr>
        <w:t xml:space="preserve">“Performance Share” </w:t>
      </w:r>
      <w:r>
        <w:rPr>
          <w:rFonts w:ascii="Arial" w:cs="Arial" w:eastAsia="Arial" w:hAnsi="Arial"/>
          <w:sz w:val="18"/>
          <w:szCs w:val="18"/>
          <w:color w:val="auto"/>
        </w:rPr>
        <w:t>means an Award with an initial value equal to the Fair Market Value on the date of grant which is based on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attainment of performance objectives, as described in Article 9.</w:t>
      </w:r>
    </w:p>
    <w:p>
      <w:pPr>
        <w:spacing w:after="0" w:line="201" w:lineRule="exact"/>
        <w:rPr>
          <w:sz w:val="20"/>
          <w:szCs w:val="20"/>
          <w:color w:val="auto"/>
        </w:rPr>
      </w:pPr>
    </w:p>
    <w:p>
      <w:pPr>
        <w:ind w:right="140" w:firstLine="324"/>
        <w:spacing w:after="0" w:line="275" w:lineRule="auto"/>
        <w:rPr>
          <w:sz w:val="20"/>
          <w:szCs w:val="20"/>
          <w:color w:val="auto"/>
        </w:rPr>
      </w:pPr>
      <w:r>
        <w:rPr>
          <w:rFonts w:ascii="Arial" w:cs="Arial" w:eastAsia="Arial" w:hAnsi="Arial"/>
          <w:sz w:val="18"/>
          <w:szCs w:val="18"/>
          <w:b w:val="1"/>
          <w:bCs w:val="1"/>
          <w:color w:val="auto"/>
        </w:rPr>
        <w:t xml:space="preserve">“Performance Unit” </w:t>
      </w:r>
      <w:r>
        <w:rPr>
          <w:rFonts w:ascii="Arial" w:cs="Arial" w:eastAsia="Arial" w:hAnsi="Arial"/>
          <w:sz w:val="18"/>
          <w:szCs w:val="18"/>
          <w:color w:val="auto"/>
        </w:rPr>
        <w:t>means an Award with an initial value established by the Committee at the time of grant which is based on the Participant’s attainment</w:t>
      </w:r>
      <w:r>
        <w:rPr>
          <w:rFonts w:ascii="Arial" w:cs="Arial" w:eastAsia="Arial" w:hAnsi="Arial"/>
          <w:sz w:val="18"/>
          <w:szCs w:val="18"/>
          <w:b w:val="1"/>
          <w:bCs w:val="1"/>
          <w:color w:val="auto"/>
        </w:rPr>
        <w:t xml:space="preserve"> </w:t>
      </w:r>
      <w:r>
        <w:rPr>
          <w:rFonts w:ascii="Arial" w:cs="Arial" w:eastAsia="Arial" w:hAnsi="Arial"/>
          <w:sz w:val="18"/>
          <w:szCs w:val="18"/>
          <w:color w:val="auto"/>
        </w:rPr>
        <w:t>of performance objectives, as described in Article 9.</w:t>
      </w:r>
    </w:p>
    <w:p>
      <w:pPr>
        <w:spacing w:after="0" w:line="201" w:lineRule="exact"/>
        <w:rPr>
          <w:sz w:val="20"/>
          <w:szCs w:val="20"/>
          <w:color w:val="auto"/>
        </w:rPr>
      </w:pPr>
    </w:p>
    <w:p>
      <w:pPr>
        <w:ind w:right="120" w:firstLine="324"/>
        <w:spacing w:after="0" w:line="275"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has the meaning ascribed to that term in Section 3(a)(9) of the Exchange Act and used in Sections 13(d) and 14(d) thereof, including a “group”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Section 13(d) thereof.</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Lear Corporation Long-Term Stock Incentive Plan, as set forth in this document.</w:t>
      </w:r>
    </w:p>
    <w:p>
      <w:pPr>
        <w:spacing w:after="0" w:line="252" w:lineRule="exact"/>
        <w:rPr>
          <w:sz w:val="20"/>
          <w:szCs w:val="20"/>
          <w:color w:val="auto"/>
        </w:rPr>
      </w:pPr>
    </w:p>
    <w:p>
      <w:pPr>
        <w:ind w:right="20" w:firstLine="324"/>
        <w:spacing w:after="0" w:line="275" w:lineRule="auto"/>
        <w:rPr>
          <w:sz w:val="20"/>
          <w:szCs w:val="20"/>
          <w:color w:val="auto"/>
        </w:rPr>
      </w:pPr>
      <w:r>
        <w:rPr>
          <w:rFonts w:ascii="Arial" w:cs="Arial" w:eastAsia="Arial" w:hAnsi="Arial"/>
          <w:sz w:val="18"/>
          <w:szCs w:val="18"/>
          <w:b w:val="1"/>
          <w:bCs w:val="1"/>
          <w:color w:val="auto"/>
        </w:rPr>
        <w:t xml:space="preserve">“Prior Plan” </w:t>
      </w:r>
      <w:r>
        <w:rPr>
          <w:rFonts w:ascii="Arial" w:cs="Arial" w:eastAsia="Arial" w:hAnsi="Arial"/>
          <w:sz w:val="18"/>
          <w:szCs w:val="18"/>
          <w:color w:val="auto"/>
        </w:rPr>
        <w:t>means the Lear Corporation 1992 Stock Option Plan, the Lear Corporation 1994 Stock Option Plan or the Lear Corporation 1996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Plan.</w:t>
      </w:r>
    </w:p>
    <w:p>
      <w:pPr>
        <w:spacing w:after="0" w:line="201" w:lineRule="exact"/>
        <w:rPr>
          <w:sz w:val="20"/>
          <w:szCs w:val="20"/>
          <w:color w:val="auto"/>
        </w:rPr>
      </w:pPr>
    </w:p>
    <w:p>
      <w:pPr>
        <w:ind w:right="100" w:firstLine="324"/>
        <w:spacing w:after="0" w:line="378" w:lineRule="auto"/>
        <w:rPr>
          <w:sz w:val="20"/>
          <w:szCs w:val="20"/>
          <w:color w:val="auto"/>
        </w:rPr>
      </w:pPr>
      <w:r>
        <w:rPr>
          <w:rFonts w:ascii="Arial" w:cs="Arial" w:eastAsia="Arial" w:hAnsi="Arial"/>
          <w:sz w:val="15"/>
          <w:szCs w:val="15"/>
          <w:b w:val="1"/>
          <w:bCs w:val="1"/>
          <w:color w:val="auto"/>
        </w:rPr>
        <w:t xml:space="preserve">“Restriction Period” </w:t>
      </w:r>
      <w:r>
        <w:rPr>
          <w:rFonts w:ascii="Arial" w:cs="Arial" w:eastAsia="Arial" w:hAnsi="Arial"/>
          <w:sz w:val="15"/>
          <w:szCs w:val="15"/>
          <w:color w:val="auto"/>
        </w:rPr>
        <w:t>means the period during which the transfer of Shares of Restricted Stock is limited in some way (based on the passage of time, the</w:t>
      </w:r>
      <w:r>
        <w:rPr>
          <w:rFonts w:ascii="Arial" w:cs="Arial" w:eastAsia="Arial" w:hAnsi="Arial"/>
          <w:sz w:val="15"/>
          <w:szCs w:val="15"/>
          <w:b w:val="1"/>
          <w:bCs w:val="1"/>
          <w:color w:val="auto"/>
        </w:rPr>
        <w:t xml:space="preserve"> </w:t>
      </w:r>
      <w:r>
        <w:rPr>
          <w:rFonts w:ascii="Arial" w:cs="Arial" w:eastAsia="Arial" w:hAnsi="Arial"/>
          <w:sz w:val="15"/>
          <w:szCs w:val="15"/>
          <w:color w:val="auto"/>
        </w:rPr>
        <w:t>achievement of performance objectives, or the occurrence of other events as determined by the Committee, at its discretion) or the Restricted Stock is not vested.</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means a contingent grant of stock awarded to a Participant pursuant to Article 8.</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“Restricted Stock Unit” </w:t>
      </w:r>
      <w:r>
        <w:rPr>
          <w:rFonts w:ascii="Arial" w:cs="Arial" w:eastAsia="Arial" w:hAnsi="Arial"/>
          <w:sz w:val="18"/>
          <w:szCs w:val="18"/>
          <w:color w:val="auto"/>
        </w:rPr>
        <w:t>means a Restricted Unit granted to a Participant, as described in Article 8, that is payable in Shares.</w:t>
      </w:r>
    </w:p>
    <w:p>
      <w:pPr>
        <w:spacing w:after="0" w:line="252" w:lineRule="exact"/>
        <w:rPr>
          <w:sz w:val="20"/>
          <w:szCs w:val="20"/>
          <w:color w:val="auto"/>
        </w:rPr>
      </w:pPr>
    </w:p>
    <w:p>
      <w:pPr>
        <w:ind w:right="400" w:firstLine="324"/>
        <w:spacing w:after="0" w:line="378" w:lineRule="auto"/>
        <w:rPr>
          <w:sz w:val="20"/>
          <w:szCs w:val="20"/>
          <w:color w:val="auto"/>
        </w:rPr>
      </w:pPr>
      <w:r>
        <w:rPr>
          <w:rFonts w:ascii="Arial" w:cs="Arial" w:eastAsia="Arial" w:hAnsi="Arial"/>
          <w:sz w:val="15"/>
          <w:szCs w:val="15"/>
          <w:b w:val="1"/>
          <w:bCs w:val="1"/>
          <w:color w:val="auto"/>
        </w:rPr>
        <w:t xml:space="preserve">“Restricted Unit” </w:t>
      </w:r>
      <w:r>
        <w:rPr>
          <w:rFonts w:ascii="Arial" w:cs="Arial" w:eastAsia="Arial" w:hAnsi="Arial"/>
          <w:sz w:val="15"/>
          <w:szCs w:val="15"/>
          <w:color w:val="auto"/>
        </w:rPr>
        <w:t>means a notional account established pursuant to an Award granted to a Participant, as described in Article 8, that is (a) credited with</w:t>
      </w:r>
      <w:r>
        <w:rPr>
          <w:rFonts w:ascii="Arial" w:cs="Arial" w:eastAsia="Arial" w:hAnsi="Arial"/>
          <w:sz w:val="15"/>
          <w:szCs w:val="15"/>
          <w:b w:val="1"/>
          <w:bCs w:val="1"/>
          <w:color w:val="auto"/>
        </w:rPr>
        <w:t xml:space="preserve"> </w:t>
      </w:r>
      <w:r>
        <w:rPr>
          <w:rFonts w:ascii="Arial" w:cs="Arial" w:eastAsia="Arial" w:hAnsi="Arial"/>
          <w:sz w:val="15"/>
          <w:szCs w:val="15"/>
          <w:color w:val="auto"/>
        </w:rPr>
        <w:t>amounts equal to Shares or some other unit of measurement specified in the Award Agreement, (b) subject to restrictions and (c) payable in cash or Shares.</w:t>
      </w:r>
    </w:p>
    <w:p>
      <w:pPr>
        <w:spacing w:after="0" w:line="13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means termination of employment on or after (a) reaching the age established by the Company as the normal retirement age in any unexpired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 between the Participant and the Company or an Affiliate, or, in the absence of such an agreement, the normal retirement age under the tax-qualified defined benefit retirement plan or, if none, the tax-qualified defined contribution retirement plan, sponsored by the Company or an Affiliate in which the Participant participates, or (b) reaching age sixty-two with ten years of service with the Company or an Affiliate, provided the retirement is approved by the Chief Executive Officer of the Company, unless the Participant is an officer subject to Section 16 of the Exchange Act, in which case the retirement must be approved by the Committee.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“Shares” </w:t>
      </w:r>
      <w:r>
        <w:rPr>
          <w:rFonts w:ascii="Arial" w:cs="Arial" w:eastAsia="Arial" w:hAnsi="Arial"/>
          <w:sz w:val="16"/>
          <w:szCs w:val="16"/>
          <w:color w:val="auto"/>
        </w:rPr>
        <w:t>means the shares of common stock, $0.01 par value, of the Company, including their associated preferred share purchase rights.</w:t>
      </w:r>
    </w:p>
    <w:p>
      <w:pPr>
        <w:spacing w:after="0" w:line="275" w:lineRule="exact"/>
        <w:rPr>
          <w:sz w:val="20"/>
          <w:szCs w:val="20"/>
          <w:color w:val="auto"/>
        </w:rPr>
      </w:pPr>
    </w:p>
    <w:p>
      <w:pPr>
        <w:ind w:right="140" w:firstLine="324"/>
        <w:spacing w:after="0" w:line="275" w:lineRule="auto"/>
        <w:rPr>
          <w:sz w:val="20"/>
          <w:szCs w:val="20"/>
          <w:color w:val="auto"/>
        </w:rPr>
      </w:pPr>
      <w:r>
        <w:rPr>
          <w:rFonts w:ascii="Arial" w:cs="Arial" w:eastAsia="Arial" w:hAnsi="Arial"/>
          <w:sz w:val="18"/>
          <w:szCs w:val="18"/>
          <w:b w:val="1"/>
          <w:bCs w:val="1"/>
          <w:color w:val="auto"/>
        </w:rPr>
        <w:t xml:space="preserve">“Stock Appreciation Right” </w:t>
      </w:r>
      <w:r>
        <w:rPr>
          <w:rFonts w:ascii="Arial" w:cs="Arial" w:eastAsia="Arial" w:hAnsi="Arial"/>
          <w:sz w:val="18"/>
          <w:szCs w:val="18"/>
          <w:color w:val="auto"/>
        </w:rPr>
        <w:t>or</w:t>
      </w:r>
      <w:r>
        <w:rPr>
          <w:rFonts w:ascii="Arial" w:cs="Arial" w:eastAsia="Arial" w:hAnsi="Arial"/>
          <w:sz w:val="18"/>
          <w:szCs w:val="18"/>
          <w:b w:val="1"/>
          <w:bCs w:val="1"/>
          <w:color w:val="auto"/>
        </w:rPr>
        <w:t xml:space="preserve"> “SAR” </w:t>
      </w:r>
      <w:r>
        <w:rPr>
          <w:rFonts w:ascii="Arial" w:cs="Arial" w:eastAsia="Arial" w:hAnsi="Arial"/>
          <w:sz w:val="18"/>
          <w:szCs w:val="18"/>
          <w:color w:val="auto"/>
        </w:rPr>
        <w:t>means an Award, granted alone or in connection with a related Option, designated as an SAR pursuant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of Article 7.</w:t>
      </w:r>
    </w:p>
    <w:p>
      <w:pPr>
        <w:spacing w:after="0" w:line="201" w:lineRule="exact"/>
        <w:rPr>
          <w:sz w:val="20"/>
          <w:szCs w:val="20"/>
          <w:color w:val="auto"/>
        </w:rPr>
      </w:pPr>
    </w:p>
    <w:p>
      <w:pPr>
        <w:ind w:right="40" w:firstLine="324"/>
        <w:spacing w:after="0" w:line="339" w:lineRule="auto"/>
        <w:rPr>
          <w:sz w:val="20"/>
          <w:szCs w:val="20"/>
          <w:color w:val="auto"/>
        </w:rPr>
      </w:pPr>
      <w:r>
        <w:rPr>
          <w:rFonts w:ascii="Arial" w:cs="Arial" w:eastAsia="Arial" w:hAnsi="Arial"/>
          <w:sz w:val="16"/>
          <w:szCs w:val="16"/>
          <w:b w:val="1"/>
          <w:bCs w:val="1"/>
          <w:color w:val="auto"/>
        </w:rPr>
        <w:t xml:space="preserve">“Tandem SAR” </w:t>
      </w:r>
      <w:r>
        <w:rPr>
          <w:rFonts w:ascii="Arial" w:cs="Arial" w:eastAsia="Arial" w:hAnsi="Arial"/>
          <w:sz w:val="16"/>
          <w:szCs w:val="16"/>
          <w:color w:val="auto"/>
        </w:rPr>
        <w:t>means an SAR that is granted in connection with a related Option pursuant to Article 7, the exercise of which requires forfeiture of the right</w:t>
      </w:r>
      <w:r>
        <w:rPr>
          <w:rFonts w:ascii="Arial" w:cs="Arial" w:eastAsia="Arial" w:hAnsi="Arial"/>
          <w:sz w:val="16"/>
          <w:szCs w:val="16"/>
          <w:b w:val="1"/>
          <w:bCs w:val="1"/>
          <w:color w:val="auto"/>
        </w:rPr>
        <w:t xml:space="preserve"> </w:t>
      </w:r>
      <w:r>
        <w:rPr>
          <w:rFonts w:ascii="Arial" w:cs="Arial" w:eastAsia="Arial" w:hAnsi="Arial"/>
          <w:sz w:val="16"/>
          <w:szCs w:val="16"/>
          <w:color w:val="auto"/>
        </w:rPr>
        <w:t>to purchase a Share under the related Option (and when a Share is purchased under the Option, the Tandem SAR will similarly be canceled).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Article 3. Administration</w:t>
      </w:r>
    </w:p>
    <w:p>
      <w:pPr>
        <w:spacing w:after="0" w:line="246"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b w:val="1"/>
          <w:bCs w:val="1"/>
          <w:color w:val="auto"/>
        </w:rPr>
        <w:t xml:space="preserve">3.1 The Committee. </w:t>
      </w:r>
      <w:r>
        <w:rPr>
          <w:rFonts w:ascii="Arial" w:cs="Arial" w:eastAsia="Arial" w:hAnsi="Arial"/>
          <w:sz w:val="16"/>
          <w:szCs w:val="16"/>
          <w:color w:val="auto"/>
        </w:rPr>
        <w:t>The Plan will be administered by the Compensation Committee of the Board, or by any other Committee appointed by the Board, which</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(unless otherwise determined by the Board) will satisfy the “nonemployee director” requirements of Rule 16b-3 under the Exchange Act and the regulations of Rule 16b-3 under the Exchange Act and the “outside director” provisions of Code Section 162(m), or any successor regulations or provisions. The members of the Committee will be appointed from time to time by, and serve at the discretion of, the Board of Directors. The Committee will act by a</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majority of its members at the time in office and eligible to vote on any particular matter, and Committee action may be taken either by a vote at a meeting or in writing without a meeting.</w:t>
      </w:r>
    </w:p>
    <w:p>
      <w:pPr>
        <w:spacing w:after="0" w:line="20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b w:val="1"/>
          <w:bCs w:val="1"/>
          <w:color w:val="auto"/>
        </w:rPr>
        <w:t xml:space="preserve">3.2 Authority of the Committee. </w:t>
      </w:r>
      <w:r>
        <w:rPr>
          <w:rFonts w:ascii="Arial" w:cs="Arial" w:eastAsia="Arial" w:hAnsi="Arial"/>
          <w:sz w:val="16"/>
          <w:szCs w:val="16"/>
          <w:color w:val="auto"/>
        </w:rPr>
        <w:t>Except as limited by law and subject to the provisions of this Plan, the Committee will have full power to: select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to participate in the Plan; determine the sizes and types of Awards; determine the terms and conditions of Awards in a manner consistent with the Plan; construe and interpret the Plan and any agreement or instrument entered into under the Plan; establish, amend or waive rules and regulations for the Plan’s administration; and (subject to the provisions of Article 15) amend the terms and conditions of any outstanding Award to the extent they are within the discretion of the Committee as provided in the Plan. Further, the Committee will make all other determinations that may be necessary or advisable to administer the Plan. As permitted by law and consistent with Section 3.1, the Committee may delegate some or all of its authority under the Plan.</w:t>
      </w:r>
    </w:p>
    <w:p>
      <w:pPr>
        <w:spacing w:after="0" w:line="192"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b w:val="1"/>
          <w:bCs w:val="1"/>
          <w:color w:val="auto"/>
        </w:rPr>
        <w:t xml:space="preserve">3.3 Decisions Binding. </w:t>
      </w:r>
      <w:r>
        <w:rPr>
          <w:rFonts w:ascii="Arial" w:cs="Arial" w:eastAsia="Arial" w:hAnsi="Arial"/>
          <w:sz w:val="18"/>
          <w:szCs w:val="18"/>
          <w:color w:val="auto"/>
        </w:rPr>
        <w:t>All determinations and decisions made by the Committee pursuant to the provisions of the Plan will be final, conclusive and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on all persons, including, without limitation, the Company, its Board of Directors, its shareholders, all Affiliates, employees, Participants and their estates and beneficiaries.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Article 4. Shares Subject to the Plan and Maximum Awards</w:t>
      </w:r>
    </w:p>
    <w:p>
      <w:pPr>
        <w:spacing w:after="0" w:line="246"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b w:val="1"/>
          <w:bCs w:val="1"/>
          <w:color w:val="auto"/>
        </w:rPr>
        <w:t xml:space="preserve">4.1 Number of Shares Available for Grants. </w:t>
      </w:r>
      <w:r>
        <w:rPr>
          <w:rFonts w:ascii="Arial" w:cs="Arial" w:eastAsia="Arial" w:hAnsi="Arial"/>
          <w:sz w:val="16"/>
          <w:szCs w:val="16"/>
          <w:color w:val="auto"/>
        </w:rPr>
        <w:t>Subject to adjustment as provided in Sections 4.2 and 4.3, the number of Shares that may be issued or</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transferred to Participants under the Plan is 11,690,000, plus any Shares that are or become available for grants of awards under any of the Prior Plans on or after the Effective Date. On and after the Effective Date, any Shares that are or become available for grants of awards under the Prior Plans will be subject to Awards under this Plan only, and no additional awards will be made under any of the Prior Plans. The maximum numbers of Shares that may be issued or transferred to the Participants under Restricted Stock Units and Performance Units is 4,500,000.</w:t>
      </w:r>
    </w:p>
    <w:p>
      <w:pPr>
        <w:spacing w:after="0" w:line="195" w:lineRule="exact"/>
        <w:rPr>
          <w:sz w:val="20"/>
          <w:szCs w:val="20"/>
          <w:color w:val="auto"/>
        </w:rPr>
      </w:pPr>
    </w:p>
    <w:p>
      <w:pPr>
        <w:jc w:val="both"/>
        <w:ind w:right="60" w:firstLine="324"/>
        <w:spacing w:after="0" w:line="306" w:lineRule="auto"/>
        <w:rPr>
          <w:sz w:val="20"/>
          <w:szCs w:val="20"/>
          <w:color w:val="auto"/>
        </w:rPr>
      </w:pPr>
      <w:r>
        <w:rPr>
          <w:rFonts w:ascii="Arial" w:cs="Arial" w:eastAsia="Arial" w:hAnsi="Arial"/>
          <w:sz w:val="16"/>
          <w:szCs w:val="16"/>
          <w:color w:val="auto"/>
        </w:rPr>
        <w:t>Subject to adjustment as provided in Section 4.3, the maximum number of Shares and Share equivalent units that may be granted during any calendar year to any one Participant under Options, Freestanding SARs, Restricted Stock, Restricted Units or Performance Shares is 300,000, which limit will apply regardless of whether the compensation is paid in Shares or in cash. The maximum number of Shares that may be issued by Options intended to be ISOs is 2,000,000.</w:t>
      </w:r>
    </w:p>
    <w:p>
      <w:pPr>
        <w:spacing w:after="0" w:line="188" w:lineRule="exact"/>
        <w:rPr>
          <w:sz w:val="20"/>
          <w:szCs w:val="20"/>
          <w:color w:val="auto"/>
        </w:rPr>
      </w:pPr>
    </w:p>
    <w:p>
      <w:pPr>
        <w:ind w:right="500" w:firstLine="324"/>
        <w:spacing w:after="0" w:line="332" w:lineRule="auto"/>
        <w:rPr>
          <w:sz w:val="20"/>
          <w:szCs w:val="20"/>
          <w:color w:val="auto"/>
        </w:rPr>
      </w:pPr>
      <w:r>
        <w:rPr>
          <w:rFonts w:ascii="Arial" w:cs="Arial" w:eastAsia="Arial" w:hAnsi="Arial"/>
          <w:sz w:val="16"/>
          <w:szCs w:val="16"/>
          <w:color w:val="auto"/>
        </w:rPr>
        <w:t>The Shares with respect to which Awards may be made will include authorized but unissued Shares, and Shares that are currently held or subsequently acquired by the Company as treasury Shares, including Shares purchased in the open market or in private transactions.</w:t>
      </w:r>
    </w:p>
    <w:p>
      <w:pPr>
        <w:spacing w:after="0" w:line="160" w:lineRule="exact"/>
        <w:rPr>
          <w:sz w:val="20"/>
          <w:szCs w:val="20"/>
          <w:color w:val="auto"/>
        </w:rPr>
      </w:pPr>
    </w:p>
    <w:p>
      <w:pPr>
        <w:ind w:right="160" w:firstLine="324"/>
        <w:spacing w:after="0" w:line="310" w:lineRule="auto"/>
        <w:rPr>
          <w:sz w:val="20"/>
          <w:szCs w:val="20"/>
          <w:color w:val="auto"/>
        </w:rPr>
      </w:pPr>
      <w:r>
        <w:rPr>
          <w:rFonts w:ascii="Arial" w:cs="Arial" w:eastAsia="Arial" w:hAnsi="Arial"/>
          <w:sz w:val="16"/>
          <w:szCs w:val="16"/>
          <w:b w:val="1"/>
          <w:bCs w:val="1"/>
          <w:color w:val="auto"/>
        </w:rPr>
        <w:t xml:space="preserve">4.2 Lapsed Awards. </w:t>
      </w:r>
      <w:r>
        <w:rPr>
          <w:rFonts w:ascii="Arial" w:cs="Arial" w:eastAsia="Arial" w:hAnsi="Arial"/>
          <w:sz w:val="16"/>
          <w:szCs w:val="16"/>
          <w:color w:val="auto"/>
        </w:rPr>
        <w:t>If any Award granted under this Plan is canceled, terminates, expires or lapses for any reason, any Shares subject to the Award will</w:t>
      </w:r>
      <w:r>
        <w:rPr>
          <w:rFonts w:ascii="Arial" w:cs="Arial" w:eastAsia="Arial" w:hAnsi="Arial"/>
          <w:sz w:val="16"/>
          <w:szCs w:val="16"/>
          <w:b w:val="1"/>
          <w:bCs w:val="1"/>
          <w:color w:val="auto"/>
        </w:rPr>
        <w:t xml:space="preserve"> </w:t>
      </w:r>
      <w:r>
        <w:rPr>
          <w:rFonts w:ascii="Arial" w:cs="Arial" w:eastAsia="Arial" w:hAnsi="Arial"/>
          <w:sz w:val="16"/>
          <w:szCs w:val="16"/>
          <w:color w:val="auto"/>
        </w:rPr>
        <w:t>again be available for the grant of an Award under the Plan. In addition, if a Share subject to an Award is not delivered because the award is settled in cash, used to satisfy a tax withholding obligation or used to pay the Exercise Price of an Option, then that Share will thereafter be deemed to be available for grant.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4.3 Adjustments in Authorized Shares.</w:t>
      </w:r>
    </w:p>
    <w:p>
      <w:pPr>
        <w:spacing w:after="0" w:line="231" w:lineRule="exact"/>
        <w:rPr>
          <w:sz w:val="20"/>
          <w:szCs w:val="20"/>
          <w:color w:val="auto"/>
        </w:rPr>
      </w:pPr>
    </w:p>
    <w:p>
      <w:pPr>
        <w:ind w:left="700" w:right="20" w:hanging="341"/>
        <w:spacing w:after="0" w:line="289" w:lineRule="auto"/>
        <w:tabs>
          <w:tab w:leader="none" w:pos="7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Shares, as currently constituted, are changed into or exchanged for a different number or kind of shares of stock or other securities of the Company or of another corporation (whether because of merger, consolidation, recapitalization, reclassification, split, reverse split, combination of shares, or otherwise) or if the number of Shares is increased through the payment of a stock dividend, then the Committee will substitute for or add to each Share previously appropriated, later subject to, or which may become subject to, an Award, the number and kind of shares of stock or other securities into which each outstanding Share was changed for which each such Share was exchanged, or to which each such Share is entitled, as the case may be. The Committee will also appropriately amend outstanding Awards as to price and other terms, to the extent necessary to reflect the events described above. If there is any other change in the number or kind of the outstanding Shares, of any stock or other securities into which the outstanding Shares have been changed, or for which they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have been exchanged, the Committee may, in its sole discretion, appropriately adjust any Award already granted or which may be afterward granted.</w:t>
      </w:r>
    </w:p>
    <w:p>
      <w:pPr>
        <w:spacing w:after="0" w:line="302" w:lineRule="exact"/>
        <w:rPr>
          <w:sz w:val="20"/>
          <w:szCs w:val="20"/>
          <w:color w:val="auto"/>
        </w:rPr>
      </w:pPr>
    </w:p>
    <w:p>
      <w:pPr>
        <w:ind w:left="700" w:right="40" w:hanging="341"/>
        <w:spacing w:after="0" w:line="259" w:lineRule="auto"/>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Fractional Shares resulting from any adjustment in Awards pursuant to this section may be settled in cash or otherwise as the Committee determines. The Company will give notice of any adjustment to each Participant who holds an Award that has been adjusted and the adjustment (whether or not that notice is given) will be effective and binding for all Plan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Article 5. Eligibility and Participation</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5.1 Eligibility. </w:t>
      </w:r>
      <w:r>
        <w:rPr>
          <w:rFonts w:ascii="Arial" w:cs="Arial" w:eastAsia="Arial" w:hAnsi="Arial"/>
          <w:sz w:val="18"/>
          <w:szCs w:val="18"/>
          <w:color w:val="auto"/>
        </w:rPr>
        <w:t>All Eligible Employees, including Eligible Employees who are members of the Board, are eligible to participate in this Plan.</w:t>
      </w:r>
    </w:p>
    <w:p>
      <w:pPr>
        <w:spacing w:after="0" w:line="252" w:lineRule="exact"/>
        <w:rPr>
          <w:sz w:val="20"/>
          <w:szCs w:val="20"/>
          <w:color w:val="auto"/>
        </w:rPr>
      </w:pPr>
    </w:p>
    <w:p>
      <w:pPr>
        <w:ind w:right="20" w:firstLine="324"/>
        <w:spacing w:after="0" w:line="275" w:lineRule="auto"/>
        <w:rPr>
          <w:sz w:val="20"/>
          <w:szCs w:val="20"/>
          <w:color w:val="auto"/>
        </w:rPr>
      </w:pPr>
      <w:r>
        <w:rPr>
          <w:rFonts w:ascii="Arial" w:cs="Arial" w:eastAsia="Arial" w:hAnsi="Arial"/>
          <w:sz w:val="18"/>
          <w:szCs w:val="18"/>
          <w:b w:val="1"/>
          <w:bCs w:val="1"/>
          <w:color w:val="auto"/>
        </w:rPr>
        <w:t xml:space="preserve">5.2 Actual Participation. </w:t>
      </w:r>
      <w:r>
        <w:rPr>
          <w:rFonts w:ascii="Arial" w:cs="Arial" w:eastAsia="Arial" w:hAnsi="Arial"/>
          <w:sz w:val="18"/>
          <w:szCs w:val="18"/>
          <w:color w:val="auto"/>
        </w:rPr>
        <w:t>Subject to the provisions of the Plan, the Committee will, from time to time, select those Eligible Employees to whom Awards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granted, and will determine the nature and amount of each Award.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Article 6. Stock Options</w:t>
      </w:r>
    </w:p>
    <w:p>
      <w:pPr>
        <w:spacing w:after="0" w:line="246"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b w:val="1"/>
          <w:bCs w:val="1"/>
          <w:color w:val="auto"/>
        </w:rPr>
        <w:t xml:space="preserve">6.1 Grant of Options. </w:t>
      </w:r>
      <w:r>
        <w:rPr>
          <w:rFonts w:ascii="Arial" w:cs="Arial" w:eastAsia="Arial" w:hAnsi="Arial"/>
          <w:sz w:val="18"/>
          <w:szCs w:val="18"/>
          <w:color w:val="auto"/>
        </w:rPr>
        <w:t>Subject to the terms and provisions of the Plan, Options may be granted to Eligible Employees in the number, and upon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and from time to time, as determined by the Committee.</w:t>
      </w:r>
    </w:p>
    <w:p>
      <w:pPr>
        <w:spacing w:after="0" w:line="201" w:lineRule="exact"/>
        <w:rPr>
          <w:sz w:val="20"/>
          <w:szCs w:val="20"/>
          <w:color w:val="auto"/>
        </w:rPr>
      </w:pPr>
    </w:p>
    <w:p>
      <w:pPr>
        <w:jc w:val="both"/>
        <w:ind w:right="540" w:firstLine="324"/>
        <w:spacing w:after="0" w:line="339" w:lineRule="auto"/>
        <w:rPr>
          <w:sz w:val="20"/>
          <w:szCs w:val="20"/>
          <w:color w:val="auto"/>
        </w:rPr>
      </w:pPr>
      <w:r>
        <w:rPr>
          <w:rFonts w:ascii="Arial" w:cs="Arial" w:eastAsia="Arial" w:hAnsi="Arial"/>
          <w:sz w:val="15"/>
          <w:szCs w:val="15"/>
          <w:b w:val="1"/>
          <w:bCs w:val="1"/>
          <w:color w:val="auto"/>
        </w:rPr>
        <w:t xml:space="preserve">6.2 Award Agreement. </w:t>
      </w:r>
      <w:r>
        <w:rPr>
          <w:rFonts w:ascii="Arial" w:cs="Arial" w:eastAsia="Arial" w:hAnsi="Arial"/>
          <w:sz w:val="15"/>
          <w:szCs w:val="15"/>
          <w:color w:val="auto"/>
        </w:rPr>
        <w:t>Each Option grant will be evidenced by an Award Agreement that specifies the Exercise Price, the duration of the Option, the</w:t>
      </w:r>
      <w:r>
        <w:rPr>
          <w:rFonts w:ascii="Arial" w:cs="Arial" w:eastAsia="Arial" w:hAnsi="Arial"/>
          <w:sz w:val="15"/>
          <w:szCs w:val="15"/>
          <w:b w:val="1"/>
          <w:bCs w:val="1"/>
          <w:color w:val="auto"/>
        </w:rPr>
        <w:t xml:space="preserve"> </w:t>
      </w:r>
      <w:r>
        <w:rPr>
          <w:rFonts w:ascii="Arial" w:cs="Arial" w:eastAsia="Arial" w:hAnsi="Arial"/>
          <w:sz w:val="15"/>
          <w:szCs w:val="15"/>
          <w:color w:val="auto"/>
        </w:rPr>
        <w:t>number of Shares to which the Option pertains, the manner, time and rate of exercise or vesting of the Option, and such other provisions as the Committee determines. The Award Agreement will also specify whether the Option is intended to be an ISO or an NQSO, and whether reload options will be granted.</w:t>
      </w:r>
    </w:p>
    <w:p>
      <w:pPr>
        <w:spacing w:after="0" w:line="160" w:lineRule="exact"/>
        <w:rPr>
          <w:sz w:val="20"/>
          <w:szCs w:val="20"/>
          <w:color w:val="auto"/>
        </w:rPr>
      </w:pPr>
    </w:p>
    <w:p>
      <w:pPr>
        <w:ind w:right="460" w:firstLine="324"/>
        <w:spacing w:after="0" w:line="275" w:lineRule="auto"/>
        <w:rPr>
          <w:sz w:val="20"/>
          <w:szCs w:val="20"/>
          <w:color w:val="auto"/>
        </w:rPr>
      </w:pPr>
      <w:r>
        <w:rPr>
          <w:rFonts w:ascii="Arial" w:cs="Arial" w:eastAsia="Arial" w:hAnsi="Arial"/>
          <w:sz w:val="18"/>
          <w:szCs w:val="18"/>
          <w:b w:val="1"/>
          <w:bCs w:val="1"/>
          <w:color w:val="auto"/>
        </w:rPr>
        <w:t xml:space="preserve">6.3 Exercise Price. </w:t>
      </w:r>
      <w:r>
        <w:rPr>
          <w:rFonts w:ascii="Arial" w:cs="Arial" w:eastAsia="Arial" w:hAnsi="Arial"/>
          <w:sz w:val="18"/>
          <w:szCs w:val="18"/>
          <w:color w:val="auto"/>
        </w:rPr>
        <w:t>The Exercise Price for each share subject to an Option will be at least one hundred percent of the Fair Market Value on the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is granted.</w:t>
      </w:r>
    </w:p>
    <w:p>
      <w:pPr>
        <w:spacing w:after="0" w:line="201" w:lineRule="exact"/>
        <w:rPr>
          <w:sz w:val="20"/>
          <w:szCs w:val="20"/>
          <w:color w:val="auto"/>
        </w:rPr>
      </w:pPr>
    </w:p>
    <w:p>
      <w:pPr>
        <w:ind w:right="20" w:firstLine="324"/>
        <w:spacing w:after="0" w:line="275" w:lineRule="auto"/>
        <w:rPr>
          <w:sz w:val="20"/>
          <w:szCs w:val="20"/>
          <w:color w:val="auto"/>
        </w:rPr>
      </w:pPr>
      <w:r>
        <w:rPr>
          <w:rFonts w:ascii="Arial" w:cs="Arial" w:eastAsia="Arial" w:hAnsi="Arial"/>
          <w:sz w:val="18"/>
          <w:szCs w:val="18"/>
          <w:b w:val="1"/>
          <w:bCs w:val="1"/>
          <w:color w:val="auto"/>
        </w:rPr>
        <w:t xml:space="preserve">6.4 Duration of Options. </w:t>
      </w:r>
      <w:r>
        <w:rPr>
          <w:rFonts w:ascii="Arial" w:cs="Arial" w:eastAsia="Arial" w:hAnsi="Arial"/>
          <w:sz w:val="18"/>
          <w:szCs w:val="18"/>
          <w:color w:val="auto"/>
        </w:rPr>
        <w:t>Each Option will expire at the time determined by the Committee at the time of grant, but no later than the tenth anniversary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its grant.</w:t>
      </w:r>
    </w:p>
    <w:p>
      <w:pPr>
        <w:spacing w:after="0" w:line="201"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b w:val="1"/>
          <w:bCs w:val="1"/>
          <w:color w:val="auto"/>
        </w:rPr>
        <w:t xml:space="preserve">6.5 Dividend Equivalents. </w:t>
      </w:r>
      <w:r>
        <w:rPr>
          <w:rFonts w:ascii="Arial" w:cs="Arial" w:eastAsia="Arial" w:hAnsi="Arial"/>
          <w:sz w:val="18"/>
          <w:szCs w:val="18"/>
          <w:color w:val="auto"/>
        </w:rPr>
        <w:t>The Committee may, but will not be required to, grant payments in connection with Options that are equivalent to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declared and paid on the Shares underlying the Options. Such dividend equivalent payments may be made in cash or in Shares, upon such terms as the Committee, in its sole discretion, deems appropriate.</w:t>
      </w:r>
    </w:p>
    <w:p>
      <w:pPr>
        <w:spacing w:after="0" w:line="213" w:lineRule="exact"/>
        <w:rPr>
          <w:sz w:val="20"/>
          <w:szCs w:val="20"/>
          <w:color w:val="auto"/>
        </w:rPr>
      </w:pPr>
    </w:p>
    <w:p>
      <w:pPr>
        <w:ind w:right="460" w:firstLine="324"/>
        <w:spacing w:after="0" w:line="275" w:lineRule="auto"/>
        <w:rPr>
          <w:sz w:val="20"/>
          <w:szCs w:val="20"/>
          <w:color w:val="auto"/>
        </w:rPr>
      </w:pPr>
      <w:r>
        <w:rPr>
          <w:rFonts w:ascii="Arial" w:cs="Arial" w:eastAsia="Arial" w:hAnsi="Arial"/>
          <w:sz w:val="18"/>
          <w:szCs w:val="18"/>
          <w:b w:val="1"/>
          <w:bCs w:val="1"/>
          <w:color w:val="auto"/>
        </w:rPr>
        <w:t xml:space="preserve">6.6 Exercise of Options. </w:t>
      </w:r>
      <w:r>
        <w:rPr>
          <w:rFonts w:ascii="Arial" w:cs="Arial" w:eastAsia="Arial" w:hAnsi="Arial"/>
          <w:sz w:val="18"/>
          <w:szCs w:val="18"/>
          <w:color w:val="auto"/>
        </w:rPr>
        <w:t>Options will be exercisable at such times and be subject to such restrictions and conditions as the Committee in each instance</w:t>
      </w:r>
      <w:r>
        <w:rPr>
          <w:rFonts w:ascii="Arial" w:cs="Arial" w:eastAsia="Arial" w:hAnsi="Arial"/>
          <w:sz w:val="18"/>
          <w:szCs w:val="18"/>
          <w:b w:val="1"/>
          <w:bCs w:val="1"/>
          <w:color w:val="auto"/>
        </w:rPr>
        <w:t xml:space="preserve"> </w:t>
      </w:r>
      <w:r>
        <w:rPr>
          <w:rFonts w:ascii="Arial" w:cs="Arial" w:eastAsia="Arial" w:hAnsi="Arial"/>
          <w:sz w:val="18"/>
          <w:szCs w:val="18"/>
          <w:color w:val="auto"/>
        </w:rPr>
        <w:t>approves, which need not be the same for each Award or for each Participant.</w:t>
      </w:r>
    </w:p>
    <w:p>
      <w:pPr>
        <w:spacing w:after="0" w:line="201"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b w:val="1"/>
          <w:bCs w:val="1"/>
          <w:color w:val="auto"/>
        </w:rPr>
        <w:t xml:space="preserve">6.7 Payment. </w:t>
      </w:r>
      <w:r>
        <w:rPr>
          <w:rFonts w:ascii="Arial" w:cs="Arial" w:eastAsia="Arial" w:hAnsi="Arial"/>
          <w:sz w:val="18"/>
          <w:szCs w:val="18"/>
          <w:color w:val="auto"/>
        </w:rPr>
        <w:t>The holder of an Option may exercise the Option only by delivering a written notice of exercise to the Company setting forth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as to which the Option is to be exercised, together with full payment at the Exercise Price for the Shares and any withholding tax relating to the exercise of the Option.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Exercise Price and any related withholding taxes will be payable to the Company in full either: (a) in cash, or its equivalent, in United States dollars;</w:t>
      </w:r>
    </w:p>
    <w:p>
      <w:pPr>
        <w:spacing w:after="0" w:line="38" w:lineRule="exact"/>
        <w:rPr>
          <w:sz w:val="20"/>
          <w:szCs w:val="20"/>
          <w:color w:val="auto"/>
        </w:rPr>
      </w:pPr>
    </w:p>
    <w:p>
      <w:pPr>
        <w:ind w:firstLine="8"/>
        <w:spacing w:after="0" w:line="315" w:lineRule="auto"/>
        <w:tabs>
          <w:tab w:leader="none" w:pos="249" w:val="left"/>
        </w:tabs>
        <w:numPr>
          <w:ilvl w:val="0"/>
          <w:numId w:val="54"/>
        </w:numPr>
        <w:rPr>
          <w:rFonts w:ascii="Arial" w:cs="Arial" w:eastAsia="Arial" w:hAnsi="Arial"/>
          <w:sz w:val="15"/>
          <w:szCs w:val="15"/>
          <w:color w:val="auto"/>
        </w:rPr>
      </w:pPr>
      <w:r>
        <w:rPr>
          <w:rFonts w:ascii="Arial" w:cs="Arial" w:eastAsia="Arial" w:hAnsi="Arial"/>
          <w:sz w:val="15"/>
          <w:szCs w:val="15"/>
          <w:color w:val="auto"/>
        </w:rPr>
        <w:t>if permitted in the governing Award Agreement, by tendering Shares owned by the Participant and duly endorsed for transfer to the Company, Shares issuable to the Participant upon exercise of the Option, or any combination of cash, certified or cashier’s check and Shares described in this clause (b); or (c) by any other means the Committee determines to be consistent with the Plan’s purposes and applicable law. Cashless exercise must meet the requirements of the Federal Reserve Board’s Regulation T and any applicable securities law restrictions. In a “cashless” exercise, the Participant notifies the Company it will exercise, and the Company is instructed to deliver the Share issuable on exercise to a broker, who sells the Shares and holds back the exercise price (and, often, the federal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state withholdings). No more than the minimum required withholding may be satisfied by the tender of Shares.</w:t>
      </w:r>
    </w:p>
    <w:p>
      <w:pPr>
        <w:spacing w:after="0" w:line="246"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b w:val="1"/>
          <w:bCs w:val="1"/>
          <w:color w:val="auto"/>
        </w:rPr>
        <w:t xml:space="preserve">6.8 Reload Options. </w:t>
      </w:r>
      <w:r>
        <w:rPr>
          <w:rFonts w:ascii="Arial" w:cs="Arial" w:eastAsia="Arial" w:hAnsi="Arial"/>
          <w:sz w:val="18"/>
          <w:szCs w:val="18"/>
          <w:color w:val="auto"/>
        </w:rPr>
        <w:t>The Committee may provide for reload options in the Award Agreement evidencing an Option. Any reload feature will be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requirements:</w:t>
      </w:r>
    </w:p>
    <w:p>
      <w:pPr>
        <w:spacing w:after="0" w:line="180" w:lineRule="exact"/>
        <w:rPr>
          <w:sz w:val="20"/>
          <w:szCs w:val="20"/>
          <w:color w:val="auto"/>
        </w:rPr>
      </w:pPr>
    </w:p>
    <w:p>
      <w:pPr>
        <w:ind w:left="700" w:hanging="341"/>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it must not be added to an already outstanding Option, but must be part of the Option as originally granted;</w:t>
      </w:r>
    </w:p>
    <w:p>
      <w:pPr>
        <w:spacing w:after="0" w:line="279" w:lineRule="exact"/>
        <w:rPr>
          <w:rFonts w:ascii="Arial" w:cs="Arial" w:eastAsia="Arial" w:hAnsi="Arial"/>
          <w:sz w:val="18"/>
          <w:szCs w:val="18"/>
          <w:color w:val="auto"/>
        </w:rPr>
      </w:pPr>
    </w:p>
    <w:p>
      <w:pPr>
        <w:ind w:left="700" w:hanging="341"/>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reload must be automatic, not subject to the discretion of the Committee or anyone else;</w:t>
      </w:r>
    </w:p>
    <w:p>
      <w:pPr>
        <w:spacing w:after="0" w:line="279" w:lineRule="exact"/>
        <w:rPr>
          <w:rFonts w:ascii="Arial" w:cs="Arial" w:eastAsia="Arial" w:hAnsi="Arial"/>
          <w:sz w:val="18"/>
          <w:szCs w:val="18"/>
          <w:color w:val="auto"/>
        </w:rPr>
      </w:pPr>
    </w:p>
    <w:p>
      <w:pPr>
        <w:ind w:left="700" w:hanging="341"/>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it must have an Exercise Price at least equal to the Fair Market Value of a Share at the time of reload;</w:t>
      </w:r>
    </w:p>
    <w:p>
      <w:pPr>
        <w:spacing w:after="0" w:line="279" w:lineRule="exact"/>
        <w:rPr>
          <w:rFonts w:ascii="Arial" w:cs="Arial" w:eastAsia="Arial" w:hAnsi="Arial"/>
          <w:sz w:val="18"/>
          <w:szCs w:val="18"/>
          <w:color w:val="auto"/>
        </w:rPr>
      </w:pPr>
    </w:p>
    <w:p>
      <w:pPr>
        <w:ind w:left="700" w:right="300" w:hanging="341"/>
        <w:spacing w:after="0" w:line="268"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it may be granted with respect only to previously-owned Shares used to pay the Exercise Price of the original Option, and only if the Participant has owned the Shares used to pay the Exercise Price for at least six months;</w:t>
      </w:r>
    </w:p>
    <w:p>
      <w:pPr>
        <w:spacing w:after="0" w:line="212" w:lineRule="exact"/>
        <w:rPr>
          <w:rFonts w:ascii="Arial" w:cs="Arial" w:eastAsia="Arial" w:hAnsi="Arial"/>
          <w:sz w:val="18"/>
          <w:szCs w:val="18"/>
          <w:color w:val="auto"/>
        </w:rPr>
      </w:pPr>
    </w:p>
    <w:p>
      <w:pPr>
        <w:ind w:left="700" w:right="440" w:hanging="341"/>
        <w:spacing w:after="0" w:line="332" w:lineRule="auto"/>
        <w:tabs>
          <w:tab w:leader="none" w:pos="7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Award Agreement that contains the reload feature must not permit multiple reloads (</w:t>
      </w:r>
      <w:r>
        <w:rPr>
          <w:rFonts w:ascii="Arial" w:cs="Arial" w:eastAsia="Arial" w:hAnsi="Arial"/>
          <w:sz w:val="16"/>
          <w:szCs w:val="16"/>
          <w:i w:val="1"/>
          <w:iCs w:val="1"/>
          <w:color w:val="auto"/>
        </w:rPr>
        <w:t>i.e.</w:t>
      </w:r>
      <w:r>
        <w:rPr>
          <w:rFonts w:ascii="Arial" w:cs="Arial" w:eastAsia="Arial" w:hAnsi="Arial"/>
          <w:sz w:val="16"/>
          <w:szCs w:val="16"/>
          <w:color w:val="auto"/>
        </w:rPr>
        <w:t>, no reload Options may be granted on Shares acquired through reload Options) and must subject any Option granted on reload to a vesting period of at least six months; and</w:t>
      </w:r>
    </w:p>
    <w:p>
      <w:pPr>
        <w:spacing w:after="0" w:line="166" w:lineRule="exact"/>
        <w:rPr>
          <w:rFonts w:ascii="Arial" w:cs="Arial" w:eastAsia="Arial" w:hAnsi="Arial"/>
          <w:sz w:val="16"/>
          <w:szCs w:val="16"/>
          <w:color w:val="auto"/>
        </w:rPr>
      </w:pPr>
    </w:p>
    <w:p>
      <w:pPr>
        <w:ind w:left="700" w:hanging="341"/>
        <w:spacing w:after="0"/>
        <w:tabs>
          <w:tab w:leader="none" w:pos="7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it must limit the duration of reload Options, by providing that an Option granted on reload expires at the same time as the initial Option would have.</w:t>
      </w:r>
    </w:p>
    <w:p>
      <w:pPr>
        <w:spacing w:after="0" w:line="296" w:lineRule="exact"/>
        <w:rPr>
          <w:sz w:val="20"/>
          <w:szCs w:val="20"/>
          <w:color w:val="auto"/>
        </w:rPr>
      </w:pPr>
    </w:p>
    <w:p>
      <w:pPr>
        <w:ind w:firstLine="324"/>
        <w:spacing w:after="0" w:line="310" w:lineRule="auto"/>
        <w:rPr>
          <w:sz w:val="20"/>
          <w:szCs w:val="20"/>
          <w:color w:val="auto"/>
        </w:rPr>
      </w:pPr>
      <w:r>
        <w:rPr>
          <w:rFonts w:ascii="Arial" w:cs="Arial" w:eastAsia="Arial" w:hAnsi="Arial"/>
          <w:sz w:val="16"/>
          <w:szCs w:val="16"/>
          <w:b w:val="1"/>
          <w:bCs w:val="1"/>
          <w:color w:val="auto"/>
        </w:rPr>
        <w:t xml:space="preserve">6.9 Restrictions on Share Transferability. </w:t>
      </w:r>
      <w:r>
        <w:rPr>
          <w:rFonts w:ascii="Arial" w:cs="Arial" w:eastAsia="Arial" w:hAnsi="Arial"/>
          <w:sz w:val="16"/>
          <w:szCs w:val="16"/>
          <w:color w:val="auto"/>
        </w:rPr>
        <w:t>The Committee may impose such restrictions on any Shares acquired through exercise of an Option as it deems</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or advisable, including, without limitation, restrictions under applicable federal securities laws, under the requirements of any stock exchange or market upon which the Shares are then listed or traded, and under any blue sky or state securities laws applicable to the Shares.</w:t>
      </w:r>
    </w:p>
    <w:p>
      <w:pPr>
        <w:spacing w:after="0" w:line="178" w:lineRule="exact"/>
        <w:rPr>
          <w:sz w:val="20"/>
          <w:szCs w:val="20"/>
          <w:color w:val="auto"/>
        </w:rPr>
      </w:pPr>
    </w:p>
    <w:p>
      <w:pPr>
        <w:ind w:right="40" w:firstLine="324"/>
        <w:spacing w:after="0" w:line="310" w:lineRule="auto"/>
        <w:rPr>
          <w:sz w:val="20"/>
          <w:szCs w:val="20"/>
          <w:color w:val="auto"/>
        </w:rPr>
      </w:pPr>
      <w:r>
        <w:rPr>
          <w:rFonts w:ascii="Arial" w:cs="Arial" w:eastAsia="Arial" w:hAnsi="Arial"/>
          <w:sz w:val="16"/>
          <w:szCs w:val="16"/>
          <w:b w:val="1"/>
          <w:bCs w:val="1"/>
          <w:color w:val="auto"/>
        </w:rPr>
        <w:t xml:space="preserve">6.10 Termination of Employment. </w:t>
      </w:r>
      <w:r>
        <w:rPr>
          <w:rFonts w:ascii="Arial" w:cs="Arial" w:eastAsia="Arial" w:hAnsi="Arial"/>
          <w:sz w:val="16"/>
          <w:szCs w:val="16"/>
          <w:color w:val="auto"/>
        </w:rPr>
        <w:t>Each Option Award Agreement will set forth the extent to which the Participant has the right to exercise the Option after</w:t>
      </w:r>
      <w:r>
        <w:rPr>
          <w:rFonts w:ascii="Arial" w:cs="Arial" w:eastAsia="Arial" w:hAnsi="Arial"/>
          <w:sz w:val="16"/>
          <w:szCs w:val="16"/>
          <w:b w:val="1"/>
          <w:bCs w:val="1"/>
          <w:color w:val="auto"/>
        </w:rPr>
        <w:t xml:space="preserve"> </w:t>
      </w:r>
      <w:r>
        <w:rPr>
          <w:rFonts w:ascii="Arial" w:cs="Arial" w:eastAsia="Arial" w:hAnsi="Arial"/>
          <w:sz w:val="16"/>
          <w:szCs w:val="16"/>
          <w:color w:val="auto"/>
        </w:rPr>
        <w:t>his or her termination of employment with the Company and all Affiliates. These terms will be determined by the Committee in its sole discretion, need not be uniform among all Options, and may reflect, among other things, distinctions based on the reasons for termination of employment.</w:t>
      </w:r>
    </w:p>
    <w:p>
      <w:pPr>
        <w:spacing w:after="0" w:line="17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b w:val="1"/>
          <w:bCs w:val="1"/>
          <w:color w:val="auto"/>
        </w:rPr>
        <w:t xml:space="preserve">6.11 Nontransferability of Options. </w:t>
      </w:r>
      <w:r>
        <w:rPr>
          <w:rFonts w:ascii="Arial" w:cs="Arial" w:eastAsia="Arial" w:hAnsi="Arial"/>
          <w:sz w:val="18"/>
          <w:szCs w:val="18"/>
          <w:color w:val="auto"/>
        </w:rPr>
        <w:t>Except as otherwise provided in a Participant’s Award Agreement, no Option granted under the Plan may be sold,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pledged, assigned, or otherwise alienated or hypothecated, other than by will or by the laws of descent and distribution, or pursuant to a domestic relations order (as defined in Code Section 414(p)). Further, except as otherwise provided in a Participant’s Award Agreement, all Options will be exercisable during the Participant’s lifetime only by the Participant or his or her guardian or legal representative. The Committee may, in its discretion, require a Participant’s guardian or legal representative to supply it with the evidence the Committee deems necessary to establish the authority of the guardian or legal representative to act on behalf of the Participant.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Article 7. Stock Appreciation Rights</w:t>
      </w:r>
    </w:p>
    <w:p>
      <w:pPr>
        <w:spacing w:after="0" w:line="246" w:lineRule="exact"/>
        <w:rPr>
          <w:sz w:val="20"/>
          <w:szCs w:val="20"/>
          <w:color w:val="auto"/>
        </w:rPr>
      </w:pPr>
    </w:p>
    <w:p>
      <w:pPr>
        <w:ind w:right="180" w:firstLine="324"/>
        <w:spacing w:after="0" w:line="275" w:lineRule="auto"/>
        <w:rPr>
          <w:sz w:val="20"/>
          <w:szCs w:val="20"/>
          <w:color w:val="auto"/>
        </w:rPr>
      </w:pPr>
      <w:r>
        <w:rPr>
          <w:rFonts w:ascii="Arial" w:cs="Arial" w:eastAsia="Arial" w:hAnsi="Arial"/>
          <w:sz w:val="18"/>
          <w:szCs w:val="18"/>
          <w:b w:val="1"/>
          <w:bCs w:val="1"/>
          <w:color w:val="auto"/>
        </w:rPr>
        <w:t xml:space="preserve">7.1 Grant of SARs. </w:t>
      </w:r>
      <w:r>
        <w:rPr>
          <w:rFonts w:ascii="Arial" w:cs="Arial" w:eastAsia="Arial" w:hAnsi="Arial"/>
          <w:sz w:val="18"/>
          <w:szCs w:val="18"/>
          <w:color w:val="auto"/>
        </w:rPr>
        <w:t>Subject to the terms and conditions of the Plan, SARs may be granted to Participants at any time and from time to time, as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Committee. The Committee may grant Freestanding SARs, Tandem SARs or any combination of the two.</w:t>
      </w:r>
    </w:p>
    <w:p>
      <w:pPr>
        <w:spacing w:after="0" w:line="207"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Within the limits of Article 4, the Committee will have sole discretion to determine the number of SARs granted to each Participant and, consistent with the provisions of the Plan, to determine the terms and conditions pertaining to SARs.</w:t>
      </w:r>
    </w:p>
    <w:p>
      <w:pPr>
        <w:spacing w:after="0" w:line="213"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grant price of a Freestanding SAR will equal the Fair Market Value on the date of grant of the SAR. The grant price of a Tandem SAR will equal the per Share Exercise Price of the Option to which it relates.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b w:val="1"/>
          <w:bCs w:val="1"/>
          <w:color w:val="auto"/>
        </w:rPr>
        <w:t xml:space="preserve">7.2 Exercise of Tandem SARs. </w:t>
      </w:r>
      <w:r>
        <w:rPr>
          <w:rFonts w:ascii="Arial" w:cs="Arial" w:eastAsia="Arial" w:hAnsi="Arial"/>
          <w:sz w:val="18"/>
          <w:szCs w:val="18"/>
          <w:color w:val="auto"/>
        </w:rPr>
        <w:t>Tandem SARs may be exercised for all or part of the Shares subject to the related Option, upon the surrender of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the equivalent portion of the related Option. A Tandem SAR may be exercised only with respect to the Shares for which its related Option is then exercisable.</w:t>
      </w:r>
    </w:p>
    <w:p>
      <w:pPr>
        <w:spacing w:after="0" w:line="213" w:lineRule="exact"/>
        <w:rPr>
          <w:sz w:val="20"/>
          <w:szCs w:val="20"/>
          <w:color w:val="auto"/>
        </w:rPr>
      </w:pPr>
    </w:p>
    <w:p>
      <w:pPr>
        <w:ind w:right="600" w:firstLine="324"/>
        <w:spacing w:after="0" w:line="275" w:lineRule="auto"/>
        <w:rPr>
          <w:sz w:val="20"/>
          <w:szCs w:val="20"/>
          <w:color w:val="auto"/>
        </w:rPr>
      </w:pPr>
      <w:r>
        <w:rPr>
          <w:rFonts w:ascii="Arial" w:cs="Arial" w:eastAsia="Arial" w:hAnsi="Arial"/>
          <w:sz w:val="18"/>
          <w:szCs w:val="18"/>
          <w:b w:val="1"/>
          <w:bCs w:val="1"/>
          <w:color w:val="auto"/>
        </w:rPr>
        <w:t xml:space="preserve">7.3 Exercise of Freestanding SARs. </w:t>
      </w:r>
      <w:r>
        <w:rPr>
          <w:rFonts w:ascii="Arial" w:cs="Arial" w:eastAsia="Arial" w:hAnsi="Arial"/>
          <w:sz w:val="18"/>
          <w:szCs w:val="18"/>
          <w:color w:val="auto"/>
        </w:rPr>
        <w:t>Freestanding SARs may be exercised upon whatever terms and conditions the Committee, in its sole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imposes.</w:t>
      </w:r>
    </w:p>
    <w:p>
      <w:pPr>
        <w:spacing w:after="0" w:line="201" w:lineRule="exact"/>
        <w:rPr>
          <w:sz w:val="20"/>
          <w:szCs w:val="20"/>
          <w:color w:val="auto"/>
        </w:rPr>
      </w:pPr>
    </w:p>
    <w:p>
      <w:pPr>
        <w:ind w:right="600" w:firstLine="324"/>
        <w:spacing w:after="0" w:line="275" w:lineRule="auto"/>
        <w:rPr>
          <w:sz w:val="20"/>
          <w:szCs w:val="20"/>
          <w:color w:val="auto"/>
        </w:rPr>
      </w:pPr>
      <w:r>
        <w:rPr>
          <w:rFonts w:ascii="Arial" w:cs="Arial" w:eastAsia="Arial" w:hAnsi="Arial"/>
          <w:sz w:val="18"/>
          <w:szCs w:val="18"/>
          <w:b w:val="1"/>
          <w:bCs w:val="1"/>
          <w:color w:val="auto"/>
        </w:rPr>
        <w:t xml:space="preserve">7.4 Award Agreement. </w:t>
      </w:r>
      <w:r>
        <w:rPr>
          <w:rFonts w:ascii="Arial" w:cs="Arial" w:eastAsia="Arial" w:hAnsi="Arial"/>
          <w:sz w:val="18"/>
          <w:szCs w:val="18"/>
          <w:color w:val="auto"/>
        </w:rPr>
        <w:t>Each SAR grant will be evidenced by an Award Agreement that specifies the grant price, the term of the SAR and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as the Committee determines.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7.5 Term of SARS. </w:t>
      </w:r>
      <w:r>
        <w:rPr>
          <w:rFonts w:ascii="Arial" w:cs="Arial" w:eastAsia="Arial" w:hAnsi="Arial"/>
          <w:sz w:val="18"/>
          <w:szCs w:val="18"/>
          <w:color w:val="auto"/>
        </w:rPr>
        <w:t>The term of an SAR will be determined by the Committee, in its sole discretion, but may not exceed ten years.</w:t>
      </w:r>
    </w:p>
    <w:p>
      <w:pPr>
        <w:spacing w:after="0" w:line="252" w:lineRule="exact"/>
        <w:rPr>
          <w:sz w:val="20"/>
          <w:szCs w:val="20"/>
          <w:color w:val="auto"/>
        </w:rPr>
      </w:pPr>
    </w:p>
    <w:p>
      <w:pPr>
        <w:ind w:right="220" w:firstLine="324"/>
        <w:spacing w:after="0" w:line="275" w:lineRule="auto"/>
        <w:rPr>
          <w:sz w:val="20"/>
          <w:szCs w:val="20"/>
          <w:color w:val="auto"/>
        </w:rPr>
      </w:pPr>
      <w:r>
        <w:rPr>
          <w:rFonts w:ascii="Arial" w:cs="Arial" w:eastAsia="Arial" w:hAnsi="Arial"/>
          <w:sz w:val="18"/>
          <w:szCs w:val="18"/>
          <w:b w:val="1"/>
          <w:bCs w:val="1"/>
          <w:color w:val="auto"/>
        </w:rPr>
        <w:t xml:space="preserve">7.6 Payment of SAR Amount. </w:t>
      </w:r>
      <w:r>
        <w:rPr>
          <w:rFonts w:ascii="Arial" w:cs="Arial" w:eastAsia="Arial" w:hAnsi="Arial"/>
          <w:sz w:val="18"/>
          <w:szCs w:val="18"/>
          <w:color w:val="auto"/>
        </w:rPr>
        <w:t>Upon exercise of an SAR, a Participant will be entitled to receive payment from the Company in an amount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multiplying:</w:t>
      </w:r>
    </w:p>
    <w:p>
      <w:pPr>
        <w:spacing w:after="0" w:line="180" w:lineRule="exact"/>
        <w:rPr>
          <w:sz w:val="20"/>
          <w:szCs w:val="20"/>
          <w:color w:val="auto"/>
        </w:rPr>
      </w:pPr>
    </w:p>
    <w:p>
      <w:pPr>
        <w:ind w:left="700" w:right="560" w:hanging="341"/>
        <w:spacing w:after="0" w:line="268"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excess (or some portion of the excess as determined at the time of the grant by the Committee) if any, of the Fair Market Value on the date of exercise of the SAR over the grant price specified in the Award Agreement; by</w:t>
      </w:r>
    </w:p>
    <w:p>
      <w:pPr>
        <w:spacing w:after="0" w:line="212" w:lineRule="exact"/>
        <w:rPr>
          <w:rFonts w:ascii="Arial" w:cs="Arial" w:eastAsia="Arial" w:hAnsi="Arial"/>
          <w:sz w:val="18"/>
          <w:szCs w:val="18"/>
          <w:color w:val="auto"/>
        </w:rPr>
      </w:pPr>
    </w:p>
    <w:p>
      <w:pPr>
        <w:ind w:left="700" w:hanging="341"/>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number of Shares as to which the SAR is exercised.</w:t>
      </w:r>
    </w:p>
    <w:p>
      <w:pPr>
        <w:spacing w:after="0" w:line="25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At the discretion of the Participant, the payment upon SAR exercise may be made in cash, in Shares of equivalent Fair Market Value or in some combination of the two.</w:t>
      </w:r>
    </w:p>
    <w:p>
      <w:pPr>
        <w:spacing w:after="0" w:line="207" w:lineRule="exact"/>
        <w:rPr>
          <w:sz w:val="20"/>
          <w:szCs w:val="20"/>
          <w:color w:val="auto"/>
        </w:rPr>
      </w:pPr>
    </w:p>
    <w:p>
      <w:pPr>
        <w:ind w:right="180" w:firstLine="324"/>
        <w:spacing w:after="0" w:line="310" w:lineRule="auto"/>
        <w:rPr>
          <w:sz w:val="20"/>
          <w:szCs w:val="20"/>
          <w:color w:val="auto"/>
        </w:rPr>
      </w:pPr>
      <w:r>
        <w:rPr>
          <w:rFonts w:ascii="Arial" w:cs="Arial" w:eastAsia="Arial" w:hAnsi="Arial"/>
          <w:sz w:val="16"/>
          <w:szCs w:val="16"/>
          <w:b w:val="1"/>
          <w:bCs w:val="1"/>
          <w:color w:val="auto"/>
        </w:rPr>
        <w:t xml:space="preserve">7.7 Termination of Employment. </w:t>
      </w:r>
      <w:r>
        <w:rPr>
          <w:rFonts w:ascii="Arial" w:cs="Arial" w:eastAsia="Arial" w:hAnsi="Arial"/>
          <w:sz w:val="16"/>
          <w:szCs w:val="16"/>
          <w:color w:val="auto"/>
        </w:rPr>
        <w:t>Each SAR Award Agreement will set forth the extent to which the Participant has the right to exercise the SAR after his</w:t>
      </w:r>
      <w:r>
        <w:rPr>
          <w:rFonts w:ascii="Arial" w:cs="Arial" w:eastAsia="Arial" w:hAnsi="Arial"/>
          <w:sz w:val="16"/>
          <w:szCs w:val="16"/>
          <w:b w:val="1"/>
          <w:bCs w:val="1"/>
          <w:color w:val="auto"/>
        </w:rPr>
        <w:t xml:space="preserve"> </w:t>
      </w:r>
      <w:r>
        <w:rPr>
          <w:rFonts w:ascii="Arial" w:cs="Arial" w:eastAsia="Arial" w:hAnsi="Arial"/>
          <w:sz w:val="16"/>
          <w:szCs w:val="16"/>
          <w:color w:val="auto"/>
        </w:rPr>
        <w:t>or her termination of employment with the Company and all Affiliates. These terms will be determined by the Committee in its sole discretion, need not be uniform among all SARs issued under the Plan, and may reflect, among other things, distinctions based on the reasons for termination of employment.</w:t>
      </w:r>
    </w:p>
    <w:p>
      <w:pPr>
        <w:spacing w:after="0" w:line="178"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b w:val="1"/>
          <w:bCs w:val="1"/>
          <w:color w:val="auto"/>
        </w:rPr>
        <w:t xml:space="preserve">7.8 Nontransferability of SARs. </w:t>
      </w:r>
      <w:r>
        <w:rPr>
          <w:rFonts w:ascii="Arial" w:cs="Arial" w:eastAsia="Arial" w:hAnsi="Arial"/>
          <w:sz w:val="16"/>
          <w:szCs w:val="16"/>
          <w:color w:val="auto"/>
        </w:rPr>
        <w:t>Except as otherwise provided in a Participant’s Award Agreement, no SAR may be sold, transferred, pledged, assigned,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alienated or hypothecated, other than by will or by the laws of descent and distribution, or pursuant to a domestic relations order (as defined in Code Section 414(p)). Further, except as otherwise provided in a Participant’s Award Agreement, all SARs will be exercisable during the Participant’s lifetime only by the Participant or the Participant’s guardian or legal representative. The Committee may, in its discretion, require a Participant’s guardian or legal representative to supply it with evidence the Committee deems necessary to establish the authority of the guardian or legal representative to act on behalf of the Participant.</w:t>
      </w:r>
    </w:p>
    <w:p>
      <w:pPr>
        <w:spacing w:after="0" w:line="200" w:lineRule="exact"/>
        <w:rPr>
          <w:sz w:val="20"/>
          <w:szCs w:val="20"/>
          <w:color w:val="auto"/>
        </w:rPr>
      </w:pPr>
    </w:p>
    <w:p>
      <w:pPr>
        <w:spacing w:after="0" w:line="21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Article 8.</w:t>
      </w:r>
      <w:r>
        <w:rPr>
          <w:sz w:val="20"/>
          <w:szCs w:val="20"/>
          <w:color w:val="auto"/>
        </w:rPr>
        <w:tab/>
      </w:r>
      <w:r>
        <w:rPr>
          <w:rFonts w:ascii="Arial" w:cs="Arial" w:eastAsia="Arial" w:hAnsi="Arial"/>
          <w:sz w:val="15"/>
          <w:szCs w:val="15"/>
          <w:color w:val="auto"/>
        </w:rPr>
        <w:t>Restricted Stock, Restricted Stock Units and Restricted Units</w:t>
      </w:r>
    </w:p>
    <w:p>
      <w:pPr>
        <w:spacing w:after="0" w:line="246" w:lineRule="exact"/>
        <w:rPr>
          <w:sz w:val="20"/>
          <w:szCs w:val="20"/>
          <w:color w:val="auto"/>
        </w:rPr>
      </w:pPr>
    </w:p>
    <w:p>
      <w:pPr>
        <w:ind w:right="320" w:firstLine="324"/>
        <w:spacing w:after="0" w:line="339" w:lineRule="auto"/>
        <w:rPr>
          <w:sz w:val="20"/>
          <w:szCs w:val="20"/>
          <w:color w:val="auto"/>
        </w:rPr>
      </w:pPr>
      <w:r>
        <w:rPr>
          <w:rFonts w:ascii="Arial" w:cs="Arial" w:eastAsia="Arial" w:hAnsi="Arial"/>
          <w:sz w:val="16"/>
          <w:szCs w:val="16"/>
          <w:b w:val="1"/>
          <w:bCs w:val="1"/>
          <w:color w:val="auto"/>
        </w:rPr>
        <w:t xml:space="preserve">8.1 Grant of Restricted Stock, Restricted Stock Units or Restricted Units. </w:t>
      </w:r>
      <w:r>
        <w:rPr>
          <w:rFonts w:ascii="Arial" w:cs="Arial" w:eastAsia="Arial" w:hAnsi="Arial"/>
          <w:sz w:val="16"/>
          <w:szCs w:val="16"/>
          <w:color w:val="auto"/>
        </w:rPr>
        <w:t>Subject to the terms and provisions of the Plan, the Committee may, at any</w:t>
      </w:r>
      <w:r>
        <w:rPr>
          <w:rFonts w:ascii="Arial" w:cs="Arial" w:eastAsia="Arial" w:hAnsi="Arial"/>
          <w:sz w:val="16"/>
          <w:szCs w:val="16"/>
          <w:b w:val="1"/>
          <w:bCs w:val="1"/>
          <w:color w:val="auto"/>
        </w:rPr>
        <w:t xml:space="preserve"> </w:t>
      </w:r>
      <w:r>
        <w:rPr>
          <w:rFonts w:ascii="Arial" w:cs="Arial" w:eastAsia="Arial" w:hAnsi="Arial"/>
          <w:sz w:val="16"/>
          <w:szCs w:val="16"/>
          <w:color w:val="auto"/>
        </w:rPr>
        <w:t>time and from time to time, grant Restricted Stock, Restricted Stock Units or Restricted Units to Participants in such amounts as it determines.</w:t>
      </w:r>
    </w:p>
    <w:p>
      <w:pPr>
        <w:spacing w:after="0" w:line="15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8.2 Deferral of Compensation into Restricted Stock Units. </w:t>
      </w:r>
      <w:r>
        <w:rPr>
          <w:rFonts w:ascii="Arial" w:cs="Arial" w:eastAsia="Arial" w:hAnsi="Arial"/>
          <w:sz w:val="18"/>
          <w:szCs w:val="18"/>
          <w:color w:val="auto"/>
        </w:rPr>
        <w:t>Subject to the terms and provisions of the Plan, the Committee may, at any time and from time</w:t>
      </w:r>
      <w:r>
        <w:rPr>
          <w:rFonts w:ascii="Arial" w:cs="Arial" w:eastAsia="Arial" w:hAnsi="Arial"/>
          <w:sz w:val="18"/>
          <w:szCs w:val="18"/>
          <w:b w:val="1"/>
          <w:bCs w:val="1"/>
          <w:color w:val="auto"/>
        </w:rPr>
        <w:t xml:space="preserve"> </w:t>
      </w:r>
      <w:r>
        <w:rPr>
          <w:rFonts w:ascii="Arial" w:cs="Arial" w:eastAsia="Arial" w:hAnsi="Arial"/>
          <w:sz w:val="18"/>
          <w:szCs w:val="18"/>
          <w:color w:val="auto"/>
        </w:rPr>
        <w:t>to time, allow (or require, as to bonuses) selected Eligible Employees to defer the payment of any portion of their salary or annual bonuses or both pursuant to this section. A Participant’s deferral under this section will be credited to the Participant in the form of Shares of Restricted Stock Units. The Committee will establish rules and procedures for the deferrals, as it deems appropriate.</w:t>
      </w:r>
    </w:p>
    <w:p>
      <w:pPr>
        <w:spacing w:after="0" w:line="223"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In consideration for forgoing compensation, the dollar amount deferred by a Participant may be increased by fifty percent (or such lesser percentage as the Committee may determine) for purposes of determining the number of Restricted Stock Units to grant the Participant. If a Participant’s compensation is deferred under this Section 8.2, he or she will be credited, as of the date specified in the Award Agreement, with a number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equal to the amount of the deferral (increased as described above) divided by the Fair Market Value on that date.</w:t>
      </w:r>
    </w:p>
    <w:p>
      <w:pPr>
        <w:spacing w:after="0" w:line="246" w:lineRule="exact"/>
        <w:rPr>
          <w:sz w:val="20"/>
          <w:szCs w:val="20"/>
          <w:color w:val="auto"/>
        </w:rPr>
      </w:pPr>
    </w:p>
    <w:p>
      <w:pPr>
        <w:ind w:right="200" w:firstLine="324"/>
        <w:spacing w:after="0" w:line="339" w:lineRule="auto"/>
        <w:rPr>
          <w:sz w:val="20"/>
          <w:szCs w:val="20"/>
          <w:color w:val="auto"/>
        </w:rPr>
      </w:pPr>
      <w:r>
        <w:rPr>
          <w:rFonts w:ascii="Arial" w:cs="Arial" w:eastAsia="Arial" w:hAnsi="Arial"/>
          <w:sz w:val="16"/>
          <w:szCs w:val="16"/>
          <w:b w:val="1"/>
          <w:bCs w:val="1"/>
          <w:color w:val="auto"/>
        </w:rPr>
        <w:t xml:space="preserve">8.3 Award Agreement. </w:t>
      </w:r>
      <w:r>
        <w:rPr>
          <w:rFonts w:ascii="Arial" w:cs="Arial" w:eastAsia="Arial" w:hAnsi="Arial"/>
          <w:sz w:val="16"/>
          <w:szCs w:val="16"/>
          <w:color w:val="auto"/>
        </w:rPr>
        <w:t>Each grant of Restricted Stock, Restricted Units or Restricted Stock Units will be evidenced by an Award Agreement that specifies</w:t>
      </w:r>
      <w:r>
        <w:rPr>
          <w:rFonts w:ascii="Arial" w:cs="Arial" w:eastAsia="Arial" w:hAnsi="Arial"/>
          <w:sz w:val="16"/>
          <w:szCs w:val="16"/>
          <w:b w:val="1"/>
          <w:bCs w:val="1"/>
          <w:color w:val="auto"/>
        </w:rPr>
        <w:t xml:space="preserve"> </w:t>
      </w:r>
      <w:r>
        <w:rPr>
          <w:rFonts w:ascii="Arial" w:cs="Arial" w:eastAsia="Arial" w:hAnsi="Arial"/>
          <w:sz w:val="16"/>
          <w:szCs w:val="16"/>
          <w:color w:val="auto"/>
        </w:rPr>
        <w:t>the Restriction Periods, the number of Shares or Share equivalent units granted, and such other provisions as the Committee determines.</w:t>
      </w:r>
    </w:p>
    <w:p>
      <w:pPr>
        <w:spacing w:after="0" w:line="156"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b w:val="1"/>
          <w:bCs w:val="1"/>
          <w:color w:val="auto"/>
        </w:rPr>
        <w:t xml:space="preserve">8.4 Nontransferability. </w:t>
      </w:r>
      <w:r>
        <w:rPr>
          <w:rFonts w:ascii="Arial" w:cs="Arial" w:eastAsia="Arial" w:hAnsi="Arial"/>
          <w:sz w:val="16"/>
          <w:szCs w:val="16"/>
          <w:color w:val="auto"/>
        </w:rPr>
        <w:t>Restricted Stock, Restricted Units and Restricted Stock Units granted herein may not be sold, transferred, pledged, assigned,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alienated or hypothecated, other than by will or by the laws of descent and distribution, or pursuant to a domestic relations order (as defined in Code Section 414(p)), until the end of the applicable Restriction Period as specified in the Award Agreement, or upon earlier satisfaction of any other conditions specified by the Committee in its sole discretion and set forth in the Award Agreement. All rights with respect to Restricted Stock, Restricted Units and Restricted Stock Units will be available during the Participant’s lifetime only to the Participant or the Participant’s guardian or legal representative. The Committee may, in its discretion, require a Participant’s guardian or legal representative to supply it with evidence the Committee deems necessary to establish the authority of the guardian or legal representative to act on behalf of the Participant.</w:t>
      </w:r>
    </w:p>
    <w:p>
      <w:pPr>
        <w:spacing w:after="0" w:line="19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b w:val="1"/>
          <w:bCs w:val="1"/>
          <w:color w:val="auto"/>
        </w:rPr>
        <w:t xml:space="preserve">8.5 Other Restrictions. </w:t>
      </w:r>
      <w:r>
        <w:rPr>
          <w:rFonts w:ascii="Arial" w:cs="Arial" w:eastAsia="Arial" w:hAnsi="Arial"/>
          <w:sz w:val="18"/>
          <w:szCs w:val="18"/>
          <w:color w:val="auto"/>
        </w:rPr>
        <w:t>Subject to Article 11, the Committee may impose such other conditions or restrictions on any Restricted Stock, Restricted Units or</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as it deems advisable including, without limitation, restrictions based upon the achievement of specific performance objectives (Company-wide, business unit, individual, or any combination of them), time-based restrictions on vesting following the attainment of the performance objectives, and restrictions under applicable federal or state securities laws. The Committee may provide that restrictions established under this Section 8.5 as to any given Award will lapse all at once or in installments.</w:t>
      </w:r>
    </w:p>
    <w:p>
      <w:pPr>
        <w:spacing w:after="0" w:line="226"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Company will retain the certificates representing Shares of Restricted Stock in its possession until all conditions and restrictions applicable to the Shares have been satisfied.</w:t>
      </w:r>
    </w:p>
    <w:p>
      <w:pPr>
        <w:spacing w:after="0" w:line="207"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6"/>
          <w:szCs w:val="16"/>
          <w:b w:val="1"/>
          <w:bCs w:val="1"/>
          <w:color w:val="auto"/>
        </w:rPr>
        <w:t xml:space="preserve">8.6 Payment of Awards. </w:t>
      </w:r>
      <w:r>
        <w:rPr>
          <w:rFonts w:ascii="Arial" w:cs="Arial" w:eastAsia="Arial" w:hAnsi="Arial"/>
          <w:sz w:val="16"/>
          <w:szCs w:val="16"/>
          <w:color w:val="auto"/>
        </w:rPr>
        <w:t>Except as otherwise provided in this Article 8, Shares covered by each Restricted Stock grant will become freely transferable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after the last day of the applicable Restriction Period, and Share equivalent units covered by a Restricted Unit will be paid out in cash or Shares to the Participant following the last day of the applicable Restriction Period, or on a later date provided in the Award Agreement.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auto"/>
        </w:rPr>
        <w:t xml:space="preserve">8.7 Voting Rights. </w:t>
      </w:r>
      <w:r>
        <w:rPr>
          <w:rFonts w:ascii="Arial" w:cs="Arial" w:eastAsia="Arial" w:hAnsi="Arial"/>
          <w:sz w:val="15"/>
          <w:szCs w:val="15"/>
          <w:color w:val="auto"/>
        </w:rPr>
        <w:t>During the Restriction Period, Participants holding Shares of Restricted Stock may exercise full voting rights with respect to those Shares.</w:t>
      </w:r>
    </w:p>
    <w:p>
      <w:pPr>
        <w:spacing w:after="0" w:line="287" w:lineRule="exact"/>
        <w:rPr>
          <w:sz w:val="20"/>
          <w:szCs w:val="20"/>
          <w:color w:val="auto"/>
        </w:rPr>
      </w:pPr>
    </w:p>
    <w:p>
      <w:pPr>
        <w:ind w:right="220" w:firstLine="324"/>
        <w:spacing w:after="0" w:line="258" w:lineRule="auto"/>
        <w:rPr>
          <w:sz w:val="20"/>
          <w:szCs w:val="20"/>
          <w:color w:val="auto"/>
        </w:rPr>
      </w:pPr>
      <w:r>
        <w:rPr>
          <w:rFonts w:ascii="Arial" w:cs="Arial" w:eastAsia="Arial" w:hAnsi="Arial"/>
          <w:sz w:val="18"/>
          <w:szCs w:val="18"/>
          <w:b w:val="1"/>
          <w:bCs w:val="1"/>
          <w:color w:val="auto"/>
        </w:rPr>
        <w:t xml:space="preserve">8.8 Dividends and Other Distributions. </w:t>
      </w:r>
      <w:r>
        <w:rPr>
          <w:rFonts w:ascii="Arial" w:cs="Arial" w:eastAsia="Arial" w:hAnsi="Arial"/>
          <w:sz w:val="18"/>
          <w:szCs w:val="18"/>
          <w:color w:val="auto"/>
        </w:rPr>
        <w:t>During the Restriction Period, Participants awarded Shares of Restricted Stock, Restricted Units or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Units hereunder will be credited with regular cash dividends or dividend equivalents paid on those Shares or with respect to those Share equivalent units. Dividends may be paid currently, accrued as contingent cash obligations, or converted into additional Shares of Restricted Stock, upon such terms as the Committee establishes.</w:t>
      </w:r>
    </w:p>
    <w:p>
      <w:pPr>
        <w:spacing w:after="0" w:line="223"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The Committee may apply any restrictions it deems advisable to the crediting and payment of dividends and other distributions. Without limiting the generality of the preceding sentence, if the grant or vesting of Restricted Stock is designed to qualify for the Performance-Based Exception, the Committee may apply any restrictions it deems appropriate to the payment of dividends declared with respect to the Restricted Stock, so that the dividends and the Restricted Stock continue to be eligible for the Performance-Based Exception.</w:t>
      </w:r>
    </w:p>
    <w:p>
      <w:pPr>
        <w:spacing w:after="0" w:line="218" w:lineRule="exact"/>
        <w:rPr>
          <w:sz w:val="20"/>
          <w:szCs w:val="20"/>
          <w:color w:val="auto"/>
        </w:rPr>
      </w:pPr>
    </w:p>
    <w:p>
      <w:pPr>
        <w:ind w:right="140" w:firstLine="324"/>
        <w:spacing w:after="0" w:line="258" w:lineRule="auto"/>
        <w:rPr>
          <w:sz w:val="20"/>
          <w:szCs w:val="20"/>
          <w:color w:val="auto"/>
        </w:rPr>
      </w:pPr>
      <w:r>
        <w:rPr>
          <w:rFonts w:ascii="Arial" w:cs="Arial" w:eastAsia="Arial" w:hAnsi="Arial"/>
          <w:sz w:val="18"/>
          <w:szCs w:val="18"/>
          <w:b w:val="1"/>
          <w:bCs w:val="1"/>
          <w:color w:val="auto"/>
        </w:rPr>
        <w:t xml:space="preserve">8.9 Termination of Employment. </w:t>
      </w:r>
      <w:r>
        <w:rPr>
          <w:rFonts w:ascii="Arial" w:cs="Arial" w:eastAsia="Arial" w:hAnsi="Arial"/>
          <w:sz w:val="18"/>
          <w:szCs w:val="18"/>
          <w:color w:val="auto"/>
        </w:rPr>
        <w:t>Each Award Agreement will set forth the extent to which the Participant has the right to retain unvested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or Restricted Units after his or her termination of employment with the Company or an Affiliate. These terms will be determined by the Committee in its sole discretion, need not be uniform among all Awards of Restricted Stock, and may reflect, among other things, distinctions based on the reasons for termination of employment.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Article 9. Performance Units and Performance Shares</w:t>
      </w:r>
    </w:p>
    <w:p>
      <w:pPr>
        <w:spacing w:after="0" w:line="246" w:lineRule="exact"/>
        <w:rPr>
          <w:sz w:val="20"/>
          <w:szCs w:val="20"/>
          <w:color w:val="auto"/>
        </w:rPr>
      </w:pPr>
    </w:p>
    <w:p>
      <w:pPr>
        <w:ind w:right="260" w:firstLine="324"/>
        <w:spacing w:after="0" w:line="275" w:lineRule="auto"/>
        <w:rPr>
          <w:sz w:val="20"/>
          <w:szCs w:val="20"/>
          <w:color w:val="auto"/>
        </w:rPr>
      </w:pPr>
      <w:r>
        <w:rPr>
          <w:rFonts w:ascii="Arial" w:cs="Arial" w:eastAsia="Arial" w:hAnsi="Arial"/>
          <w:sz w:val="18"/>
          <w:szCs w:val="18"/>
          <w:b w:val="1"/>
          <w:bCs w:val="1"/>
          <w:color w:val="auto"/>
        </w:rPr>
        <w:t xml:space="preserve">9.1 Grant of Performance Units or Performance Shares. </w:t>
      </w:r>
      <w:r>
        <w:rPr>
          <w:rFonts w:ascii="Arial" w:cs="Arial" w:eastAsia="Arial" w:hAnsi="Arial"/>
          <w:sz w:val="18"/>
          <w:szCs w:val="18"/>
          <w:color w:val="auto"/>
        </w:rPr>
        <w:t>Subject to the terms of the Plan, Performance Units or Performance Shares may be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in such amounts and upon such terms, and at any time and from time to time, as the Committee determines.</w:t>
      </w:r>
    </w:p>
    <w:p>
      <w:pPr>
        <w:spacing w:after="0" w:line="201"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b w:val="1"/>
          <w:bCs w:val="1"/>
          <w:color w:val="auto"/>
        </w:rPr>
        <w:t xml:space="preserve">9.2 Value of Performance Units and Performance Shares. </w:t>
      </w:r>
      <w:r>
        <w:rPr>
          <w:rFonts w:ascii="Arial" w:cs="Arial" w:eastAsia="Arial" w:hAnsi="Arial"/>
          <w:sz w:val="16"/>
          <w:szCs w:val="16"/>
          <w:color w:val="auto"/>
        </w:rPr>
        <w:t>Each Performance Unit will have an initial value established by the Committee at the time of</w:t>
      </w:r>
      <w:r>
        <w:rPr>
          <w:rFonts w:ascii="Arial" w:cs="Arial" w:eastAsia="Arial" w:hAnsi="Arial"/>
          <w:sz w:val="16"/>
          <w:szCs w:val="16"/>
          <w:b w:val="1"/>
          <w:bCs w:val="1"/>
          <w:color w:val="auto"/>
        </w:rPr>
        <w:t xml:space="preserve"> </w:t>
      </w:r>
      <w:r>
        <w:rPr>
          <w:rFonts w:ascii="Arial" w:cs="Arial" w:eastAsia="Arial" w:hAnsi="Arial"/>
          <w:sz w:val="16"/>
          <w:szCs w:val="16"/>
          <w:color w:val="auto"/>
        </w:rPr>
        <w:t>grant. Each Performance Share will have an initial value equal to the Fair Market Value on the date of grant. The Committee will set performance objectives in its discretion which, depending on the extent to which they are met, will determine the number or value (or both) of Performance Units or Performance Shares that will be paid out to the Participant. For purposes of this Article 9, the time period during which the performance objectives must be met will be called a “Performance Period” and will be set by the Committee in its discretion.</w:t>
      </w:r>
    </w:p>
    <w:p>
      <w:pPr>
        <w:spacing w:after="0" w:line="189"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b w:val="1"/>
          <w:bCs w:val="1"/>
          <w:color w:val="auto"/>
        </w:rPr>
        <w:t xml:space="preserve">9.3 Earning of Performance Units and Performance Shares. </w:t>
      </w:r>
      <w:r>
        <w:rPr>
          <w:rFonts w:ascii="Arial" w:cs="Arial" w:eastAsia="Arial" w:hAnsi="Arial"/>
          <w:sz w:val="18"/>
          <w:szCs w:val="18"/>
          <w:color w:val="auto"/>
        </w:rPr>
        <w:t>Subject to the terms of this Plan, after the applicable Performance Period has ended, the</w:t>
      </w:r>
      <w:r>
        <w:rPr>
          <w:rFonts w:ascii="Arial" w:cs="Arial" w:eastAsia="Arial" w:hAnsi="Arial"/>
          <w:sz w:val="18"/>
          <w:szCs w:val="18"/>
          <w:b w:val="1"/>
          <w:bCs w:val="1"/>
          <w:color w:val="auto"/>
        </w:rPr>
        <w:t xml:space="preserve"> </w:t>
      </w:r>
      <w:r>
        <w:rPr>
          <w:rFonts w:ascii="Arial" w:cs="Arial" w:eastAsia="Arial" w:hAnsi="Arial"/>
          <w:sz w:val="18"/>
          <w:szCs w:val="18"/>
          <w:color w:val="auto"/>
        </w:rPr>
        <w:t>holder of Performance Units or Performance Shares will be entitled to receive payout on the number and value of Performance Units or Performance Shares earned by the Participant over the Performance Period, to be determined as a function of the extent to which the corresponding performance objectives have been achieved.</w:t>
      </w:r>
    </w:p>
    <w:p>
      <w:pPr>
        <w:spacing w:after="0" w:line="21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b w:val="1"/>
          <w:bCs w:val="1"/>
          <w:color w:val="auto"/>
        </w:rPr>
        <w:t xml:space="preserve">9.4 Award Agreement. </w:t>
      </w:r>
      <w:r>
        <w:rPr>
          <w:rFonts w:ascii="Arial" w:cs="Arial" w:eastAsia="Arial" w:hAnsi="Arial"/>
          <w:sz w:val="18"/>
          <w:szCs w:val="18"/>
          <w:color w:val="auto"/>
        </w:rPr>
        <w:t>Each grant of Performance Units or Performance Shares will be evidenced by an Award Agreement specifying the material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the Award (including the form of payment of earned Performance Units or Performance Shares), and such other provisions as the Committee determines.</w:t>
      </w:r>
    </w:p>
    <w:p>
      <w:pPr>
        <w:spacing w:after="0" w:line="213"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b w:val="1"/>
          <w:bCs w:val="1"/>
          <w:color w:val="auto"/>
        </w:rPr>
        <w:t xml:space="preserve">9.5 Form and Timing of Payment of Performance Units and Performance Shares. </w:t>
      </w:r>
      <w:r>
        <w:rPr>
          <w:rFonts w:ascii="Arial" w:cs="Arial" w:eastAsia="Arial" w:hAnsi="Arial"/>
          <w:sz w:val="16"/>
          <w:szCs w:val="16"/>
          <w:color w:val="auto"/>
        </w:rPr>
        <w:t>Except as provided in Article 12, payment of earned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Units and Performance Shares will be made as soon as practicable after the close of the applicable Performance Period, in a manner determined by the Committee in its sole discretion. The Committee will pay earned Performance Units and Performance Shares in the form of cash, in Shares, or in a combination of cash and Shares, as specified in the Award Agreement. Performance Shares may be paid subject to any restrictions deemed appropriate by the Committee.</w:t>
      </w:r>
    </w:p>
    <w:p>
      <w:pPr>
        <w:spacing w:after="0" w:line="184" w:lineRule="exact"/>
        <w:rPr>
          <w:sz w:val="20"/>
          <w:szCs w:val="20"/>
          <w:color w:val="auto"/>
        </w:rPr>
      </w:pPr>
    </w:p>
    <w:p>
      <w:pPr>
        <w:ind w:right="20" w:firstLine="324"/>
        <w:spacing w:after="0" w:line="326" w:lineRule="auto"/>
        <w:rPr>
          <w:sz w:val="20"/>
          <w:szCs w:val="20"/>
          <w:color w:val="auto"/>
        </w:rPr>
      </w:pPr>
      <w:r>
        <w:rPr>
          <w:rFonts w:ascii="Arial" w:cs="Arial" w:eastAsia="Arial" w:hAnsi="Arial"/>
          <w:sz w:val="15"/>
          <w:szCs w:val="15"/>
          <w:b w:val="1"/>
          <w:bCs w:val="1"/>
          <w:color w:val="auto"/>
        </w:rPr>
        <w:t xml:space="preserve">9.6 Termination of Employment Due to Death or Disability. </w:t>
      </w:r>
      <w:r>
        <w:rPr>
          <w:rFonts w:ascii="Arial" w:cs="Arial" w:eastAsia="Arial" w:hAnsi="Arial"/>
          <w:sz w:val="15"/>
          <w:szCs w:val="15"/>
          <w:color w:val="auto"/>
        </w:rPr>
        <w:t>Unless determined otherwise by the Committee and set forth in the Participant’s Award</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if a Participant’s employment is terminated by reason of death or Disability during a Performance Period, the Participant will receive a prorated payout of the Performance Units or Performance Shares, as specified by the Committee in its discretion in the Award Agreement. Payment of earned Performance Units and Performance Shares will be made at a time specified by the Committee in its sole discretion and set forth in the Participant’s Award Agreement.</w:t>
      </w:r>
    </w:p>
    <w:p>
      <w:pPr>
        <w:spacing w:after="0" w:line="170"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b w:val="1"/>
          <w:bCs w:val="1"/>
          <w:color w:val="auto"/>
        </w:rPr>
        <w:t xml:space="preserve">9.7 Termination of Employment for Other Reasons. </w:t>
      </w:r>
      <w:r>
        <w:rPr>
          <w:rFonts w:ascii="Arial" w:cs="Arial" w:eastAsia="Arial" w:hAnsi="Arial"/>
          <w:sz w:val="18"/>
          <w:szCs w:val="18"/>
          <w:color w:val="auto"/>
        </w:rPr>
        <w:t>If a Participant’s employment terminates during a Performance Period for any reason other than death</w:t>
      </w:r>
      <w:r>
        <w:rPr>
          <w:rFonts w:ascii="Arial" w:cs="Arial" w:eastAsia="Arial" w:hAnsi="Arial"/>
          <w:sz w:val="18"/>
          <w:szCs w:val="18"/>
          <w:b w:val="1"/>
          <w:bCs w:val="1"/>
          <w:color w:val="auto"/>
        </w:rPr>
        <w:t xml:space="preserve"> </w:t>
      </w:r>
      <w:r>
        <w:rPr>
          <w:rFonts w:ascii="Arial" w:cs="Arial" w:eastAsia="Arial" w:hAnsi="Arial"/>
          <w:sz w:val="18"/>
          <w:szCs w:val="18"/>
          <w:color w:val="auto"/>
        </w:rPr>
        <w:t>or Disability, the Participant will forfeit all Performance Units and Performance Shares to the Company, unless the Participant’s Award Agreement provides otherwise.</w:t>
      </w:r>
    </w:p>
    <w:p>
      <w:pPr>
        <w:spacing w:after="0" w:line="213" w:lineRule="exact"/>
        <w:rPr>
          <w:sz w:val="20"/>
          <w:szCs w:val="20"/>
          <w:color w:val="auto"/>
        </w:rPr>
      </w:pPr>
    </w:p>
    <w:p>
      <w:pPr>
        <w:ind w:right="300" w:firstLine="324"/>
        <w:spacing w:after="0" w:line="293" w:lineRule="auto"/>
        <w:rPr>
          <w:sz w:val="20"/>
          <w:szCs w:val="20"/>
          <w:color w:val="auto"/>
        </w:rPr>
      </w:pPr>
      <w:r>
        <w:rPr>
          <w:rFonts w:ascii="Arial" w:cs="Arial" w:eastAsia="Arial" w:hAnsi="Arial"/>
          <w:sz w:val="16"/>
          <w:szCs w:val="16"/>
          <w:b w:val="1"/>
          <w:bCs w:val="1"/>
          <w:color w:val="auto"/>
        </w:rPr>
        <w:t xml:space="preserve">9.8 Nontransferability. </w:t>
      </w:r>
      <w:r>
        <w:rPr>
          <w:rFonts w:ascii="Arial" w:cs="Arial" w:eastAsia="Arial" w:hAnsi="Arial"/>
          <w:sz w:val="16"/>
          <w:szCs w:val="16"/>
          <w:color w:val="auto"/>
        </w:rPr>
        <w:t>Except as otherwise provided in a Participant’s Award Agreement, Performance Units and Performance Shares may not be sold,</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transferred, pledged, assigned or otherwise alienated or hypothecated, other than by will or by the laws of descent and distribution, or pursuant to a domestic relations order (as defined in Code Section 414(p)). Further, except as otherwise provided in a Participant’s Award Agreement, a Participant’s rights under the Plan will be exercisable during the Participant’s lifetime only by the Participant or Participant’s guardian or legal representative. The Committee may, in its discretion, require a Participant’s guardian or legal representative to supply it with evidence the Committee deems necessary to establish the authority of the guardian or legal representative to act on behalf of the Participant.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Article 10. Performance Measures</w:t>
      </w:r>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Unless and until the Committee proposes and the Company’s shareholders approve a change in the general performance measures set forth in this Article 10, the performance measure(s) to be used for purposes of Awards designed to qualify for the Performance-Based Exception will be chosen from among the following alternatives:</w:t>
      </w:r>
    </w:p>
    <w:p>
      <w:pPr>
        <w:spacing w:after="0" w:line="194" w:lineRule="exact"/>
        <w:rPr>
          <w:sz w:val="20"/>
          <w:szCs w:val="20"/>
          <w:color w:val="auto"/>
        </w:rPr>
      </w:pPr>
    </w:p>
    <w:p>
      <w:pPr>
        <w:ind w:left="700" w:hanging="341"/>
        <w:spacing w:after="0"/>
        <w:tabs>
          <w:tab w:leader="none" w:pos="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net earnings;</w:t>
      </w:r>
    </w:p>
    <w:p>
      <w:pPr>
        <w:spacing w:after="0" w:line="279" w:lineRule="exact"/>
        <w:rPr>
          <w:rFonts w:ascii="Arial" w:cs="Arial" w:eastAsia="Arial" w:hAnsi="Arial"/>
          <w:sz w:val="18"/>
          <w:szCs w:val="18"/>
          <w:color w:val="auto"/>
        </w:rPr>
      </w:pPr>
    </w:p>
    <w:p>
      <w:pPr>
        <w:ind w:left="580" w:hanging="248"/>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operating earnings or income;</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earnings growth;</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net income (absolute or competitive growth rates comparative);</w:t>
      </w:r>
    </w:p>
    <w:p>
      <w:pPr>
        <w:spacing w:after="0" w:line="279" w:lineRule="exact"/>
        <w:rPr>
          <w:sz w:val="20"/>
          <w:szCs w:val="20"/>
          <w:color w:val="auto"/>
        </w:rPr>
      </w:pPr>
    </w:p>
    <w:p>
      <w:pPr>
        <w:ind w:left="580" w:hanging="248"/>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net income applicable to Common Stock;</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cash flow, including operating cash flow, free cash flow, discounted cash flow return on investment, and cash flow in excess of cost of capital;</w:t>
      </w:r>
    </w:p>
    <w:p>
      <w:pPr>
        <w:spacing w:after="0" w:line="302" w:lineRule="exact"/>
        <w:rPr>
          <w:rFonts w:ascii="Arial" w:cs="Arial" w:eastAsia="Arial" w:hAnsi="Arial"/>
          <w:sz w:val="16"/>
          <w:szCs w:val="16"/>
          <w:color w:val="auto"/>
        </w:rPr>
      </w:pPr>
    </w:p>
    <w:p>
      <w:pPr>
        <w:ind w:left="580" w:hanging="248"/>
        <w:spacing w:after="0"/>
        <w:tabs>
          <w:tab w:leader="none" w:pos="5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earnings per Common share;</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return on shareholders equity (absolute or peer-group comparative);</w:t>
      </w:r>
    </w:p>
    <w:p>
      <w:pPr>
        <w:spacing w:after="0" w:line="252" w:lineRule="exact"/>
        <w:rPr>
          <w:rFonts w:ascii="Arial" w:cs="Arial" w:eastAsia="Arial" w:hAnsi="Arial"/>
          <w:sz w:val="18"/>
          <w:szCs w:val="18"/>
          <w:color w:val="auto"/>
        </w:rPr>
      </w:pPr>
    </w:p>
    <w:p>
      <w:pPr>
        <w:ind w:left="540" w:hanging="208"/>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stock price (absolute or peer-group comparative);</w:t>
      </w:r>
    </w:p>
    <w:p>
      <w:pPr>
        <w:spacing w:after="0" w:line="252" w:lineRule="exact"/>
        <w:rPr>
          <w:rFonts w:ascii="Arial" w:cs="Arial" w:eastAsia="Arial" w:hAnsi="Arial"/>
          <w:sz w:val="18"/>
          <w:szCs w:val="18"/>
          <w:color w:val="auto"/>
        </w:rPr>
      </w:pPr>
    </w:p>
    <w:p>
      <w:pPr>
        <w:ind w:left="540" w:hanging="208"/>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absolute and/or relative return on common shareholders equity;</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absolute and/or relative return on capital;</w:t>
      </w:r>
    </w:p>
    <w:p>
      <w:pPr>
        <w:spacing w:after="0" w:line="252" w:lineRule="exact"/>
        <w:rPr>
          <w:rFonts w:ascii="Arial" w:cs="Arial" w:eastAsia="Arial" w:hAnsi="Arial"/>
          <w:sz w:val="18"/>
          <w:szCs w:val="18"/>
          <w:color w:val="auto"/>
        </w:rPr>
      </w:pPr>
    </w:p>
    <w:p>
      <w:pPr>
        <w:ind w:left="540" w:hanging="208"/>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absolute and/or relative return on assets;</w:t>
      </w:r>
    </w:p>
    <w:p>
      <w:pPr>
        <w:spacing w:after="0" w:line="252" w:lineRule="exact"/>
        <w:rPr>
          <w:rFonts w:ascii="Arial" w:cs="Arial" w:eastAsia="Arial" w:hAnsi="Arial"/>
          <w:sz w:val="18"/>
          <w:szCs w:val="18"/>
          <w:color w:val="auto"/>
        </w:rPr>
      </w:pPr>
    </w:p>
    <w:p>
      <w:pPr>
        <w:ind w:left="620" w:hanging="288"/>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economic value added (income in excess of cost of capital);</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expense reduction; and</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ratio of operating expenses to operating revenues.</w:t>
      </w:r>
    </w:p>
    <w:p>
      <w:pPr>
        <w:spacing w:after="0" w:line="252"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Committee will have the discretion to adjust targets set for preestablished performance objectives; however, Awards designed to qualify for the Performance-Based Exception may not be adjusted upward, except to the extent permitted under Code Section 162(m), to reflect accounting changes or other events.</w:t>
      </w:r>
    </w:p>
    <w:p>
      <w:pPr>
        <w:spacing w:after="0" w:line="22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If Code Section 162(m) or other applicable tax or securities laws change to allow the Committee discretion to change the types performance measures without obtaining shareholder approval, the Committee will have sole discretion to make such changes without obtaining shareholder approval. In addition, if the Committee determines it is advisable to grant Awards that will not qualify for the Performance-Based Exception, the Committee may grant Awards that do not so qualify.</w:t>
      </w:r>
    </w:p>
    <w:p>
      <w:pPr>
        <w:spacing w:after="0" w:line="200" w:lineRule="exact"/>
        <w:rPr>
          <w:sz w:val="20"/>
          <w:szCs w:val="20"/>
          <w:color w:val="auto"/>
        </w:rPr>
      </w:pPr>
    </w:p>
    <w:p>
      <w:pPr>
        <w:spacing w:after="0" w:line="24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Article 11.</w:t>
      </w:r>
      <w:r>
        <w:rPr>
          <w:sz w:val="20"/>
          <w:szCs w:val="20"/>
          <w:color w:val="auto"/>
        </w:rPr>
        <w:tab/>
      </w:r>
      <w:r>
        <w:rPr>
          <w:rFonts w:ascii="Arial" w:cs="Arial" w:eastAsia="Arial" w:hAnsi="Arial"/>
          <w:sz w:val="16"/>
          <w:szCs w:val="16"/>
          <w:color w:val="auto"/>
        </w:rPr>
        <w:t>Beneficiary Designation</w:t>
      </w:r>
    </w:p>
    <w:p>
      <w:pPr>
        <w:spacing w:after="0" w:line="252"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Each Participant may, from time to time, name any beneficiary or beneficiaries (who may be named contingently or successively) to whom any benefit under the Plan is to be paid in case the Participant should die before receiving any or all of his or her Plan benefits. Each beneficiary designation will revoke all prior designations by the same Participant, must be in a form prescribed by the Committee, and must be made during the Participant’s lifetime. If the Participant’s designated beneficiary predeceases the Participant or no beneficiary has been designated, benefits remaining unpaid at the Participant’s death will be paid to the Participant’s estate or other entity described in the Participant’s Award Agreement.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Article 12.</w:t>
      </w:r>
      <w:r>
        <w:rPr>
          <w:sz w:val="20"/>
          <w:szCs w:val="20"/>
          <w:color w:val="auto"/>
        </w:rPr>
        <w:tab/>
      </w:r>
      <w:r>
        <w:rPr>
          <w:rFonts w:ascii="Arial" w:cs="Arial" w:eastAsia="Arial" w:hAnsi="Arial"/>
          <w:sz w:val="16"/>
          <w:szCs w:val="16"/>
          <w:color w:val="auto"/>
        </w:rPr>
        <w:t>Deferrals</w:t>
      </w:r>
    </w:p>
    <w:p>
      <w:pPr>
        <w:spacing w:after="0" w:line="252"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The Committee may permit or require a Participant to defer receipt of cash or Shares that would otherwise be due to him or her by virtue of an Option or SAR exercise, the lapse or waiver of restrictions on Restricted Stock, or the satisfaction of any requirements or objectives with respect to Performance Units or Performance Shares. If any such deferral election is permitted or required, the Committee will, in its sole discretion, establish rules and procedures for such deferrals. Notwithstanding the foregoing, the Committee in its sole discretion may defer payment of cash or the delivery of Shares that would otherwise be due to a Participant under the Plan if payment or delivery would result in the Company’s or an Affiliate’s being unable to deduct compensation under Code</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Section 162(m). Deferral of payment or delivery by the Committee may continue until the Company or Affiliate is able to deduct the payment or delivery under the Code.</w:t>
      </w:r>
    </w:p>
    <w:p>
      <w:pPr>
        <w:spacing w:after="0" w:line="200" w:lineRule="exact"/>
        <w:rPr>
          <w:sz w:val="20"/>
          <w:szCs w:val="20"/>
          <w:color w:val="auto"/>
        </w:rPr>
      </w:pP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Article 13.</w:t>
      </w:r>
      <w:r>
        <w:rPr>
          <w:sz w:val="20"/>
          <w:szCs w:val="20"/>
          <w:color w:val="auto"/>
        </w:rPr>
        <w:tab/>
      </w:r>
      <w:r>
        <w:rPr>
          <w:rFonts w:ascii="Arial" w:cs="Arial" w:eastAsia="Arial" w:hAnsi="Arial"/>
          <w:sz w:val="16"/>
          <w:szCs w:val="16"/>
          <w:color w:val="auto"/>
        </w:rPr>
        <w:t>Rights of Employees</w:t>
      </w:r>
    </w:p>
    <w:p>
      <w:pPr>
        <w:spacing w:after="0" w:line="24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 xml:space="preserve">13.1 Employment. </w:t>
      </w:r>
      <w:r>
        <w:rPr>
          <w:rFonts w:ascii="Arial" w:cs="Arial" w:eastAsia="Arial" w:hAnsi="Arial"/>
          <w:sz w:val="18"/>
          <w:szCs w:val="18"/>
          <w:color w:val="auto"/>
        </w:rPr>
        <w:t>Nothing in the Plan will interfere with or limit in any way the right of the Company or any affiliate of the Company (as defined in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laws) to terminate any Participant’s employment at any time, or confer upon any Participant any right to continue in the employ of the Company or any Affiliate.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13.2 Participation. </w:t>
      </w:r>
      <w:r>
        <w:rPr>
          <w:rFonts w:ascii="Arial" w:cs="Arial" w:eastAsia="Arial" w:hAnsi="Arial"/>
          <w:sz w:val="16"/>
          <w:szCs w:val="16"/>
          <w:color w:val="auto"/>
        </w:rPr>
        <w:t>No Eligible Employee will have the right to receive an Award under this Plan, or, having received any Award, to receive a future Award.</w:t>
      </w:r>
    </w:p>
    <w:p>
      <w:pPr>
        <w:spacing w:after="0" w:line="200" w:lineRule="exact"/>
        <w:rPr>
          <w:sz w:val="20"/>
          <w:szCs w:val="20"/>
          <w:color w:val="auto"/>
        </w:rPr>
      </w:pPr>
    </w:p>
    <w:p>
      <w:pPr>
        <w:spacing w:after="0" w:line="29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Article 14.</w:t>
      </w:r>
      <w:r>
        <w:rPr>
          <w:sz w:val="20"/>
          <w:szCs w:val="20"/>
          <w:color w:val="auto"/>
        </w:rPr>
        <w:tab/>
      </w:r>
      <w:r>
        <w:rPr>
          <w:rFonts w:ascii="Arial" w:cs="Arial" w:eastAsia="Arial" w:hAnsi="Arial"/>
          <w:sz w:val="16"/>
          <w:szCs w:val="16"/>
          <w:color w:val="auto"/>
        </w:rPr>
        <w:t>Change in Control</w:t>
      </w:r>
    </w:p>
    <w:p>
      <w:pPr>
        <w:spacing w:after="0" w:line="246" w:lineRule="exact"/>
        <w:rPr>
          <w:sz w:val="20"/>
          <w:szCs w:val="20"/>
          <w:color w:val="auto"/>
        </w:rPr>
      </w:pPr>
    </w:p>
    <w:p>
      <w:pPr>
        <w:ind w:right="40" w:firstLine="324"/>
        <w:spacing w:after="0" w:line="275" w:lineRule="auto"/>
        <w:rPr>
          <w:sz w:val="20"/>
          <w:szCs w:val="20"/>
          <w:color w:val="auto"/>
        </w:rPr>
      </w:pPr>
      <w:r>
        <w:rPr>
          <w:rFonts w:ascii="Arial" w:cs="Arial" w:eastAsia="Arial" w:hAnsi="Arial"/>
          <w:sz w:val="18"/>
          <w:szCs w:val="18"/>
          <w:b w:val="1"/>
          <w:bCs w:val="1"/>
          <w:color w:val="auto"/>
        </w:rPr>
        <w:t xml:space="preserve">14.1 Treatment of Outstanding Awards. </w:t>
      </w:r>
      <w:r>
        <w:rPr>
          <w:rFonts w:ascii="Arial" w:cs="Arial" w:eastAsia="Arial" w:hAnsi="Arial"/>
          <w:sz w:val="18"/>
          <w:szCs w:val="18"/>
          <w:color w:val="auto"/>
        </w:rPr>
        <w:t>Upon the occurrence of a Change in Control, unless otherwise specifically prohibited under applicable laws, or by</w:t>
      </w:r>
      <w:r>
        <w:rPr>
          <w:rFonts w:ascii="Arial" w:cs="Arial" w:eastAsia="Arial" w:hAnsi="Arial"/>
          <w:sz w:val="18"/>
          <w:szCs w:val="18"/>
          <w:b w:val="1"/>
          <w:bCs w:val="1"/>
          <w:color w:val="auto"/>
        </w:rPr>
        <w:t xml:space="preserve"> </w:t>
      </w:r>
      <w:r>
        <w:rPr>
          <w:rFonts w:ascii="Arial" w:cs="Arial" w:eastAsia="Arial" w:hAnsi="Arial"/>
          <w:sz w:val="18"/>
          <w:szCs w:val="18"/>
          <w:color w:val="auto"/>
        </w:rPr>
        <w:t>the rules and regulations of any governing governmental agencies or national securities exchanges:</w:t>
      </w:r>
    </w:p>
    <w:p>
      <w:pPr>
        <w:spacing w:after="0" w:line="180" w:lineRule="exact"/>
        <w:rPr>
          <w:sz w:val="20"/>
          <w:szCs w:val="20"/>
          <w:color w:val="auto"/>
        </w:rPr>
      </w:pPr>
    </w:p>
    <w:p>
      <w:pPr>
        <w:ind w:left="700" w:hanging="341"/>
        <w:spacing w:after="0"/>
        <w:tabs>
          <w:tab w:leader="none" w:pos="7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and all outstanding Options and SARs will become immediately exercisable, and will remain exercisable throughout their entire term;</w:t>
      </w:r>
    </w:p>
    <w:p>
      <w:pPr>
        <w:spacing w:after="0" w:line="302" w:lineRule="exact"/>
        <w:rPr>
          <w:rFonts w:ascii="Arial" w:cs="Arial" w:eastAsia="Arial" w:hAnsi="Arial"/>
          <w:sz w:val="16"/>
          <w:szCs w:val="16"/>
          <w:color w:val="auto"/>
        </w:rPr>
      </w:pPr>
    </w:p>
    <w:p>
      <w:pPr>
        <w:ind w:left="700" w:right="80" w:hanging="341"/>
        <w:spacing w:after="0" w:line="286" w:lineRule="auto"/>
        <w:tabs>
          <w:tab w:leader="none" w:pos="7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Restriction Periods or other restrictions imposed on Restricted Stock, Restricted Stock Units and Restricted Units will lapse, except that the degree of vesting associated with those awards that is conditioned on the achievement of performance conditions will be determined as set forth in</w:t>
      </w:r>
    </w:p>
    <w:p>
      <w:pPr>
        <w:ind w:left="700"/>
        <w:spacing w:after="0"/>
        <w:rPr>
          <w:rFonts w:ascii="Arial" w:cs="Arial" w:eastAsia="Arial" w:hAnsi="Arial"/>
          <w:sz w:val="16"/>
          <w:szCs w:val="16"/>
          <w:color w:val="auto"/>
        </w:rPr>
      </w:pPr>
      <w:r>
        <w:rPr>
          <w:rFonts w:ascii="Arial" w:cs="Arial" w:eastAsia="Arial" w:hAnsi="Arial"/>
          <w:sz w:val="18"/>
          <w:szCs w:val="18"/>
          <w:color w:val="auto"/>
        </w:rPr>
        <w:t>Section 14.1(c);</w:t>
      </w:r>
    </w:p>
    <w:p>
      <w:pPr>
        <w:spacing w:after="0" w:line="245" w:lineRule="exact"/>
        <w:rPr>
          <w:rFonts w:ascii="Arial" w:cs="Arial" w:eastAsia="Arial" w:hAnsi="Arial"/>
          <w:sz w:val="16"/>
          <w:szCs w:val="16"/>
          <w:color w:val="auto"/>
        </w:rPr>
      </w:pPr>
    </w:p>
    <w:p>
      <w:pPr>
        <w:ind w:left="700" w:right="140" w:hanging="341"/>
        <w:spacing w:after="0" w:line="298" w:lineRule="auto"/>
        <w:tabs>
          <w:tab w:leader="none" w:pos="7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except as otherwise provided in the Award Agreement, the vesting of all Performance Units and Performance Shares will be accelerated as of the effective date of the Change in Control, and Participants will be paid in cash, within thirty days after the effective date of the Change in Control, a pro rata amount based on an assumed achievement of all relevant performance objectives at target levels, and upon the length of time within the Performance Period that elapsed prior to the effective date of the Change in Control; and</w:t>
      </w:r>
    </w:p>
    <w:p>
      <w:pPr>
        <w:spacing w:after="0" w:line="193" w:lineRule="exact"/>
        <w:rPr>
          <w:rFonts w:ascii="Arial" w:cs="Arial" w:eastAsia="Arial" w:hAnsi="Arial"/>
          <w:sz w:val="16"/>
          <w:szCs w:val="16"/>
          <w:color w:val="auto"/>
        </w:rPr>
      </w:pPr>
    </w:p>
    <w:p>
      <w:pPr>
        <w:ind w:left="700" w:right="20" w:hanging="341"/>
        <w:spacing w:after="0" w:line="256" w:lineRule="auto"/>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notwithstanding the foregoing, if the Committee determines that actual performance to the effective date of the Change in Control exceeds target levels, the prorated payouts made pursuant to Sections 14.1(b) and (c) will be made at levels commensurate with the actual performance (determined by extrapolating the actual performance to the end of the Performance Period) based on the length of time within the Performance Period that elapsed prior to the Change in Control.</w:t>
      </w:r>
    </w:p>
    <w:p>
      <w:pPr>
        <w:spacing w:after="0" w:line="218" w:lineRule="exact"/>
        <w:rPr>
          <w:sz w:val="20"/>
          <w:szCs w:val="20"/>
          <w:color w:val="auto"/>
        </w:rPr>
      </w:pPr>
    </w:p>
    <w:p>
      <w:pPr>
        <w:ind w:right="20" w:firstLine="324"/>
        <w:spacing w:after="0" w:line="310" w:lineRule="auto"/>
        <w:rPr>
          <w:sz w:val="20"/>
          <w:szCs w:val="20"/>
          <w:color w:val="auto"/>
        </w:rPr>
      </w:pPr>
      <w:r>
        <w:rPr>
          <w:rFonts w:ascii="Arial" w:cs="Arial" w:eastAsia="Arial" w:hAnsi="Arial"/>
          <w:sz w:val="16"/>
          <w:szCs w:val="16"/>
          <w:b w:val="1"/>
          <w:bCs w:val="1"/>
          <w:color w:val="auto"/>
        </w:rPr>
        <w:t xml:space="preserve">14.2 Termination, Amendment and Modifications of Change in Control Provisions. </w:t>
      </w:r>
      <w:r>
        <w:rPr>
          <w:rFonts w:ascii="Arial" w:cs="Arial" w:eastAsia="Arial" w:hAnsi="Arial"/>
          <w:sz w:val="16"/>
          <w:szCs w:val="16"/>
          <w:color w:val="auto"/>
        </w:rPr>
        <w:t>Notwithstanding any other provision of this Plan or any provision in</w:t>
      </w:r>
      <w:r>
        <w:rPr>
          <w:rFonts w:ascii="Arial" w:cs="Arial" w:eastAsia="Arial" w:hAnsi="Arial"/>
          <w:sz w:val="16"/>
          <w:szCs w:val="16"/>
          <w:b w:val="1"/>
          <w:bCs w:val="1"/>
          <w:color w:val="auto"/>
        </w:rPr>
        <w:t xml:space="preserve"> </w:t>
      </w:r>
      <w:r>
        <w:rPr>
          <w:rFonts w:ascii="Arial" w:cs="Arial" w:eastAsia="Arial" w:hAnsi="Arial"/>
          <w:sz w:val="16"/>
          <w:szCs w:val="16"/>
          <w:color w:val="auto"/>
        </w:rPr>
        <w:t>an Award Agreement, this Article 14 may not be terminated, amended or modified on or after the effective date of a Change in Control in a way that would adversely affect any Award theretofore granted to a Participant, unless the Participant gives his or her prior written consent to the amendment.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Article 15. Amendment, Modification and Termination</w:t>
      </w:r>
    </w:p>
    <w:p>
      <w:pPr>
        <w:spacing w:after="0" w:line="246" w:lineRule="exact"/>
        <w:rPr>
          <w:sz w:val="20"/>
          <w:szCs w:val="20"/>
          <w:color w:val="auto"/>
        </w:rPr>
      </w:pPr>
    </w:p>
    <w:p>
      <w:pPr>
        <w:ind w:right="40" w:firstLine="324"/>
        <w:spacing w:after="0" w:line="310" w:lineRule="auto"/>
        <w:rPr>
          <w:sz w:val="20"/>
          <w:szCs w:val="20"/>
          <w:color w:val="auto"/>
        </w:rPr>
      </w:pPr>
      <w:r>
        <w:rPr>
          <w:rFonts w:ascii="Arial" w:cs="Arial" w:eastAsia="Arial" w:hAnsi="Arial"/>
          <w:sz w:val="16"/>
          <w:szCs w:val="16"/>
          <w:b w:val="1"/>
          <w:bCs w:val="1"/>
          <w:color w:val="auto"/>
        </w:rPr>
        <w:t xml:space="preserve">15.1 Amendment, Modification and Termination. </w:t>
      </w:r>
      <w:r>
        <w:rPr>
          <w:rFonts w:ascii="Arial" w:cs="Arial" w:eastAsia="Arial" w:hAnsi="Arial"/>
          <w:sz w:val="16"/>
          <w:szCs w:val="16"/>
          <w:color w:val="auto"/>
        </w:rPr>
        <w:t>Subject to Section 14.2, the Committee may at any time and from time to time, alter, amend, modify or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the Plan in whole or in part. The Committee will not, however, increase the number of Shares that may be issued or transferred to Participants under the Plan, as described in the first sentence of Section 4.1 (and subject to adjustment as provided in Sections 4.2 and 4.3).</w:t>
      </w:r>
    </w:p>
    <w:p>
      <w:pPr>
        <w:spacing w:after="0" w:line="1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Subject to the terms and conditions of the Plan, the Committee may modify, extend or renew outstanding Awards under the Plan, or accept the surrender of outstanding Awards (to the extent not already exercised) and grant new Awards in substitution of them (to the extent not already exercised). The Committee will not, however, modify any outstanding Option so as to specify a lower Exercise Price, without the approval of the Company’s shareholders. Notwithstanding the foregoing, no modification of an Award will, without the prior written consent of the Participant, alter or impair any rights or obligations under any Award already granted under the Plan.</w:t>
      </w:r>
    </w:p>
    <w:p>
      <w:pPr>
        <w:spacing w:after="0" w:line="21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b w:val="1"/>
          <w:bCs w:val="1"/>
          <w:color w:val="auto"/>
        </w:rPr>
        <w:t xml:space="preserve">15.2 Adjustment of Awards Upon the Occurrence of Certain Unusual or Nonrecurring Events. </w:t>
      </w:r>
      <w:r>
        <w:rPr>
          <w:rFonts w:ascii="Arial" w:cs="Arial" w:eastAsia="Arial" w:hAnsi="Arial"/>
          <w:sz w:val="16"/>
          <w:szCs w:val="16"/>
          <w:color w:val="auto"/>
        </w:rPr>
        <w:t>In recognition of unusual or nonrecurring events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 the events described in Section 4.3) affecting the Company or its financial statements, or in recognition of changes in applicable laws, regulations, or accounting principles, and, whenever the Committee determines that adjustments are appropriate in order to prevent dilution or enlargement of the benefits or potential benefits intended to be made available under the Plan, the Committee may, using reasonable care, make adjustments in the terms and conditions of, and the criteria included in, Awards. In case of an Award designed to qualify for the Performance-Based Exception, the Committee will take care not to make an adjustment that would disqualify the Award.</w:t>
      </w:r>
    </w:p>
    <w:p>
      <w:pPr>
        <w:spacing w:after="0" w:line="192" w:lineRule="exact"/>
        <w:rPr>
          <w:sz w:val="20"/>
          <w:szCs w:val="20"/>
          <w:color w:val="auto"/>
        </w:rPr>
      </w:pPr>
    </w:p>
    <w:p>
      <w:pPr>
        <w:ind w:right="400" w:firstLine="324"/>
        <w:spacing w:after="0" w:line="275" w:lineRule="auto"/>
        <w:rPr>
          <w:sz w:val="20"/>
          <w:szCs w:val="20"/>
          <w:color w:val="auto"/>
        </w:rPr>
      </w:pPr>
      <w:r>
        <w:rPr>
          <w:rFonts w:ascii="Arial" w:cs="Arial" w:eastAsia="Arial" w:hAnsi="Arial"/>
          <w:sz w:val="18"/>
          <w:szCs w:val="18"/>
          <w:b w:val="1"/>
          <w:bCs w:val="1"/>
          <w:color w:val="auto"/>
        </w:rPr>
        <w:t xml:space="preserve">15.3 Awards Previously Granted. </w:t>
      </w:r>
      <w:r>
        <w:rPr>
          <w:rFonts w:ascii="Arial" w:cs="Arial" w:eastAsia="Arial" w:hAnsi="Arial"/>
          <w:sz w:val="18"/>
          <w:szCs w:val="18"/>
          <w:color w:val="auto"/>
        </w:rPr>
        <w:t>No termination, amendment or modification of the Plan will adversely affect in any material way any Award already</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without the written consent of the Participant who holds the Award.</w:t>
      </w:r>
    </w:p>
    <w:p>
      <w:pPr>
        <w:spacing w:after="0" w:line="201" w:lineRule="exact"/>
        <w:rPr>
          <w:sz w:val="20"/>
          <w:szCs w:val="20"/>
          <w:color w:val="auto"/>
        </w:rPr>
      </w:pPr>
    </w:p>
    <w:p>
      <w:pPr>
        <w:jc w:val="both"/>
        <w:ind w:right="320" w:firstLine="324"/>
        <w:spacing w:after="0" w:line="310" w:lineRule="auto"/>
        <w:rPr>
          <w:sz w:val="20"/>
          <w:szCs w:val="20"/>
          <w:color w:val="auto"/>
        </w:rPr>
      </w:pPr>
      <w:r>
        <w:rPr>
          <w:rFonts w:ascii="Arial" w:cs="Arial" w:eastAsia="Arial" w:hAnsi="Arial"/>
          <w:sz w:val="16"/>
          <w:szCs w:val="16"/>
          <w:b w:val="1"/>
          <w:bCs w:val="1"/>
          <w:color w:val="auto"/>
        </w:rPr>
        <w:t xml:space="preserve">15.4 Compliance with Code Section 162(m). </w:t>
      </w:r>
      <w:r>
        <w:rPr>
          <w:rFonts w:ascii="Arial" w:cs="Arial" w:eastAsia="Arial" w:hAnsi="Arial"/>
          <w:sz w:val="16"/>
          <w:szCs w:val="16"/>
          <w:color w:val="auto"/>
        </w:rPr>
        <w:t>Awards will comply with the requirements of Code Section 162(m), unless the Committee determines that</w:t>
      </w:r>
      <w:r>
        <w:rPr>
          <w:rFonts w:ascii="Arial" w:cs="Arial" w:eastAsia="Arial" w:hAnsi="Arial"/>
          <w:sz w:val="16"/>
          <w:szCs w:val="16"/>
          <w:b w:val="1"/>
          <w:bCs w:val="1"/>
          <w:color w:val="auto"/>
        </w:rPr>
        <w:t xml:space="preserve"> </w:t>
      </w:r>
      <w:r>
        <w:rPr>
          <w:rFonts w:ascii="Arial" w:cs="Arial" w:eastAsia="Arial" w:hAnsi="Arial"/>
          <w:sz w:val="16"/>
          <w:szCs w:val="16"/>
          <w:color w:val="auto"/>
        </w:rPr>
        <w:t>such compliance is not desired with respect to an Award available for grant under the Plan. In addition, if changes are made to Code Section 162(m) to permit greater flexibility as to any Award available under the Plan, the Committee may, subject to this Article 15, make any adjustments it deems appropriate.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Article 16. Withholding</w:t>
      </w:r>
    </w:p>
    <w:p>
      <w:pPr>
        <w:spacing w:after="0" w:line="246" w:lineRule="exact"/>
        <w:rPr>
          <w:sz w:val="20"/>
          <w:szCs w:val="20"/>
          <w:color w:val="auto"/>
        </w:rPr>
      </w:pPr>
    </w:p>
    <w:p>
      <w:pPr>
        <w:ind w:right="40" w:firstLine="324"/>
        <w:spacing w:after="0" w:line="310" w:lineRule="auto"/>
        <w:rPr>
          <w:sz w:val="20"/>
          <w:szCs w:val="20"/>
          <w:color w:val="auto"/>
        </w:rPr>
      </w:pPr>
      <w:r>
        <w:rPr>
          <w:rFonts w:ascii="Arial" w:cs="Arial" w:eastAsia="Arial" w:hAnsi="Arial"/>
          <w:sz w:val="16"/>
          <w:szCs w:val="16"/>
          <w:b w:val="1"/>
          <w:bCs w:val="1"/>
          <w:color w:val="auto"/>
        </w:rPr>
        <w:t xml:space="preserve">16.1 Tax Withholding. </w:t>
      </w:r>
      <w:r>
        <w:rPr>
          <w:rFonts w:ascii="Arial" w:cs="Arial" w:eastAsia="Arial" w:hAnsi="Arial"/>
          <w:sz w:val="16"/>
          <w:szCs w:val="16"/>
          <w:color w:val="auto"/>
        </w:rPr>
        <w:t>The Company will have the power and the right to deduct or withhold, or require a Participant to remit to the Company, an amount</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sufficient to satisfy federal, state, and local taxes, domestic or foreign, required by law or regulation to be withheld with respect to any taxable event arising under this Plan. No Award Agreement will permit reload options to be granted in connection with any Shares used to pay a tax withholding obligation.</w:t>
      </w:r>
    </w:p>
    <w:p>
      <w:pPr>
        <w:spacing w:after="0" w:line="17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b w:val="1"/>
          <w:bCs w:val="1"/>
          <w:color w:val="auto"/>
        </w:rPr>
        <w:t xml:space="preserve">16.2 Share Withholding. </w:t>
      </w:r>
      <w:r>
        <w:rPr>
          <w:rFonts w:ascii="Arial" w:cs="Arial" w:eastAsia="Arial" w:hAnsi="Arial"/>
          <w:sz w:val="18"/>
          <w:szCs w:val="18"/>
          <w:color w:val="auto"/>
        </w:rPr>
        <w:t>With respect to withholding required upon the exercise of Options or SARs, upon the lapse of restrictions on Restricted Stock, or</w:t>
      </w:r>
      <w:r>
        <w:rPr>
          <w:rFonts w:ascii="Arial" w:cs="Arial" w:eastAsia="Arial" w:hAnsi="Arial"/>
          <w:sz w:val="18"/>
          <w:szCs w:val="18"/>
          <w:b w:val="1"/>
          <w:bCs w:val="1"/>
          <w:color w:val="auto"/>
        </w:rPr>
        <w:t xml:space="preserve"> </w:t>
      </w:r>
      <w:r>
        <w:rPr>
          <w:rFonts w:ascii="Arial" w:cs="Arial" w:eastAsia="Arial" w:hAnsi="Arial"/>
          <w:sz w:val="18"/>
          <w:szCs w:val="18"/>
          <w:color w:val="auto"/>
        </w:rPr>
        <w:t>upon any other taxable event arising as a result of Awards granted hereunder, the Company may satisfy the minimum withholding requirement for supplemental wages, in whole or in part, by withholding Shares having a Fair Market Value (determined on the date the Participant recognizes taxable income on the Award) equal to the minimum withholding tax required to be collected on the transaction. The Participant may elect, subject to the approval of the Committee, to deliver the necessary funds to satisfy the withholding obligation to the Company, in which case there will be no reduction in the Shares otherwise distributable to the Participant.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Article 17. Indemnification</w:t>
      </w:r>
    </w:p>
    <w:p>
      <w:pPr>
        <w:spacing w:after="0" w:line="252"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Each person who is or has been a member of the Committee or the Board will be indemnified and held harmless by the Company from and against any loss, cost, liability, or expense that may be imposed upon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reasonably incurred by him or her in connection with or as a result of any claim, action, suit or proceeding to which he or she may be a party or in which he or she may be involved by reason of any action taken, or failure to act, under the Plan. Each such person will also be indemnified and held harmless by the Company from and against any and all amounts paid by him or her in a settlement approved by the Company, or paid by him or her in satisfaction of any judgment, of or in a claim, action, suit or proceeding against him or her and described in the previous sentence, so long as he or she gives the Company an opportunity, at its own expense, to handle and defend the claim, action, suit or proceeding before he or she undertakes to handle and defend it. The foregoing right of indemnification will not be exclusive of any other rights of indemnification to which a person who is or has been a member of the Committee or the Board may be entitled under the Company’s Articles of Incorporation or By-Laws, as a matter of law, or otherwise, or any power that the Company may have to indemnify him or her or hold him or her harmless.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Article 18. Successors</w:t>
      </w:r>
    </w:p>
    <w:p>
      <w:pPr>
        <w:spacing w:after="0" w:line="252" w:lineRule="exact"/>
        <w:rPr>
          <w:sz w:val="20"/>
          <w:szCs w:val="20"/>
          <w:color w:val="auto"/>
        </w:rPr>
      </w:pPr>
    </w:p>
    <w:p>
      <w:pPr>
        <w:jc w:val="both"/>
        <w:ind w:right="440" w:firstLine="324"/>
        <w:spacing w:after="0" w:line="259" w:lineRule="auto"/>
        <w:rPr>
          <w:sz w:val="20"/>
          <w:szCs w:val="20"/>
          <w:color w:val="auto"/>
        </w:rPr>
      </w:pPr>
      <w:r>
        <w:rPr>
          <w:rFonts w:ascii="Arial" w:cs="Arial" w:eastAsia="Arial" w:hAnsi="Arial"/>
          <w:sz w:val="18"/>
          <w:szCs w:val="18"/>
          <w:color w:val="auto"/>
        </w:rPr>
        <w:t>All obligations of the Company under the Plan or any Award Agreement will be binding on any successor to the Company, whether the existence of the successor results from a direct or indirect purchase of all or substantially all of the business or assets of the Company or both, or a merger, consolidation, or otherwise.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Article 19. Legal Construction</w:t>
      </w:r>
    </w:p>
    <w:p>
      <w:pPr>
        <w:spacing w:after="0" w:line="246" w:lineRule="exact"/>
        <w:rPr>
          <w:sz w:val="20"/>
          <w:szCs w:val="20"/>
          <w:color w:val="auto"/>
        </w:rPr>
      </w:pPr>
    </w:p>
    <w:p>
      <w:pPr>
        <w:ind w:right="480" w:firstLine="324"/>
        <w:spacing w:after="0" w:line="275" w:lineRule="auto"/>
        <w:rPr>
          <w:sz w:val="20"/>
          <w:szCs w:val="20"/>
          <w:color w:val="auto"/>
        </w:rPr>
      </w:pPr>
      <w:r>
        <w:rPr>
          <w:rFonts w:ascii="Arial" w:cs="Arial" w:eastAsia="Arial" w:hAnsi="Arial"/>
          <w:sz w:val="18"/>
          <w:szCs w:val="18"/>
          <w:b w:val="1"/>
          <w:bCs w:val="1"/>
          <w:color w:val="auto"/>
        </w:rPr>
        <w:t xml:space="preserve">19.1 Number. </w:t>
      </w:r>
      <w:r>
        <w:rPr>
          <w:rFonts w:ascii="Arial" w:cs="Arial" w:eastAsia="Arial" w:hAnsi="Arial"/>
          <w:sz w:val="18"/>
          <w:szCs w:val="18"/>
          <w:color w:val="auto"/>
        </w:rPr>
        <w:t>Except where otherwise indicated by the context, any plural term used in this Plan includes the singular and a singular term includes the</w:t>
      </w:r>
      <w:r>
        <w:rPr>
          <w:rFonts w:ascii="Arial" w:cs="Arial" w:eastAsia="Arial" w:hAnsi="Arial"/>
          <w:sz w:val="18"/>
          <w:szCs w:val="18"/>
          <w:b w:val="1"/>
          <w:bCs w:val="1"/>
          <w:color w:val="auto"/>
        </w:rPr>
        <w:t xml:space="preserve"> </w:t>
      </w:r>
      <w:r>
        <w:rPr>
          <w:rFonts w:ascii="Arial" w:cs="Arial" w:eastAsia="Arial" w:hAnsi="Arial"/>
          <w:sz w:val="18"/>
          <w:szCs w:val="18"/>
          <w:color w:val="auto"/>
        </w:rPr>
        <w:t>plural.</w:t>
      </w:r>
    </w:p>
    <w:p>
      <w:pPr>
        <w:spacing w:after="0" w:line="201" w:lineRule="exact"/>
        <w:rPr>
          <w:sz w:val="20"/>
          <w:szCs w:val="20"/>
          <w:color w:val="auto"/>
        </w:rPr>
      </w:pPr>
    </w:p>
    <w:p>
      <w:pPr>
        <w:ind w:right="320" w:firstLine="324"/>
        <w:spacing w:after="0" w:line="275" w:lineRule="auto"/>
        <w:rPr>
          <w:sz w:val="20"/>
          <w:szCs w:val="20"/>
          <w:color w:val="auto"/>
        </w:rPr>
      </w:pPr>
      <w:r>
        <w:rPr>
          <w:rFonts w:ascii="Arial" w:cs="Arial" w:eastAsia="Arial" w:hAnsi="Arial"/>
          <w:sz w:val="18"/>
          <w:szCs w:val="18"/>
          <w:b w:val="1"/>
          <w:bCs w:val="1"/>
          <w:color w:val="auto"/>
        </w:rPr>
        <w:t xml:space="preserve">19.2 Severability. </w:t>
      </w:r>
      <w:r>
        <w:rPr>
          <w:rFonts w:ascii="Arial" w:cs="Arial" w:eastAsia="Arial" w:hAnsi="Arial"/>
          <w:sz w:val="18"/>
          <w:szCs w:val="18"/>
          <w:color w:val="auto"/>
        </w:rPr>
        <w:t>If any provision of the Plan is held illegal or invalid for any reason, the illegality or invalidity will not affect the remaining parts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 the Plan will be construed and enforced as if the illegal or invalid provision had not been included.</w:t>
      </w:r>
    </w:p>
    <w:p>
      <w:pPr>
        <w:spacing w:after="0" w:line="201" w:lineRule="exact"/>
        <w:rPr>
          <w:sz w:val="20"/>
          <w:szCs w:val="20"/>
          <w:color w:val="auto"/>
        </w:rPr>
      </w:pPr>
    </w:p>
    <w:p>
      <w:pPr>
        <w:ind w:right="280" w:firstLine="324"/>
        <w:spacing w:after="0" w:line="339" w:lineRule="auto"/>
        <w:rPr>
          <w:sz w:val="20"/>
          <w:szCs w:val="20"/>
          <w:color w:val="auto"/>
        </w:rPr>
      </w:pPr>
      <w:r>
        <w:rPr>
          <w:rFonts w:ascii="Arial" w:cs="Arial" w:eastAsia="Arial" w:hAnsi="Arial"/>
          <w:sz w:val="16"/>
          <w:szCs w:val="16"/>
          <w:b w:val="1"/>
          <w:bCs w:val="1"/>
          <w:color w:val="auto"/>
        </w:rPr>
        <w:t xml:space="preserve">19.3 Requirements of Law. </w:t>
      </w:r>
      <w:r>
        <w:rPr>
          <w:rFonts w:ascii="Arial" w:cs="Arial" w:eastAsia="Arial" w:hAnsi="Arial"/>
          <w:sz w:val="16"/>
          <w:szCs w:val="16"/>
          <w:color w:val="auto"/>
        </w:rPr>
        <w:t>The granting of Awards and the issuance of Share or cash payouts under the Plan will be subject to all applicable laws, rules,</w:t>
      </w:r>
      <w:r>
        <w:rPr>
          <w:rFonts w:ascii="Arial" w:cs="Arial" w:eastAsia="Arial" w:hAnsi="Arial"/>
          <w:sz w:val="16"/>
          <w:szCs w:val="16"/>
          <w:b w:val="1"/>
          <w:bCs w:val="1"/>
          <w:color w:val="auto"/>
        </w:rPr>
        <w:t xml:space="preserve"> </w:t>
      </w:r>
      <w:r>
        <w:rPr>
          <w:rFonts w:ascii="Arial" w:cs="Arial" w:eastAsia="Arial" w:hAnsi="Arial"/>
          <w:sz w:val="16"/>
          <w:szCs w:val="16"/>
          <w:color w:val="auto"/>
        </w:rPr>
        <w:t>and regulations, and to any approvals by governmental agencies or national securities exchanges as may be required.</w:t>
      </w:r>
    </w:p>
    <w:p>
      <w:pPr>
        <w:spacing w:after="0" w:line="156"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b w:val="1"/>
          <w:bCs w:val="1"/>
          <w:color w:val="auto"/>
        </w:rPr>
        <w:t xml:space="preserve">19.4 Securities Law Compliance. </w:t>
      </w:r>
      <w:r>
        <w:rPr>
          <w:rFonts w:ascii="Arial" w:cs="Arial" w:eastAsia="Arial" w:hAnsi="Arial"/>
          <w:sz w:val="16"/>
          <w:szCs w:val="16"/>
          <w:color w:val="auto"/>
        </w:rPr>
        <w:t>As to any individual who is, on the relevant date, an officer, director or ten percent beneficial owner of any class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equity securities that is registered pursuant to Section 12 of the Exchange Act, all as defined under Section 16 of the Exchange Act, transactions under this Plan are intended to comply with all applicable conditions of Rule 16b-3 under the Exchange Act, or any successor rule. To the extent any provision of the Plan or action by the Committee fails to so comply, it will be deemed null and void, to the extent permitted by law and deemed advisable by the Committee.</w:t>
      </w:r>
    </w:p>
    <w:p>
      <w:pPr>
        <w:spacing w:after="0" w:line="184" w:lineRule="exact"/>
        <w:rPr>
          <w:sz w:val="20"/>
          <w:szCs w:val="20"/>
          <w:color w:val="auto"/>
        </w:rPr>
      </w:pPr>
    </w:p>
    <w:p>
      <w:pPr>
        <w:ind w:right="100" w:firstLine="324"/>
        <w:spacing w:after="0" w:line="258" w:lineRule="auto"/>
        <w:rPr>
          <w:sz w:val="20"/>
          <w:szCs w:val="20"/>
          <w:color w:val="auto"/>
        </w:rPr>
      </w:pPr>
      <w:r>
        <w:rPr>
          <w:rFonts w:ascii="Arial" w:cs="Arial" w:eastAsia="Arial" w:hAnsi="Arial"/>
          <w:sz w:val="18"/>
          <w:szCs w:val="18"/>
          <w:b w:val="1"/>
          <w:bCs w:val="1"/>
          <w:color w:val="auto"/>
        </w:rPr>
        <w:t xml:space="preserve">19.5 Awards to Foreign Nationals and Employees Outside the United States. </w:t>
      </w:r>
      <w:r>
        <w:rPr>
          <w:rFonts w:ascii="Arial" w:cs="Arial" w:eastAsia="Arial" w:hAnsi="Arial"/>
          <w:sz w:val="18"/>
          <w:szCs w:val="18"/>
          <w:color w:val="auto"/>
        </w:rPr>
        <w:t>To the extent the Committee deems it necessary, appropriate or desirable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foreign law of practice and to further the purposes of this Plan, the Committee may, without amending the Plan, (i) establish rules applicable to Awards granted to Participants who are foreign nationals, are employed outside the United States, or both, including rules that differ from those set forth in this Plan, and (ii) grant Awards to such Participants in accordance with those rules.</w:t>
      </w:r>
    </w:p>
    <w:p>
      <w:pPr>
        <w:spacing w:after="0" w:line="217" w:lineRule="exact"/>
        <w:rPr>
          <w:sz w:val="20"/>
          <w:szCs w:val="20"/>
          <w:color w:val="auto"/>
        </w:rPr>
      </w:pPr>
    </w:p>
    <w:p>
      <w:pPr>
        <w:ind w:right="440" w:firstLine="324"/>
        <w:spacing w:after="0" w:line="258" w:lineRule="auto"/>
        <w:rPr>
          <w:sz w:val="20"/>
          <w:szCs w:val="20"/>
          <w:color w:val="auto"/>
        </w:rPr>
      </w:pPr>
      <w:r>
        <w:rPr>
          <w:rFonts w:ascii="Arial" w:cs="Arial" w:eastAsia="Arial" w:hAnsi="Arial"/>
          <w:sz w:val="18"/>
          <w:szCs w:val="18"/>
          <w:b w:val="1"/>
          <w:bCs w:val="1"/>
          <w:color w:val="auto"/>
        </w:rPr>
        <w:t xml:space="preserve">19.6 Unfunded Status of the Plan. </w:t>
      </w:r>
      <w:r>
        <w:rPr>
          <w:rFonts w:ascii="Arial" w:cs="Arial" w:eastAsia="Arial" w:hAnsi="Arial"/>
          <w:sz w:val="18"/>
          <w:szCs w:val="18"/>
          <w:color w:val="auto"/>
        </w:rPr>
        <w:t>The Plan is intended to constitute an “unfunded” plan for incentive and deferred compensation.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or deliveries of Shares not yet made to a Participant by the Company, the Participant’s rights are no greater than those of a general creditor of the Company. The Committee may authorize the establishment of trusts or other arrangements to meet the obligations created under the Plan, so long as the arrangement does not cause the Plan to lose its legal status as an unfunded plan.</w:t>
      </w:r>
    </w:p>
    <w:p>
      <w:pPr>
        <w:spacing w:after="0" w:line="217" w:lineRule="exact"/>
        <w:rPr>
          <w:sz w:val="20"/>
          <w:szCs w:val="20"/>
          <w:color w:val="auto"/>
        </w:rPr>
      </w:pPr>
    </w:p>
    <w:p>
      <w:pPr>
        <w:ind w:right="100" w:firstLine="324"/>
        <w:spacing w:after="0" w:line="275" w:lineRule="auto"/>
        <w:rPr>
          <w:sz w:val="20"/>
          <w:szCs w:val="20"/>
          <w:color w:val="auto"/>
        </w:rPr>
      </w:pPr>
      <w:r>
        <w:rPr>
          <w:rFonts w:ascii="Arial" w:cs="Arial" w:eastAsia="Arial" w:hAnsi="Arial"/>
          <w:sz w:val="18"/>
          <w:szCs w:val="18"/>
          <w:b w:val="1"/>
          <w:bCs w:val="1"/>
          <w:color w:val="auto"/>
        </w:rPr>
        <w:t xml:space="preserve">19.7 Governing Law. </w:t>
      </w:r>
      <w:r>
        <w:rPr>
          <w:rFonts w:ascii="Arial" w:cs="Arial" w:eastAsia="Arial" w:hAnsi="Arial"/>
          <w:sz w:val="18"/>
          <w:szCs w:val="18"/>
          <w:color w:val="auto"/>
        </w:rPr>
        <w:t>To the extent not preempted by federal law, the Plan and all agreements hereunder will be construed in accordance with and governed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laws of the State of Michigan.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ADMISSION TICKET</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LEAR CORPORATION</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STOCKHOLDERS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MAY 8, 2003 AT 10:00 A.M.</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LEAR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5200 AUTO CLUB DRIVE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DEARBORN, MICHIGAN 48126</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ADMITS ONE STOCKHOLDER AND UP TO TWO GUESTS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ê  </w:t>
      </w:r>
      <w:r>
        <w:rPr>
          <w:rFonts w:ascii="Arial" w:cs="Arial" w:eastAsia="Arial" w:hAnsi="Arial"/>
          <w:sz w:val="18"/>
          <w:szCs w:val="18"/>
          <w:b w:val="1"/>
          <w:bCs w:val="1"/>
          <w:color w:val="auto"/>
        </w:rPr>
        <w:t>DETACH PROXY CARD HERE</w:t>
      </w:r>
      <w:r>
        <w:rPr>
          <w:rFonts w:ascii="Arial" w:cs="Arial" w:eastAsia="Arial" w:hAnsi="Arial"/>
          <w:sz w:val="18"/>
          <w:szCs w:val="18"/>
          <w:color w:val="auto"/>
        </w:rPr>
        <w:t xml:space="preserve">  ê</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60" w:type="dxa"/>
            <w:vAlign w:val="bottom"/>
            <w:vMerge w:val="restart"/>
          </w:tcPr>
          <w:p>
            <w:pPr>
              <w:ind w:left="20"/>
              <w:spacing w:after="0"/>
              <w:rPr>
                <w:sz w:val="20"/>
                <w:szCs w:val="20"/>
                <w:color w:val="auto"/>
              </w:rPr>
            </w:pPr>
            <w:r>
              <w:rPr>
                <w:rFonts w:ascii="Arial" w:cs="Arial" w:eastAsia="Arial" w:hAnsi="Arial"/>
                <w:sz w:val="43"/>
                <w:szCs w:val="43"/>
                <w:color w:val="auto"/>
                <w:w w:val="91"/>
              </w:rPr>
              <w:t>o</w:t>
            </w:r>
          </w:p>
        </w:tc>
        <w:tc>
          <w:tcPr>
            <w:tcW w:w="290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auto"/>
              </w:rPr>
              <w:t>Mark, Sign, Date and Return</w:t>
            </w:r>
          </w:p>
        </w:tc>
        <w:tc>
          <w:tcPr>
            <w:tcW w:w="2120" w:type="dxa"/>
            <w:vAlign w:val="bottom"/>
          </w:tcPr>
          <w:p>
            <w:pPr>
              <w:jc w:val="center"/>
              <w:ind w:left="244"/>
              <w:spacing w:after="0" w:line="241" w:lineRule="exact"/>
              <w:rPr>
                <w:sz w:val="20"/>
                <w:szCs w:val="20"/>
                <w:color w:val="auto"/>
              </w:rPr>
            </w:pPr>
            <w:r>
              <w:rPr>
                <w:rFonts w:ascii="MS PGothic" w:cs="MS PGothic" w:eastAsia="MS PGothic" w:hAnsi="MS PGothic"/>
                <w:sz w:val="24"/>
                <w:szCs w:val="24"/>
                <w:color w:val="auto"/>
                <w:w w:val="91"/>
              </w:rPr>
              <w:t>☒</w:t>
            </w:r>
          </w:p>
        </w:tc>
        <w:tc>
          <w:tcPr>
            <w:tcW w:w="0" w:type="dxa"/>
            <w:vAlign w:val="bottom"/>
          </w:tcPr>
          <w:p>
            <w:pPr>
              <w:spacing w:after="0"/>
              <w:rPr>
                <w:sz w:val="1"/>
                <w:szCs w:val="1"/>
                <w:color w:val="auto"/>
              </w:rPr>
            </w:pPr>
          </w:p>
        </w:tc>
      </w:tr>
      <w:tr>
        <w:trPr>
          <w:trHeight w:val="40"/>
        </w:trPr>
        <w:tc>
          <w:tcPr>
            <w:tcW w:w="260" w:type="dxa"/>
            <w:vAlign w:val="bottom"/>
            <w:vMerge w:val="continue"/>
          </w:tcPr>
          <w:p>
            <w:pPr>
              <w:spacing w:after="0"/>
              <w:rPr>
                <w:sz w:val="3"/>
                <w:szCs w:val="3"/>
                <w:color w:val="auto"/>
              </w:rPr>
            </w:pPr>
          </w:p>
        </w:tc>
        <w:tc>
          <w:tcPr>
            <w:tcW w:w="2900" w:type="dxa"/>
            <w:vAlign w:val="bottom"/>
            <w:gridSpan w:val="2"/>
            <w:vMerge w:val="continue"/>
          </w:tcPr>
          <w:p>
            <w:pPr>
              <w:spacing w:after="0"/>
              <w:rPr>
                <w:sz w:val="3"/>
                <w:szCs w:val="3"/>
                <w:color w:val="auto"/>
              </w:rPr>
            </w:pPr>
          </w:p>
        </w:tc>
        <w:tc>
          <w:tcPr>
            <w:tcW w:w="2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260" w:type="dxa"/>
            <w:vAlign w:val="bottom"/>
            <w:vMerge w:val="continue"/>
          </w:tcPr>
          <w:p>
            <w:pPr>
              <w:spacing w:after="0"/>
              <w:rPr>
                <w:sz w:val="22"/>
                <w:szCs w:val="22"/>
                <w:color w:val="auto"/>
              </w:rPr>
            </w:pPr>
          </w:p>
        </w:tc>
        <w:tc>
          <w:tcPr>
            <w:tcW w:w="2900" w:type="dxa"/>
            <w:vAlign w:val="bottom"/>
            <w:gridSpan w:val="2"/>
          </w:tcPr>
          <w:p>
            <w:pPr>
              <w:ind w:left="460"/>
              <w:spacing w:after="0"/>
              <w:rPr>
                <w:sz w:val="20"/>
                <w:szCs w:val="20"/>
                <w:color w:val="auto"/>
              </w:rPr>
            </w:pPr>
            <w:r>
              <w:rPr>
                <w:rFonts w:ascii="Arial" w:cs="Arial" w:eastAsia="Arial" w:hAnsi="Arial"/>
                <w:sz w:val="18"/>
                <w:szCs w:val="18"/>
                <w:b w:val="1"/>
                <w:bCs w:val="1"/>
                <w:color w:val="auto"/>
              </w:rPr>
              <w:t>the Proxy Card Promptly</w:t>
            </w:r>
          </w:p>
        </w:tc>
        <w:tc>
          <w:tcPr>
            <w:tcW w:w="2120" w:type="dxa"/>
            <w:vAlign w:val="bottom"/>
          </w:tcPr>
          <w:p>
            <w:pPr>
              <w:jc w:val="center"/>
              <w:ind w:left="244"/>
              <w:spacing w:after="0"/>
              <w:rPr>
                <w:sz w:val="20"/>
                <w:szCs w:val="20"/>
                <w:color w:val="auto"/>
              </w:rPr>
            </w:pPr>
            <w:r>
              <w:rPr>
                <w:rFonts w:ascii="Arial" w:cs="Arial" w:eastAsia="Arial" w:hAnsi="Arial"/>
                <w:sz w:val="18"/>
                <w:szCs w:val="18"/>
                <w:b w:val="1"/>
                <w:bCs w:val="1"/>
                <w:color w:val="auto"/>
                <w:w w:val="85"/>
              </w:rPr>
              <w:t>Votes must be indicated</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900" w:type="dxa"/>
            <w:vAlign w:val="bottom"/>
            <w:gridSpan w:val="2"/>
          </w:tcPr>
          <w:p>
            <w:pPr>
              <w:ind w:left="460"/>
              <w:spacing w:after="0"/>
              <w:rPr>
                <w:sz w:val="20"/>
                <w:szCs w:val="20"/>
                <w:color w:val="auto"/>
              </w:rPr>
            </w:pPr>
            <w:r>
              <w:rPr>
                <w:rFonts w:ascii="Arial" w:cs="Arial" w:eastAsia="Arial" w:hAnsi="Arial"/>
                <w:sz w:val="18"/>
                <w:szCs w:val="18"/>
                <w:b w:val="1"/>
                <w:bCs w:val="1"/>
                <w:color w:val="auto"/>
                <w:w w:val="95"/>
              </w:rPr>
              <w:t>Using the Enclosed Envelope</w:t>
            </w:r>
          </w:p>
        </w:tc>
        <w:tc>
          <w:tcPr>
            <w:tcW w:w="2120" w:type="dxa"/>
            <w:vAlign w:val="bottom"/>
            <w:vMerge w:val="restart"/>
          </w:tcPr>
          <w:p>
            <w:pPr>
              <w:jc w:val="center"/>
              <w:ind w:left="244"/>
              <w:spacing w:after="0"/>
              <w:rPr>
                <w:sz w:val="20"/>
                <w:szCs w:val="20"/>
                <w:color w:val="auto"/>
              </w:rPr>
            </w:pPr>
            <w:r>
              <w:rPr>
                <w:rFonts w:ascii="Arial" w:cs="Arial" w:eastAsia="Arial" w:hAnsi="Arial"/>
                <w:sz w:val="18"/>
                <w:szCs w:val="18"/>
                <w:b w:val="1"/>
                <w:bCs w:val="1"/>
                <w:color w:val="auto"/>
                <w:w w:val="89"/>
              </w:rPr>
              <w:t>(x) in Black or Blue ink</w:t>
            </w:r>
          </w:p>
        </w:tc>
        <w:tc>
          <w:tcPr>
            <w:tcW w:w="0" w:type="dxa"/>
            <w:vAlign w:val="bottom"/>
          </w:tcPr>
          <w:p>
            <w:pPr>
              <w:spacing w:after="0"/>
              <w:rPr>
                <w:sz w:val="1"/>
                <w:szCs w:val="1"/>
                <w:color w:val="auto"/>
              </w:rPr>
            </w:pPr>
          </w:p>
        </w:tc>
      </w:tr>
      <w:tr>
        <w:trPr>
          <w:trHeight w:val="52"/>
        </w:trPr>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0"/>
                <w:szCs w:val="20"/>
                <w:color w:val="auto"/>
              </w:rPr>
            </w:pPr>
            <w:r>
              <w:rPr>
                <w:rFonts w:ascii="Arial" w:cs="Arial" w:eastAsia="Arial" w:hAnsi="Arial"/>
                <w:sz w:val="18"/>
                <w:szCs w:val="18"/>
                <w:color w:val="auto"/>
              </w:rPr>
              <w:t>1.</w:t>
            </w:r>
          </w:p>
        </w:tc>
        <w:tc>
          <w:tcPr>
            <w:tcW w:w="2900" w:type="dxa"/>
            <w:vAlign w:val="bottom"/>
            <w:gridSpan w:val="2"/>
          </w:tcPr>
          <w:p>
            <w:pPr>
              <w:ind w:left="40"/>
              <w:spacing w:after="0"/>
              <w:rPr>
                <w:sz w:val="20"/>
                <w:szCs w:val="20"/>
                <w:color w:val="auto"/>
              </w:rPr>
            </w:pPr>
            <w:r>
              <w:rPr>
                <w:rFonts w:ascii="Arial" w:cs="Arial" w:eastAsia="Arial" w:hAnsi="Arial"/>
                <w:sz w:val="18"/>
                <w:szCs w:val="18"/>
                <w:color w:val="auto"/>
              </w:rPr>
              <w:t>Election of Directors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7"/>
        </w:trPr>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w:t>
            </w:r>
          </w:p>
        </w:tc>
        <w:tc>
          <w:tcPr>
            <w:tcW w:w="1940" w:type="dxa"/>
            <w:vAlign w:val="bottom"/>
          </w:tcPr>
          <w:p>
            <w:pPr>
              <w:ind w:left="180"/>
              <w:spacing w:after="0"/>
              <w:rPr>
                <w:sz w:val="20"/>
                <w:szCs w:val="20"/>
                <w:color w:val="auto"/>
              </w:rPr>
            </w:pPr>
            <w:r>
              <w:rPr>
                <w:rFonts w:ascii="Arial" w:cs="Arial" w:eastAsia="Arial" w:hAnsi="Arial"/>
                <w:sz w:val="48"/>
                <w:szCs w:val="48"/>
                <w:color w:val="auto"/>
                <w:vertAlign w:val="subscript"/>
              </w:rPr>
              <w:t>o</w:t>
            </w:r>
            <w:r>
              <w:rPr>
                <w:rFonts w:ascii="Arial" w:cs="Arial" w:eastAsia="Arial" w:hAnsi="Arial"/>
                <w:sz w:val="18"/>
                <w:szCs w:val="18"/>
                <w:b w:val="1"/>
                <w:bCs w:val="1"/>
                <w:color w:val="auto"/>
              </w:rPr>
              <w:t xml:space="preserve">  WITHHOLD</w:t>
            </w:r>
          </w:p>
        </w:tc>
        <w:tc>
          <w:tcPr>
            <w:tcW w:w="2120" w:type="dxa"/>
            <w:vAlign w:val="bottom"/>
          </w:tcPr>
          <w:p>
            <w:pPr>
              <w:ind w:left="160"/>
              <w:spacing w:after="0"/>
              <w:rPr>
                <w:sz w:val="20"/>
                <w:szCs w:val="20"/>
                <w:color w:val="auto"/>
              </w:rPr>
            </w:pPr>
            <w:r>
              <w:rPr>
                <w:rFonts w:ascii="Arial" w:cs="Arial" w:eastAsia="Arial" w:hAnsi="Arial"/>
                <w:sz w:val="48"/>
                <w:szCs w:val="48"/>
                <w:color w:val="auto"/>
                <w:vertAlign w:val="subscript"/>
              </w:rPr>
              <w:t>o</w:t>
            </w:r>
            <w:r>
              <w:rPr>
                <w:rFonts w:ascii="Arial" w:cs="Arial" w:eastAsia="Arial" w:hAnsi="Arial"/>
                <w:sz w:val="18"/>
                <w:szCs w:val="18"/>
                <w:b w:val="1"/>
                <w:bCs w:val="1"/>
                <w:color w:val="auto"/>
              </w:rPr>
              <w:t xml:space="preserve">  *EXCEPTIONS   </w:t>
            </w:r>
            <w:r>
              <w:rPr>
                <w:rFonts w:ascii="Arial" w:cs="Arial" w:eastAsia="Arial" w:hAnsi="Arial"/>
                <w:sz w:val="48"/>
                <w:szCs w:val="48"/>
                <w:color w:val="auto"/>
                <w:vertAlign w:val="subscript"/>
              </w:rPr>
              <w:t>o</w:t>
            </w:r>
          </w:p>
        </w:tc>
        <w:tc>
          <w:tcPr>
            <w:tcW w:w="0" w:type="dxa"/>
            <w:vAlign w:val="bottom"/>
          </w:tcPr>
          <w:p>
            <w:pPr>
              <w:spacing w:after="0"/>
              <w:rPr>
                <w:sz w:val="1"/>
                <w:szCs w:val="1"/>
                <w:color w:val="auto"/>
              </w:rPr>
            </w:pPr>
          </w:p>
        </w:tc>
      </w:tr>
      <w:tr>
        <w:trPr>
          <w:trHeight w:val="208"/>
        </w:trPr>
        <w:tc>
          <w:tcPr>
            <w:tcW w:w="1220" w:type="dxa"/>
            <w:vAlign w:val="bottom"/>
            <w:gridSpan w:val="2"/>
          </w:tcPr>
          <w:p>
            <w:pPr>
              <w:ind w:left="200"/>
              <w:spacing w:after="0"/>
              <w:rPr>
                <w:sz w:val="20"/>
                <w:szCs w:val="20"/>
                <w:color w:val="auto"/>
              </w:rPr>
            </w:pPr>
            <w:r>
              <w:rPr>
                <w:rFonts w:ascii="Arial" w:cs="Arial" w:eastAsia="Arial" w:hAnsi="Arial"/>
                <w:sz w:val="18"/>
                <w:szCs w:val="18"/>
                <w:color w:val="auto"/>
              </w:rPr>
              <w:t>nominees</w:t>
            </w:r>
          </w:p>
        </w:tc>
        <w:tc>
          <w:tcPr>
            <w:tcW w:w="1940" w:type="dxa"/>
            <w:vAlign w:val="bottom"/>
          </w:tcPr>
          <w:p>
            <w:pPr>
              <w:ind w:left="540"/>
              <w:spacing w:after="0"/>
              <w:rPr>
                <w:sz w:val="20"/>
                <w:szCs w:val="20"/>
                <w:color w:val="auto"/>
              </w:rPr>
            </w:pPr>
            <w:r>
              <w:rPr>
                <w:rFonts w:ascii="Arial" w:cs="Arial" w:eastAsia="Arial" w:hAnsi="Arial"/>
                <w:sz w:val="18"/>
                <w:szCs w:val="18"/>
                <w:b w:val="1"/>
                <w:bCs w:val="1"/>
                <w:color w:val="auto"/>
              </w:rPr>
              <w:t xml:space="preserve">AUTHORITY </w:t>
            </w:r>
            <w:r>
              <w:rPr>
                <w:rFonts w:ascii="Arial" w:cs="Arial" w:eastAsia="Arial" w:hAnsi="Arial"/>
                <w:sz w:val="18"/>
                <w:szCs w:val="18"/>
                <w:color w:val="auto"/>
              </w:rPr>
              <w:t>to</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0"/>
              <w:spacing w:after="0"/>
              <w:rPr>
                <w:sz w:val="20"/>
                <w:szCs w:val="20"/>
                <w:color w:val="auto"/>
              </w:rPr>
            </w:pPr>
            <w:r>
              <w:rPr>
                <w:rFonts w:ascii="Arial" w:cs="Arial" w:eastAsia="Arial" w:hAnsi="Arial"/>
                <w:sz w:val="18"/>
                <w:szCs w:val="18"/>
                <w:color w:val="auto"/>
              </w:rPr>
              <w:t>listed below</w:t>
            </w:r>
          </w:p>
        </w:tc>
        <w:tc>
          <w:tcPr>
            <w:tcW w:w="1940" w:type="dxa"/>
            <w:vAlign w:val="bottom"/>
          </w:tcPr>
          <w:p>
            <w:pPr>
              <w:ind w:left="540"/>
              <w:spacing w:after="0"/>
              <w:rPr>
                <w:sz w:val="20"/>
                <w:szCs w:val="20"/>
                <w:color w:val="auto"/>
              </w:rPr>
            </w:pPr>
            <w:r>
              <w:rPr>
                <w:rFonts w:ascii="Arial" w:cs="Arial" w:eastAsia="Arial" w:hAnsi="Arial"/>
                <w:sz w:val="18"/>
                <w:szCs w:val="18"/>
                <w:color w:val="auto"/>
              </w:rPr>
              <w:t>vote for all</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tcPr>
          <w:p>
            <w:pPr>
              <w:ind w:left="540"/>
              <w:spacing w:after="0"/>
              <w:rPr>
                <w:sz w:val="20"/>
                <w:szCs w:val="20"/>
                <w:color w:val="auto"/>
              </w:rPr>
            </w:pPr>
            <w:r>
              <w:rPr>
                <w:rFonts w:ascii="Arial" w:cs="Arial" w:eastAsia="Arial" w:hAnsi="Arial"/>
                <w:sz w:val="18"/>
                <w:szCs w:val="18"/>
                <w:color w:val="auto"/>
              </w:rPr>
              <w:t>nominees listed</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940" w:type="dxa"/>
            <w:vAlign w:val="bottom"/>
          </w:tcPr>
          <w:p>
            <w:pPr>
              <w:ind w:left="540"/>
              <w:spacing w:after="0"/>
              <w:rPr>
                <w:sz w:val="20"/>
                <w:szCs w:val="20"/>
                <w:color w:val="auto"/>
              </w:rPr>
            </w:pPr>
            <w:r>
              <w:rPr>
                <w:rFonts w:ascii="Arial" w:cs="Arial" w:eastAsia="Arial" w:hAnsi="Arial"/>
                <w:sz w:val="18"/>
                <w:szCs w:val="18"/>
                <w:color w:val="auto"/>
              </w:rPr>
              <w:t>below</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Nominees: David E. Fry, David P. Spalding and James A. Stern</w:t>
      </w:r>
    </w:p>
    <w:p>
      <w:pPr>
        <w:spacing w:after="0" w:line="21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(INSTRUCTIONS: To withhold authority to vote for any individual nominee, mark the “Exceptions” box and write that nominee’s name in the space provided below).</w:t>
      </w: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*Exceptions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8"/>
              </w:rPr>
              <w:t>AGAINST</w:t>
            </w:r>
          </w:p>
        </w:tc>
        <w:tc>
          <w:tcPr>
            <w:tcW w:w="1040" w:type="dxa"/>
            <w:vAlign w:val="bottom"/>
          </w:tcPr>
          <w:p>
            <w:pPr>
              <w:jc w:val="center"/>
              <w:ind w:left="152"/>
              <w:spacing w:after="0"/>
              <w:rPr>
                <w:sz w:val="20"/>
                <w:szCs w:val="20"/>
                <w:color w:val="auto"/>
              </w:rPr>
            </w:pPr>
            <w:r>
              <w:rPr>
                <w:rFonts w:ascii="Arial" w:cs="Arial" w:eastAsia="Arial" w:hAnsi="Arial"/>
                <w:sz w:val="18"/>
                <w:szCs w:val="18"/>
                <w:b w:val="1"/>
                <w:bCs w:val="1"/>
                <w:color w:val="auto"/>
                <w:w w:val="97"/>
              </w:rPr>
              <w:t>ABSTAIN</w:t>
            </w:r>
          </w:p>
        </w:tc>
      </w:tr>
      <w:tr>
        <w:trPr>
          <w:trHeight w:val="434"/>
        </w:trPr>
        <w:tc>
          <w:tcPr>
            <w:tcW w:w="22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2120" w:type="dxa"/>
            <w:vAlign w:val="bottom"/>
          </w:tcPr>
          <w:p>
            <w:pPr>
              <w:ind w:left="80"/>
              <w:spacing w:after="0"/>
              <w:rPr>
                <w:sz w:val="20"/>
                <w:szCs w:val="20"/>
                <w:color w:val="auto"/>
              </w:rPr>
            </w:pPr>
            <w:r>
              <w:rPr>
                <w:rFonts w:ascii="Arial" w:cs="Arial" w:eastAsia="Arial" w:hAnsi="Arial"/>
                <w:sz w:val="18"/>
                <w:szCs w:val="18"/>
                <w:color w:val="auto"/>
              </w:rPr>
              <w:t>Approve the appointment</w:t>
            </w:r>
          </w:p>
        </w:tc>
        <w:tc>
          <w:tcPr>
            <w:tcW w:w="720" w:type="dxa"/>
            <w:vAlign w:val="bottom"/>
          </w:tcPr>
          <w:p>
            <w:pPr>
              <w:jc w:val="center"/>
              <w:spacing w:after="0"/>
              <w:rPr>
                <w:sz w:val="20"/>
                <w:szCs w:val="20"/>
                <w:color w:val="auto"/>
              </w:rPr>
            </w:pPr>
            <w:r>
              <w:rPr>
                <w:rFonts w:ascii="Arial" w:cs="Arial" w:eastAsia="Arial" w:hAnsi="Arial"/>
                <w:sz w:val="24"/>
                <w:szCs w:val="24"/>
                <w:color w:val="auto"/>
                <w:w w:val="89"/>
              </w:rPr>
              <w:t>o</w:t>
            </w:r>
          </w:p>
        </w:tc>
        <w:tc>
          <w:tcPr>
            <w:tcW w:w="1260" w:type="dxa"/>
            <w:vAlign w:val="bottom"/>
          </w:tcPr>
          <w:p>
            <w:pPr>
              <w:jc w:val="center"/>
              <w:spacing w:after="0"/>
              <w:rPr>
                <w:sz w:val="20"/>
                <w:szCs w:val="20"/>
                <w:color w:val="auto"/>
              </w:rPr>
            </w:pPr>
            <w:r>
              <w:rPr>
                <w:rFonts w:ascii="Arial" w:cs="Arial" w:eastAsia="Arial" w:hAnsi="Arial"/>
                <w:sz w:val="24"/>
                <w:szCs w:val="24"/>
                <w:color w:val="auto"/>
                <w:w w:val="89"/>
              </w:rPr>
              <w:t>o</w:t>
            </w:r>
          </w:p>
        </w:tc>
        <w:tc>
          <w:tcPr>
            <w:tcW w:w="1040" w:type="dxa"/>
            <w:vAlign w:val="bottom"/>
          </w:tcPr>
          <w:p>
            <w:pPr>
              <w:jc w:val="center"/>
              <w:ind w:left="152"/>
              <w:spacing w:after="0"/>
              <w:rPr>
                <w:sz w:val="20"/>
                <w:szCs w:val="20"/>
                <w:color w:val="auto"/>
              </w:rPr>
            </w:pPr>
            <w:r>
              <w:rPr>
                <w:rFonts w:ascii="Arial" w:cs="Arial" w:eastAsia="Arial" w:hAnsi="Arial"/>
                <w:sz w:val="24"/>
                <w:szCs w:val="24"/>
                <w:color w:val="auto"/>
              </w:rPr>
              <w:t>o</w:t>
            </w:r>
          </w:p>
        </w:tc>
      </w:tr>
      <w:tr>
        <w:trPr>
          <w:trHeight w:val="208"/>
        </w:trPr>
        <w:tc>
          <w:tcPr>
            <w:tcW w:w="22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Arial" w:cs="Arial" w:eastAsia="Arial" w:hAnsi="Arial"/>
                <w:sz w:val="18"/>
                <w:szCs w:val="18"/>
                <w:color w:val="auto"/>
              </w:rPr>
              <w:t>of Ernst &amp; Young LLP as</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Arial" w:cs="Arial" w:eastAsia="Arial" w:hAnsi="Arial"/>
                <w:sz w:val="18"/>
                <w:szCs w:val="18"/>
                <w:color w:val="auto"/>
              </w:rPr>
              <w:t>our independent auditors</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220" w:type="dxa"/>
            <w:vAlign w:val="bottom"/>
          </w:tcPr>
          <w:p>
            <w:pPr>
              <w:spacing w:after="0"/>
              <w:rPr>
                <w:sz w:val="19"/>
                <w:szCs w:val="19"/>
                <w:color w:val="auto"/>
              </w:rPr>
            </w:pPr>
          </w:p>
        </w:tc>
        <w:tc>
          <w:tcPr>
            <w:tcW w:w="2120" w:type="dxa"/>
            <w:vAlign w:val="bottom"/>
          </w:tcPr>
          <w:p>
            <w:pPr>
              <w:ind w:left="80"/>
              <w:spacing w:after="0"/>
              <w:rPr>
                <w:sz w:val="20"/>
                <w:szCs w:val="20"/>
                <w:color w:val="auto"/>
              </w:rPr>
            </w:pPr>
            <w:r>
              <w:rPr>
                <w:rFonts w:ascii="Arial" w:cs="Arial" w:eastAsia="Arial" w:hAnsi="Arial"/>
                <w:sz w:val="18"/>
                <w:szCs w:val="18"/>
                <w:color w:val="auto"/>
              </w:rPr>
              <w:t>for 2003</w:t>
            </w: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34"/>
        </w:trPr>
        <w:tc>
          <w:tcPr>
            <w:tcW w:w="22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2120" w:type="dxa"/>
            <w:vAlign w:val="bottom"/>
          </w:tcPr>
          <w:p>
            <w:pPr>
              <w:ind w:left="80"/>
              <w:spacing w:after="0"/>
              <w:rPr>
                <w:sz w:val="20"/>
                <w:szCs w:val="20"/>
                <w:color w:val="auto"/>
              </w:rPr>
            </w:pPr>
            <w:r>
              <w:rPr>
                <w:rFonts w:ascii="Arial" w:cs="Arial" w:eastAsia="Arial" w:hAnsi="Arial"/>
                <w:sz w:val="18"/>
                <w:szCs w:val="18"/>
                <w:color w:val="auto"/>
                <w:w w:val="94"/>
              </w:rPr>
              <w:t>Approve an Amendment to</w:t>
            </w:r>
          </w:p>
        </w:tc>
        <w:tc>
          <w:tcPr>
            <w:tcW w:w="720" w:type="dxa"/>
            <w:vAlign w:val="bottom"/>
          </w:tcPr>
          <w:p>
            <w:pPr>
              <w:jc w:val="center"/>
              <w:spacing w:after="0"/>
              <w:rPr>
                <w:sz w:val="20"/>
                <w:szCs w:val="20"/>
                <w:color w:val="auto"/>
              </w:rPr>
            </w:pPr>
            <w:r>
              <w:rPr>
                <w:rFonts w:ascii="Arial" w:cs="Arial" w:eastAsia="Arial" w:hAnsi="Arial"/>
                <w:sz w:val="24"/>
                <w:szCs w:val="24"/>
                <w:color w:val="auto"/>
                <w:w w:val="89"/>
              </w:rPr>
              <w:t>o</w:t>
            </w:r>
          </w:p>
        </w:tc>
        <w:tc>
          <w:tcPr>
            <w:tcW w:w="1260" w:type="dxa"/>
            <w:vAlign w:val="bottom"/>
          </w:tcPr>
          <w:p>
            <w:pPr>
              <w:jc w:val="center"/>
              <w:spacing w:after="0"/>
              <w:rPr>
                <w:sz w:val="20"/>
                <w:szCs w:val="20"/>
                <w:color w:val="auto"/>
              </w:rPr>
            </w:pPr>
            <w:r>
              <w:rPr>
                <w:rFonts w:ascii="Arial" w:cs="Arial" w:eastAsia="Arial" w:hAnsi="Arial"/>
                <w:sz w:val="24"/>
                <w:szCs w:val="24"/>
                <w:color w:val="auto"/>
                <w:w w:val="89"/>
              </w:rPr>
              <w:t>o</w:t>
            </w:r>
          </w:p>
        </w:tc>
        <w:tc>
          <w:tcPr>
            <w:tcW w:w="1040" w:type="dxa"/>
            <w:vAlign w:val="bottom"/>
          </w:tcPr>
          <w:p>
            <w:pPr>
              <w:jc w:val="center"/>
              <w:ind w:left="152"/>
              <w:spacing w:after="0"/>
              <w:rPr>
                <w:sz w:val="20"/>
                <w:szCs w:val="20"/>
                <w:color w:val="auto"/>
              </w:rPr>
            </w:pPr>
            <w:r>
              <w:rPr>
                <w:rFonts w:ascii="Arial" w:cs="Arial" w:eastAsia="Arial" w:hAnsi="Arial"/>
                <w:sz w:val="24"/>
                <w:szCs w:val="24"/>
                <w:color w:val="auto"/>
              </w:rPr>
              <w:t>o</w:t>
            </w:r>
          </w:p>
        </w:tc>
      </w:tr>
      <w:tr>
        <w:trPr>
          <w:trHeight w:val="208"/>
        </w:trPr>
        <w:tc>
          <w:tcPr>
            <w:tcW w:w="22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Arial" w:cs="Arial" w:eastAsia="Arial" w:hAnsi="Arial"/>
                <w:sz w:val="18"/>
                <w:szCs w:val="18"/>
                <w:color w:val="auto"/>
              </w:rPr>
              <w:t>our Long-Term Stock</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220" w:type="dxa"/>
            <w:vAlign w:val="bottom"/>
          </w:tcPr>
          <w:p>
            <w:pPr>
              <w:spacing w:after="0"/>
              <w:rPr>
                <w:sz w:val="19"/>
                <w:szCs w:val="19"/>
                <w:color w:val="auto"/>
              </w:rPr>
            </w:pPr>
          </w:p>
        </w:tc>
        <w:tc>
          <w:tcPr>
            <w:tcW w:w="2120" w:type="dxa"/>
            <w:vAlign w:val="bottom"/>
          </w:tcPr>
          <w:p>
            <w:pPr>
              <w:ind w:left="80"/>
              <w:spacing w:after="0"/>
              <w:rPr>
                <w:sz w:val="20"/>
                <w:szCs w:val="20"/>
                <w:color w:val="auto"/>
              </w:rPr>
            </w:pPr>
            <w:r>
              <w:rPr>
                <w:rFonts w:ascii="Arial" w:cs="Arial" w:eastAsia="Arial" w:hAnsi="Arial"/>
                <w:sz w:val="18"/>
                <w:szCs w:val="18"/>
                <w:color w:val="auto"/>
              </w:rPr>
              <w:t>Incentive Plan</w:t>
            </w: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32"/>
        </w:trPr>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4"/>
              </w:rPr>
              <w:t>YES</w:t>
            </w:r>
          </w:p>
        </w:tc>
        <w:tc>
          <w:tcPr>
            <w:tcW w:w="1040" w:type="dxa"/>
            <w:vAlign w:val="bottom"/>
          </w:tcPr>
          <w:p>
            <w:pPr>
              <w:jc w:val="center"/>
              <w:ind w:left="152"/>
              <w:spacing w:after="0"/>
              <w:rPr>
                <w:sz w:val="20"/>
                <w:szCs w:val="20"/>
                <w:color w:val="auto"/>
              </w:rPr>
            </w:pPr>
            <w:r>
              <w:rPr>
                <w:rFonts w:ascii="Arial" w:cs="Arial" w:eastAsia="Arial" w:hAnsi="Arial"/>
                <w:sz w:val="18"/>
                <w:szCs w:val="18"/>
                <w:b w:val="1"/>
                <w:bCs w:val="1"/>
                <w:color w:val="auto"/>
                <w:w w:val="96"/>
              </w:rPr>
              <w:t>NO</w:t>
            </w:r>
          </w:p>
        </w:tc>
      </w:tr>
      <w:tr>
        <w:trPr>
          <w:trHeight w:val="434"/>
        </w:trPr>
        <w:tc>
          <w:tcPr>
            <w:tcW w:w="22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2120" w:type="dxa"/>
            <w:vAlign w:val="bottom"/>
          </w:tcPr>
          <w:p>
            <w:pPr>
              <w:ind w:left="80"/>
              <w:spacing w:after="0"/>
              <w:rPr>
                <w:sz w:val="20"/>
                <w:szCs w:val="20"/>
                <w:color w:val="auto"/>
              </w:rPr>
            </w:pPr>
            <w:r>
              <w:rPr>
                <w:rFonts w:ascii="Arial" w:cs="Arial" w:eastAsia="Arial" w:hAnsi="Arial"/>
                <w:sz w:val="18"/>
                <w:szCs w:val="18"/>
                <w:color w:val="auto"/>
              </w:rPr>
              <w:t>Do you plan to attend the</w:t>
            </w:r>
          </w:p>
        </w:tc>
        <w:tc>
          <w:tcPr>
            <w:tcW w:w="7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24"/>
                <w:szCs w:val="24"/>
                <w:color w:val="auto"/>
                <w:w w:val="89"/>
              </w:rPr>
              <w:t>o</w:t>
            </w:r>
          </w:p>
        </w:tc>
        <w:tc>
          <w:tcPr>
            <w:tcW w:w="1040" w:type="dxa"/>
            <w:vAlign w:val="bottom"/>
          </w:tcPr>
          <w:p>
            <w:pPr>
              <w:jc w:val="center"/>
              <w:ind w:left="152"/>
              <w:spacing w:after="0"/>
              <w:rPr>
                <w:sz w:val="20"/>
                <w:szCs w:val="20"/>
                <w:color w:val="auto"/>
              </w:rPr>
            </w:pPr>
            <w:r>
              <w:rPr>
                <w:rFonts w:ascii="Arial" w:cs="Arial" w:eastAsia="Arial" w:hAnsi="Arial"/>
                <w:sz w:val="24"/>
                <w:szCs w:val="24"/>
                <w:color w:val="auto"/>
              </w:rPr>
              <w:t>o</w:t>
            </w:r>
          </w:p>
        </w:tc>
      </w:tr>
      <w:tr>
        <w:trPr>
          <w:trHeight w:val="222"/>
        </w:trPr>
        <w:tc>
          <w:tcPr>
            <w:tcW w:w="220" w:type="dxa"/>
            <w:vAlign w:val="bottom"/>
          </w:tcPr>
          <w:p>
            <w:pPr>
              <w:spacing w:after="0"/>
              <w:rPr>
                <w:sz w:val="19"/>
                <w:szCs w:val="19"/>
                <w:color w:val="auto"/>
              </w:rPr>
            </w:pPr>
          </w:p>
        </w:tc>
        <w:tc>
          <w:tcPr>
            <w:tcW w:w="2120" w:type="dxa"/>
            <w:vAlign w:val="bottom"/>
          </w:tcPr>
          <w:p>
            <w:pPr>
              <w:ind w:left="80"/>
              <w:spacing w:after="0"/>
              <w:rPr>
                <w:sz w:val="20"/>
                <w:szCs w:val="20"/>
                <w:color w:val="auto"/>
              </w:rPr>
            </w:pPr>
            <w:r>
              <w:rPr>
                <w:rFonts w:ascii="Arial" w:cs="Arial" w:eastAsia="Arial" w:hAnsi="Arial"/>
                <w:sz w:val="18"/>
                <w:szCs w:val="18"/>
                <w:color w:val="auto"/>
              </w:rPr>
              <w:t>Meeting?</w:t>
            </w:r>
          </w:p>
        </w:tc>
        <w:tc>
          <w:tcPr>
            <w:tcW w:w="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189" w:lineRule="exact"/>
        <w:rPr>
          <w:sz w:val="20"/>
          <w:szCs w:val="20"/>
          <w:color w:val="auto"/>
        </w:rPr>
      </w:pPr>
    </w:p>
    <w:p>
      <w:pPr>
        <w:sectPr>
          <w:pgSz w:w="11900" w:h="16838" w:orient="portrait"/>
          <w:cols w:equalWidth="0" w:num="2">
            <w:col w:w="5320" w:space="620"/>
            <w:col w:w="5440"/>
          </w:cols>
          <w:pgMar w:left="240" w:top="419" w:right="279" w:bottom="1440" w:gutter="0" w:footer="0" w:header="0"/>
          <w:type w:val="continuous"/>
        </w:sectPr>
      </w:pPr>
    </w:p>
    <w:p>
      <w:pPr>
        <w:spacing w:after="0" w:line="12" w:lineRule="exact"/>
        <w:rPr>
          <w:sz w:val="20"/>
          <w:szCs w:val="20"/>
          <w:color w:val="auto"/>
        </w:rPr>
      </w:pPr>
    </w:p>
    <w:p>
      <w:pPr>
        <w:ind w:left="7380"/>
        <w:spacing w:after="0"/>
        <w:rPr>
          <w:sz w:val="20"/>
          <w:szCs w:val="20"/>
          <w:color w:val="auto"/>
        </w:rPr>
      </w:pPr>
      <w:r>
        <w:rPr>
          <w:rFonts w:ascii="Arial" w:cs="Arial" w:eastAsia="Arial" w:hAnsi="Arial"/>
          <w:sz w:val="15"/>
          <w:szCs w:val="15"/>
          <w:color w:val="auto"/>
        </w:rPr>
        <w:t>To change your address, please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-95250</wp:posOffset>
            </wp:positionV>
            <wp:extent cx="27616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this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144145</wp:posOffset>
            </wp:positionV>
            <wp:extent cx="31470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color w:val="auto"/>
        </w:rPr>
        <w:t>o</w:t>
      </w:r>
    </w:p>
    <w:p>
      <w:pPr>
        <w:spacing w:after="0" w:line="365" w:lineRule="exact"/>
        <w:rPr>
          <w:sz w:val="20"/>
          <w:szCs w:val="20"/>
          <w:color w:val="auto"/>
        </w:rPr>
      </w:pPr>
    </w:p>
    <w:p>
      <w:pPr>
        <w:sectPr>
          <w:pgSz w:w="11900" w:h="16838" w:orient="portrait"/>
          <w:cols w:equalWidth="0" w:num="2">
            <w:col w:w="10120" w:space="720"/>
            <w:col w:w="540"/>
          </w:cols>
          <w:pgMar w:left="240" w:top="419" w:right="279" w:bottom="1440" w:gutter="0" w:footer="0" w:header="0"/>
          <w:type w:val="continuous"/>
        </w:sectPr>
      </w:pPr>
    </w:p>
    <w:p>
      <w:pPr>
        <w:spacing w:after="0" w:line="242" w:lineRule="exact"/>
        <w:rPr>
          <w:sz w:val="20"/>
          <w:szCs w:val="20"/>
          <w:color w:val="auto"/>
        </w:rPr>
      </w:pPr>
    </w:p>
    <w:p>
      <w:pPr>
        <w:ind w:left="6720"/>
        <w:spacing w:after="0"/>
        <w:tabs>
          <w:tab w:leader="none" w:pos="7480" w:val="left"/>
        </w:tabs>
        <w:rPr>
          <w:sz w:val="20"/>
          <w:szCs w:val="20"/>
          <w:color w:val="auto"/>
        </w:rPr>
      </w:pPr>
      <w:r>
        <w:rPr>
          <w:rFonts w:ascii="Arial" w:cs="Arial" w:eastAsia="Arial" w:hAnsi="Arial"/>
          <w:sz w:val="18"/>
          <w:szCs w:val="18"/>
          <w:b w:val="1"/>
          <w:bCs w:val="1"/>
          <w:color w:val="auto"/>
        </w:rPr>
        <w:t>S C A N</w:t>
      </w:r>
      <w:r>
        <w:rPr>
          <w:sz w:val="20"/>
          <w:szCs w:val="20"/>
          <w:color w:val="auto"/>
        </w:rPr>
        <w:tab/>
      </w:r>
      <w:r>
        <w:rPr>
          <w:rFonts w:ascii="Arial" w:cs="Arial" w:eastAsia="Arial" w:hAnsi="Arial"/>
          <w:sz w:val="16"/>
          <w:szCs w:val="16"/>
          <w:b w:val="1"/>
          <w:bCs w:val="1"/>
          <w:color w:val="auto"/>
        </w:rPr>
        <w:t>L I N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152400</wp:posOffset>
            </wp:positionV>
            <wp:extent cx="31470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Please sign this proxy and return it promptly whether or not you expect to</w:t>
      </w:r>
    </w:p>
    <w:p>
      <w:pPr>
        <w:spacing w:after="0" w:line="38"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attend the meeting. You may nevertheless vote in person if you attend. Please</w:t>
      </w:r>
    </w:p>
    <w:p>
      <w:pPr>
        <w:spacing w:after="0" w:line="44"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sign exactly as your name appears herein. Give full title if an Attorney,</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Executor, Administrator, Trustee, Guardian, etc. For an account in the name</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of two or more persons, each should sign, or if one signs, he should attach</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evidence of his authority.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380"/>
        <w:spacing w:after="0"/>
        <w:tabs>
          <w:tab w:leader="none" w:pos="6060" w:val="left"/>
          <w:tab w:leader="none" w:pos="8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Share Owner sign here</w:t>
      </w:r>
      <w:r>
        <w:rPr>
          <w:sz w:val="20"/>
          <w:szCs w:val="20"/>
          <w:color w:val="auto"/>
        </w:rPr>
        <w:tab/>
      </w:r>
      <w:r>
        <w:rPr>
          <w:rFonts w:ascii="Arial" w:cs="Arial" w:eastAsia="Arial" w:hAnsi="Arial"/>
          <w:sz w:val="15"/>
          <w:szCs w:val="15"/>
          <w:color w:val="auto"/>
        </w:rPr>
        <w:t>Co-Owner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71120</wp:posOffset>
            </wp:positionV>
            <wp:extent cx="383349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33495" cy="1714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354330</wp:posOffset>
            </wp:positionV>
            <wp:extent cx="383349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3349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849630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440" w:firstLine="216"/>
        <w:spacing w:after="0" w:line="268" w:lineRule="auto"/>
        <w:rPr>
          <w:sz w:val="20"/>
          <w:szCs w:val="20"/>
          <w:color w:val="auto"/>
        </w:rPr>
      </w:pPr>
      <w:r>
        <w:rPr>
          <w:rFonts w:ascii="Arial" w:cs="Arial" w:eastAsia="Arial" w:hAnsi="Arial"/>
          <w:sz w:val="18"/>
          <w:szCs w:val="18"/>
          <w:color w:val="auto"/>
        </w:rPr>
        <w:t>The Annual Meeting of Stockholders (the “Meeting”) of Lear Corporation (the “Company”) will be held at 10:00 a.m. on Thursday, May 8, 2003 at Lear Corporation, 5200 Auto Club Drive, Dearborn, Michigan 48126.</w:t>
      </w:r>
    </w:p>
    <w:p>
      <w:pPr>
        <w:spacing w:after="0" w:line="186" w:lineRule="exact"/>
        <w:rPr>
          <w:sz w:val="20"/>
          <w:szCs w:val="20"/>
          <w:color w:val="auto"/>
        </w:rPr>
      </w:pPr>
    </w:p>
    <w:p>
      <w:pPr>
        <w:ind w:firstLine="216"/>
        <w:spacing w:after="0" w:line="259" w:lineRule="auto"/>
        <w:rPr>
          <w:sz w:val="20"/>
          <w:szCs w:val="20"/>
          <w:color w:val="auto"/>
        </w:rPr>
      </w:pPr>
      <w:r>
        <w:rPr>
          <w:rFonts w:ascii="Arial" w:cs="Arial" w:eastAsia="Arial" w:hAnsi="Arial"/>
          <w:sz w:val="18"/>
          <w:szCs w:val="18"/>
          <w:color w:val="auto"/>
        </w:rPr>
        <w:t>To be sure that your vote is counted, we urge you to complete and sign the proxy/voting instruction card below, detach it from this letter and return it in the postage paid envelope enclosed in this package. The giving of such proxy does not affect your right to vote in person if you attend the meeting. The prompt return of your signed proxy will aid the Company in reducing the expense of additional proxy solicitation.</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order to assist the Company in preparing for the Meeting, please indicate on item 4 on the proxy whether you currently plan to attend the Meeting.</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If you attend the Meeting in person, detach and bring this letter to the meeting as an admission ticket for you and up to two of your guests.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8,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LEAR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PROXY/VOTING INSTRUCTION CARD</w:t>
      </w:r>
    </w:p>
    <w:p>
      <w:pPr>
        <w:spacing w:after="0" w:line="213" w:lineRule="exact"/>
        <w:rPr>
          <w:sz w:val="20"/>
          <w:szCs w:val="20"/>
          <w:color w:val="auto"/>
        </w:rPr>
      </w:pPr>
    </w:p>
    <w:p>
      <w:pPr>
        <w:ind w:right="580" w:firstLine="220"/>
        <w:spacing w:after="0" w:line="275" w:lineRule="auto"/>
        <w:rPr>
          <w:sz w:val="20"/>
          <w:szCs w:val="20"/>
          <w:color w:val="auto"/>
        </w:rPr>
      </w:pPr>
      <w:r>
        <w:rPr>
          <w:rFonts w:ascii="Arial" w:cs="Arial" w:eastAsia="Arial" w:hAnsi="Arial"/>
          <w:sz w:val="18"/>
          <w:szCs w:val="18"/>
          <w:b w:val="1"/>
          <w:bCs w:val="1"/>
          <w:color w:val="auto"/>
        </w:rPr>
        <w:t>This proxy is solicited on behalf of the Board of Directors of Lear Corporation for the Annual Meeting of Stockholders on May 8, 2003 or any adjournment or postponement thereof (the “Meeting”).</w:t>
      </w:r>
    </w:p>
    <w:p>
      <w:pPr>
        <w:spacing w:after="0" w:line="180" w:lineRule="exact"/>
        <w:rPr>
          <w:sz w:val="20"/>
          <w:szCs w:val="20"/>
          <w:color w:val="auto"/>
        </w:rPr>
      </w:pPr>
    </w:p>
    <w:p>
      <w:pPr>
        <w:ind w:right="300" w:firstLine="216"/>
        <w:spacing w:after="0" w:line="256" w:lineRule="auto"/>
        <w:rPr>
          <w:sz w:val="20"/>
          <w:szCs w:val="20"/>
          <w:color w:val="auto"/>
        </w:rPr>
      </w:pPr>
      <w:r>
        <w:rPr>
          <w:rFonts w:ascii="Arial" w:cs="Arial" w:eastAsia="Arial" w:hAnsi="Arial"/>
          <w:sz w:val="18"/>
          <w:szCs w:val="18"/>
          <w:color w:val="auto"/>
        </w:rPr>
        <w:t>The undersigned appoints Joseph F. McCarthy and David C. Wajsgras, and each of them, with full power of substitution in each of them, the proxies of the undersigned, to vote for and on behalf of the undersigned all shares of Lear Corporation Common Stock which the undersigned may be entitled to vote on all matters properly coming before the Meeting, as set forth in related Notice of Annual Meeting and Proxy Statement, both of which have been received by the undersigned.</w:t>
      </w:r>
    </w:p>
    <w:p>
      <w:pPr>
        <w:spacing w:after="0" w:line="191" w:lineRule="exact"/>
        <w:rPr>
          <w:sz w:val="20"/>
          <w:szCs w:val="20"/>
          <w:color w:val="auto"/>
        </w:rPr>
      </w:pPr>
    </w:p>
    <w:p>
      <w:pPr>
        <w:ind w:right="200" w:firstLine="220"/>
        <w:spacing w:after="0" w:line="275"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 If no direction is given, this proxy will be voted FOR proposals 1, 2 and 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Change of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25387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LEAR CORPORATION</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P.O. BOX 11211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25387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5380"/>
        <w:spacing w:after="0"/>
        <w:rPr>
          <w:sz w:val="20"/>
          <w:szCs w:val="20"/>
          <w:color w:val="auto"/>
        </w:rPr>
      </w:pPr>
      <w:r>
        <w:rPr>
          <w:rFonts w:ascii="Arial" w:cs="Arial" w:eastAsia="Arial" w:hAnsi="Arial"/>
          <w:sz w:val="18"/>
          <w:szCs w:val="18"/>
          <w:color w:val="auto"/>
        </w:rPr>
        <w:t>NEW YORK, NY 10203-0211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25387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sectPr>
      <w:pgSz w:w="11900" w:h="16838" w:orient="portrait"/>
      <w:cols w:equalWidth="0" w:num="1">
        <w:col w:w="11400"/>
      </w:cols>
      <w:pgMar w:left="240" w:top="41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o"/>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o"/>
      <w:numFmt w:val="bullet"/>
      <w:start w:val="1"/>
    </w:lvl>
    <w:lvl w:ilvl="1">
      <w:lvlJc w:val="left"/>
      <w:lvlText w:val="%2)"/>
      <w:numFmt w:val="decimal"/>
      <w:start w:val="1"/>
    </w:lvl>
  </w:abstractNum>
  <w:abstractNum w:abstractNumId="3">
    <w:nsid w:val="22221A70"/>
    <w:multiLevelType w:val="hybridMultilevel"/>
    <w:lvl w:ilvl="0">
      <w:lvlJc w:val="left"/>
      <w:lvlText w:val="o"/>
      <w:numFmt w:val="bullet"/>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1)"/>
      <w:numFmt w:val="lowerRoman"/>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1"/>
    </w:lvl>
    <w:lvl w:ilvl="1">
      <w:lvlJc w:val="left"/>
      <w:lvlText w:val="(%2)"/>
      <w:numFmt w:val="decimal"/>
      <w:start w:val="6"/>
    </w:lvl>
  </w:abstractNum>
  <w:abstractNum w:abstractNumId="14">
    <w:nsid w:val="5C482A97"/>
    <w:multiLevelType w:val="hybridMultilevel"/>
    <w:lvl w:ilvl="0">
      <w:lvlJc w:val="left"/>
      <w:lvlText w:val="(%1)"/>
      <w:numFmt w:val="decimal"/>
      <w:start w:val="10"/>
    </w:lvl>
    <w:lvl w:ilvl="1">
      <w:lvlJc w:val="left"/>
      <w:lvlText w:val="%2"/>
      <w:numFmt w:val="decimal"/>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1"/>
      <w:numFmt w:val="decimal"/>
      <w:start w:val="1"/>
    </w:lvl>
    <w:lvl w:ilvl="1">
      <w:lvlJc w:val="left"/>
      <w:lvlText w:val="(%2)"/>
      <w:numFmt w:val="decimal"/>
      <w:start w:val="3"/>
    </w:lvl>
  </w:abstractNum>
  <w:abstractNum w:abstractNumId="17">
    <w:nsid w:val="51EAD36B"/>
    <w:multiLevelType w:val="hybridMultilevel"/>
    <w:lvl w:ilvl="0">
      <w:lvlJc w:val="left"/>
      <w:lvlText w:val="(%1)"/>
      <w:numFmt w:val="decimal"/>
      <w:start w:val="10"/>
    </w:lvl>
    <w:lvl w:ilvl="1">
      <w:lvlJc w:val="left"/>
      <w:lvlText w:val="%2"/>
      <w:numFmt w:val="decimal"/>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lowerLetter"/>
      <w:start w:val="1"/>
    </w:lvl>
    <w:lvl w:ilvl="1">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1)"/>
      <w:numFmt w:val="lowerRoman"/>
      <w:start w:val="2"/>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1)"/>
      <w:numFmt w:val="lowerLetter"/>
      <w:start w:val="5"/>
    </w:lvl>
  </w:abstractNum>
  <w:abstractNum w:abstractNumId="32">
    <w:nsid w:val="6DE91B18"/>
    <w:multiLevelType w:val="hybridMultilevel"/>
    <w:lvl w:ilvl="0">
      <w:lvlJc w:val="left"/>
      <w:lvlText w:val="(%1)"/>
      <w:numFmt w:val="lowerLetter"/>
      <w:start w:val="8"/>
    </w:lvl>
  </w:abstractNum>
  <w:abstractNum w:abstractNumId="33">
    <w:nsid w:val="38437FDB"/>
    <w:multiLevelType w:val="hybridMultilevel"/>
    <w:lvl w:ilvl="0">
      <w:lvlJc w:val="left"/>
      <w:lvlText w:val="(%1)"/>
      <w:numFmt w:val="lowerRoman"/>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1"/>
      <w:numFmt w:val="upperLetter"/>
      <w:start w:val="1"/>
    </w:lvl>
    <w:lvl w:ilvl="1">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1)"/>
      <w:numFmt w:val="lowerLetter"/>
      <w:start w:val="1"/>
    </w:lvl>
  </w:abstractNum>
  <w:abstractNum w:abstractNumId="49">
    <w:nsid w:val="649BB77C"/>
    <w:multiLevelType w:val="hybridMultilevel"/>
    <w:lvl w:ilvl="0">
      <w:lvlJc w:val="left"/>
      <w:lvlText w:val="(%1)"/>
      <w:numFmt w:val="lowerLetter"/>
      <w:start w:val="1"/>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1"/>
    </w:lvl>
  </w:abstractNum>
  <w:abstractNum w:abstractNumId="52">
    <w:nsid w:val="1CF10FD8"/>
    <w:multiLevelType w:val="hybridMultilevel"/>
    <w:lvl w:ilvl="0">
      <w:lvlJc w:val="left"/>
      <w:lvlText w:val="(%1)"/>
      <w:numFmt w:val="lowerLetter"/>
      <w:start w:val="2"/>
    </w:lvl>
  </w:abstractNum>
  <w:abstractNum w:abstractNumId="53">
    <w:nsid w:val="180115BE"/>
    <w:multiLevelType w:val="hybridMultilevel"/>
    <w:lvl w:ilvl="0">
      <w:lvlJc w:val="left"/>
      <w:lvlText w:val="(%1)"/>
      <w:numFmt w:val="lowerLetter"/>
      <w:start w:val="2"/>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lowerLetter"/>
      <w:start w:val="1"/>
    </w:lvl>
  </w:abstractNum>
  <w:abstractNum w:abstractNumId="56">
    <w:nsid w:val="354FE9F9"/>
    <w:multiLevelType w:val="hybridMultilevel"/>
    <w:lvl w:ilvl="0">
      <w:lvlJc w:val="left"/>
      <w:lvlText w:val="%1"/>
      <w:numFmt w:val="lowerLetter"/>
      <w:start w:val="1"/>
    </w:lvl>
    <w:lvl w:ilvl="1">
      <w:lvlJc w:val="left"/>
      <w:lvlText w:val="(%2)"/>
      <w:numFmt w:val="lowerLetter"/>
      <w:start w:val="1"/>
    </w:lvl>
  </w:abstractNum>
  <w:abstractNum w:abstractNumId="57">
    <w:nsid w:val="15B5AF5C"/>
    <w:multiLevelType w:val="hybridMultilevel"/>
    <w:lvl w:ilvl="0">
      <w:lvlJc w:val="left"/>
      <w:lvlText w:val="(%1)"/>
      <w:numFmt w:val="lowerLetter"/>
      <w:start w:val="2"/>
    </w:lvl>
    <w:lvl w:ilvl="1">
      <w:lvlJc w:val="left"/>
      <w:lvlText w:val="(%2)"/>
      <w:numFmt w:val="lowerLetter"/>
      <w:start w:val="4"/>
    </w:lvl>
  </w:abstractNum>
  <w:abstractNum w:abstractNumId="58">
    <w:nsid w:val="741226BB"/>
    <w:multiLevelType w:val="hybridMultilevel"/>
    <w:lvl w:ilvl="0">
      <w:lvlJc w:val="left"/>
      <w:lvlText w:val="(%1)"/>
      <w:numFmt w:val="lowerLetter"/>
      <w:start w:val="5"/>
    </w:lvl>
    <w:lvl w:ilvl="1">
      <w:lvlJc w:val="left"/>
      <w:lvlText w:val="(%2)"/>
      <w:numFmt w:val="lowerLetter"/>
      <w:start w:val="6"/>
    </w:lvl>
  </w:abstractNum>
  <w:abstractNum w:abstractNumId="59">
    <w:nsid w:val="D34B6A8"/>
    <w:multiLevelType w:val="hybridMultilevel"/>
    <w:lvl w:ilvl="0">
      <w:lvlJc w:val="left"/>
      <w:lvlText w:val="(%1)"/>
      <w:numFmt w:val="lowerLetter"/>
      <w:start w:val="9"/>
    </w:lvl>
    <w:lvl w:ilvl="1">
      <w:lvlJc w:val="left"/>
      <w:lvlText w:val="%2"/>
      <w:numFmt w:val="lowerLetter"/>
      <w:start w:val="1"/>
    </w:lvl>
  </w:abstractNum>
  <w:abstractNum w:abstractNumId="60">
    <w:nsid w:val="10233C9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2019-12-13T18:10:56Z</dcterms:created>
  <dcterms:modified xsi:type="dcterms:W3CDTF">2019-12-13T18:10:56Z</dcterms:modified>
</cp:coreProperties>
</file>