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Lear Corporation</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 Payment of Filing Fee (Check the appropriate box):</w:t>
      </w:r>
    </w:p>
    <w:p>
      <w:pPr>
        <w:spacing w:after="0" w:line="252"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299720</wp:posOffset>
            </wp:positionV>
            <wp:extent cx="165417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21557 Telegraph Road</w:t>
      </w:r>
    </w:p>
    <w:p>
      <w:pPr>
        <w:jc w:val="center"/>
        <w:ind w:right="-119"/>
        <w:spacing w:after="0"/>
        <w:rPr>
          <w:sz w:val="20"/>
          <w:szCs w:val="20"/>
          <w:color w:val="auto"/>
        </w:rPr>
      </w:pPr>
      <w:r>
        <w:rPr>
          <w:rFonts w:ascii="Arial" w:cs="Arial" w:eastAsia="Arial" w:hAnsi="Arial"/>
          <w:sz w:val="16"/>
          <w:szCs w:val="16"/>
          <w:color w:val="auto"/>
        </w:rPr>
        <w:t>Southfield, Michigan 48033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4, 2022</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w:t>
      </w:r>
    </w:p>
    <w:p>
      <w:pPr>
        <w:spacing w:after="0" w:line="113" w:lineRule="exact"/>
        <w:rPr>
          <w:sz w:val="20"/>
          <w:szCs w:val="20"/>
          <w:color w:val="auto"/>
        </w:rPr>
      </w:pPr>
    </w:p>
    <w:p>
      <w:pPr>
        <w:ind w:left="120" w:right="280"/>
        <w:spacing w:after="0" w:line="249" w:lineRule="auto"/>
        <w:rPr>
          <w:sz w:val="20"/>
          <w:szCs w:val="20"/>
          <w:color w:val="auto"/>
        </w:rPr>
      </w:pPr>
      <w:r>
        <w:rPr>
          <w:rFonts w:ascii="Arial" w:cs="Arial" w:eastAsia="Arial" w:hAnsi="Arial"/>
          <w:sz w:val="16"/>
          <w:szCs w:val="16"/>
          <w:color w:val="auto"/>
        </w:rPr>
        <w:t>On behalf of the Board of Directors of Lear Corporation, you are cordially invited to attend the 2022 Annual Meeting of Stockholders (the “Annual Meeting”) to be held through a virtual web conference at www.virtualshareholdermeeting.com/LEA2022 on May 19, 2022, at 9:00 a.m. (Eastern Time). You will be able to attend the Annual Meeting online, vote your shares electronically, and submit questions in advance of and during the meeting by logging in to the website listed above using the 16-digit control number included in your Notice of Internet Availability of Proxy Materials, on your proxy card, or on any additional voting instructions accompanying these proxy materials. We recommend that you log in a few minutes before the meeting to ensure you are admitted when the meeting starts.</w:t>
      </w:r>
    </w:p>
    <w:p>
      <w:pPr>
        <w:spacing w:after="0" w:line="97"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To support the health and well-being of our employees, Board of Directors, stockholders and other meeting participants, and to facilitate broad stockholder attendance and provide a consistent experience to all stockholders, regardless of location, the Annual Meeting will once again be virtual. We have included with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 (the “SEC”).</w:t>
      </w:r>
    </w:p>
    <w:p>
      <w:pPr>
        <w:spacing w:after="0" w:line="9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We are delivering our proxy statement and annual report pursuant to the SEC rules that allow companies to furnish proxy materials to their stockholders over the Internet. We believe that this delivery method expedites stockholders’ receipt of proxy materials and lowers the cost and environmental impact of our Annual Meeting. On or about April 4, 2022, we will mail to our stockholders a notice containing instructions on how to access our proxy materials. In addition, the notice includes instructions on how you can receive a paper copy of our proxy materials.</w:t>
      </w:r>
    </w:p>
    <w:p>
      <w:pPr>
        <w:spacing w:after="0" w:line="94"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and to transact any other business properly brought before the meeting.</w:t>
      </w:r>
    </w:p>
    <w:p>
      <w:pPr>
        <w:spacing w:after="0" w:line="73"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b w:val="1"/>
          <w:bCs w:val="1"/>
          <w:color w:val="auto"/>
        </w:rPr>
        <w:t>As always, we encourage you to vote your shares prior to the Annual Meeting. You may vote your shares through one of the methods described in the enclosed proxy statement. We strongly urge you to read the accompanying proxy statement carefully and to vote FOR the nominees proposed by the Board of Directors and in accordance with the recommendations of the Board of Directors on the other proposals by following the voting instructions contained in the proxy statement.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113665</wp:posOffset>
            </wp:positionV>
            <wp:extent cx="188595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43688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130810</wp:posOffset>
            </wp:positionV>
            <wp:extent cx="1234440"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42037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Gregory C. Smith</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Raymond E. Scott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00" w:lineRule="exact"/>
        <w:rPr>
          <w:sz w:val="20"/>
          <w:szCs w:val="20"/>
          <w:color w:val="auto"/>
        </w:rPr>
      </w:pPr>
    </w:p>
    <w:p>
      <w:pPr>
        <w:sectPr>
          <w:pgSz w:w="11900" w:h="16838" w:orient="portrait"/>
          <w:cols w:equalWidth="0" w:num="2">
            <w:col w:w="5180" w:space="720"/>
            <w:col w:w="5240"/>
          </w:cols>
          <w:pgMar w:left="320" w:top="459" w:right="43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proxy statement is dated April 4, 2022, and is first being made available to stockholders via the Internet on or about April 4, 2022.</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299720</wp:posOffset>
            </wp:positionV>
            <wp:extent cx="165417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21557 Telegraph Road</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Southfield, Michigan 48033</w:t>
      </w: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NOTICE OF ANNUAL MEETING OF STOCKHOLDERS</w:t>
      </w:r>
    </w:p>
    <w:p>
      <w:pPr>
        <w:sectPr>
          <w:pgSz w:w="11900" w:h="16838" w:orient="portrait"/>
          <w:cols w:equalWidth="0" w:num="1">
            <w:col w:w="11040"/>
          </w:cols>
          <w:pgMar w:left="320" w:top="459" w:right="5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Time and Date: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Thursday, May 19, 2022, at 9:00 a.m. (Eastern Time)</w:t>
      </w:r>
    </w:p>
    <w:p>
      <w:pPr>
        <w:spacing w:after="0" w:line="200"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spacing w:after="0" w:line="29" w:lineRule="exact"/>
        <w:rPr>
          <w:sz w:val="20"/>
          <w:szCs w:val="20"/>
          <w:color w:val="auto"/>
        </w:rPr>
      </w:pPr>
    </w:p>
    <w:p>
      <w:pPr>
        <w:ind w:left="2880" w:right="120"/>
        <w:spacing w:after="0" w:line="242" w:lineRule="auto"/>
        <w:rPr>
          <w:sz w:val="20"/>
          <w:szCs w:val="20"/>
          <w:color w:val="auto"/>
        </w:rPr>
      </w:pPr>
      <w:r>
        <w:rPr>
          <w:rFonts w:ascii="Arial" w:cs="Arial" w:eastAsia="Arial" w:hAnsi="Arial"/>
          <w:sz w:val="15"/>
          <w:szCs w:val="15"/>
          <w:color w:val="auto"/>
        </w:rPr>
        <w:t>Online check-in will be available beginning at 8:30 a.m. (Eastern Time). Please allow ample time for the online check-in process.</w:t>
      </w:r>
    </w:p>
    <w:p>
      <w:pPr>
        <w:sectPr>
          <w:pgSz w:w="11900" w:h="16838" w:orient="portrait"/>
          <w:cols w:equalWidth="0" w:num="1">
            <w:col w:w="11040"/>
          </w:cols>
          <w:pgMar w:left="320" w:top="459" w:right="539" w:bottom="1440" w:gutter="0" w:footer="0" w:header="0"/>
          <w:type w:val="continuous"/>
        </w:sectPr>
      </w:pPr>
    </w:p>
    <w:p>
      <w:pPr>
        <w:spacing w:after="0" w:line="8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Place: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300"/>
        <w:spacing w:after="0" w:line="260" w:lineRule="auto"/>
        <w:rPr>
          <w:sz w:val="20"/>
          <w:szCs w:val="20"/>
          <w:color w:val="auto"/>
        </w:rPr>
      </w:pPr>
      <w:r>
        <w:rPr>
          <w:rFonts w:ascii="Arial" w:cs="Arial" w:eastAsia="Arial" w:hAnsi="Arial"/>
          <w:sz w:val="16"/>
          <w:szCs w:val="16"/>
          <w:color w:val="auto"/>
        </w:rPr>
        <w:t>In light of COVID-19, this year’s Annual Meeting will be held through a virtual web conference at www.virtualshareholdermeeting.com/LEA2022.</w:t>
      </w:r>
    </w:p>
    <w:p>
      <w:pPr>
        <w:spacing w:after="0" w:line="200"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spacing w:after="0" w:line="4" w:lineRule="exact"/>
        <w:rPr>
          <w:sz w:val="20"/>
          <w:szCs w:val="20"/>
          <w:color w:val="auto"/>
        </w:rPr>
      </w:pPr>
    </w:p>
    <w:p>
      <w:pPr>
        <w:ind w:left="2880" w:right="220"/>
        <w:spacing w:after="0" w:line="235" w:lineRule="auto"/>
        <w:rPr>
          <w:sz w:val="20"/>
          <w:szCs w:val="20"/>
          <w:color w:val="auto"/>
        </w:rPr>
      </w:pPr>
      <w:r>
        <w:rPr>
          <w:rFonts w:ascii="Arial" w:cs="Arial" w:eastAsia="Arial" w:hAnsi="Arial"/>
          <w:sz w:val="15"/>
          <w:szCs w:val="15"/>
          <w:color w:val="auto"/>
        </w:rPr>
        <w:t>To participate in the Annual Meeting, you will need your 16-digit control number included in your Notice of Internet Availability of the Proxy Materials, on your proxy card, or any additional voting instructions accompanying these Proxy Materials.</w:t>
      </w:r>
    </w:p>
    <w:p>
      <w:pPr>
        <w:sectPr>
          <w:pgSz w:w="11900" w:h="16838" w:orient="portrait"/>
          <w:cols w:equalWidth="0" w:num="1">
            <w:col w:w="11040"/>
          </w:cols>
          <w:pgMar w:left="320" w:top="459" w:right="539" w:bottom="1440" w:gutter="0" w:footer="0" w:header="0"/>
          <w:type w:val="continuous"/>
        </w:sectPr>
      </w:pP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Record Date: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93"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i w:val="1"/>
          <w:iCs w:val="1"/>
          <w:color w:val="auto"/>
        </w:rPr>
        <w:t>Items of Business:</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1.</w:t>
        <w:tab/>
        <w:t>To elect the following ten nominees to the Board of Directors (the “Board”): Mei-Wei Cheng, Jonathan F.</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Foster, Bradley M. Halverson, Mary Lou Jepsen, Roger A. Krone, Patricia L. Lewis, Kathleen A. Ligocki,</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Conrad L. Mallett, Jr., Raymond E. Scott and Gregory C. Smith;</w:t>
      </w:r>
    </w:p>
    <w:p>
      <w:pPr>
        <w:spacing w:after="0" w:line="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2.</w:t>
        <w:tab/>
        <w:t>To ratify the retention of Ernst &amp; Young LLP as the Company’s registered public accounting firm for 2022;</w:t>
      </w:r>
    </w:p>
    <w:p>
      <w:pPr>
        <w:spacing w:after="0" w:line="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3.</w:t>
        <w:tab/>
        <w:t>To approve, in a non-binding advisory vote, executive compensation; and</w:t>
      </w:r>
    </w:p>
    <w:p>
      <w:pPr>
        <w:spacing w:after="0" w:line="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4.</w:t>
        <w:tab/>
        <w:t>To conduct any other business properly brought before the Annual Meeting or any postponement thereof.</w:t>
      </w:r>
    </w:p>
    <w:p>
      <w:pPr>
        <w:spacing w:after="0" w:line="107"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i w:val="1"/>
          <w:iCs w:val="1"/>
          <w:color w:val="auto"/>
        </w:rPr>
        <w:t>Proxy Voting:</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b w:val="1"/>
          <w:bCs w:val="1"/>
          <w:color w:val="auto"/>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p>
      <w:pPr>
        <w:spacing w:after="0" w:line="200"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spacing w:after="0" w:line="2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113665</wp:posOffset>
            </wp:positionV>
            <wp:extent cx="140589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Harry A. Kemp</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Senior Vice President, General Counsel and Corporate Secretary</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April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162560</wp:posOffset>
            </wp:positionV>
            <wp:extent cx="6998970" cy="963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963930"/>
                    </a:xfrm>
                    <a:prstGeom prst="rect">
                      <a:avLst/>
                    </a:prstGeom>
                    <a:noFill/>
                  </pic:spPr>
                </pic:pic>
              </a:graphicData>
            </a:graphic>
          </wp:anchor>
        </w:drawing>
      </w: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133" w:lineRule="exact"/>
        <w:rPr>
          <w:sz w:val="20"/>
          <w:szCs w:val="20"/>
          <w:color w:val="auto"/>
        </w:rPr>
      </w:pPr>
    </w:p>
    <w:p>
      <w:pPr>
        <w:ind w:left="240" w:right="160"/>
        <w:spacing w:after="0" w:line="250" w:lineRule="auto"/>
        <w:rPr>
          <w:sz w:val="20"/>
          <w:szCs w:val="20"/>
          <w:color w:val="auto"/>
        </w:rPr>
      </w:pPr>
      <w:r>
        <w:rPr>
          <w:rFonts w:ascii="Arial" w:cs="Arial" w:eastAsia="Arial" w:hAnsi="Arial"/>
          <w:sz w:val="16"/>
          <w:szCs w:val="16"/>
          <w:color w:val="auto"/>
        </w:rPr>
        <w:t>We are making this proxy statement and our annual report on Form 10-K available to stockholders electronically via the Internet. On or about April 4, 2022, we will mail to most of our stockholders a notice containing instructions on how to access this proxy statement and our annual report on Form 10-K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4, 2022.</w:t>
      </w:r>
    </w:p>
    <w:p>
      <w:pPr>
        <w:sectPr>
          <w:pgSz w:w="11900" w:h="16838" w:orient="portrait"/>
          <w:cols w:equalWidth="0" w:num="1">
            <w:col w:w="11040"/>
          </w:cols>
          <w:pgMar w:left="320" w:top="459" w:right="5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505460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6720"/>
        <w:spacing w:after="0"/>
        <w:rPr>
          <w:sz w:val="20"/>
          <w:szCs w:val="20"/>
          <w:color w:val="auto"/>
        </w:rPr>
      </w:pPr>
      <w:r>
        <w:rPr>
          <w:rFonts w:ascii="Arial" w:cs="Arial" w:eastAsia="Arial" w:hAnsi="Arial"/>
          <w:sz w:val="32"/>
          <w:szCs w:val="32"/>
          <w:b w:val="1"/>
          <w:bCs w:val="1"/>
          <w:color w:val="E2231A"/>
        </w:rPr>
        <w:t>TABLE OF CONTENTS</w:t>
      </w:r>
    </w:p>
    <w:p>
      <w:pPr>
        <w:sectPr>
          <w:pgSz w:w="11900" w:h="16838" w:orient="portrait"/>
          <w:cols w:equalWidth="0" w:num="1">
            <w:col w:w="10860"/>
          </w:cols>
          <w:pgMar w:left="320" w:top="459" w:right="719" w:bottom="1440" w:gutter="0" w:footer="0" w:header="0"/>
        </w:sectPr>
      </w:pPr>
    </w:p>
    <w:p>
      <w:pPr>
        <w:spacing w:after="0" w:line="111"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4280" w:type="dxa"/>
            <w:vAlign w:val="bottom"/>
            <w:gridSpan w:val="38"/>
          </w:tcPr>
          <w:p>
            <w:pPr>
              <w:ind w:left="20"/>
              <w:spacing w:after="0"/>
              <w:rPr>
                <w:rFonts w:ascii="Arial" w:cs="Arial" w:eastAsia="Arial" w:hAnsi="Arial"/>
                <w:sz w:val="19"/>
                <w:szCs w:val="19"/>
                <w:b w:val="1"/>
                <w:bCs w:val="1"/>
                <w:color w:val="0000EE"/>
              </w:rPr>
            </w:pPr>
            <w:hyperlink w:anchor="page6">
              <w:r>
                <w:rPr>
                  <w:rFonts w:ascii="Arial" w:cs="Arial" w:eastAsia="Arial" w:hAnsi="Arial"/>
                  <w:sz w:val="19"/>
                  <w:szCs w:val="19"/>
                  <w:b w:val="1"/>
                  <w:bCs w:val="1"/>
                  <w:color w:val="0000EE"/>
                </w:rPr>
                <w:t>2022 PROXY STATEMENT SUMMARY</w:t>
              </w:r>
            </w:hyperlink>
          </w:p>
        </w:tc>
        <w:tc>
          <w:tcPr>
            <w:tcW w:w="480" w:type="dxa"/>
            <w:vAlign w:val="bottom"/>
          </w:tcPr>
          <w:p>
            <w:pPr>
              <w:jc w:val="right"/>
              <w:ind w:right="9"/>
              <w:spacing w:after="0"/>
              <w:rPr>
                <w:sz w:val="20"/>
                <w:szCs w:val="20"/>
                <w:color w:val="auto"/>
              </w:rPr>
            </w:pPr>
            <w:r>
              <w:rPr>
                <w:rFonts w:ascii="Arial" w:cs="Arial" w:eastAsia="Arial" w:hAnsi="Arial"/>
                <w:sz w:val="19"/>
                <w:szCs w:val="19"/>
                <w:b w:val="1"/>
                <w:bCs w:val="1"/>
                <w:color w:val="auto"/>
              </w:rPr>
              <w:t>1</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280" w:type="dxa"/>
            <w:vAlign w:val="bottom"/>
            <w:gridSpan w:val="38"/>
          </w:tcPr>
          <w:p>
            <w:pPr>
              <w:ind w:left="2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2022 Annual Meeting of Stockholders</w:t>
              </w:r>
            </w:hyperlink>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000" w:type="dxa"/>
            <w:vAlign w:val="bottom"/>
            <w:tcBorders>
              <w:top w:val="single" w:sz="8" w:color="0000EE"/>
            </w:tcBorders>
            <w:gridSpan w:val="26"/>
          </w:tcPr>
          <w:p>
            <w:pPr>
              <w:ind w:left="20"/>
              <w:spacing w:after="0"/>
              <w:rPr>
                <w:rFonts w:ascii="Arial" w:cs="Arial" w:eastAsia="Arial" w:hAnsi="Arial"/>
                <w:sz w:val="18"/>
                <w:szCs w:val="18"/>
                <w:color w:val="0000EE"/>
              </w:rPr>
            </w:pPr>
            <w:hyperlink w:anchor="page6">
              <w:r>
                <w:rPr>
                  <w:rFonts w:ascii="Arial" w:cs="Arial" w:eastAsia="Arial" w:hAnsi="Arial"/>
                  <w:sz w:val="18"/>
                  <w:szCs w:val="18"/>
                  <w:color w:val="0000EE"/>
                </w:rPr>
                <w:t>Items to be Voted on</w:t>
              </w:r>
            </w:hyperlink>
          </w:p>
        </w:tc>
        <w:tc>
          <w:tcPr>
            <w:tcW w:w="1280" w:type="dxa"/>
            <w:vAlign w:val="bottom"/>
            <w:gridSpan w:val="12"/>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50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Director Nominees</w:t>
              </w:r>
            </w:hyperlink>
          </w:p>
        </w:tc>
        <w:tc>
          <w:tcPr>
            <w:tcW w:w="160" w:type="dxa"/>
            <w:vAlign w:val="bottom"/>
            <w:tcBorders>
              <w:top w:val="single" w:sz="8" w:color="0000EE"/>
            </w:tcBorders>
            <w:gridSpan w:val="4"/>
          </w:tcPr>
          <w:p>
            <w:pPr>
              <w:spacing w:after="0"/>
              <w:rPr>
                <w:sz w:val="18"/>
                <w:szCs w:val="18"/>
                <w:color w:val="auto"/>
              </w:rPr>
            </w:pPr>
          </w:p>
        </w:tc>
        <w:tc>
          <w:tcPr>
            <w:tcW w:w="2620" w:type="dxa"/>
            <w:vAlign w:val="bottom"/>
            <w:gridSpan w:val="26"/>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280" w:type="dxa"/>
            <w:vAlign w:val="bottom"/>
            <w:gridSpan w:val="38"/>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Executive Compensation Highlights</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tcBorders>
              <w:bottom w:val="single" w:sz="8" w:color="0000EE"/>
            </w:tcBorders>
            <w:gridSpan w:val="36"/>
          </w:tcPr>
          <w:p>
            <w:pPr>
              <w:ind w:left="2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Environmental, Social and Governance Highlights</w:t>
              </w:r>
            </w:hyperlink>
          </w:p>
        </w:tc>
        <w:tc>
          <w:tcPr>
            <w:tcW w:w="3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6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for 2021</w:t>
              </w:r>
            </w:hyperlink>
          </w:p>
        </w:tc>
        <w:tc>
          <w:tcPr>
            <w:tcW w:w="3420" w:type="dxa"/>
            <w:vAlign w:val="bottom"/>
            <w:gridSpan w:val="34"/>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72"/>
        </w:trPr>
        <w:tc>
          <w:tcPr>
            <w:tcW w:w="4280" w:type="dxa"/>
            <w:vAlign w:val="bottom"/>
            <w:gridSpan w:val="38"/>
          </w:tcPr>
          <w:p>
            <w:pPr>
              <w:ind w:left="20"/>
              <w:spacing w:after="0"/>
              <w:rPr>
                <w:rFonts w:ascii="Arial" w:cs="Arial" w:eastAsia="Arial" w:hAnsi="Arial"/>
                <w:sz w:val="19"/>
                <w:szCs w:val="19"/>
                <w:b w:val="1"/>
                <w:bCs w:val="1"/>
                <w:color w:val="0000EE"/>
              </w:rPr>
            </w:pPr>
            <w:hyperlink w:anchor="page10">
              <w:r>
                <w:rPr>
                  <w:rFonts w:ascii="Arial" w:cs="Arial" w:eastAsia="Arial" w:hAnsi="Arial"/>
                  <w:sz w:val="19"/>
                  <w:szCs w:val="19"/>
                  <w:b w:val="1"/>
                  <w:bCs w:val="1"/>
                  <w:color w:val="0000EE"/>
                </w:rPr>
                <w:t>ELECTION OF DIRECTORS</w:t>
              </w:r>
            </w:hyperlink>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gridSpan w:val="19"/>
          </w:tcPr>
          <w:p>
            <w:pPr>
              <w:spacing w:after="0" w:line="196" w:lineRule="exact"/>
              <w:rPr>
                <w:rFonts w:ascii="Arial" w:cs="Arial" w:eastAsia="Arial" w:hAnsi="Arial"/>
                <w:sz w:val="19"/>
                <w:szCs w:val="19"/>
                <w:b w:val="1"/>
                <w:bCs w:val="1"/>
                <w:color w:val="0000EE"/>
              </w:rPr>
            </w:pPr>
            <w:hyperlink w:anchor="page10">
              <w:r>
                <w:rPr>
                  <w:rFonts w:ascii="Arial" w:cs="Arial" w:eastAsia="Arial" w:hAnsi="Arial"/>
                  <w:sz w:val="19"/>
                  <w:szCs w:val="19"/>
                  <w:b w:val="1"/>
                  <w:bCs w:val="1"/>
                  <w:color w:val="0000EE"/>
                </w:rPr>
                <w:t>(PROPOSAL NO. 1)</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280" w:type="dxa"/>
            <w:vAlign w:val="bottom"/>
            <w:gridSpan w:val="38"/>
          </w:tcPr>
          <w:p>
            <w:pPr>
              <w:ind w:left="20"/>
              <w:spacing w:after="0"/>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DIRECTORS AND CORPORATE</w:t>
              </w:r>
            </w:hyperlink>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23"/>
          </w:tcPr>
          <w:p>
            <w:pPr>
              <w:spacing w:after="0" w:line="196" w:lineRule="exact"/>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GOVERNANCE</w:t>
              </w:r>
            </w:hyperlink>
          </w:p>
        </w:tc>
        <w:tc>
          <w:tcPr>
            <w:tcW w:w="3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120" w:type="dxa"/>
            <w:vAlign w:val="bottom"/>
            <w:tcBorders>
              <w:bottom w:val="single" w:sz="8" w:color="0000EE"/>
            </w:tcBorders>
            <w:gridSpan w:val="37"/>
          </w:tcPr>
          <w:p>
            <w:pPr>
              <w:ind w:left="20"/>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Director Biographical Information and Qualifications</w:t>
              </w:r>
            </w:hyperlink>
          </w:p>
        </w:tc>
        <w:tc>
          <w:tcPr>
            <w:tcW w:w="160" w:type="dxa"/>
            <w:vAlign w:val="bottom"/>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280" w:type="dxa"/>
            <w:vAlign w:val="bottom"/>
            <w:gridSpan w:val="38"/>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Criteria for Selection of Directors</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600" w:type="dxa"/>
            <w:vAlign w:val="bottom"/>
            <w:tcBorders>
              <w:top w:val="single" w:sz="8" w:color="0000EE"/>
            </w:tcBorders>
            <w:gridSpan w:val="23"/>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Board Composition</w:t>
              </w:r>
            </w:hyperlink>
          </w:p>
        </w:tc>
        <w:tc>
          <w:tcPr>
            <w:tcW w:w="1680" w:type="dxa"/>
            <w:vAlign w:val="bottom"/>
            <w:gridSpan w:val="15"/>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38"/>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Recommendation of Directors by Stockholders</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3720" w:type="dxa"/>
            <w:vAlign w:val="bottom"/>
            <w:tcBorders>
              <w:top w:val="single" w:sz="8" w:color="0000EE"/>
            </w:tcBorders>
            <w:gridSpan w:val="33"/>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Independence of Directors</w:t>
              </w:r>
            </w:hyperlink>
          </w:p>
        </w:tc>
        <w:tc>
          <w:tcPr>
            <w:tcW w:w="560" w:type="dxa"/>
            <w:vAlign w:val="bottom"/>
            <w:gridSpan w:val="5"/>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960" w:type="dxa"/>
            <w:vAlign w:val="bottom"/>
            <w:tcBorders>
              <w:top w:val="single" w:sz="8" w:color="0000EE"/>
              <w:bottom w:val="single" w:sz="8" w:color="0000EE"/>
            </w:tcBorders>
            <w:gridSpan w:val="15"/>
          </w:tcPr>
          <w:p>
            <w:pPr>
              <w:ind w:left="20"/>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Board Retirement Policy</w:t>
              </w:r>
            </w:hyperlink>
          </w:p>
        </w:tc>
        <w:tc>
          <w:tcPr>
            <w:tcW w:w="160" w:type="dxa"/>
            <w:vAlign w:val="bottom"/>
            <w:tcBorders>
              <w:top w:val="single" w:sz="8" w:color="0000EE"/>
            </w:tcBorders>
            <w:gridSpan w:val="2"/>
          </w:tcPr>
          <w:p>
            <w:pPr>
              <w:spacing w:after="0"/>
              <w:rPr>
                <w:sz w:val="18"/>
                <w:szCs w:val="18"/>
                <w:color w:val="auto"/>
              </w:rPr>
            </w:pPr>
          </w:p>
        </w:tc>
        <w:tc>
          <w:tcPr>
            <w:tcW w:w="2160" w:type="dxa"/>
            <w:vAlign w:val="bottom"/>
            <w:gridSpan w:val="21"/>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0000EE"/>
            </w:tcBorders>
            <w:gridSpan w:val="22"/>
          </w:tcPr>
          <w:p>
            <w:pPr>
              <w:ind w:left="20"/>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Board’s Role in Risk Oversight</w:t>
              </w:r>
            </w:hyperlink>
          </w:p>
        </w:tc>
        <w:tc>
          <w:tcPr>
            <w:tcW w:w="1820" w:type="dxa"/>
            <w:vAlign w:val="bottom"/>
            <w:gridSpan w:val="16"/>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0000EE"/>
            </w:tcBorders>
            <w:gridSpan w:val="27"/>
          </w:tcPr>
          <w:p>
            <w:pPr>
              <w:ind w:left="20"/>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Environmental, Social and Governance</w:t>
              </w:r>
            </w:hyperlink>
          </w:p>
        </w:tc>
        <w:tc>
          <w:tcPr>
            <w:tcW w:w="1140" w:type="dxa"/>
            <w:vAlign w:val="bottom"/>
            <w:gridSpan w:val="11"/>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0000EE"/>
            </w:tcBorders>
            <w:gridSpan w:val="13"/>
          </w:tcPr>
          <w:p>
            <w:pPr>
              <w:ind w:left="20"/>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Director Compensation</w:t>
              </w:r>
            </w:hyperlink>
          </w:p>
        </w:tc>
        <w:tc>
          <w:tcPr>
            <w:tcW w:w="2420" w:type="dxa"/>
            <w:vAlign w:val="bottom"/>
            <w:gridSpan w:val="25"/>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0000EE"/>
            </w:tcBorders>
            <w:gridSpan w:val="29"/>
          </w:tcPr>
          <w:p>
            <w:pPr>
              <w:ind w:left="20"/>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Summary of 2021 Director Compensation</w:t>
              </w:r>
            </w:hyperlink>
          </w:p>
        </w:tc>
        <w:tc>
          <w:tcPr>
            <w:tcW w:w="960" w:type="dxa"/>
            <w:vAlign w:val="bottom"/>
            <w:gridSpan w:val="9"/>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4280" w:type="dxa"/>
            <w:vAlign w:val="bottom"/>
            <w:gridSpan w:val="38"/>
          </w:tcPr>
          <w:p>
            <w:pPr>
              <w:ind w:left="20"/>
              <w:spacing w:after="0"/>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76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Directors and Management</w:t>
              </w:r>
            </w:hyperlink>
          </w:p>
        </w:tc>
        <w:tc>
          <w:tcPr>
            <w:tcW w:w="340" w:type="dxa"/>
            <w:vAlign w:val="bottom"/>
            <w:gridSpan w:val="3"/>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tcBorders>
              <w:bottom w:val="single" w:sz="8" w:color="0000EE"/>
            </w:tcBorders>
            <w:gridSpan w:val="24"/>
          </w:tcPr>
          <w:p>
            <w:pPr>
              <w:ind w:left="20"/>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Delinquent Section 16(a) Reports</w:t>
              </w:r>
            </w:hyperlink>
          </w:p>
        </w:tc>
        <w:tc>
          <w:tcPr>
            <w:tcW w:w="1600" w:type="dxa"/>
            <w:vAlign w:val="bottom"/>
            <w:gridSpan w:val="14"/>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71"/>
        </w:trPr>
        <w:tc>
          <w:tcPr>
            <w:tcW w:w="4280" w:type="dxa"/>
            <w:vAlign w:val="bottom"/>
            <w:gridSpan w:val="38"/>
          </w:tcPr>
          <w:p>
            <w:pPr>
              <w:ind w:left="20"/>
              <w:spacing w:after="0"/>
              <w:rPr>
                <w:rFonts w:ascii="Arial" w:cs="Arial" w:eastAsia="Arial" w:hAnsi="Arial"/>
                <w:sz w:val="19"/>
                <w:szCs w:val="19"/>
                <w:b w:val="1"/>
                <w:bCs w:val="1"/>
                <w:color w:val="0000EE"/>
              </w:rPr>
            </w:pPr>
            <w:hyperlink w:anchor="page37">
              <w:r>
                <w:rPr>
                  <w:rFonts w:ascii="Arial" w:cs="Arial" w:eastAsia="Arial" w:hAnsi="Arial"/>
                  <w:sz w:val="19"/>
                  <w:szCs w:val="19"/>
                  <w:b w:val="1"/>
                  <w:bCs w:val="1"/>
                  <w:color w:val="0000EE"/>
                </w:rPr>
                <w:t>COMPENSATION DISCUSSION AND</w:t>
              </w:r>
            </w:hyperlink>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32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gridSpan w:val="26"/>
          </w:tcPr>
          <w:p>
            <w:pPr>
              <w:spacing w:after="0" w:line="196" w:lineRule="exact"/>
              <w:rPr>
                <w:rFonts w:ascii="Arial" w:cs="Arial" w:eastAsia="Arial" w:hAnsi="Arial"/>
                <w:sz w:val="19"/>
                <w:szCs w:val="19"/>
                <w:b w:val="1"/>
                <w:bCs w:val="1"/>
                <w:color w:val="0000EE"/>
              </w:rPr>
            </w:pPr>
            <w:hyperlink w:anchor="page37">
              <w:r>
                <w:rPr>
                  <w:rFonts w:ascii="Arial" w:cs="Arial" w:eastAsia="Arial" w:hAnsi="Arial"/>
                  <w:sz w:val="19"/>
                  <w:szCs w:val="19"/>
                  <w:b w:val="1"/>
                  <w:bCs w:val="1"/>
                  <w:color w:val="0000EE"/>
                </w:rPr>
                <w:t>ANALYSIS</w:t>
              </w:r>
            </w:hyperlink>
          </w:p>
        </w:tc>
        <w:tc>
          <w:tcPr>
            <w:tcW w:w="4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420" w:type="dxa"/>
            <w:vAlign w:val="bottom"/>
            <w:gridSpan w:val="4"/>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280" w:type="dxa"/>
            <w:vAlign w:val="bottom"/>
            <w:gridSpan w:val="38"/>
          </w:tcPr>
          <w:p>
            <w:pPr>
              <w:ind w:left="20"/>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Named Executive Officers</w:t>
              </w:r>
            </w:hyperlink>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EE"/>
            </w:tcBorders>
            <w:gridSpan w:val="16"/>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Executive Summary</w:t>
              </w:r>
            </w:hyperlink>
          </w:p>
        </w:tc>
        <w:tc>
          <w:tcPr>
            <w:tcW w:w="2200" w:type="dxa"/>
            <w:vAlign w:val="bottom"/>
            <w:gridSpan w:val="22"/>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Borders>
              <w:bottom w:val="single" w:sz="8" w:color="0000EE"/>
            </w:tcBorders>
            <w:gridSpan w:val="19"/>
          </w:tcPr>
          <w:p>
            <w:pPr>
              <w:ind w:left="20"/>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Pay-Performance Alignment</w:t>
              </w:r>
            </w:hyperlink>
          </w:p>
        </w:tc>
        <w:tc>
          <w:tcPr>
            <w:tcW w:w="2020" w:type="dxa"/>
            <w:vAlign w:val="bottom"/>
            <w:gridSpan w:val="19"/>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0000EE"/>
            </w:tcBorders>
            <w:gridSpan w:val="34"/>
          </w:tcPr>
          <w:p>
            <w:pPr>
              <w:ind w:left="2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2021 Advisory Vote on Executive Compensation</w:t>
              </w:r>
            </w:hyperlink>
          </w:p>
        </w:tc>
        <w:tc>
          <w:tcPr>
            <w:tcW w:w="420" w:type="dxa"/>
            <w:vAlign w:val="bottom"/>
            <w:gridSpan w:val="4"/>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60" w:type="dxa"/>
            <w:vAlign w:val="bottom"/>
            <w:tcBorders>
              <w:bottom w:val="single" w:sz="8" w:color="0000EE"/>
            </w:tcBorders>
            <w:gridSpan w:val="7"/>
          </w:tcPr>
          <w:p>
            <w:pPr>
              <w:ind w:left="20"/>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Benchmarking</w:t>
              </w:r>
            </w:hyperlink>
          </w:p>
        </w:tc>
        <w:tc>
          <w:tcPr>
            <w:tcW w:w="3120" w:type="dxa"/>
            <w:vAlign w:val="bottom"/>
            <w:gridSpan w:val="31"/>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4280" w:type="dxa"/>
            <w:vAlign w:val="bottom"/>
            <w:gridSpan w:val="38"/>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Total Compensation Review</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Borders>
              <w:bottom w:val="single" w:sz="8" w:color="0000EE"/>
            </w:tcBorders>
            <w:gridSpan w:val="32"/>
          </w:tcPr>
          <w:p>
            <w:pPr>
              <w:ind w:left="2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Role of Management in Setting Compensation</w:t>
              </w:r>
            </w:hyperlink>
          </w:p>
        </w:tc>
        <w:tc>
          <w:tcPr>
            <w:tcW w:w="58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5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Levels</w:t>
              </w:r>
            </w:hyperlink>
          </w:p>
        </w:tc>
        <w:tc>
          <w:tcPr>
            <w:tcW w:w="3560" w:type="dxa"/>
            <w:vAlign w:val="bottom"/>
            <w:gridSpan w:val="35"/>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280" w:type="dxa"/>
            <w:vAlign w:val="bottom"/>
            <w:gridSpan w:val="38"/>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Discretion of P&amp;C Committee</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940" w:type="dxa"/>
            <w:vAlign w:val="bottom"/>
            <w:gridSpan w:val="5"/>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38"/>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Executive Compensation Objectives and Core</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Elements</w:t>
              </w:r>
            </w:hyperlink>
          </w:p>
        </w:tc>
        <w:tc>
          <w:tcPr>
            <w:tcW w:w="2740" w:type="dxa"/>
            <w:vAlign w:val="bottom"/>
            <w:tcBorders>
              <w:top w:val="single" w:sz="8" w:color="0000EE"/>
            </w:tcBorders>
            <w:gridSpan w:val="26"/>
          </w:tcPr>
          <w:p>
            <w:pPr>
              <w:spacing w:after="0"/>
              <w:rPr>
                <w:sz w:val="15"/>
                <w:szCs w:val="15"/>
                <w:color w:val="auto"/>
              </w:rPr>
            </w:pPr>
          </w:p>
        </w:tc>
        <w:tc>
          <w:tcPr>
            <w:tcW w:w="600" w:type="dxa"/>
            <w:vAlign w:val="bottom"/>
            <w:gridSpan w:val="7"/>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1660" w:type="dxa"/>
            <w:vAlign w:val="bottom"/>
            <w:tcBorders>
              <w:bottom w:val="single" w:sz="8" w:color="0000EE"/>
            </w:tcBorders>
            <w:gridSpan w:val="12"/>
          </w:tcPr>
          <w:p>
            <w:pPr>
              <w:ind w:left="20"/>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Pay for Performance</w:t>
              </w:r>
            </w:hyperlink>
          </w:p>
        </w:tc>
        <w:tc>
          <w:tcPr>
            <w:tcW w:w="2620" w:type="dxa"/>
            <w:vAlign w:val="bottom"/>
            <w:gridSpan w:val="26"/>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260" w:type="dxa"/>
            <w:vAlign w:val="bottom"/>
            <w:gridSpan w:val="15"/>
          </w:tcPr>
          <w:p>
            <w:pPr>
              <w:spacing w:after="0"/>
              <w:rPr>
                <w:rFonts w:ascii="Arial" w:cs="Arial" w:eastAsia="Arial" w:hAnsi="Arial"/>
                <w:sz w:val="19"/>
                <w:szCs w:val="19"/>
                <w:b w:val="1"/>
                <w:bCs w:val="1"/>
                <w:color w:val="0000EE"/>
              </w:rPr>
            </w:pPr>
            <w:hyperlink w:anchor="page47">
              <w:r>
                <w:rPr>
                  <w:rFonts w:ascii="Arial" w:cs="Arial" w:eastAsia="Arial" w:hAnsi="Arial"/>
                  <w:sz w:val="19"/>
                  <w:szCs w:val="19"/>
                  <w:b w:val="1"/>
                  <w:bCs w:val="1"/>
                  <w:color w:val="0000EE"/>
                </w:rPr>
                <w:t>ANNUAL INCENTIVES</w:t>
              </w:r>
            </w:hyperlink>
          </w:p>
        </w:tc>
        <w:tc>
          <w:tcPr>
            <w:tcW w:w="600" w:type="dxa"/>
            <w:vAlign w:val="bottom"/>
          </w:tcPr>
          <w:p>
            <w:pPr>
              <w:jc w:val="right"/>
              <w:ind w:right="10"/>
              <w:spacing w:after="0"/>
              <w:rPr>
                <w:sz w:val="20"/>
                <w:szCs w:val="20"/>
                <w:color w:val="auto"/>
              </w:rPr>
            </w:pPr>
            <w:r>
              <w:rPr>
                <w:rFonts w:ascii="Arial" w:cs="Arial" w:eastAsia="Arial" w:hAnsi="Arial"/>
                <w:sz w:val="19"/>
                <w:szCs w:val="19"/>
                <w:b w:val="1"/>
                <w:bCs w:val="1"/>
                <w:color w:val="auto"/>
              </w:rPr>
              <w:t>42</w:t>
            </w:r>
          </w:p>
        </w:tc>
      </w:tr>
      <w:tr>
        <w:trPr>
          <w:trHeight w:val="74"/>
        </w:trPr>
        <w:tc>
          <w:tcPr>
            <w:tcW w:w="180" w:type="dxa"/>
            <w:vAlign w:val="bottom"/>
            <w:tcBorders>
              <w:top w:val="single" w:sz="8" w:color="0000EE"/>
              <w:bottom w:val="single" w:sz="8" w:color="auto"/>
            </w:tcBorders>
          </w:tcPr>
          <w:p>
            <w:pPr>
              <w:spacing w:after="0"/>
              <w:rPr>
                <w:sz w:val="6"/>
                <w:szCs w:val="6"/>
                <w:color w:val="auto"/>
              </w:rPr>
            </w:pPr>
          </w:p>
        </w:tc>
        <w:tc>
          <w:tcPr>
            <w:tcW w:w="10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183"/>
        </w:trPr>
        <w:tc>
          <w:tcPr>
            <w:tcW w:w="11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Career Shares</w:t>
              </w:r>
            </w:hyperlink>
          </w:p>
        </w:tc>
        <w:tc>
          <w:tcPr>
            <w:tcW w:w="3080" w:type="dxa"/>
            <w:vAlign w:val="bottom"/>
            <w:gridSpan w:val="13"/>
          </w:tcPr>
          <w:p>
            <w:pPr>
              <w:spacing w:after="0"/>
              <w:rPr>
                <w:sz w:val="15"/>
                <w:szCs w:val="15"/>
                <w:color w:val="auto"/>
              </w:rPr>
            </w:pPr>
          </w:p>
        </w:tc>
        <w:tc>
          <w:tcPr>
            <w:tcW w:w="6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45</w:t>
            </w:r>
          </w:p>
        </w:tc>
      </w:tr>
      <w:tr>
        <w:trPr>
          <w:trHeight w:val="209"/>
        </w:trPr>
        <w:tc>
          <w:tcPr>
            <w:tcW w:w="39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Achievement of Performance Component of 2020</w:t>
              </w:r>
            </w:hyperlink>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83"/>
        </w:trPr>
        <w:tc>
          <w:tcPr>
            <w:tcW w:w="180" w:type="dxa"/>
            <w:vAlign w:val="bottom"/>
          </w:tcPr>
          <w:p>
            <w:pPr>
              <w:spacing w:after="0"/>
              <w:rPr>
                <w:sz w:val="15"/>
                <w:szCs w:val="15"/>
                <w:color w:val="auto"/>
              </w:rPr>
            </w:pPr>
          </w:p>
        </w:tc>
        <w:tc>
          <w:tcPr>
            <w:tcW w:w="17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Career Share Awards</w:t>
              </w:r>
            </w:hyperlink>
          </w:p>
        </w:tc>
        <w:tc>
          <w:tcPr>
            <w:tcW w:w="2340" w:type="dxa"/>
            <w:vAlign w:val="bottom"/>
            <w:gridSpan w:val="8"/>
          </w:tcPr>
          <w:p>
            <w:pPr>
              <w:spacing w:after="0"/>
              <w:rPr>
                <w:sz w:val="15"/>
                <w:szCs w:val="15"/>
                <w:color w:val="auto"/>
              </w:rPr>
            </w:pPr>
          </w:p>
        </w:tc>
        <w:tc>
          <w:tcPr>
            <w:tcW w:w="6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46</w:t>
            </w:r>
          </w:p>
        </w:tc>
      </w:tr>
      <w:tr>
        <w:trPr>
          <w:trHeight w:val="210"/>
        </w:trPr>
        <w:tc>
          <w:tcPr>
            <w:tcW w:w="426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Management Stock Ownership Guidelines</w:t>
              </w:r>
            </w:hyperlink>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09"/>
        </w:trPr>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Equity Award Policy</w:t>
              </w:r>
            </w:hyperlink>
          </w:p>
        </w:tc>
        <w:tc>
          <w:tcPr>
            <w:tcW w:w="1760" w:type="dxa"/>
            <w:vAlign w:val="bottom"/>
            <w:tcBorders>
              <w:top w:val="single" w:sz="8" w:color="0000EE"/>
            </w:tcBorders>
            <w:gridSpan w:val="5"/>
          </w:tcPr>
          <w:p>
            <w:pPr>
              <w:spacing w:after="0"/>
              <w:rPr>
                <w:sz w:val="18"/>
                <w:szCs w:val="18"/>
                <w:color w:val="auto"/>
              </w:rPr>
            </w:pPr>
          </w:p>
        </w:tc>
        <w:tc>
          <w:tcPr>
            <w:tcW w:w="900" w:type="dxa"/>
            <w:vAlign w:val="bottom"/>
            <w:gridSpan w:val="5"/>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09"/>
        </w:trPr>
        <w:tc>
          <w:tcPr>
            <w:tcW w:w="38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Employment Agreements/Termination/Change in</w:t>
              </w:r>
            </w:hyperlink>
          </w:p>
        </w:tc>
        <w:tc>
          <w:tcPr>
            <w:tcW w:w="3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r>
      <w:tr>
        <w:trPr>
          <w:trHeight w:val="183"/>
        </w:trPr>
        <w:tc>
          <w:tcPr>
            <w:tcW w:w="180" w:type="dxa"/>
            <w:vAlign w:val="bottom"/>
          </w:tcPr>
          <w:p>
            <w:pPr>
              <w:spacing w:after="0"/>
              <w:rPr>
                <w:sz w:val="15"/>
                <w:szCs w:val="15"/>
                <w:color w:val="auto"/>
              </w:rPr>
            </w:pPr>
          </w:p>
        </w:tc>
        <w:tc>
          <w:tcPr>
            <w:tcW w:w="4080" w:type="dxa"/>
            <w:vAlign w:val="bottom"/>
            <w:gridSpan w:val="14"/>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Control Benefits</w:t>
              </w:r>
            </w:hyperlink>
          </w:p>
        </w:tc>
        <w:tc>
          <w:tcPr>
            <w:tcW w:w="6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47</w:t>
            </w:r>
          </w:p>
        </w:tc>
      </w:tr>
      <w:tr>
        <w:trPr>
          <w:trHeight w:val="20"/>
        </w:trPr>
        <w:tc>
          <w:tcPr>
            <w:tcW w:w="1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426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Health, Welfare and Certain Other Benefits</w:t>
              </w:r>
            </w:hyperlink>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09"/>
        </w:trPr>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Clawback Policy</w:t>
              </w:r>
            </w:hyperlink>
          </w:p>
        </w:tc>
        <w:tc>
          <w:tcPr>
            <w:tcW w:w="2100" w:type="dxa"/>
            <w:vAlign w:val="bottom"/>
            <w:tcBorders>
              <w:top w:val="single" w:sz="8" w:color="0000EE"/>
            </w:tcBorders>
            <w:gridSpan w:val="9"/>
          </w:tcPr>
          <w:p>
            <w:pPr>
              <w:spacing w:after="0"/>
              <w:rPr>
                <w:sz w:val="18"/>
                <w:szCs w:val="18"/>
                <w:color w:val="auto"/>
              </w:rPr>
            </w:pPr>
          </w:p>
        </w:tc>
        <w:tc>
          <w:tcPr>
            <w:tcW w:w="840" w:type="dxa"/>
            <w:vAlign w:val="bottom"/>
            <w:gridSpan w:val="3"/>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0"/>
        </w:trPr>
        <w:tc>
          <w:tcPr>
            <w:tcW w:w="17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Hedging and Pledging</w:t>
              </w:r>
            </w:hyperlink>
          </w:p>
        </w:tc>
        <w:tc>
          <w:tcPr>
            <w:tcW w:w="2480" w:type="dxa"/>
            <w:vAlign w:val="bottom"/>
            <w:gridSpan w:val="9"/>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09"/>
        </w:trPr>
        <w:tc>
          <w:tcPr>
            <w:tcW w:w="34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Tax Treatment of Executive Compensation</w:t>
              </w:r>
            </w:hyperlink>
          </w:p>
        </w:tc>
        <w:tc>
          <w:tcPr>
            <w:tcW w:w="860" w:type="dxa"/>
            <w:vAlign w:val="bottom"/>
            <w:gridSpan w:val="4"/>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09"/>
        </w:trPr>
        <w:tc>
          <w:tcPr>
            <w:tcW w:w="25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Impact of Accounting Treatment</w:t>
              </w:r>
            </w:hyperlink>
          </w:p>
        </w:tc>
        <w:tc>
          <w:tcPr>
            <w:tcW w:w="1700" w:type="dxa"/>
            <w:vAlign w:val="bottom"/>
            <w:gridSpan w:val="6"/>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48</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20" w:type="dxa"/>
            <w:vAlign w:val="bottom"/>
            <w:gridSpan w:val="26"/>
          </w:tcPr>
          <w:p>
            <w:pPr>
              <w:spacing w:after="0"/>
              <w:rPr>
                <w:rFonts w:ascii="Arial" w:cs="Arial" w:eastAsia="Arial" w:hAnsi="Arial"/>
                <w:sz w:val="19"/>
                <w:szCs w:val="19"/>
                <w:b w:val="1"/>
                <w:bCs w:val="1"/>
                <w:color w:val="0000EE"/>
              </w:rPr>
            </w:pPr>
            <w:hyperlink w:anchor="page54">
              <w:r>
                <w:rPr>
                  <w:rFonts w:ascii="Arial" w:cs="Arial" w:eastAsia="Arial" w:hAnsi="Arial"/>
                  <w:sz w:val="19"/>
                  <w:szCs w:val="19"/>
                  <w:b w:val="1"/>
                  <w:bCs w:val="1"/>
                  <w:color w:val="0000EE"/>
                </w:rPr>
                <w:t>EXECUTIVE COMPENSATION</w:t>
              </w:r>
            </w:hyperlink>
          </w:p>
        </w:tc>
        <w:tc>
          <w:tcPr>
            <w:tcW w:w="640" w:type="dxa"/>
            <w:vAlign w:val="bottom"/>
          </w:tcPr>
          <w:p>
            <w:pPr>
              <w:jc w:val="right"/>
              <w:ind w:right="9"/>
              <w:spacing w:after="0"/>
              <w:rPr>
                <w:sz w:val="20"/>
                <w:szCs w:val="20"/>
                <w:color w:val="auto"/>
              </w:rPr>
            </w:pPr>
            <w:r>
              <w:rPr>
                <w:rFonts w:ascii="Arial" w:cs="Arial" w:eastAsia="Arial" w:hAnsi="Arial"/>
                <w:sz w:val="19"/>
                <w:szCs w:val="19"/>
                <w:b w:val="1"/>
                <w:bCs w:val="1"/>
                <w:color w:val="auto"/>
              </w:rPr>
              <w:t>49</w:t>
            </w:r>
          </w:p>
        </w:tc>
        <w:tc>
          <w:tcPr>
            <w:tcW w:w="0" w:type="dxa"/>
            <w:vAlign w:val="bottom"/>
          </w:tcPr>
          <w:p>
            <w:pPr>
              <w:spacing w:after="0"/>
              <w:rPr>
                <w:sz w:val="1"/>
                <w:szCs w:val="1"/>
                <w:color w:val="auto"/>
              </w:rPr>
            </w:pPr>
          </w:p>
        </w:tc>
      </w:tr>
      <w:tr>
        <w:trPr>
          <w:trHeight w:val="74"/>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220" w:type="dxa"/>
            <w:vAlign w:val="bottom"/>
            <w:gridSpan w:val="26"/>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Employment Agreements</w:t>
              </w:r>
            </w:hyperlink>
          </w:p>
        </w:tc>
        <w:tc>
          <w:tcPr>
            <w:tcW w:w="640" w:type="dxa"/>
            <w:vAlign w:val="bottom"/>
          </w:tcPr>
          <w:p>
            <w:pPr>
              <w:jc w:val="right"/>
              <w:ind w:right="9"/>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Lear Corporation Salaried Retirement Program</w:t>
              </w:r>
            </w:hyperlink>
          </w:p>
        </w:tc>
        <w:tc>
          <w:tcPr>
            <w:tcW w:w="480" w:type="dxa"/>
            <w:vAlign w:val="bottom"/>
            <w:gridSpan w:val="4"/>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4220" w:type="dxa"/>
            <w:vAlign w:val="bottom"/>
            <w:gridSpan w:val="2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2021 Grants of Plan-Based Awards</w:t>
              </w:r>
            </w:hyperlink>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820" w:type="dxa"/>
            <w:vAlign w:val="bottom"/>
            <w:tcBorders>
              <w:top w:val="single" w:sz="8" w:color="0000EE"/>
            </w:tcBorders>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Annual Incentives</w:t>
              </w:r>
            </w:hyperlink>
          </w:p>
        </w:tc>
        <w:tc>
          <w:tcPr>
            <w:tcW w:w="1400" w:type="dxa"/>
            <w:vAlign w:val="bottom"/>
            <w:gridSpan w:val="8"/>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Long-Term Incentives</w:t>
              </w:r>
            </w:hyperlink>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1720" w:type="dxa"/>
            <w:vAlign w:val="bottom"/>
            <w:tcBorders>
              <w:top w:val="single" w:sz="8" w:color="0000EE"/>
            </w:tcBorders>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Retirement Benefits</w:t>
              </w:r>
            </w:hyperlink>
          </w:p>
        </w:tc>
        <w:tc>
          <w:tcPr>
            <w:tcW w:w="2500" w:type="dxa"/>
            <w:vAlign w:val="bottom"/>
            <w:gridSpan w:val="16"/>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2021 Outstanding Equity Awards At Fiscal Year-End</w:t>
              </w:r>
            </w:hyperlink>
          </w:p>
        </w:tc>
        <w:tc>
          <w:tcPr>
            <w:tcW w:w="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4220" w:type="dxa"/>
            <w:vAlign w:val="bottom"/>
            <w:gridSpan w:val="2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2021 Option Exercises and Stock Vested</w:t>
              </w:r>
            </w:hyperlink>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3260" w:type="dxa"/>
            <w:vAlign w:val="bottom"/>
            <w:tcBorders>
              <w:top w:val="single" w:sz="8" w:color="0000EE"/>
            </w:tcBorders>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2021 Pension Benefits</w:t>
              </w:r>
            </w:hyperlink>
          </w:p>
        </w:tc>
        <w:tc>
          <w:tcPr>
            <w:tcW w:w="960" w:type="dxa"/>
            <w:vAlign w:val="bottom"/>
            <w:gridSpan w:val="7"/>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Qualified Pension Plan</w:t>
              </w:r>
            </w:hyperlink>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Potential Payments Upon Termination or Change in</w:t>
              </w:r>
            </w:hyperlink>
          </w:p>
        </w:tc>
        <w:tc>
          <w:tcPr>
            <w:tcW w:w="12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20" w:type="dxa"/>
            <w:vAlign w:val="bottom"/>
            <w:gridSpan w:val="24"/>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Control</w:t>
              </w:r>
            </w:hyperlink>
          </w:p>
        </w:tc>
        <w:tc>
          <w:tcPr>
            <w:tcW w:w="640" w:type="dxa"/>
            <w:vAlign w:val="bottom"/>
          </w:tcPr>
          <w:p>
            <w:pPr>
              <w:jc w:val="right"/>
              <w:ind w:right="9"/>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Change in Control</w:t>
              </w:r>
            </w:hyperlink>
          </w:p>
        </w:tc>
        <w:tc>
          <w:tcPr>
            <w:tcW w:w="2760" w:type="dxa"/>
            <w:vAlign w:val="bottom"/>
            <w:gridSpan w:val="20"/>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Payments Made Upon Involuntary Termination (or for</w:t>
              </w:r>
            </w:hyperlink>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“Good Reason”) with a Change in Control</w:t>
              </w:r>
            </w:hyperlink>
          </w:p>
        </w:tc>
        <w:tc>
          <w:tcPr>
            <w:tcW w:w="720" w:type="dxa"/>
            <w:vAlign w:val="bottom"/>
            <w:gridSpan w:val="6"/>
          </w:tcPr>
          <w:p>
            <w:pPr>
              <w:spacing w:after="0"/>
              <w:rPr>
                <w:sz w:val="15"/>
                <w:szCs w:val="15"/>
                <w:color w:val="auto"/>
              </w:rPr>
            </w:pPr>
          </w:p>
        </w:tc>
        <w:tc>
          <w:tcPr>
            <w:tcW w:w="640" w:type="dxa"/>
            <w:vAlign w:val="bottom"/>
          </w:tcPr>
          <w:p>
            <w:pPr>
              <w:jc w:val="right"/>
              <w:ind w:right="9"/>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Payments Made Upon Involuntary Termination (or for</w:t>
              </w:r>
            </w:hyperlink>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“Good Reason”)</w:t>
              </w:r>
            </w:hyperlink>
          </w:p>
        </w:tc>
        <w:tc>
          <w:tcPr>
            <w:tcW w:w="2740" w:type="dxa"/>
            <w:vAlign w:val="bottom"/>
            <w:gridSpan w:val="19"/>
          </w:tcPr>
          <w:p>
            <w:pPr>
              <w:spacing w:after="0"/>
              <w:rPr>
                <w:sz w:val="15"/>
                <w:szCs w:val="15"/>
                <w:color w:val="auto"/>
              </w:rPr>
            </w:pPr>
          </w:p>
        </w:tc>
        <w:tc>
          <w:tcPr>
            <w:tcW w:w="640" w:type="dxa"/>
            <w:vAlign w:val="bottom"/>
          </w:tcPr>
          <w:p>
            <w:pPr>
              <w:jc w:val="right"/>
              <w:ind w:right="9"/>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Compensation and Risk</w:t>
              </w:r>
            </w:hyperlink>
          </w:p>
        </w:tc>
        <w:tc>
          <w:tcPr>
            <w:tcW w:w="2300" w:type="dxa"/>
            <w:vAlign w:val="bottom"/>
            <w:gridSpan w:val="13"/>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422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CEO Pay Ratio</w:t>
              </w:r>
            </w:hyperlink>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Executive Officer and Director Hedging Policy</w:t>
              </w:r>
            </w:hyperlink>
          </w:p>
        </w:tc>
        <w:tc>
          <w:tcPr>
            <w:tcW w:w="640" w:type="dxa"/>
            <w:vAlign w:val="bottom"/>
          </w:tcPr>
          <w:p>
            <w:pPr>
              <w:jc w:val="right"/>
              <w:ind w:right="9"/>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220" w:type="dxa"/>
            <w:vAlign w:val="bottom"/>
            <w:gridSpan w:val="26"/>
          </w:tcPr>
          <w:p>
            <w:pPr>
              <w:spacing w:after="0"/>
              <w:rPr>
                <w:rFonts w:ascii="Arial" w:cs="Arial" w:eastAsia="Arial" w:hAnsi="Arial"/>
                <w:sz w:val="19"/>
                <w:szCs w:val="19"/>
                <w:b w:val="1"/>
                <w:bCs w:val="1"/>
                <w:color w:val="0000EE"/>
              </w:rPr>
            </w:pPr>
            <w:hyperlink w:anchor="page71">
              <w:r>
                <w:rPr>
                  <w:rFonts w:ascii="Arial" w:cs="Arial" w:eastAsia="Arial" w:hAnsi="Arial"/>
                  <w:sz w:val="19"/>
                  <w:szCs w:val="19"/>
                  <w:b w:val="1"/>
                  <w:bCs w:val="1"/>
                  <w:color w:val="0000EE"/>
                </w:rPr>
                <w:t>P&amp;C COMMITTEE INTERLOCKS AND INSIDER</w:t>
              </w:r>
            </w:hyperlink>
          </w:p>
        </w:tc>
        <w:tc>
          <w:tcPr>
            <w:tcW w:w="64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66</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22"/>
          </w:tcPr>
          <w:p>
            <w:pPr>
              <w:spacing w:after="0" w:line="196" w:lineRule="exact"/>
              <w:rPr>
                <w:rFonts w:ascii="Arial" w:cs="Arial" w:eastAsia="Arial" w:hAnsi="Arial"/>
                <w:sz w:val="19"/>
                <w:szCs w:val="19"/>
                <w:b w:val="1"/>
                <w:bCs w:val="1"/>
                <w:color w:val="0000EE"/>
              </w:rPr>
            </w:pPr>
            <w:hyperlink w:anchor="page71">
              <w:r>
                <w:rPr>
                  <w:rFonts w:ascii="Arial" w:cs="Arial" w:eastAsia="Arial" w:hAnsi="Arial"/>
                  <w:sz w:val="19"/>
                  <w:szCs w:val="19"/>
                  <w:b w:val="1"/>
                  <w:bCs w:val="1"/>
                  <w:color w:val="0000EE"/>
                </w:rPr>
                <w:t>PARTICIPATION</w:t>
              </w:r>
            </w:hyperlink>
          </w:p>
        </w:tc>
        <w:tc>
          <w:tcPr>
            <w:tcW w:w="60" w:type="dxa"/>
            <w:vAlign w:val="bottom"/>
            <w:gridSpan w:val="2"/>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220" w:type="dxa"/>
            <w:vAlign w:val="bottom"/>
            <w:gridSpan w:val="26"/>
          </w:tcPr>
          <w:p>
            <w:pPr>
              <w:spacing w:after="0"/>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P&amp;C COMMITTEE REPORT</w:t>
              </w:r>
            </w:hyperlink>
          </w:p>
        </w:tc>
        <w:tc>
          <w:tcPr>
            <w:tcW w:w="640" w:type="dxa"/>
            <w:vAlign w:val="bottom"/>
          </w:tcPr>
          <w:p>
            <w:pPr>
              <w:jc w:val="right"/>
              <w:ind w:right="9"/>
              <w:spacing w:after="0"/>
              <w:rPr>
                <w:sz w:val="20"/>
                <w:szCs w:val="20"/>
                <w:color w:val="auto"/>
              </w:rPr>
            </w:pPr>
            <w:r>
              <w:rPr>
                <w:rFonts w:ascii="Arial" w:cs="Arial" w:eastAsia="Arial" w:hAnsi="Arial"/>
                <w:sz w:val="19"/>
                <w:szCs w:val="19"/>
                <w:b w:val="1"/>
                <w:bCs w:val="1"/>
                <w:color w:val="auto"/>
              </w:rPr>
              <w:t>67</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20" w:type="dxa"/>
            <w:vAlign w:val="bottom"/>
            <w:tcBorders>
              <w:top w:val="single" w:sz="8" w:color="0000EE"/>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220" w:type="dxa"/>
            <w:vAlign w:val="bottom"/>
            <w:gridSpan w:val="26"/>
          </w:tcPr>
          <w:p>
            <w:pPr>
              <w:spacing w:after="0"/>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AUDIT COMMITTEE REPORT</w:t>
              </w:r>
            </w:hyperlink>
          </w:p>
        </w:tc>
        <w:tc>
          <w:tcPr>
            <w:tcW w:w="640" w:type="dxa"/>
            <w:vAlign w:val="bottom"/>
          </w:tcPr>
          <w:p>
            <w:pPr>
              <w:jc w:val="right"/>
              <w:ind w:right="9"/>
              <w:spacing w:after="0"/>
              <w:rPr>
                <w:sz w:val="20"/>
                <w:szCs w:val="20"/>
                <w:color w:val="auto"/>
              </w:rPr>
            </w:pPr>
            <w:r>
              <w:rPr>
                <w:rFonts w:ascii="Arial" w:cs="Arial" w:eastAsia="Arial" w:hAnsi="Arial"/>
                <w:sz w:val="19"/>
                <w:szCs w:val="19"/>
                <w:b w:val="1"/>
                <w:bCs w:val="1"/>
                <w:color w:val="auto"/>
              </w:rPr>
              <w:t>68</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209" w:lineRule="exact"/>
        <w:rPr>
          <w:sz w:val="20"/>
          <w:szCs w:val="20"/>
          <w:color w:val="auto"/>
        </w:rPr>
      </w:pPr>
    </w:p>
    <w:p>
      <w:pPr>
        <w:ind w:left="888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8"/>
          <w:szCs w:val="18"/>
          <w:color w:val="auto"/>
        </w:rPr>
        <w:t>i</w:t>
      </w:r>
    </w:p>
    <w:p>
      <w:pPr>
        <w:sectPr>
          <w:pgSz w:w="11900" w:h="16838" w:orient="portrait"/>
          <w:cols w:equalWidth="0" w:num="1">
            <w:col w:w="10860"/>
          </w:cols>
          <w:pgMar w:left="320" w:top="459" w:right="7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300" w:type="dxa"/>
            <w:vAlign w:val="bottom"/>
            <w:gridSpan w:val="23"/>
          </w:tcPr>
          <w:p>
            <w:pPr>
              <w:spacing w:after="0"/>
              <w:rPr>
                <w:sz w:val="20"/>
                <w:szCs w:val="20"/>
                <w:color w:val="auto"/>
              </w:rPr>
            </w:pPr>
            <w:r>
              <w:rPr>
                <w:rFonts w:ascii="Arial" w:cs="Arial" w:eastAsia="Arial" w:hAnsi="Arial"/>
                <w:sz w:val="14"/>
                <w:szCs w:val="14"/>
                <w:b w:val="1"/>
                <w:bCs w:val="1"/>
                <w:color w:val="E2231A"/>
              </w:rPr>
              <w:t>TABLE OF CONTENTS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 w:type="dxa"/>
            <w:vAlign w:val="bottom"/>
            <w:tcBorders>
              <w:bottom w:val="single" w:sz="8" w:color="E2231A"/>
            </w:tcBorders>
          </w:tcPr>
          <w:p>
            <w:pPr>
              <w:spacing w:after="0"/>
              <w:rPr>
                <w:sz w:val="5"/>
                <w:szCs w:val="5"/>
                <w:color w:val="auto"/>
              </w:rPr>
            </w:pPr>
          </w:p>
        </w:tc>
        <w:tc>
          <w:tcPr>
            <w:tcW w:w="740" w:type="dxa"/>
            <w:vAlign w:val="bottom"/>
            <w:tcBorders>
              <w:bottom w:val="single" w:sz="8" w:color="E2231A"/>
            </w:tcBorders>
          </w:tcPr>
          <w:p>
            <w:pPr>
              <w:spacing w:after="0"/>
              <w:rPr>
                <w:sz w:val="5"/>
                <w:szCs w:val="5"/>
                <w:color w:val="auto"/>
              </w:rPr>
            </w:pPr>
          </w:p>
        </w:tc>
        <w:tc>
          <w:tcPr>
            <w:tcW w:w="600" w:type="dxa"/>
            <w:vAlign w:val="bottom"/>
            <w:tcBorders>
              <w:bottom w:val="single" w:sz="8" w:color="E2231A"/>
            </w:tcBorders>
          </w:tcPr>
          <w:p>
            <w:pPr>
              <w:spacing w:after="0"/>
              <w:rPr>
                <w:sz w:val="5"/>
                <w:szCs w:val="5"/>
                <w:color w:val="auto"/>
              </w:rPr>
            </w:pPr>
          </w:p>
        </w:tc>
        <w:tc>
          <w:tcPr>
            <w:tcW w:w="20" w:type="dxa"/>
            <w:vAlign w:val="bottom"/>
            <w:tcBorders>
              <w:bottom w:val="single" w:sz="8" w:color="E2231A"/>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4300" w:type="dxa"/>
            <w:vAlign w:val="bottom"/>
            <w:gridSpan w:val="23"/>
          </w:tcPr>
          <w:p>
            <w:pPr>
              <w:ind w:left="20"/>
              <w:spacing w:after="0"/>
              <w:rPr>
                <w:rFonts w:ascii="Arial" w:cs="Arial" w:eastAsia="Arial" w:hAnsi="Arial"/>
                <w:sz w:val="19"/>
                <w:szCs w:val="19"/>
                <w:b w:val="1"/>
                <w:bCs w:val="1"/>
                <w:color w:val="0000EE"/>
              </w:rPr>
            </w:pPr>
            <w:hyperlink w:anchor="page75">
              <w:r>
                <w:rPr>
                  <w:rFonts w:ascii="Arial" w:cs="Arial" w:eastAsia="Arial" w:hAnsi="Arial"/>
                  <w:sz w:val="19"/>
                  <w:szCs w:val="19"/>
                  <w:b w:val="1"/>
                  <w:bCs w:val="1"/>
                  <w:color w:val="0000EE"/>
                </w:rPr>
                <w:t>FEES OF INDEPENDENT ACCOUNTANTS</w:t>
              </w:r>
            </w:hyperlink>
          </w:p>
        </w:tc>
        <w:tc>
          <w:tcPr>
            <w:tcW w:w="460" w:type="dxa"/>
            <w:vAlign w:val="bottom"/>
          </w:tcPr>
          <w:p>
            <w:pPr>
              <w:jc w:val="right"/>
              <w:ind w:right="8"/>
              <w:spacing w:after="0"/>
              <w:rPr>
                <w:sz w:val="20"/>
                <w:szCs w:val="20"/>
                <w:color w:val="auto"/>
              </w:rPr>
            </w:pPr>
            <w:r>
              <w:rPr>
                <w:rFonts w:ascii="Arial" w:cs="Arial" w:eastAsia="Arial" w:hAnsi="Arial"/>
                <w:sz w:val="19"/>
                <w:szCs w:val="19"/>
                <w:b w:val="1"/>
                <w:bCs w:val="1"/>
                <w:color w:val="auto"/>
              </w:rPr>
              <w:t>70</w:t>
            </w:r>
          </w:p>
        </w:tc>
        <w:tc>
          <w:tcPr>
            <w:tcW w:w="0" w:type="dxa"/>
            <w:vAlign w:val="bottom"/>
          </w:tcPr>
          <w:p>
            <w:pPr>
              <w:spacing w:after="0"/>
              <w:rPr>
                <w:sz w:val="1"/>
                <w:szCs w:val="1"/>
                <w:color w:val="auto"/>
              </w:rPr>
            </w:pPr>
          </w:p>
        </w:tc>
      </w:tr>
      <w:tr>
        <w:trPr>
          <w:trHeight w:val="75"/>
        </w:trPr>
        <w:tc>
          <w:tcPr>
            <w:tcW w:w="200" w:type="dxa"/>
            <w:vAlign w:val="bottom"/>
            <w:tcBorders>
              <w:top w:val="single" w:sz="8" w:color="0000EE"/>
              <w:bottom w:val="single" w:sz="8" w:color="auto"/>
            </w:tcBorders>
          </w:tcPr>
          <w:p>
            <w:pPr>
              <w:spacing w:after="0"/>
              <w:rPr>
                <w:sz w:val="6"/>
                <w:szCs w:val="6"/>
                <w:color w:val="auto"/>
              </w:rPr>
            </w:pPr>
          </w:p>
        </w:tc>
        <w:tc>
          <w:tcPr>
            <w:tcW w:w="74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70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300" w:type="dxa"/>
            <w:vAlign w:val="bottom"/>
            <w:gridSpan w:val="23"/>
          </w:tcPr>
          <w:p>
            <w:pPr>
              <w:ind w:left="20"/>
              <w:spacing w:after="0"/>
              <w:rPr>
                <w:rFonts w:ascii="Arial" w:cs="Arial" w:eastAsia="Arial" w:hAnsi="Arial"/>
                <w:sz w:val="19"/>
                <w:szCs w:val="19"/>
                <w:b w:val="1"/>
                <w:bCs w:val="1"/>
                <w:color w:val="0000EE"/>
              </w:rPr>
            </w:pPr>
            <w:hyperlink w:anchor="page76">
              <w:r>
                <w:rPr>
                  <w:rFonts w:ascii="Arial" w:cs="Arial" w:eastAsia="Arial" w:hAnsi="Arial"/>
                  <w:sz w:val="19"/>
                  <w:szCs w:val="19"/>
                  <w:b w:val="1"/>
                  <w:bCs w:val="1"/>
                  <w:color w:val="0000EE"/>
                </w:rPr>
                <w:t>CERTAIN RELATIONSHIPS AND RELATED</w:t>
              </w:r>
            </w:hyperlink>
          </w:p>
        </w:tc>
        <w:tc>
          <w:tcPr>
            <w:tcW w:w="460" w:type="dxa"/>
            <w:vAlign w:val="bottom"/>
            <w:vMerge w:val="restart"/>
          </w:tcPr>
          <w:p>
            <w:pPr>
              <w:jc w:val="right"/>
              <w:ind w:right="8"/>
              <w:spacing w:after="0"/>
              <w:rPr>
                <w:sz w:val="20"/>
                <w:szCs w:val="20"/>
                <w:color w:val="auto"/>
              </w:rPr>
            </w:pPr>
            <w:r>
              <w:rPr>
                <w:rFonts w:ascii="Arial" w:cs="Arial" w:eastAsia="Arial" w:hAnsi="Arial"/>
                <w:sz w:val="19"/>
                <w:szCs w:val="19"/>
                <w:b w:val="1"/>
                <w:bCs w:val="1"/>
                <w:color w:val="auto"/>
              </w:rPr>
              <w:t>71</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gridSpan w:val="17"/>
          </w:tcPr>
          <w:p>
            <w:pPr>
              <w:spacing w:after="0" w:line="196" w:lineRule="exact"/>
              <w:rPr>
                <w:rFonts w:ascii="Arial" w:cs="Arial" w:eastAsia="Arial" w:hAnsi="Arial"/>
                <w:sz w:val="19"/>
                <w:szCs w:val="19"/>
                <w:b w:val="1"/>
                <w:bCs w:val="1"/>
                <w:color w:val="0000EE"/>
              </w:rPr>
            </w:pPr>
            <w:hyperlink w:anchor="page76">
              <w:r>
                <w:rPr>
                  <w:rFonts w:ascii="Arial" w:cs="Arial" w:eastAsia="Arial" w:hAnsi="Arial"/>
                  <w:sz w:val="19"/>
                  <w:szCs w:val="19"/>
                  <w:b w:val="1"/>
                  <w:bCs w:val="1"/>
                  <w:color w:val="0000EE"/>
                </w:rPr>
                <w:t>PARTY TRANSACTIONS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0" w:type="dxa"/>
            <w:vAlign w:val="bottom"/>
            <w:tcBorders>
              <w:bottom w:val="single" w:sz="8" w:color="auto"/>
            </w:tcBorders>
          </w:tcPr>
          <w:p>
            <w:pPr>
              <w:spacing w:after="0"/>
              <w:rPr>
                <w:sz w:val="6"/>
                <w:szCs w:val="6"/>
                <w:color w:val="auto"/>
              </w:rPr>
            </w:pPr>
          </w:p>
        </w:tc>
        <w:tc>
          <w:tcPr>
            <w:tcW w:w="74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300" w:type="dxa"/>
            <w:vAlign w:val="bottom"/>
            <w:gridSpan w:val="23"/>
          </w:tcPr>
          <w:p>
            <w:pPr>
              <w:ind w:left="20"/>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Certain Transactions</w:t>
              </w:r>
            </w:hyperlink>
          </w:p>
        </w:tc>
        <w:tc>
          <w:tcPr>
            <w:tcW w:w="460" w:type="dxa"/>
            <w:vAlign w:val="bottom"/>
          </w:tcPr>
          <w:p>
            <w:pPr>
              <w:jc w:val="right"/>
              <w:ind w:right="8"/>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300" w:type="dxa"/>
            <w:vAlign w:val="bottom"/>
            <w:gridSpan w:val="23"/>
          </w:tcPr>
          <w:p>
            <w:pPr>
              <w:ind w:left="20"/>
              <w:spacing w:after="0"/>
              <w:rPr>
                <w:rFonts w:ascii="Arial" w:cs="Arial" w:eastAsia="Arial" w:hAnsi="Arial"/>
                <w:sz w:val="19"/>
                <w:szCs w:val="19"/>
                <w:b w:val="1"/>
                <w:bCs w:val="1"/>
                <w:color w:val="0000EE"/>
              </w:rPr>
            </w:pPr>
            <w:hyperlink w:anchor="page78">
              <w:r>
                <w:rPr>
                  <w:rFonts w:ascii="Arial" w:cs="Arial" w:eastAsia="Arial" w:hAnsi="Arial"/>
                  <w:sz w:val="19"/>
                  <w:szCs w:val="19"/>
                  <w:b w:val="1"/>
                  <w:bCs w:val="1"/>
                  <w:color w:val="0000EE"/>
                </w:rPr>
                <w:t>RATIFICATION OF RETENTION OF</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100" w:type="dxa"/>
            <w:vAlign w:val="bottom"/>
            <w:gridSpan w:val="22"/>
          </w:tcPr>
          <w:p>
            <w:pPr>
              <w:spacing w:after="0" w:line="196" w:lineRule="exact"/>
              <w:rPr>
                <w:rFonts w:ascii="Arial" w:cs="Arial" w:eastAsia="Arial" w:hAnsi="Arial"/>
                <w:sz w:val="19"/>
                <w:szCs w:val="19"/>
                <w:b w:val="1"/>
                <w:bCs w:val="1"/>
                <w:color w:val="0000EE"/>
              </w:rPr>
            </w:pPr>
            <w:hyperlink w:anchor="page78">
              <w:r>
                <w:rPr>
                  <w:rFonts w:ascii="Arial" w:cs="Arial" w:eastAsia="Arial" w:hAnsi="Arial"/>
                  <w:sz w:val="19"/>
                  <w:szCs w:val="19"/>
                  <w:b w:val="1"/>
                  <w:bCs w:val="1"/>
                  <w:color w:val="0000EE"/>
                </w:rPr>
                <w:t>INDEPENDENT REGISTERED PUBLIC</w:t>
              </w:r>
            </w:hyperlink>
          </w:p>
        </w:tc>
        <w:tc>
          <w:tcPr>
            <w:tcW w:w="460" w:type="dxa"/>
            <w:vAlign w:val="bottom"/>
            <w:vMerge w:val="restart"/>
          </w:tcPr>
          <w:p>
            <w:pPr>
              <w:jc w:val="right"/>
              <w:ind w:right="8"/>
              <w:spacing w:after="0"/>
              <w:rPr>
                <w:sz w:val="20"/>
                <w:szCs w:val="20"/>
                <w:color w:val="auto"/>
              </w:rPr>
            </w:pPr>
            <w:r>
              <w:rPr>
                <w:rFonts w:ascii="Arial" w:cs="Arial" w:eastAsia="Arial" w:hAnsi="Arial"/>
                <w:sz w:val="19"/>
                <w:szCs w:val="19"/>
                <w:b w:val="1"/>
                <w:bCs w:val="1"/>
                <w:color w:val="auto"/>
              </w:rPr>
              <w:t>73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420" w:type="dxa"/>
            <w:vAlign w:val="bottom"/>
            <w:tcBorders>
              <w:top w:val="single" w:sz="8" w:color="0000EE"/>
            </w:tcBorders>
            <w:gridSpan w:val="12"/>
          </w:tcPr>
          <w:p>
            <w:pPr>
              <w:spacing w:after="0" w:line="196" w:lineRule="exact"/>
              <w:rPr>
                <w:rFonts w:ascii="Arial" w:cs="Arial" w:eastAsia="Arial" w:hAnsi="Arial"/>
                <w:sz w:val="19"/>
                <w:szCs w:val="19"/>
                <w:b w:val="1"/>
                <w:bCs w:val="1"/>
                <w:color w:val="0000EE"/>
              </w:rPr>
            </w:pPr>
            <w:hyperlink w:anchor="page78">
              <w:r>
                <w:rPr>
                  <w:rFonts w:ascii="Arial" w:cs="Arial" w:eastAsia="Arial" w:hAnsi="Arial"/>
                  <w:sz w:val="19"/>
                  <w:szCs w:val="19"/>
                  <w:b w:val="1"/>
                  <w:bCs w:val="1"/>
                  <w:color w:val="0000EE"/>
                </w:rPr>
                <w:t>ACCOUNTING FIRM (PROPOSAL NO.</w:t>
              </w:r>
            </w:hyperlink>
          </w:p>
        </w:tc>
        <w:tc>
          <w:tcPr>
            <w:tcW w:w="200" w:type="dxa"/>
            <w:vAlign w:val="bottom"/>
            <w:gridSpan w:val="6"/>
          </w:tcPr>
          <w:p>
            <w:pPr>
              <w:jc w:val="right"/>
              <w:ind w:right="40"/>
              <w:spacing w:after="0" w:line="196" w:lineRule="exact"/>
              <w:rPr>
                <w:rFonts w:ascii="Arial" w:cs="Arial" w:eastAsia="Arial" w:hAnsi="Arial"/>
                <w:sz w:val="19"/>
                <w:szCs w:val="19"/>
                <w:b w:val="1"/>
                <w:bCs w:val="1"/>
                <w:color w:val="0000EE"/>
                <w:w w:val="82"/>
              </w:rPr>
            </w:pPr>
            <w:hyperlink w:anchor="page78">
              <w:r>
                <w:rPr>
                  <w:rFonts w:ascii="Arial" w:cs="Arial" w:eastAsia="Arial" w:hAnsi="Arial"/>
                  <w:sz w:val="19"/>
                  <w:szCs w:val="19"/>
                  <w:b w:val="1"/>
                  <w:bCs w:val="1"/>
                  <w:color w:val="0000EE"/>
                  <w:w w:val="82"/>
                </w:rPr>
                <w:t>2)</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0" w:type="dxa"/>
            <w:vAlign w:val="bottom"/>
            <w:tcBorders>
              <w:bottom w:val="single" w:sz="8" w:color="auto"/>
            </w:tcBorders>
          </w:tcPr>
          <w:p>
            <w:pPr>
              <w:spacing w:after="0"/>
              <w:rPr>
                <w:sz w:val="6"/>
                <w:szCs w:val="6"/>
                <w:color w:val="auto"/>
              </w:rPr>
            </w:pPr>
          </w:p>
        </w:tc>
        <w:tc>
          <w:tcPr>
            <w:tcW w:w="74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70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4300" w:type="dxa"/>
            <w:vAlign w:val="bottom"/>
            <w:gridSpan w:val="23"/>
          </w:tcPr>
          <w:p>
            <w:pPr>
              <w:ind w:left="20"/>
              <w:spacing w:after="0"/>
              <w:rPr>
                <w:rFonts w:ascii="Arial" w:cs="Arial" w:eastAsia="Arial" w:hAnsi="Arial"/>
                <w:sz w:val="19"/>
                <w:szCs w:val="19"/>
                <w:b w:val="1"/>
                <w:bCs w:val="1"/>
                <w:color w:val="0000EE"/>
              </w:rPr>
            </w:pPr>
            <w:hyperlink w:anchor="page79">
              <w:r>
                <w:rPr>
                  <w:rFonts w:ascii="Arial" w:cs="Arial" w:eastAsia="Arial" w:hAnsi="Arial"/>
                  <w:sz w:val="19"/>
                  <w:szCs w:val="19"/>
                  <w:b w:val="1"/>
                  <w:bCs w:val="1"/>
                  <w:color w:val="0000EE"/>
                </w:rPr>
                <w:t>ADVISORY VOTE TO APPROVE EXECUTIVE</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760" w:type="dxa"/>
            <w:vAlign w:val="bottom"/>
            <w:tcBorders>
              <w:top w:val="single" w:sz="8" w:color="0000EE"/>
            </w:tcBorders>
            <w:gridSpan w:val="19"/>
          </w:tcPr>
          <w:p>
            <w:pPr>
              <w:spacing w:after="0" w:line="196" w:lineRule="exact"/>
              <w:rPr>
                <w:rFonts w:ascii="Arial" w:cs="Arial" w:eastAsia="Arial" w:hAnsi="Arial"/>
                <w:sz w:val="19"/>
                <w:szCs w:val="19"/>
                <w:b w:val="1"/>
                <w:bCs w:val="1"/>
                <w:color w:val="0000EE"/>
              </w:rPr>
            </w:pPr>
            <w:hyperlink w:anchor="page79">
              <w:r>
                <w:rPr>
                  <w:rFonts w:ascii="Arial" w:cs="Arial" w:eastAsia="Arial" w:hAnsi="Arial"/>
                  <w:sz w:val="19"/>
                  <w:szCs w:val="19"/>
                  <w:b w:val="1"/>
                  <w:bCs w:val="1"/>
                  <w:color w:val="0000EE"/>
                </w:rPr>
                <w:t>COMPENSATION SET FORTH IN THIS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9"/>
                <w:szCs w:val="19"/>
                <w:b w:val="1"/>
                <w:bCs w:val="1"/>
                <w:color w:val="auto"/>
              </w:rPr>
              <w:t>74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80" w:type="dxa"/>
            <w:vAlign w:val="bottom"/>
            <w:tcBorders>
              <w:top w:val="single" w:sz="8" w:color="0000EE"/>
            </w:tcBorders>
            <w:gridSpan w:val="10"/>
          </w:tcPr>
          <w:p>
            <w:pPr>
              <w:spacing w:after="0" w:line="196" w:lineRule="exact"/>
              <w:rPr>
                <w:rFonts w:ascii="Arial" w:cs="Arial" w:eastAsia="Arial" w:hAnsi="Arial"/>
                <w:sz w:val="19"/>
                <w:szCs w:val="19"/>
                <w:b w:val="1"/>
                <w:bCs w:val="1"/>
                <w:color w:val="0000EE"/>
                <w:w w:val="97"/>
              </w:rPr>
            </w:pPr>
            <w:hyperlink w:anchor="page79">
              <w:r>
                <w:rPr>
                  <w:rFonts w:ascii="Arial" w:cs="Arial" w:eastAsia="Arial" w:hAnsi="Arial"/>
                  <w:sz w:val="19"/>
                  <w:szCs w:val="19"/>
                  <w:b w:val="1"/>
                  <w:bCs w:val="1"/>
                  <w:color w:val="0000EE"/>
                  <w:w w:val="97"/>
                </w:rPr>
                <w:t>PROXY STATEMENT (PROPOSAL NO.</w:t>
              </w:r>
            </w:hyperlink>
          </w:p>
        </w:tc>
        <w:tc>
          <w:tcPr>
            <w:tcW w:w="400" w:type="dxa"/>
            <w:vAlign w:val="bottom"/>
            <w:gridSpan w:val="10"/>
          </w:tcPr>
          <w:p>
            <w:pPr>
              <w:jc w:val="right"/>
              <w:ind w:right="160"/>
              <w:spacing w:after="0" w:line="196" w:lineRule="exact"/>
              <w:rPr>
                <w:rFonts w:ascii="Arial" w:cs="Arial" w:eastAsia="Arial" w:hAnsi="Arial"/>
                <w:sz w:val="19"/>
                <w:szCs w:val="19"/>
                <w:b w:val="1"/>
                <w:bCs w:val="1"/>
                <w:color w:val="0000EE"/>
              </w:rPr>
            </w:pPr>
            <w:hyperlink w:anchor="page79">
              <w:r>
                <w:rPr>
                  <w:rFonts w:ascii="Arial" w:cs="Arial" w:eastAsia="Arial" w:hAnsi="Arial"/>
                  <w:sz w:val="19"/>
                  <w:szCs w:val="19"/>
                  <w:b w:val="1"/>
                  <w:bCs w:val="1"/>
                  <w:color w:val="0000EE"/>
                </w:rPr>
                <w:t>3)</w:t>
              </w:r>
            </w:hyperlink>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0" w:type="dxa"/>
            <w:vAlign w:val="bottom"/>
            <w:tcBorders>
              <w:bottom w:val="single" w:sz="8" w:color="auto"/>
            </w:tcBorders>
          </w:tcPr>
          <w:p>
            <w:pPr>
              <w:spacing w:after="0"/>
              <w:rPr>
                <w:sz w:val="6"/>
                <w:szCs w:val="6"/>
                <w:color w:val="auto"/>
              </w:rPr>
            </w:pPr>
          </w:p>
        </w:tc>
        <w:tc>
          <w:tcPr>
            <w:tcW w:w="74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70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300" w:type="dxa"/>
            <w:vAlign w:val="bottom"/>
            <w:gridSpan w:val="23"/>
          </w:tcPr>
          <w:p>
            <w:pPr>
              <w:ind w:left="20"/>
              <w:spacing w:after="0"/>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QUESTIONS AND ANSWERS ABOUT THE</w:t>
              </w:r>
            </w:hyperlink>
          </w:p>
        </w:tc>
        <w:tc>
          <w:tcPr>
            <w:tcW w:w="460" w:type="dxa"/>
            <w:vAlign w:val="bottom"/>
            <w:vMerge w:val="restart"/>
          </w:tcPr>
          <w:p>
            <w:pPr>
              <w:jc w:val="right"/>
              <w:ind w:right="8"/>
              <w:spacing w:after="0"/>
              <w:rPr>
                <w:sz w:val="20"/>
                <w:szCs w:val="20"/>
                <w:color w:val="auto"/>
              </w:rPr>
            </w:pPr>
            <w:r>
              <w:rPr>
                <w:rFonts w:ascii="Arial" w:cs="Arial" w:eastAsia="Arial" w:hAnsi="Arial"/>
                <w:sz w:val="19"/>
                <w:szCs w:val="19"/>
                <w:b w:val="1"/>
                <w:bCs w:val="1"/>
                <w:color w:val="auto"/>
              </w:rPr>
              <w:t>75</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gridSpan w:val="15"/>
          </w:tcPr>
          <w:p>
            <w:pPr>
              <w:spacing w:after="0" w:line="196" w:lineRule="exact"/>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ANNUAL MEETING</w:t>
              </w:r>
            </w:hyperlink>
          </w:p>
        </w:tc>
        <w:tc>
          <w:tcPr>
            <w:tcW w:w="22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0" w:type="dxa"/>
            <w:vAlign w:val="bottom"/>
            <w:tcBorders>
              <w:bottom w:val="single" w:sz="8" w:color="auto"/>
            </w:tcBorders>
          </w:tcPr>
          <w:p>
            <w:pPr>
              <w:spacing w:after="0"/>
              <w:rPr>
                <w:sz w:val="6"/>
                <w:szCs w:val="6"/>
                <w:color w:val="auto"/>
              </w:rPr>
            </w:pPr>
          </w:p>
        </w:tc>
        <w:tc>
          <w:tcPr>
            <w:tcW w:w="74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300" w:type="dxa"/>
            <w:vAlign w:val="bottom"/>
            <w:gridSpan w:val="23"/>
          </w:tcPr>
          <w:p>
            <w:pPr>
              <w:ind w:left="20"/>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Why did you send me this proxy statement?</w:t>
              </w:r>
            </w:hyperlink>
          </w:p>
        </w:tc>
        <w:tc>
          <w:tcPr>
            <w:tcW w:w="460" w:type="dxa"/>
            <w:vAlign w:val="bottom"/>
          </w:tcPr>
          <w:p>
            <w:pPr>
              <w:jc w:val="right"/>
              <w:ind w:right="8"/>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308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rPr>
            </w:pPr>
            <w:hyperlink w:anchor="page80">
              <w:r>
                <w:rPr>
                  <w:rFonts w:ascii="Arial" w:cs="Arial" w:eastAsia="Arial" w:hAnsi="Arial"/>
                  <w:sz w:val="18"/>
                  <w:szCs w:val="18"/>
                  <w:color w:val="0000EE"/>
                </w:rPr>
                <w:t>Who can vote at the Annual Meeting?</w:t>
              </w:r>
            </w:hyperlink>
          </w:p>
        </w:tc>
        <w:tc>
          <w:tcPr>
            <w:tcW w:w="420" w:type="dxa"/>
            <w:vAlign w:val="bottom"/>
            <w:tcBorders>
              <w:top w:val="single" w:sz="8" w:color="0000EE"/>
            </w:tcBorders>
            <w:gridSpan w:val="2"/>
          </w:tcPr>
          <w:p>
            <w:pPr>
              <w:spacing w:after="0"/>
              <w:rPr>
                <w:sz w:val="18"/>
                <w:szCs w:val="18"/>
                <w:color w:val="auto"/>
              </w:rPr>
            </w:pPr>
          </w:p>
        </w:tc>
        <w:tc>
          <w:tcPr>
            <w:tcW w:w="800" w:type="dxa"/>
            <w:vAlign w:val="bottom"/>
            <w:gridSpan w:val="13"/>
          </w:tcPr>
          <w:p>
            <w:pPr>
              <w:spacing w:after="0"/>
              <w:rPr>
                <w:sz w:val="18"/>
                <w:szCs w:val="18"/>
                <w:color w:val="auto"/>
              </w:rPr>
            </w:pPr>
          </w:p>
        </w:tc>
        <w:tc>
          <w:tcPr>
            <w:tcW w:w="460" w:type="dxa"/>
            <w:vAlign w:val="bottom"/>
          </w:tcPr>
          <w:p>
            <w:pPr>
              <w:jc w:val="right"/>
              <w:ind w:right="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3980" w:type="dxa"/>
            <w:vAlign w:val="bottom"/>
            <w:tcBorders>
              <w:bottom w:val="single" w:sz="8" w:color="0000EE"/>
            </w:tcBorders>
            <w:gridSpan w:val="21"/>
          </w:tcPr>
          <w:p>
            <w:pPr>
              <w:ind w:left="20"/>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How many shares must be present to conduct the</w:t>
              </w:r>
            </w:hyperlink>
          </w:p>
        </w:tc>
        <w:tc>
          <w:tcPr>
            <w:tcW w:w="3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100" w:type="dxa"/>
            <w:vAlign w:val="bottom"/>
            <w:gridSpan w:val="22"/>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Annual Meeting?</w:t>
              </w:r>
            </w:hyperlink>
          </w:p>
        </w:tc>
        <w:tc>
          <w:tcPr>
            <w:tcW w:w="460" w:type="dxa"/>
            <w:vAlign w:val="bottom"/>
          </w:tcPr>
          <w:p>
            <w:pPr>
              <w:jc w:val="right"/>
              <w:ind w:right="8"/>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Borders>
              <w:bottom w:val="single" w:sz="8" w:color="0000EE"/>
            </w:tcBorders>
            <w:gridSpan w:val="14"/>
          </w:tcPr>
          <w:p>
            <w:pPr>
              <w:ind w:left="20"/>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What matters are to be voted on at the Annual</w:t>
              </w:r>
            </w:hyperlink>
          </w:p>
        </w:tc>
        <w:tc>
          <w:tcPr>
            <w:tcW w:w="600" w:type="dxa"/>
            <w:vAlign w:val="bottom"/>
            <w:gridSpan w:val="9"/>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Meeting?</w:t>
              </w:r>
            </w:hyperlink>
          </w:p>
        </w:tc>
        <w:tc>
          <w:tcPr>
            <w:tcW w:w="3360" w:type="dxa"/>
            <w:vAlign w:val="bottom"/>
            <w:gridSpan w:val="21"/>
          </w:tcPr>
          <w:p>
            <w:pPr>
              <w:spacing w:after="0"/>
              <w:rPr>
                <w:sz w:val="15"/>
                <w:szCs w:val="15"/>
                <w:color w:val="auto"/>
              </w:rPr>
            </w:pPr>
          </w:p>
        </w:tc>
        <w:tc>
          <w:tcPr>
            <w:tcW w:w="460" w:type="dxa"/>
            <w:vAlign w:val="bottom"/>
          </w:tcPr>
          <w:p>
            <w:pPr>
              <w:jc w:val="right"/>
              <w:ind w:right="8"/>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0000EE"/>
            </w:tcBorders>
            <w:gridSpan w:val="12"/>
          </w:tcPr>
          <w:p>
            <w:pPr>
              <w:ind w:left="20"/>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How does the Board recommend that I vote?</w:t>
              </w:r>
            </w:hyperlink>
          </w:p>
        </w:tc>
        <w:tc>
          <w:tcPr>
            <w:tcW w:w="700" w:type="dxa"/>
            <w:vAlign w:val="bottom"/>
            <w:gridSpan w:val="11"/>
          </w:tcPr>
          <w:p>
            <w:pPr>
              <w:spacing w:after="0"/>
              <w:rPr>
                <w:sz w:val="18"/>
                <w:szCs w:val="18"/>
                <w:color w:val="auto"/>
              </w:rPr>
            </w:pPr>
          </w:p>
        </w:tc>
        <w:tc>
          <w:tcPr>
            <w:tcW w:w="460" w:type="dxa"/>
            <w:vAlign w:val="bottom"/>
          </w:tcPr>
          <w:p>
            <w:pPr>
              <w:jc w:val="right"/>
              <w:ind w:right="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0000EE"/>
            </w:tcBorders>
            <w:gridSpan w:val="8"/>
          </w:tcPr>
          <w:p>
            <w:pPr>
              <w:ind w:left="20"/>
              <w:spacing w:after="0"/>
              <w:rPr>
                <w:rFonts w:ascii="Arial" w:cs="Arial" w:eastAsia="Arial" w:hAnsi="Arial"/>
                <w:sz w:val="18"/>
                <w:szCs w:val="18"/>
                <w:color w:val="0000EE"/>
              </w:rPr>
            </w:pPr>
            <w:hyperlink w:anchor="page80">
              <w:r>
                <w:rPr>
                  <w:rFonts w:ascii="Arial" w:cs="Arial" w:eastAsia="Arial" w:hAnsi="Arial"/>
                  <w:sz w:val="18"/>
                  <w:szCs w:val="18"/>
                  <w:color w:val="0000EE"/>
                </w:rPr>
                <w:t>How do I vote at the Annual Meeting?</w:t>
              </w:r>
            </w:hyperlink>
          </w:p>
        </w:tc>
        <w:tc>
          <w:tcPr>
            <w:tcW w:w="1220" w:type="dxa"/>
            <w:vAlign w:val="bottom"/>
            <w:gridSpan w:val="15"/>
          </w:tcPr>
          <w:p>
            <w:pPr>
              <w:spacing w:after="0"/>
              <w:rPr>
                <w:sz w:val="18"/>
                <w:szCs w:val="18"/>
                <w:color w:val="auto"/>
              </w:rPr>
            </w:pPr>
          </w:p>
        </w:tc>
        <w:tc>
          <w:tcPr>
            <w:tcW w:w="460" w:type="dxa"/>
            <w:vAlign w:val="bottom"/>
          </w:tcPr>
          <w:p>
            <w:pPr>
              <w:jc w:val="right"/>
              <w:ind w:right="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0000EE"/>
            </w:tcBorders>
            <w:gridSpan w:val="22"/>
          </w:tcPr>
          <w:p>
            <w:pPr>
              <w:ind w:left="20"/>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What does it mean if I receive more than one Notice</w:t>
              </w:r>
            </w:hyperlink>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4100" w:type="dxa"/>
            <w:vAlign w:val="bottom"/>
            <w:gridSpan w:val="22"/>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of Internet Availability of Proxy Materials?</w:t>
              </w:r>
            </w:hyperlink>
          </w:p>
        </w:tc>
        <w:tc>
          <w:tcPr>
            <w:tcW w:w="460" w:type="dxa"/>
            <w:vAlign w:val="bottom"/>
          </w:tcPr>
          <w:p>
            <w:pPr>
              <w:jc w:val="right"/>
              <w:ind w:right="8"/>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80"/>
        <w:spacing w:after="0"/>
        <w:tabs>
          <w:tab w:leader="none" w:pos="640" w:val="left"/>
          <w:tab w:leader="none" w:pos="8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8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May I change my vote?</w:t>
              </w:r>
            </w:hyperlink>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What vote is required to elect directors and approve</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the other matters described in this proxy</w:t>
              </w:r>
            </w:hyperlink>
          </w:p>
        </w:tc>
        <w:tc>
          <w:tcPr>
            <w:tcW w:w="16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statement?</w:t>
              </w:r>
            </w:hyperlink>
          </w:p>
        </w:tc>
        <w:tc>
          <w:tcPr>
            <w:tcW w:w="2300" w:type="dxa"/>
            <w:vAlign w:val="bottom"/>
            <w:tcBorders>
              <w:top w:val="single" w:sz="8" w:color="0000EE"/>
            </w:tcBorders>
            <w:gridSpan w:val="6"/>
          </w:tcPr>
          <w:p>
            <w:pPr>
              <w:spacing w:after="0"/>
              <w:rPr>
                <w:sz w:val="15"/>
                <w:szCs w:val="15"/>
                <w:color w:val="auto"/>
              </w:rPr>
            </w:pPr>
          </w:p>
        </w:tc>
        <w:tc>
          <w:tcPr>
            <w:tcW w:w="900" w:type="dxa"/>
            <w:vAlign w:val="bottom"/>
            <w:gridSpan w:val="12"/>
          </w:tcPr>
          <w:p>
            <w:pPr>
              <w:spacing w:after="0"/>
              <w:rPr>
                <w:sz w:val="15"/>
                <w:szCs w:val="15"/>
                <w:color w:val="auto"/>
              </w:rPr>
            </w:pPr>
          </w:p>
        </w:tc>
        <w:tc>
          <w:tcPr>
            <w:tcW w:w="5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428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What is the difference between holding shares as a</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6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stockholder of record and as a beneficial owner?</w:t>
              </w:r>
            </w:hyperlink>
          </w:p>
        </w:tc>
        <w:tc>
          <w:tcPr>
            <w:tcW w:w="20" w:type="dxa"/>
            <w:vAlign w:val="bottom"/>
            <w:tcBorders>
              <w:top w:val="single" w:sz="8" w:color="0000EE"/>
            </w:tcBorders>
          </w:tcPr>
          <w:p>
            <w:pPr>
              <w:spacing w:after="0"/>
              <w:rPr>
                <w:sz w:val="15"/>
                <w:szCs w:val="15"/>
                <w:color w:val="auto"/>
              </w:rPr>
            </w:pPr>
          </w:p>
        </w:tc>
        <w:tc>
          <w:tcPr>
            <w:tcW w:w="200" w:type="dxa"/>
            <w:vAlign w:val="bottom"/>
            <w:gridSpan w:val="5"/>
          </w:tcPr>
          <w:p>
            <w:pPr>
              <w:spacing w:after="0"/>
              <w:rPr>
                <w:sz w:val="15"/>
                <w:szCs w:val="15"/>
                <w:color w:val="auto"/>
              </w:rPr>
            </w:pPr>
          </w:p>
        </w:tc>
        <w:tc>
          <w:tcPr>
            <w:tcW w:w="5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428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How do I vote if my bank or broker holds my shares</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in “street name”?</w:t>
              </w:r>
            </w:hyperlink>
          </w:p>
        </w:tc>
        <w:tc>
          <w:tcPr>
            <w:tcW w:w="180" w:type="dxa"/>
            <w:vAlign w:val="bottom"/>
            <w:gridSpan w:val="4"/>
          </w:tcPr>
          <w:p>
            <w:pPr>
              <w:spacing w:after="0"/>
              <w:rPr>
                <w:sz w:val="15"/>
                <w:szCs w:val="15"/>
                <w:color w:val="auto"/>
              </w:rPr>
            </w:pPr>
          </w:p>
        </w:tc>
        <w:tc>
          <w:tcPr>
            <w:tcW w:w="5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How many votes do I have?</w:t>
              </w:r>
            </w:hyperlink>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How will the votes be counted at the Annual</w:t>
              </w:r>
            </w:hyperlink>
          </w:p>
        </w:tc>
        <w:tc>
          <w:tcPr>
            <w:tcW w:w="78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0"/>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Meeting?</w:t>
              </w:r>
            </w:hyperlink>
          </w:p>
        </w:tc>
        <w:tc>
          <w:tcPr>
            <w:tcW w:w="5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Borders>
              <w:bottom w:val="single" w:sz="8" w:color="0000EE"/>
            </w:tcBorders>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How will the Company announce the voting results?</w:t>
              </w:r>
            </w:hyperlink>
          </w:p>
        </w:tc>
        <w:tc>
          <w:tcPr>
            <w:tcW w:w="1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Who pays for the Company’s solicitation of proxies?</w:t>
              </w:r>
            </w:hyperlink>
          </w:p>
        </w:tc>
        <w:tc>
          <w:tcPr>
            <w:tcW w:w="140" w:type="dxa"/>
            <w:vAlign w:val="bottom"/>
            <w:gridSpan w:val="2"/>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4280" w:type="dxa"/>
            <w:vAlign w:val="bottom"/>
            <w:gridSpan w:val="2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What is “householding” and how does it work?</w:t>
              </w:r>
            </w:hyperlink>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3680" w:type="dxa"/>
            <w:vAlign w:val="bottom"/>
            <w:tcBorders>
              <w:top w:val="single" w:sz="8" w:color="0000EE"/>
            </w:tcBorders>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How do I participate in the Annual Meeting?</w:t>
              </w:r>
            </w:hyperlink>
          </w:p>
        </w:tc>
        <w:tc>
          <w:tcPr>
            <w:tcW w:w="600" w:type="dxa"/>
            <w:vAlign w:val="bottom"/>
            <w:gridSpan w:val="8"/>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80" w:type="dxa"/>
            <w:vAlign w:val="bottom"/>
            <w:gridSpan w:val="22"/>
          </w:tcPr>
          <w:p>
            <w:pPr>
              <w:spacing w:after="0"/>
              <w:rPr>
                <w:rFonts w:ascii="Arial" w:cs="Arial" w:eastAsia="Arial" w:hAnsi="Arial"/>
                <w:sz w:val="19"/>
                <w:szCs w:val="19"/>
                <w:b w:val="1"/>
                <w:bCs w:val="1"/>
                <w:color w:val="0000EE"/>
              </w:rPr>
            </w:pPr>
            <w:hyperlink w:anchor="page84">
              <w:r>
                <w:rPr>
                  <w:rFonts w:ascii="Arial" w:cs="Arial" w:eastAsia="Arial" w:hAnsi="Arial"/>
                  <w:sz w:val="19"/>
                  <w:szCs w:val="19"/>
                  <w:b w:val="1"/>
                  <w:bCs w:val="1"/>
                  <w:color w:val="0000EE"/>
                </w:rPr>
                <w:t>STOCKHOLDER PROPOSALS FOR 2023</w:t>
              </w:r>
            </w:hyperlink>
          </w:p>
        </w:tc>
        <w:tc>
          <w:tcPr>
            <w:tcW w:w="5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79</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gridSpan w:val="11"/>
          </w:tcPr>
          <w:p>
            <w:pPr>
              <w:spacing w:after="0" w:line="196" w:lineRule="exact"/>
              <w:rPr>
                <w:rFonts w:ascii="Arial" w:cs="Arial" w:eastAsia="Arial" w:hAnsi="Arial"/>
                <w:sz w:val="19"/>
                <w:szCs w:val="19"/>
                <w:b w:val="1"/>
                <w:bCs w:val="1"/>
                <w:color w:val="0000EE"/>
                <w:w w:val="92"/>
              </w:rPr>
            </w:pPr>
            <w:hyperlink w:anchor="page84">
              <w:r>
                <w:rPr>
                  <w:rFonts w:ascii="Arial" w:cs="Arial" w:eastAsia="Arial" w:hAnsi="Arial"/>
                  <w:sz w:val="19"/>
                  <w:szCs w:val="19"/>
                  <w:b w:val="1"/>
                  <w:bCs w:val="1"/>
                  <w:color w:val="0000EE"/>
                  <w:w w:val="92"/>
                </w:rPr>
                <w:t>ANNUAL MEETING OF STOCKHOLDERS</w:t>
              </w:r>
            </w:hyperlink>
          </w:p>
        </w:tc>
        <w:tc>
          <w:tcPr>
            <w:tcW w:w="240" w:type="dxa"/>
            <w:vAlign w:val="bottom"/>
            <w:gridSpan w:val="2"/>
          </w:tcPr>
          <w:p>
            <w:pPr>
              <w:spacing w:after="0"/>
              <w:rPr>
                <w:sz w:val="17"/>
                <w:szCs w:val="17"/>
                <w:color w:val="auto"/>
              </w:rPr>
            </w:pPr>
          </w:p>
        </w:tc>
        <w:tc>
          <w:tcPr>
            <w:tcW w:w="420" w:type="dxa"/>
            <w:vAlign w:val="bottom"/>
            <w:gridSpan w:val="7"/>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92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280" w:type="dxa"/>
            <w:vAlign w:val="bottom"/>
            <w:gridSpan w:val="22"/>
          </w:tcPr>
          <w:p>
            <w:pPr>
              <w:spacing w:after="0"/>
              <w:rPr>
                <w:rFonts w:ascii="Arial" w:cs="Arial" w:eastAsia="Arial" w:hAnsi="Arial"/>
                <w:sz w:val="19"/>
                <w:szCs w:val="19"/>
                <w:b w:val="1"/>
                <w:bCs w:val="1"/>
                <w:color w:val="0000EE"/>
              </w:rPr>
            </w:pPr>
            <w:hyperlink w:anchor="page85">
              <w:r>
                <w:rPr>
                  <w:rFonts w:ascii="Arial" w:cs="Arial" w:eastAsia="Arial" w:hAnsi="Arial"/>
                  <w:sz w:val="19"/>
                  <w:szCs w:val="19"/>
                  <w:b w:val="1"/>
                  <w:bCs w:val="1"/>
                  <w:color w:val="0000EE"/>
                </w:rPr>
                <w:t>OTHER MATTERS</w:t>
              </w:r>
            </w:hyperlink>
          </w:p>
        </w:tc>
        <w:tc>
          <w:tcPr>
            <w:tcW w:w="580" w:type="dxa"/>
            <w:vAlign w:val="bottom"/>
          </w:tcPr>
          <w:p>
            <w:pPr>
              <w:jc w:val="right"/>
              <w:ind w:right="49"/>
              <w:spacing w:after="0"/>
              <w:rPr>
                <w:sz w:val="20"/>
                <w:szCs w:val="20"/>
                <w:color w:val="auto"/>
              </w:rPr>
            </w:pPr>
            <w:r>
              <w:rPr>
                <w:rFonts w:ascii="Arial" w:cs="Arial" w:eastAsia="Arial" w:hAnsi="Arial"/>
                <w:sz w:val="19"/>
                <w:szCs w:val="19"/>
                <w:b w:val="1"/>
                <w:bCs w:val="1"/>
                <w:color w:val="auto"/>
              </w:rPr>
              <w:t>80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80" w:type="dxa"/>
            <w:vAlign w:val="bottom"/>
            <w:gridSpan w:val="22"/>
          </w:tcPr>
          <w:p>
            <w:pPr>
              <w:spacing w:after="0"/>
              <w:rPr>
                <w:rFonts w:ascii="Arial" w:cs="Arial" w:eastAsia="Arial" w:hAnsi="Arial"/>
                <w:sz w:val="19"/>
                <w:szCs w:val="19"/>
                <w:b w:val="1"/>
                <w:bCs w:val="1"/>
                <w:color w:val="0000EE"/>
              </w:rPr>
            </w:pPr>
            <w:hyperlink w:anchor="page86">
              <w:r>
                <w:rPr>
                  <w:rFonts w:ascii="Arial" w:cs="Arial" w:eastAsia="Arial" w:hAnsi="Arial"/>
                  <w:sz w:val="19"/>
                  <w:szCs w:val="19"/>
                  <w:b w:val="1"/>
                  <w:bCs w:val="1"/>
                  <w:color w:val="0000EE"/>
                </w:rPr>
                <w:t>APPENDIX A RECONCILIATION OF</w:t>
              </w:r>
            </w:hyperlink>
          </w:p>
        </w:tc>
        <w:tc>
          <w:tcPr>
            <w:tcW w:w="5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A-1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gridSpan w:val="20"/>
          </w:tcPr>
          <w:p>
            <w:pPr>
              <w:spacing w:after="0" w:line="196" w:lineRule="exact"/>
              <w:rPr>
                <w:rFonts w:ascii="Arial" w:cs="Arial" w:eastAsia="Arial" w:hAnsi="Arial"/>
                <w:sz w:val="19"/>
                <w:szCs w:val="19"/>
                <w:b w:val="1"/>
                <w:bCs w:val="1"/>
                <w:color w:val="0000EE"/>
              </w:rPr>
            </w:pPr>
            <w:hyperlink w:anchor="page86">
              <w:r>
                <w:rPr>
                  <w:rFonts w:ascii="Arial" w:cs="Arial" w:eastAsia="Arial" w:hAnsi="Arial"/>
                  <w:sz w:val="19"/>
                  <w:szCs w:val="19"/>
                  <w:b w:val="1"/>
                  <w:bCs w:val="1"/>
                  <w:color w:val="0000EE"/>
                </w:rPr>
                <w:t>NON-GAAP FINANCIAL MEASURES</w:t>
              </w:r>
            </w:hyperlink>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-4020185</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5420" w:space="300"/>
            <w:col w:w="4860"/>
          </w:cols>
          <w:pgMar w:left="320" w:top="459" w:right="9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LEAR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2022 PROXY STATEMENT SUMMARY</w:t>
      </w:r>
    </w:p>
    <w:p>
      <w:pPr>
        <w:spacing w:after="0" w:line="153" w:lineRule="exact"/>
        <w:rPr>
          <w:sz w:val="20"/>
          <w:szCs w:val="20"/>
          <w:color w:val="auto"/>
        </w:rPr>
      </w:pPr>
    </w:p>
    <w:p>
      <w:pPr>
        <w:ind w:left="660" w:right="440"/>
        <w:spacing w:after="0" w:line="251" w:lineRule="auto"/>
        <w:rPr>
          <w:sz w:val="20"/>
          <w:szCs w:val="20"/>
          <w:color w:val="auto"/>
        </w:rPr>
      </w:pPr>
      <w:r>
        <w:rPr>
          <w:rFonts w:ascii="Arial" w:cs="Arial" w:eastAsia="Arial" w:hAnsi="Arial"/>
          <w:sz w:val="16"/>
          <w:szCs w:val="16"/>
          <w:color w:val="auto"/>
        </w:rPr>
        <w:t>This summary highlights information contained elsewhere in the proxy statement by Lear Corporation (the “Company,” “Lear,” “we,” “our” or “us”). This summary does not contain all of the information that you should consider, and you should read the entire proxy statement carefully before voting. For more complete information regarding the Company’s 2021 performance, please review our 2021 Annual Report on Form 10-K.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52705</wp:posOffset>
            </wp:positionV>
            <wp:extent cx="6292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1200" w:right="620" w:hanging="209"/>
        <w:spacing w:after="0" w:line="259"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Date and Time: </w:t>
      </w:r>
      <w:r>
        <w:rPr>
          <w:rFonts w:ascii="Arial" w:cs="Arial" w:eastAsia="Arial" w:hAnsi="Arial"/>
          <w:sz w:val="16"/>
          <w:szCs w:val="16"/>
          <w:color w:val="auto"/>
        </w:rPr>
        <w:t>May 19, 2022, 9:00 a.m. (Eastern Time). Online check-in will be available at 8:30 a.m. (Eastern Time). Please</w:t>
      </w:r>
      <w:r>
        <w:rPr>
          <w:rFonts w:ascii="Arial" w:cs="Arial" w:eastAsia="Arial" w:hAnsi="Arial"/>
          <w:sz w:val="16"/>
          <w:szCs w:val="16"/>
          <w:b w:val="1"/>
          <w:bCs w:val="1"/>
          <w:color w:val="auto"/>
        </w:rPr>
        <w:t xml:space="preserve"> </w:t>
      </w:r>
      <w:r>
        <w:rPr>
          <w:rFonts w:ascii="Arial" w:cs="Arial" w:eastAsia="Arial" w:hAnsi="Arial"/>
          <w:sz w:val="16"/>
          <w:szCs w:val="16"/>
          <w:color w:val="auto"/>
        </w:rPr>
        <w:t>allow ample time for the online check-in process.</w:t>
      </w:r>
    </w:p>
    <w:p>
      <w:pPr>
        <w:ind w:left="1200" w:right="600" w:hanging="209"/>
        <w:spacing w:after="0" w:line="246"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In light of COVID-19, this year’s Annual Meeting will be held through a virtual web conference at</w:t>
      </w:r>
      <w:r>
        <w:rPr>
          <w:rFonts w:ascii="Arial" w:cs="Arial" w:eastAsia="Arial" w:hAnsi="Arial"/>
          <w:sz w:val="16"/>
          <w:szCs w:val="16"/>
          <w:b w:val="1"/>
          <w:bCs w:val="1"/>
          <w:color w:val="auto"/>
        </w:rPr>
        <w:t xml:space="preserve"> </w:t>
      </w:r>
      <w:r>
        <w:rPr>
          <w:rFonts w:ascii="Arial" w:cs="Arial" w:eastAsia="Arial" w:hAnsi="Arial"/>
          <w:sz w:val="16"/>
          <w:szCs w:val="16"/>
          <w:color w:val="auto"/>
        </w:rPr>
        <w:t>www.virtualshareholdermeeting.com/LEA2022. To participate in the Annual Meeting, you will need your 16-digit control number included in your Notice of Internet Availability of the Proxy Materials, on your proxy card, or any additional voting instructions accompanying these proxy materials.</w:t>
      </w:r>
    </w:p>
    <w:p>
      <w:pPr>
        <w:spacing w:after="0" w:line="1"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March 25, 2022</w:t>
      </w:r>
    </w:p>
    <w:p>
      <w:pPr>
        <w:spacing w:after="0" w:line="5" w:lineRule="exact"/>
        <w:rPr>
          <w:rFonts w:ascii="Arial" w:cs="Arial" w:eastAsia="Arial" w:hAnsi="Arial"/>
          <w:sz w:val="16"/>
          <w:szCs w:val="16"/>
          <w:color w:val="auto"/>
        </w:rPr>
      </w:pPr>
    </w:p>
    <w:p>
      <w:pPr>
        <w:ind w:left="1200" w:right="360" w:hanging="209"/>
        <w:spacing w:after="0" w:line="246"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Voting: </w:t>
      </w:r>
      <w:r>
        <w:rPr>
          <w:rFonts w:ascii="Arial" w:cs="Arial" w:eastAsia="Arial" w:hAnsi="Arial"/>
          <w:sz w:val="16"/>
          <w:szCs w:val="16"/>
          <w:color w:val="auto"/>
        </w:rPr>
        <w:t>Stockholders as of the close of business on the record date are entitled to vote. Each share of common stock is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one vote for each director nominee and one vote for the other proposals to be voted on.</w:t>
      </w: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Shares of Common Stock Outstanding (as of the record date)</w:t>
      </w:r>
      <w:r>
        <w:rPr>
          <w:rFonts w:ascii="Arial" w:cs="Arial" w:eastAsia="Arial" w:hAnsi="Arial"/>
          <w:sz w:val="16"/>
          <w:szCs w:val="16"/>
          <w:color w:val="auto"/>
        </w:rPr>
        <w:t>: 59,764,493</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Stock Symbol</w:t>
      </w:r>
      <w:r>
        <w:rPr>
          <w:rFonts w:ascii="Arial" w:cs="Arial" w:eastAsia="Arial" w:hAnsi="Arial"/>
          <w:sz w:val="16"/>
          <w:szCs w:val="16"/>
          <w:color w:val="auto"/>
        </w:rPr>
        <w:t>: LEA</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Exchange</w:t>
      </w:r>
      <w:r>
        <w:rPr>
          <w:rFonts w:ascii="Arial" w:cs="Arial" w:eastAsia="Arial" w:hAnsi="Arial"/>
          <w:sz w:val="16"/>
          <w:szCs w:val="16"/>
          <w:color w:val="auto"/>
        </w:rPr>
        <w:t>: NYSE</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Registrar &amp; Transfer Agent: </w:t>
      </w:r>
      <w:r>
        <w:rPr>
          <w:rFonts w:ascii="Arial" w:cs="Arial" w:eastAsia="Arial" w:hAnsi="Arial"/>
          <w:sz w:val="16"/>
          <w:szCs w:val="16"/>
          <w:color w:val="auto"/>
        </w:rPr>
        <w:t>Computershare Trust Company, N.A.</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Principal Executive Office: </w:t>
      </w:r>
      <w:r>
        <w:rPr>
          <w:rFonts w:ascii="Arial" w:cs="Arial" w:eastAsia="Arial" w:hAnsi="Arial"/>
          <w:sz w:val="16"/>
          <w:szCs w:val="16"/>
          <w:color w:val="auto"/>
        </w:rPr>
        <w:t>21557 Telegraph Road, Southfield, Michigan 48033</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Corporate Website</w:t>
      </w:r>
      <w:r>
        <w:rPr>
          <w:rFonts w:ascii="Arial" w:cs="Arial" w:eastAsia="Arial" w:hAnsi="Arial"/>
          <w:sz w:val="16"/>
          <w:szCs w:val="16"/>
          <w:color w:val="auto"/>
        </w:rPr>
        <w:t>: lear.com</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Investor Relations Website</w:t>
      </w:r>
      <w:r>
        <w:rPr>
          <w:rFonts w:ascii="Arial" w:cs="Arial" w:eastAsia="Arial" w:hAnsi="Arial"/>
          <w:sz w:val="16"/>
          <w:szCs w:val="16"/>
          <w:color w:val="auto"/>
        </w:rPr>
        <w:t>: ir.lear.com</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52705</wp:posOffset>
            </wp:positionV>
            <wp:extent cx="6292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Proposal</w:t>
            </w:r>
          </w:p>
        </w:tc>
        <w:tc>
          <w:tcPr>
            <w:tcW w:w="3680" w:type="dxa"/>
            <w:vAlign w:val="bottom"/>
            <w:tcBorders>
              <w:bottom w:val="single" w:sz="8" w:color="auto"/>
            </w:tcBorders>
          </w:tcPr>
          <w:p>
            <w:pPr>
              <w:jc w:val="center"/>
              <w:ind w:left="1521"/>
              <w:spacing w:after="0"/>
              <w:rPr>
                <w:sz w:val="20"/>
                <w:szCs w:val="20"/>
                <w:color w:val="auto"/>
              </w:rPr>
            </w:pPr>
            <w:r>
              <w:rPr>
                <w:rFonts w:ascii="Arial" w:cs="Arial" w:eastAsia="Arial" w:hAnsi="Arial"/>
                <w:sz w:val="14"/>
                <w:szCs w:val="14"/>
                <w:b w:val="1"/>
                <w:bCs w:val="1"/>
                <w:color w:val="E2231A"/>
              </w:rPr>
              <w:t>Our Board’s Recommendation</w:t>
            </w:r>
          </w:p>
        </w:tc>
      </w:tr>
      <w:tr>
        <w:trPr>
          <w:trHeight w:val="270"/>
        </w:trPr>
        <w:tc>
          <w:tcPr>
            <w:tcW w:w="62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Election of Directors named in this proxy statement (page 5)</w:t>
            </w:r>
          </w:p>
        </w:tc>
        <w:tc>
          <w:tcPr>
            <w:tcW w:w="3680" w:type="dxa"/>
            <w:vAlign w:val="bottom"/>
            <w:shd w:val="clear" w:color="auto" w:fill="FCE9E8"/>
          </w:tcPr>
          <w:p>
            <w:pPr>
              <w:jc w:val="center"/>
              <w:ind w:left="1501"/>
              <w:spacing w:after="0"/>
              <w:rPr>
                <w:sz w:val="20"/>
                <w:szCs w:val="20"/>
                <w:color w:val="auto"/>
              </w:rPr>
            </w:pPr>
            <w:r>
              <w:rPr>
                <w:rFonts w:ascii="Arial" w:cs="Arial" w:eastAsia="Arial" w:hAnsi="Arial"/>
                <w:sz w:val="16"/>
                <w:szCs w:val="16"/>
                <w:color w:val="auto"/>
              </w:rPr>
              <w:t>FOR</w:t>
            </w:r>
          </w:p>
        </w:tc>
      </w:tr>
      <w:tr>
        <w:trPr>
          <w:trHeight w:val="274"/>
        </w:trPr>
        <w:tc>
          <w:tcPr>
            <w:tcW w:w="6240" w:type="dxa"/>
            <w:vAlign w:val="bottom"/>
          </w:tcPr>
          <w:p>
            <w:pPr>
              <w:ind w:left="100"/>
              <w:spacing w:after="0"/>
              <w:rPr>
                <w:sz w:val="20"/>
                <w:szCs w:val="20"/>
                <w:color w:val="auto"/>
              </w:rPr>
            </w:pPr>
            <w:r>
              <w:rPr>
                <w:rFonts w:ascii="Arial" w:cs="Arial" w:eastAsia="Arial" w:hAnsi="Arial"/>
                <w:sz w:val="16"/>
                <w:szCs w:val="16"/>
                <w:color w:val="auto"/>
              </w:rPr>
              <w:t>Ratification of Retention of Independent Registered Public Accounting Firm (page 73)</w:t>
            </w:r>
          </w:p>
        </w:tc>
        <w:tc>
          <w:tcPr>
            <w:tcW w:w="3680" w:type="dxa"/>
            <w:vAlign w:val="bottom"/>
          </w:tcPr>
          <w:p>
            <w:pPr>
              <w:jc w:val="center"/>
              <w:ind w:left="1501"/>
              <w:spacing w:after="0"/>
              <w:rPr>
                <w:sz w:val="20"/>
                <w:szCs w:val="20"/>
                <w:color w:val="auto"/>
              </w:rPr>
            </w:pPr>
            <w:r>
              <w:rPr>
                <w:rFonts w:ascii="Arial" w:cs="Arial" w:eastAsia="Arial" w:hAnsi="Arial"/>
                <w:sz w:val="16"/>
                <w:szCs w:val="16"/>
                <w:color w:val="auto"/>
              </w:rPr>
              <w:t>FOR</w:t>
            </w:r>
          </w:p>
        </w:tc>
      </w:tr>
      <w:tr>
        <w:trPr>
          <w:trHeight w:val="293"/>
        </w:trPr>
        <w:tc>
          <w:tcPr>
            <w:tcW w:w="62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Advisory Vote to Approve Executive Compensation (page 74)</w:t>
            </w:r>
          </w:p>
        </w:tc>
        <w:tc>
          <w:tcPr>
            <w:tcW w:w="3680" w:type="dxa"/>
            <w:vAlign w:val="bottom"/>
            <w:shd w:val="clear" w:color="auto" w:fill="FCE9E8"/>
          </w:tcPr>
          <w:p>
            <w:pPr>
              <w:jc w:val="center"/>
              <w:ind w:left="1501"/>
              <w:spacing w:after="0"/>
              <w:rPr>
                <w:sz w:val="20"/>
                <w:szCs w:val="20"/>
                <w:color w:val="auto"/>
              </w:rPr>
            </w:pPr>
            <w:r>
              <w:rPr>
                <w:rFonts w:ascii="Arial" w:cs="Arial" w:eastAsia="Arial" w:hAnsi="Arial"/>
                <w:sz w:val="16"/>
                <w:szCs w:val="16"/>
                <w:color w:val="auto"/>
              </w:rPr>
              <w:t>FOR</w:t>
            </w:r>
          </w:p>
        </w:tc>
      </w:tr>
    </w:tbl>
    <w:p>
      <w:pPr>
        <w:spacing w:after="0" w:line="4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YOUR VOTE IS IMPORTANT. WHETHER OR NOT YOU PLAN TO ATTEND THE ANNUAL MEETING, PLEASE</w:t>
      </w:r>
    </w:p>
    <w:p>
      <w:pPr>
        <w:spacing w:after="0" w:line="25" w:lineRule="exact"/>
        <w:rPr>
          <w:sz w:val="20"/>
          <w:szCs w:val="20"/>
          <w:color w:val="auto"/>
        </w:rPr>
      </w:pPr>
    </w:p>
    <w:p>
      <w:pPr>
        <w:ind w:left="760" w:right="380"/>
        <w:spacing w:after="0" w:line="257" w:lineRule="auto"/>
        <w:rPr>
          <w:sz w:val="20"/>
          <w:szCs w:val="20"/>
          <w:color w:val="auto"/>
        </w:rPr>
      </w:pPr>
      <w:r>
        <w:rPr>
          <w:rFonts w:ascii="Arial" w:cs="Arial" w:eastAsia="Arial" w:hAnsi="Arial"/>
          <w:sz w:val="16"/>
          <w:szCs w:val="16"/>
          <w:b w:val="1"/>
          <w:bCs w:val="1"/>
          <w:color w:val="auto"/>
        </w:rPr>
        <w:t>VOTE YOUR SHARES OVER THE TELEPHONE, VIA THE INTERNET OR BY COMPLETING, DATING, SIGNING AND RETURNING A PROXY CARD, AS DESCRIBED IN THE PROXY STATEMENT. YOUR PROMPT COOPERATION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125730</wp:posOffset>
            </wp:positionV>
            <wp:extent cx="6292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w:t>
      </w:r>
    </w:p>
    <w:p>
      <w:pPr>
        <w:sectPr>
          <w:pgSz w:w="11900" w:h="16838" w:orient="portrait"/>
          <w:cols w:equalWidth="0" w:num="1">
            <w:col w:w="10860"/>
          </w:cols>
          <w:pgMar w:left="320" w:top="459" w:right="7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814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35560</wp:posOffset>
            </wp:positionV>
            <wp:extent cx="6292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88"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E2231A"/>
        </w:rPr>
        <w:t>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26035</wp:posOffset>
            </wp:positionV>
            <wp:extent cx="62922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 and Principal Occupation</w:t>
            </w: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E2231A"/>
              </w:rPr>
              <w:t>Age</w:t>
            </w: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E2231A"/>
              </w:rPr>
              <w:t>Director Since</w:t>
            </w: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E2231A"/>
              </w:rPr>
              <w:t>AC</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E2231A"/>
              </w:rPr>
              <w:t>P&amp;CC</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E2231A"/>
              </w:rPr>
              <w:t>NCGC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Mei-Wei Cheng </w:t>
            </w:r>
            <w:r>
              <w:rPr>
                <w:rFonts w:ascii="Arial" w:cs="Arial" w:eastAsia="Arial" w:hAnsi="Arial"/>
                <w:sz w:val="17"/>
                <w:szCs w:val="17"/>
                <w:b w:val="1"/>
                <w:bCs w:val="1"/>
                <w:color w:val="000000"/>
              </w:rPr>
              <w:t>IND</w:t>
            </w:r>
          </w:p>
        </w:tc>
        <w:tc>
          <w:tcPr>
            <w:tcW w:w="860" w:type="dxa"/>
            <w:vAlign w:val="bottom"/>
            <w:shd w:val="clear" w:color="auto" w:fill="FCE9E8"/>
          </w:tcPr>
          <w:p>
            <w:pPr>
              <w:spacing w:after="0"/>
              <w:rPr>
                <w:sz w:val="18"/>
                <w:szCs w:val="18"/>
                <w:color w:val="auto"/>
              </w:rPr>
            </w:pPr>
          </w:p>
        </w:tc>
        <w:tc>
          <w:tcPr>
            <w:tcW w:w="1240" w:type="dxa"/>
            <w:vAlign w:val="bottom"/>
            <w:shd w:val="clear" w:color="auto" w:fill="FCE9E8"/>
          </w:tcPr>
          <w:p>
            <w:pPr>
              <w:spacing w:after="0"/>
              <w:rPr>
                <w:sz w:val="18"/>
                <w:szCs w:val="18"/>
                <w:color w:val="auto"/>
              </w:rPr>
            </w:pPr>
          </w:p>
        </w:tc>
        <w:tc>
          <w:tcPr>
            <w:tcW w:w="780" w:type="dxa"/>
            <w:vAlign w:val="bottom"/>
            <w:shd w:val="clear" w:color="auto" w:fill="FCE9E8"/>
          </w:tcPr>
          <w:p>
            <w:pPr>
              <w:spacing w:after="0"/>
              <w:rPr>
                <w:sz w:val="18"/>
                <w:szCs w:val="18"/>
                <w:color w:val="auto"/>
              </w:rPr>
            </w:pPr>
          </w:p>
        </w:tc>
        <w:tc>
          <w:tcPr>
            <w:tcW w:w="1080" w:type="dxa"/>
            <w:vAlign w:val="bottom"/>
            <w:shd w:val="clear" w:color="auto" w:fill="FCE9E8"/>
          </w:tcPr>
          <w:p>
            <w:pPr>
              <w:spacing w:after="0"/>
              <w:rPr>
                <w:sz w:val="18"/>
                <w:szCs w:val="18"/>
                <w:color w:val="auto"/>
              </w:rPr>
            </w:pPr>
          </w:p>
        </w:tc>
        <w:tc>
          <w:tcPr>
            <w:tcW w:w="1160" w:type="dxa"/>
            <w:vAlign w:val="bottom"/>
            <w:shd w:val="clear" w:color="auto" w:fill="FCE9E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shd w:val="clear" w:color="auto" w:fill="FCE9E8"/>
          </w:tcPr>
          <w:p>
            <w:pPr>
              <w:ind w:left="60"/>
              <w:spacing w:after="0" w:line="189" w:lineRule="exact"/>
              <w:rPr>
                <w:sz w:val="20"/>
                <w:szCs w:val="20"/>
                <w:color w:val="auto"/>
              </w:rPr>
            </w:pPr>
            <w:r>
              <w:rPr>
                <w:rFonts w:ascii="Arial" w:cs="Arial" w:eastAsia="Arial" w:hAnsi="Arial"/>
                <w:sz w:val="17"/>
                <w:szCs w:val="17"/>
                <w:b w:val="1"/>
                <w:bCs w:val="1"/>
                <w:color w:val="auto"/>
              </w:rPr>
              <w:t>Former CEO, Siemens Northeast Asia and Ford Motor</w:t>
            </w:r>
          </w:p>
        </w:tc>
        <w:tc>
          <w:tcPr>
            <w:tcW w:w="86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72</w:t>
            </w:r>
          </w:p>
        </w:tc>
        <w:tc>
          <w:tcPr>
            <w:tcW w:w="124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2019</w:t>
            </w:r>
          </w:p>
        </w:tc>
        <w:tc>
          <w:tcPr>
            <w:tcW w:w="780" w:type="dxa"/>
            <w:vAlign w:val="bottom"/>
            <w:shd w:val="clear" w:color="auto" w:fill="FCE9E8"/>
          </w:tcPr>
          <w:p>
            <w:pPr>
              <w:ind w:left="260"/>
              <w:spacing w:after="0"/>
              <w:rPr>
                <w:sz w:val="20"/>
                <w:szCs w:val="20"/>
                <w:color w:val="auto"/>
              </w:rPr>
            </w:pPr>
            <w:r>
              <w:rPr>
                <w:rFonts w:ascii="Arial" w:cs="Arial" w:eastAsia="Arial" w:hAnsi="Arial"/>
                <w:sz w:val="16"/>
                <w:szCs w:val="16"/>
                <w:b w:val="1"/>
                <w:bCs w:val="1"/>
                <w:color w:val="999999"/>
              </w:rPr>
              <w:t>•</w:t>
            </w:r>
          </w:p>
        </w:tc>
        <w:tc>
          <w:tcPr>
            <w:tcW w:w="1080" w:type="dxa"/>
            <w:vAlign w:val="bottom"/>
            <w:shd w:val="clear" w:color="auto" w:fill="FCE9E8"/>
          </w:tcPr>
          <w:p>
            <w:pPr>
              <w:ind w:left="280"/>
              <w:spacing w:after="0"/>
              <w:rPr>
                <w:sz w:val="20"/>
                <w:szCs w:val="20"/>
                <w:color w:val="auto"/>
              </w:rPr>
            </w:pPr>
            <w:r>
              <w:rPr>
                <w:rFonts w:ascii="Arial" w:cs="Arial" w:eastAsia="Arial" w:hAnsi="Arial"/>
                <w:sz w:val="16"/>
                <w:szCs w:val="16"/>
                <w:b w:val="1"/>
                <w:bCs w:val="1"/>
                <w:color w:val="999999"/>
              </w:rPr>
              <w:t>•</w:t>
            </w:r>
          </w:p>
        </w:tc>
        <w:tc>
          <w:tcPr>
            <w:tcW w:w="11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(China)</w:t>
            </w:r>
          </w:p>
        </w:tc>
        <w:tc>
          <w:tcPr>
            <w:tcW w:w="860" w:type="dxa"/>
            <w:vAlign w:val="bottom"/>
            <w:shd w:val="clear" w:color="auto" w:fill="FCE9E8"/>
          </w:tcPr>
          <w:p>
            <w:pPr>
              <w:spacing w:after="0"/>
              <w:rPr>
                <w:sz w:val="21"/>
                <w:szCs w:val="21"/>
                <w:color w:val="auto"/>
              </w:rPr>
            </w:pPr>
          </w:p>
        </w:tc>
        <w:tc>
          <w:tcPr>
            <w:tcW w:w="1240" w:type="dxa"/>
            <w:vAlign w:val="bottom"/>
            <w:shd w:val="clear" w:color="auto" w:fill="FCE9E8"/>
          </w:tcPr>
          <w:p>
            <w:pPr>
              <w:spacing w:after="0"/>
              <w:rPr>
                <w:sz w:val="21"/>
                <w:szCs w:val="21"/>
                <w:color w:val="auto"/>
              </w:rPr>
            </w:pPr>
          </w:p>
        </w:tc>
        <w:tc>
          <w:tcPr>
            <w:tcW w:w="780" w:type="dxa"/>
            <w:vAlign w:val="bottom"/>
            <w:shd w:val="clear" w:color="auto" w:fill="FCE9E8"/>
          </w:tcPr>
          <w:p>
            <w:pPr>
              <w:spacing w:after="0"/>
              <w:rPr>
                <w:sz w:val="21"/>
                <w:szCs w:val="21"/>
                <w:color w:val="auto"/>
              </w:rPr>
            </w:pPr>
          </w:p>
        </w:tc>
        <w:tc>
          <w:tcPr>
            <w:tcW w:w="1080" w:type="dxa"/>
            <w:vAlign w:val="bottom"/>
            <w:shd w:val="clear" w:color="auto" w:fill="FCE9E8"/>
          </w:tcPr>
          <w:p>
            <w:pPr>
              <w:spacing w:after="0"/>
              <w:rPr>
                <w:sz w:val="21"/>
                <w:szCs w:val="21"/>
                <w:color w:val="auto"/>
              </w:rPr>
            </w:pPr>
          </w:p>
        </w:tc>
        <w:tc>
          <w:tcPr>
            <w:tcW w:w="116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E2231A"/>
              </w:rPr>
              <w:t xml:space="preserve">Jonathan F. Foster </w:t>
            </w:r>
            <w:r>
              <w:rPr>
                <w:rFonts w:ascii="Arial" w:cs="Arial" w:eastAsia="Arial" w:hAnsi="Arial"/>
                <w:sz w:val="17"/>
                <w:szCs w:val="17"/>
                <w:b w:val="1"/>
                <w:bCs w:val="1"/>
                <w:color w:val="000000"/>
              </w:rPr>
              <w:t>IND</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auto"/>
              </w:rPr>
              <w:t>Managing Director of Current Capital Partners LLC</w:t>
            </w: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61</w:t>
            </w: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2009</w:t>
            </w:r>
          </w:p>
        </w:tc>
        <w:tc>
          <w:tcPr>
            <w:tcW w:w="780" w:type="dxa"/>
            <w:vAlign w:val="bottom"/>
          </w:tcPr>
          <w:p>
            <w:pPr>
              <w:ind w:left="260"/>
              <w:spacing w:after="0"/>
              <w:rPr>
                <w:sz w:val="20"/>
                <w:szCs w:val="20"/>
                <w:color w:val="auto"/>
              </w:rPr>
            </w:pPr>
            <w:r>
              <w:rPr>
                <w:rFonts w:ascii="Arial" w:cs="Arial" w:eastAsia="Arial" w:hAnsi="Arial"/>
                <w:sz w:val="16"/>
                <w:szCs w:val="16"/>
                <w:b w:val="1"/>
                <w:bCs w:val="1"/>
                <w:color w:val="E2231A"/>
              </w:rPr>
              <w:t>•</w:t>
            </w:r>
          </w:p>
        </w:tc>
        <w:tc>
          <w:tcPr>
            <w:tcW w:w="1080" w:type="dxa"/>
            <w:vAlign w:val="bottom"/>
          </w:tcPr>
          <w:p>
            <w:pPr>
              <w:spacing w:after="0"/>
              <w:rPr>
                <w:sz w:val="20"/>
                <w:szCs w:val="20"/>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999999"/>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Bradley M. Halverson </w:t>
            </w:r>
            <w:r>
              <w:rPr>
                <w:rFonts w:ascii="Arial" w:cs="Arial" w:eastAsia="Arial" w:hAnsi="Arial"/>
                <w:sz w:val="17"/>
                <w:szCs w:val="17"/>
                <w:b w:val="1"/>
                <w:bCs w:val="1"/>
                <w:color w:val="000000"/>
              </w:rPr>
              <w:t>IND</w:t>
            </w:r>
          </w:p>
        </w:tc>
        <w:tc>
          <w:tcPr>
            <w:tcW w:w="860" w:type="dxa"/>
            <w:vAlign w:val="bottom"/>
            <w:shd w:val="clear" w:color="auto" w:fill="FCE9E8"/>
          </w:tcPr>
          <w:p>
            <w:pPr>
              <w:spacing w:after="0"/>
              <w:rPr>
                <w:sz w:val="20"/>
                <w:szCs w:val="20"/>
                <w:color w:val="auto"/>
              </w:rPr>
            </w:pPr>
          </w:p>
        </w:tc>
        <w:tc>
          <w:tcPr>
            <w:tcW w:w="1240" w:type="dxa"/>
            <w:vAlign w:val="bottom"/>
            <w:shd w:val="clear" w:color="auto" w:fill="FCE9E8"/>
          </w:tcPr>
          <w:p>
            <w:pPr>
              <w:spacing w:after="0"/>
              <w:rPr>
                <w:sz w:val="20"/>
                <w:szCs w:val="20"/>
                <w:color w:val="auto"/>
              </w:rPr>
            </w:pPr>
          </w:p>
        </w:tc>
        <w:tc>
          <w:tcPr>
            <w:tcW w:w="780" w:type="dxa"/>
            <w:vAlign w:val="bottom"/>
            <w:shd w:val="clear" w:color="auto" w:fill="FCE9E8"/>
          </w:tcPr>
          <w:p>
            <w:pPr>
              <w:spacing w:after="0"/>
              <w:rPr>
                <w:sz w:val="20"/>
                <w:szCs w:val="20"/>
                <w:color w:val="auto"/>
              </w:rPr>
            </w:pPr>
          </w:p>
        </w:tc>
        <w:tc>
          <w:tcPr>
            <w:tcW w:w="1080" w:type="dxa"/>
            <w:vAlign w:val="bottom"/>
            <w:shd w:val="clear" w:color="auto" w:fill="FCE9E8"/>
          </w:tcPr>
          <w:p>
            <w:pPr>
              <w:spacing w:after="0"/>
              <w:rPr>
                <w:sz w:val="20"/>
                <w:szCs w:val="20"/>
                <w:color w:val="auto"/>
              </w:rPr>
            </w:pPr>
          </w:p>
        </w:tc>
        <w:tc>
          <w:tcPr>
            <w:tcW w:w="11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Former Group President and CFO, Caterpillar Inc.</w:t>
            </w:r>
          </w:p>
        </w:tc>
        <w:tc>
          <w:tcPr>
            <w:tcW w:w="86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61</w:t>
            </w:r>
          </w:p>
        </w:tc>
        <w:tc>
          <w:tcPr>
            <w:tcW w:w="124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2020</w:t>
            </w:r>
          </w:p>
        </w:tc>
        <w:tc>
          <w:tcPr>
            <w:tcW w:w="780" w:type="dxa"/>
            <w:vAlign w:val="bottom"/>
            <w:shd w:val="clear" w:color="auto" w:fill="FCE9E8"/>
          </w:tcPr>
          <w:p>
            <w:pPr>
              <w:ind w:left="260"/>
              <w:spacing w:after="0"/>
              <w:rPr>
                <w:sz w:val="20"/>
                <w:szCs w:val="20"/>
                <w:color w:val="auto"/>
              </w:rPr>
            </w:pPr>
            <w:r>
              <w:rPr>
                <w:rFonts w:ascii="Arial" w:cs="Arial" w:eastAsia="Arial" w:hAnsi="Arial"/>
                <w:sz w:val="16"/>
                <w:szCs w:val="16"/>
                <w:b w:val="1"/>
                <w:bCs w:val="1"/>
                <w:color w:val="999999"/>
              </w:rPr>
              <w:t>•</w:t>
            </w:r>
          </w:p>
        </w:tc>
        <w:tc>
          <w:tcPr>
            <w:tcW w:w="1080" w:type="dxa"/>
            <w:vAlign w:val="bottom"/>
            <w:shd w:val="clear" w:color="auto" w:fill="FCE9E8"/>
          </w:tcPr>
          <w:p>
            <w:pPr>
              <w:ind w:left="280"/>
              <w:spacing w:after="0"/>
              <w:rPr>
                <w:sz w:val="20"/>
                <w:szCs w:val="20"/>
                <w:color w:val="auto"/>
              </w:rPr>
            </w:pPr>
            <w:r>
              <w:rPr>
                <w:rFonts w:ascii="Arial" w:cs="Arial" w:eastAsia="Arial" w:hAnsi="Arial"/>
                <w:sz w:val="16"/>
                <w:szCs w:val="16"/>
                <w:b w:val="1"/>
                <w:bCs w:val="1"/>
                <w:color w:val="999999"/>
              </w:rPr>
              <w:t>•</w:t>
            </w:r>
          </w:p>
        </w:tc>
        <w:tc>
          <w:tcPr>
            <w:tcW w:w="116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E2231A"/>
              </w:rPr>
              <w:t xml:space="preserve">Mary Lou Jepsen </w:t>
            </w:r>
            <w:r>
              <w:rPr>
                <w:rFonts w:ascii="Arial" w:cs="Arial" w:eastAsia="Arial" w:hAnsi="Arial"/>
                <w:sz w:val="17"/>
                <w:szCs w:val="17"/>
                <w:b w:val="1"/>
                <w:bCs w:val="1"/>
                <w:color w:val="000000"/>
              </w:rPr>
              <w:t>IND</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auto"/>
              </w:rPr>
              <w:t>CEO, Founder and Chairman of Openwater</w:t>
            </w: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57</w:t>
            </w: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2016</w:t>
            </w:r>
          </w:p>
        </w:tc>
        <w:tc>
          <w:tcPr>
            <w:tcW w:w="78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6"/>
                <w:szCs w:val="16"/>
                <w:b w:val="1"/>
                <w:bCs w:val="1"/>
                <w:color w:val="999999"/>
              </w:rPr>
              <w:t>•</w:t>
            </w:r>
          </w:p>
        </w:tc>
        <w:tc>
          <w:tcPr>
            <w:tcW w:w="1160" w:type="dxa"/>
            <w:vAlign w:val="bottom"/>
          </w:tcPr>
          <w:p>
            <w:pPr>
              <w:ind w:left="280"/>
              <w:spacing w:after="0"/>
              <w:rPr>
                <w:sz w:val="20"/>
                <w:szCs w:val="20"/>
                <w:color w:val="auto"/>
              </w:rPr>
            </w:pPr>
            <w:r>
              <w:rPr>
                <w:rFonts w:ascii="Arial" w:cs="Arial" w:eastAsia="Arial" w:hAnsi="Arial"/>
                <w:sz w:val="16"/>
                <w:szCs w:val="16"/>
                <w:b w:val="1"/>
                <w:bCs w:val="1"/>
                <w:color w:val="999999"/>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Roger A. Krone </w:t>
            </w:r>
            <w:r>
              <w:rPr>
                <w:rFonts w:ascii="Arial" w:cs="Arial" w:eastAsia="Arial" w:hAnsi="Arial"/>
                <w:sz w:val="17"/>
                <w:szCs w:val="17"/>
                <w:b w:val="1"/>
                <w:bCs w:val="1"/>
                <w:color w:val="000000"/>
              </w:rPr>
              <w:t>IND</w:t>
            </w:r>
          </w:p>
        </w:tc>
        <w:tc>
          <w:tcPr>
            <w:tcW w:w="860" w:type="dxa"/>
            <w:vAlign w:val="bottom"/>
            <w:shd w:val="clear" w:color="auto" w:fill="FCE9E8"/>
          </w:tcPr>
          <w:p>
            <w:pPr>
              <w:spacing w:after="0"/>
              <w:rPr>
                <w:sz w:val="20"/>
                <w:szCs w:val="20"/>
                <w:color w:val="auto"/>
              </w:rPr>
            </w:pPr>
          </w:p>
        </w:tc>
        <w:tc>
          <w:tcPr>
            <w:tcW w:w="1240" w:type="dxa"/>
            <w:vAlign w:val="bottom"/>
            <w:shd w:val="clear" w:color="auto" w:fill="FCE9E8"/>
          </w:tcPr>
          <w:p>
            <w:pPr>
              <w:spacing w:after="0"/>
              <w:rPr>
                <w:sz w:val="20"/>
                <w:szCs w:val="20"/>
                <w:color w:val="auto"/>
              </w:rPr>
            </w:pPr>
          </w:p>
        </w:tc>
        <w:tc>
          <w:tcPr>
            <w:tcW w:w="780" w:type="dxa"/>
            <w:vAlign w:val="bottom"/>
            <w:shd w:val="clear" w:color="auto" w:fill="FCE9E8"/>
          </w:tcPr>
          <w:p>
            <w:pPr>
              <w:spacing w:after="0"/>
              <w:rPr>
                <w:sz w:val="20"/>
                <w:szCs w:val="20"/>
                <w:color w:val="auto"/>
              </w:rPr>
            </w:pPr>
          </w:p>
        </w:tc>
        <w:tc>
          <w:tcPr>
            <w:tcW w:w="1080" w:type="dxa"/>
            <w:vAlign w:val="bottom"/>
            <w:shd w:val="clear" w:color="auto" w:fill="FCE9E8"/>
          </w:tcPr>
          <w:p>
            <w:pPr>
              <w:spacing w:after="0"/>
              <w:rPr>
                <w:sz w:val="20"/>
                <w:szCs w:val="20"/>
                <w:color w:val="auto"/>
              </w:rPr>
            </w:pPr>
          </w:p>
        </w:tc>
        <w:tc>
          <w:tcPr>
            <w:tcW w:w="11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Chair and CEO, Leidos Holdings, Inc.</w:t>
            </w:r>
          </w:p>
        </w:tc>
        <w:tc>
          <w:tcPr>
            <w:tcW w:w="86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2020</w:t>
            </w:r>
          </w:p>
        </w:tc>
        <w:tc>
          <w:tcPr>
            <w:tcW w:w="780" w:type="dxa"/>
            <w:vAlign w:val="bottom"/>
            <w:shd w:val="clear" w:color="auto" w:fill="FCE9E8"/>
          </w:tcPr>
          <w:p>
            <w:pPr>
              <w:spacing w:after="0"/>
              <w:rPr>
                <w:sz w:val="21"/>
                <w:szCs w:val="21"/>
                <w:color w:val="auto"/>
              </w:rPr>
            </w:pPr>
          </w:p>
        </w:tc>
        <w:tc>
          <w:tcPr>
            <w:tcW w:w="1080" w:type="dxa"/>
            <w:vAlign w:val="bottom"/>
            <w:shd w:val="clear" w:color="auto" w:fill="FCE9E8"/>
          </w:tcPr>
          <w:p>
            <w:pPr>
              <w:spacing w:after="0"/>
              <w:rPr>
                <w:sz w:val="21"/>
                <w:szCs w:val="21"/>
                <w:color w:val="auto"/>
              </w:rPr>
            </w:pPr>
          </w:p>
        </w:tc>
        <w:tc>
          <w:tcPr>
            <w:tcW w:w="1160" w:type="dxa"/>
            <w:vAlign w:val="bottom"/>
            <w:shd w:val="clear" w:color="auto" w:fill="FCE9E8"/>
          </w:tcPr>
          <w:p>
            <w:pPr>
              <w:ind w:left="280"/>
              <w:spacing w:after="0"/>
              <w:rPr>
                <w:sz w:val="20"/>
                <w:szCs w:val="20"/>
                <w:color w:val="auto"/>
              </w:rPr>
            </w:pPr>
            <w:r>
              <w:rPr>
                <w:rFonts w:ascii="Arial" w:cs="Arial" w:eastAsia="Arial" w:hAnsi="Arial"/>
                <w:sz w:val="16"/>
                <w:szCs w:val="16"/>
                <w:b w:val="1"/>
                <w:bCs w:val="1"/>
                <w:color w:val="9999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E2231A"/>
              </w:rPr>
              <w:t xml:space="preserve">Patricia L. Lewis </w:t>
            </w:r>
            <w:r>
              <w:rPr>
                <w:rFonts w:ascii="Arial" w:cs="Arial" w:eastAsia="Arial" w:hAnsi="Arial"/>
                <w:sz w:val="17"/>
                <w:szCs w:val="17"/>
                <w:b w:val="1"/>
                <w:bCs w:val="1"/>
                <w:color w:val="000000"/>
              </w:rPr>
              <w:t>IND</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Executive Vice President and Chief Sustainability Officer,</w:t>
            </w: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60</w:t>
            </w: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2020</w:t>
            </w:r>
          </w:p>
        </w:tc>
        <w:tc>
          <w:tcPr>
            <w:tcW w:w="780" w:type="dxa"/>
            <w:vAlign w:val="bottom"/>
          </w:tcPr>
          <w:p>
            <w:pPr>
              <w:spacing w:after="0"/>
              <w:rPr>
                <w:sz w:val="16"/>
                <w:szCs w:val="16"/>
                <w:color w:val="auto"/>
              </w:rPr>
            </w:pPr>
          </w:p>
        </w:tc>
        <w:tc>
          <w:tcPr>
            <w:tcW w:w="1080" w:type="dxa"/>
            <w:vAlign w:val="bottom"/>
          </w:tcPr>
          <w:p>
            <w:pPr>
              <w:ind w:left="280"/>
              <w:spacing w:after="0"/>
              <w:rPr>
                <w:sz w:val="20"/>
                <w:szCs w:val="20"/>
                <w:color w:val="auto"/>
              </w:rPr>
            </w:pPr>
            <w:r>
              <w:rPr>
                <w:rFonts w:ascii="Arial" w:cs="Arial" w:eastAsia="Arial" w:hAnsi="Arial"/>
                <w:sz w:val="16"/>
                <w:szCs w:val="16"/>
                <w:b w:val="1"/>
                <w:bCs w:val="1"/>
                <w:color w:val="999999"/>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auto"/>
              </w:rPr>
              <w:t>UnitedHealth Group Incorporated</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Kathleen A. Ligocki </w:t>
            </w:r>
            <w:r>
              <w:rPr>
                <w:rFonts w:ascii="Arial" w:cs="Arial" w:eastAsia="Arial" w:hAnsi="Arial"/>
                <w:sz w:val="17"/>
                <w:szCs w:val="17"/>
                <w:b w:val="1"/>
                <w:bCs w:val="1"/>
                <w:color w:val="000000"/>
              </w:rPr>
              <w:t>IND</w:t>
            </w:r>
          </w:p>
        </w:tc>
        <w:tc>
          <w:tcPr>
            <w:tcW w:w="860" w:type="dxa"/>
            <w:vAlign w:val="bottom"/>
            <w:shd w:val="clear" w:color="auto" w:fill="FCE9E8"/>
          </w:tcPr>
          <w:p>
            <w:pPr>
              <w:spacing w:after="0"/>
              <w:rPr>
                <w:sz w:val="20"/>
                <w:szCs w:val="20"/>
                <w:color w:val="auto"/>
              </w:rPr>
            </w:pPr>
          </w:p>
        </w:tc>
        <w:tc>
          <w:tcPr>
            <w:tcW w:w="1240" w:type="dxa"/>
            <w:vAlign w:val="bottom"/>
            <w:shd w:val="clear" w:color="auto" w:fill="FCE9E8"/>
          </w:tcPr>
          <w:p>
            <w:pPr>
              <w:spacing w:after="0"/>
              <w:rPr>
                <w:sz w:val="20"/>
                <w:szCs w:val="20"/>
                <w:color w:val="auto"/>
              </w:rPr>
            </w:pPr>
          </w:p>
        </w:tc>
        <w:tc>
          <w:tcPr>
            <w:tcW w:w="780" w:type="dxa"/>
            <w:vAlign w:val="bottom"/>
            <w:shd w:val="clear" w:color="auto" w:fill="FCE9E8"/>
          </w:tcPr>
          <w:p>
            <w:pPr>
              <w:spacing w:after="0"/>
              <w:rPr>
                <w:sz w:val="20"/>
                <w:szCs w:val="20"/>
                <w:color w:val="auto"/>
              </w:rPr>
            </w:pPr>
          </w:p>
        </w:tc>
        <w:tc>
          <w:tcPr>
            <w:tcW w:w="1080" w:type="dxa"/>
            <w:vAlign w:val="bottom"/>
            <w:shd w:val="clear" w:color="auto" w:fill="FCE9E8"/>
          </w:tcPr>
          <w:p>
            <w:pPr>
              <w:spacing w:after="0"/>
              <w:rPr>
                <w:sz w:val="20"/>
                <w:szCs w:val="20"/>
                <w:color w:val="auto"/>
              </w:rPr>
            </w:pPr>
          </w:p>
        </w:tc>
        <w:tc>
          <w:tcPr>
            <w:tcW w:w="11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shd w:val="clear" w:color="auto" w:fill="FCE9E8"/>
          </w:tcPr>
          <w:p>
            <w:pPr>
              <w:ind w:left="60"/>
              <w:spacing w:after="0" w:line="189" w:lineRule="exact"/>
              <w:rPr>
                <w:sz w:val="20"/>
                <w:szCs w:val="20"/>
                <w:color w:val="auto"/>
              </w:rPr>
            </w:pPr>
            <w:r>
              <w:rPr>
                <w:rFonts w:ascii="Arial" w:cs="Arial" w:eastAsia="Arial" w:hAnsi="Arial"/>
                <w:sz w:val="17"/>
                <w:szCs w:val="17"/>
                <w:b w:val="1"/>
                <w:bCs w:val="1"/>
                <w:color w:val="auto"/>
              </w:rPr>
              <w:t>Former CEO of Tower Automotive and Agility Fuel</w:t>
            </w:r>
          </w:p>
        </w:tc>
        <w:tc>
          <w:tcPr>
            <w:tcW w:w="86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2012</w:t>
            </w:r>
          </w:p>
        </w:tc>
        <w:tc>
          <w:tcPr>
            <w:tcW w:w="780" w:type="dxa"/>
            <w:vAlign w:val="bottom"/>
            <w:shd w:val="clear" w:color="auto" w:fill="FCE9E8"/>
          </w:tcPr>
          <w:p>
            <w:pPr>
              <w:spacing w:after="0"/>
              <w:rPr>
                <w:sz w:val="16"/>
                <w:szCs w:val="16"/>
                <w:color w:val="auto"/>
              </w:rPr>
            </w:pPr>
          </w:p>
        </w:tc>
        <w:tc>
          <w:tcPr>
            <w:tcW w:w="1080" w:type="dxa"/>
            <w:vAlign w:val="bottom"/>
            <w:shd w:val="clear" w:color="auto" w:fill="FCE9E8"/>
          </w:tcPr>
          <w:p>
            <w:pPr>
              <w:ind w:left="280"/>
              <w:spacing w:after="0"/>
              <w:rPr>
                <w:sz w:val="20"/>
                <w:szCs w:val="20"/>
                <w:color w:val="auto"/>
              </w:rPr>
            </w:pPr>
            <w:r>
              <w:rPr>
                <w:rFonts w:ascii="Arial" w:cs="Arial" w:eastAsia="Arial" w:hAnsi="Arial"/>
                <w:sz w:val="16"/>
                <w:szCs w:val="16"/>
                <w:b w:val="1"/>
                <w:bCs w:val="1"/>
                <w:color w:val="E2231A"/>
              </w:rPr>
              <w:t>•</w:t>
            </w:r>
          </w:p>
        </w:tc>
        <w:tc>
          <w:tcPr>
            <w:tcW w:w="1160" w:type="dxa"/>
            <w:vAlign w:val="bottom"/>
            <w:shd w:val="clear" w:color="auto" w:fill="FCE9E8"/>
          </w:tcPr>
          <w:p>
            <w:pPr>
              <w:ind w:left="280"/>
              <w:spacing w:after="0"/>
              <w:rPr>
                <w:sz w:val="20"/>
                <w:szCs w:val="20"/>
                <w:color w:val="auto"/>
              </w:rPr>
            </w:pPr>
            <w:r>
              <w:rPr>
                <w:rFonts w:ascii="Arial" w:cs="Arial" w:eastAsia="Arial" w:hAnsi="Arial"/>
                <w:sz w:val="16"/>
                <w:szCs w:val="16"/>
                <w:b w:val="1"/>
                <w:bCs w:val="1"/>
                <w:color w:val="999999"/>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Solutions</w:t>
            </w:r>
          </w:p>
        </w:tc>
        <w:tc>
          <w:tcPr>
            <w:tcW w:w="860" w:type="dxa"/>
            <w:vAlign w:val="bottom"/>
            <w:shd w:val="clear" w:color="auto" w:fill="FCE9E8"/>
          </w:tcPr>
          <w:p>
            <w:pPr>
              <w:spacing w:after="0"/>
              <w:rPr>
                <w:sz w:val="21"/>
                <w:szCs w:val="21"/>
                <w:color w:val="auto"/>
              </w:rPr>
            </w:pPr>
          </w:p>
        </w:tc>
        <w:tc>
          <w:tcPr>
            <w:tcW w:w="1240" w:type="dxa"/>
            <w:vAlign w:val="bottom"/>
            <w:shd w:val="clear" w:color="auto" w:fill="FCE9E8"/>
          </w:tcPr>
          <w:p>
            <w:pPr>
              <w:spacing w:after="0"/>
              <w:rPr>
                <w:sz w:val="21"/>
                <w:szCs w:val="21"/>
                <w:color w:val="auto"/>
              </w:rPr>
            </w:pPr>
          </w:p>
        </w:tc>
        <w:tc>
          <w:tcPr>
            <w:tcW w:w="780" w:type="dxa"/>
            <w:vAlign w:val="bottom"/>
            <w:shd w:val="clear" w:color="auto" w:fill="FCE9E8"/>
          </w:tcPr>
          <w:p>
            <w:pPr>
              <w:spacing w:after="0"/>
              <w:rPr>
                <w:sz w:val="21"/>
                <w:szCs w:val="21"/>
                <w:color w:val="auto"/>
              </w:rPr>
            </w:pPr>
          </w:p>
        </w:tc>
        <w:tc>
          <w:tcPr>
            <w:tcW w:w="1080" w:type="dxa"/>
            <w:vAlign w:val="bottom"/>
            <w:shd w:val="clear" w:color="auto" w:fill="FCE9E8"/>
          </w:tcPr>
          <w:p>
            <w:pPr>
              <w:spacing w:after="0"/>
              <w:rPr>
                <w:sz w:val="21"/>
                <w:szCs w:val="21"/>
                <w:color w:val="auto"/>
              </w:rPr>
            </w:pPr>
          </w:p>
        </w:tc>
        <w:tc>
          <w:tcPr>
            <w:tcW w:w="116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E2231A"/>
              </w:rPr>
              <w:t xml:space="preserve">Conrad L. Mallett, Jr. </w:t>
            </w:r>
            <w:r>
              <w:rPr>
                <w:rFonts w:ascii="Arial" w:cs="Arial" w:eastAsia="Arial" w:hAnsi="Arial"/>
                <w:sz w:val="17"/>
                <w:szCs w:val="17"/>
                <w:b w:val="1"/>
                <w:bCs w:val="1"/>
                <w:color w:val="000000"/>
              </w:rPr>
              <w:t>IND</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auto"/>
              </w:rPr>
              <w:t>Deputy Mayor, City of Detroit</w:t>
            </w: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68</w:t>
            </w: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2002</w:t>
            </w:r>
          </w:p>
        </w:tc>
        <w:tc>
          <w:tcPr>
            <w:tcW w:w="780" w:type="dxa"/>
            <w:vAlign w:val="bottom"/>
          </w:tcPr>
          <w:p>
            <w:pPr>
              <w:ind w:left="260"/>
              <w:spacing w:after="0"/>
              <w:rPr>
                <w:sz w:val="20"/>
                <w:szCs w:val="20"/>
                <w:color w:val="auto"/>
              </w:rPr>
            </w:pPr>
            <w:r>
              <w:rPr>
                <w:rFonts w:ascii="Arial" w:cs="Arial" w:eastAsia="Arial" w:hAnsi="Arial"/>
                <w:sz w:val="16"/>
                <w:szCs w:val="16"/>
                <w:b w:val="1"/>
                <w:bCs w:val="1"/>
                <w:color w:val="999999"/>
              </w:rPr>
              <w:t>•</w:t>
            </w:r>
          </w:p>
        </w:tc>
        <w:tc>
          <w:tcPr>
            <w:tcW w:w="1080" w:type="dxa"/>
            <w:vAlign w:val="bottom"/>
          </w:tcPr>
          <w:p>
            <w:pPr>
              <w:spacing w:after="0"/>
              <w:rPr>
                <w:sz w:val="20"/>
                <w:szCs w:val="20"/>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E2231A"/>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Raymond E. Scott</w:t>
            </w:r>
          </w:p>
        </w:tc>
        <w:tc>
          <w:tcPr>
            <w:tcW w:w="860" w:type="dxa"/>
            <w:vAlign w:val="bottom"/>
            <w:shd w:val="clear" w:color="auto" w:fill="FCE9E8"/>
          </w:tcPr>
          <w:p>
            <w:pPr>
              <w:spacing w:after="0"/>
              <w:rPr>
                <w:sz w:val="20"/>
                <w:szCs w:val="20"/>
                <w:color w:val="auto"/>
              </w:rPr>
            </w:pPr>
          </w:p>
        </w:tc>
        <w:tc>
          <w:tcPr>
            <w:tcW w:w="1240" w:type="dxa"/>
            <w:vAlign w:val="bottom"/>
            <w:shd w:val="clear" w:color="auto" w:fill="FCE9E8"/>
          </w:tcPr>
          <w:p>
            <w:pPr>
              <w:spacing w:after="0"/>
              <w:rPr>
                <w:sz w:val="20"/>
                <w:szCs w:val="20"/>
                <w:color w:val="auto"/>
              </w:rPr>
            </w:pPr>
          </w:p>
        </w:tc>
        <w:tc>
          <w:tcPr>
            <w:tcW w:w="780" w:type="dxa"/>
            <w:vAlign w:val="bottom"/>
            <w:shd w:val="clear" w:color="auto" w:fill="FCE9E8"/>
          </w:tcPr>
          <w:p>
            <w:pPr>
              <w:spacing w:after="0"/>
              <w:rPr>
                <w:sz w:val="20"/>
                <w:szCs w:val="20"/>
                <w:color w:val="auto"/>
              </w:rPr>
            </w:pPr>
          </w:p>
        </w:tc>
        <w:tc>
          <w:tcPr>
            <w:tcW w:w="1080" w:type="dxa"/>
            <w:vAlign w:val="bottom"/>
            <w:shd w:val="clear" w:color="auto" w:fill="FCE9E8"/>
          </w:tcPr>
          <w:p>
            <w:pPr>
              <w:spacing w:after="0"/>
              <w:rPr>
                <w:sz w:val="20"/>
                <w:szCs w:val="20"/>
                <w:color w:val="auto"/>
              </w:rPr>
            </w:pPr>
          </w:p>
        </w:tc>
        <w:tc>
          <w:tcPr>
            <w:tcW w:w="11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8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President and CEO</w:t>
            </w:r>
          </w:p>
        </w:tc>
        <w:tc>
          <w:tcPr>
            <w:tcW w:w="86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56</w:t>
            </w:r>
          </w:p>
        </w:tc>
        <w:tc>
          <w:tcPr>
            <w:tcW w:w="124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2018</w:t>
            </w:r>
          </w:p>
        </w:tc>
        <w:tc>
          <w:tcPr>
            <w:tcW w:w="780" w:type="dxa"/>
            <w:vAlign w:val="bottom"/>
            <w:shd w:val="clear" w:color="auto" w:fill="FCE9E8"/>
          </w:tcPr>
          <w:p>
            <w:pPr>
              <w:spacing w:after="0"/>
              <w:rPr>
                <w:sz w:val="21"/>
                <w:szCs w:val="21"/>
                <w:color w:val="auto"/>
              </w:rPr>
            </w:pPr>
          </w:p>
        </w:tc>
        <w:tc>
          <w:tcPr>
            <w:tcW w:w="1080" w:type="dxa"/>
            <w:vAlign w:val="bottom"/>
            <w:shd w:val="clear" w:color="auto" w:fill="FCE9E8"/>
          </w:tcPr>
          <w:p>
            <w:pPr>
              <w:spacing w:after="0"/>
              <w:rPr>
                <w:sz w:val="21"/>
                <w:szCs w:val="21"/>
                <w:color w:val="auto"/>
              </w:rPr>
            </w:pPr>
          </w:p>
        </w:tc>
        <w:tc>
          <w:tcPr>
            <w:tcW w:w="116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7"/>
                <w:szCs w:val="17"/>
                <w:b w:val="1"/>
                <w:bCs w:val="1"/>
                <w:color w:val="E2231A"/>
              </w:rPr>
              <w:t xml:space="preserve">Gregory C. Smith </w:t>
            </w:r>
            <w:r>
              <w:rPr>
                <w:rFonts w:ascii="Arial" w:cs="Arial" w:eastAsia="Arial" w:hAnsi="Arial"/>
                <w:sz w:val="17"/>
                <w:szCs w:val="17"/>
                <w:b w:val="1"/>
                <w:bCs w:val="1"/>
                <w:color w:val="000000"/>
              </w:rPr>
              <w:t>IND</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Former Vice Chairman of Ford Motor Company</w:t>
            </w: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70</w:t>
            </w: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2009</w:t>
            </w: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E</w:t>
            </w: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w:t>
            </w:r>
          </w:p>
        </w:tc>
        <w:tc>
          <w:tcPr>
            <w:tcW w:w="11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80" w:type="dxa"/>
            <w:vAlign w:val="bottom"/>
          </w:tcPr>
          <w:p>
            <w:pPr>
              <w:spacing w:after="0" w:line="141" w:lineRule="exact"/>
              <w:rPr>
                <w:sz w:val="20"/>
                <w:szCs w:val="20"/>
                <w:color w:val="auto"/>
              </w:rPr>
            </w:pPr>
            <w:r>
              <w:rPr>
                <w:rFonts w:ascii="Arial" w:cs="Arial" w:eastAsia="Arial" w:hAnsi="Arial"/>
                <w:sz w:val="15"/>
                <w:szCs w:val="15"/>
                <w:b w:val="1"/>
                <w:bCs w:val="1"/>
                <w:color w:val="auto"/>
              </w:rPr>
              <w:t xml:space="preserve">AC </w:t>
            </w:r>
            <w:r>
              <w:rPr>
                <w:rFonts w:ascii="Arial" w:cs="Arial" w:eastAsia="Arial" w:hAnsi="Arial"/>
                <w:sz w:val="15"/>
                <w:szCs w:val="15"/>
                <w:color w:val="auto"/>
              </w:rPr>
              <w:t>Audit Committee</w:t>
            </w:r>
          </w:p>
        </w:tc>
        <w:tc>
          <w:tcPr>
            <w:tcW w:w="860" w:type="dxa"/>
            <w:vAlign w:val="bottom"/>
            <w:vMerge w:val="restart"/>
          </w:tcPr>
          <w:p>
            <w:pPr>
              <w:ind w:left="360"/>
              <w:spacing w:after="0"/>
              <w:rPr>
                <w:sz w:val="20"/>
                <w:szCs w:val="20"/>
                <w:color w:val="auto"/>
              </w:rPr>
            </w:pPr>
            <w:r>
              <w:rPr>
                <w:rFonts w:ascii="Arial" w:cs="Arial" w:eastAsia="Arial" w:hAnsi="Arial"/>
                <w:sz w:val="16"/>
                <w:szCs w:val="16"/>
                <w:color w:val="E2231A"/>
                <w:w w:val="99"/>
              </w:rPr>
              <w:t xml:space="preserve">• </w:t>
            </w:r>
            <w:r>
              <w:rPr>
                <w:rFonts w:ascii="Arial" w:cs="Arial" w:eastAsia="Arial" w:hAnsi="Arial"/>
                <w:sz w:val="16"/>
                <w:szCs w:val="16"/>
                <w:color w:val="000000"/>
                <w:w w:val="99"/>
              </w:rPr>
              <w:t>Chair</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00" w:type="dxa"/>
            <w:vAlign w:val="bottom"/>
            <w:gridSpan w:val="2"/>
            <w:vMerge w:val="restart"/>
          </w:tcPr>
          <w:p>
            <w:pPr>
              <w:spacing w:after="0" w:line="162" w:lineRule="exact"/>
              <w:rPr>
                <w:sz w:val="20"/>
                <w:szCs w:val="20"/>
                <w:color w:val="auto"/>
              </w:rPr>
            </w:pPr>
            <w:r>
              <w:rPr>
                <w:rFonts w:ascii="Arial" w:cs="Arial" w:eastAsia="Arial" w:hAnsi="Arial"/>
                <w:sz w:val="15"/>
                <w:szCs w:val="15"/>
                <w:b w:val="1"/>
                <w:bCs w:val="1"/>
                <w:color w:val="auto"/>
              </w:rPr>
              <w:t xml:space="preserve">P&amp;C </w:t>
            </w:r>
            <w:r>
              <w:rPr>
                <w:rFonts w:ascii="Arial" w:cs="Arial" w:eastAsia="Arial" w:hAnsi="Arial"/>
                <w:sz w:val="15"/>
                <w:szCs w:val="15"/>
                <w:color w:val="auto"/>
              </w:rPr>
              <w:t>People and Compensation Committee</w:t>
            </w:r>
          </w:p>
        </w:tc>
        <w:tc>
          <w:tcPr>
            <w:tcW w:w="86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4800" w:type="dxa"/>
            <w:vAlign w:val="bottom"/>
            <w:gridSpan w:val="2"/>
            <w:vMerge w:val="continue"/>
          </w:tcPr>
          <w:p>
            <w:pPr>
              <w:spacing w:after="0"/>
              <w:rPr>
                <w:sz w:val="2"/>
                <w:szCs w:val="2"/>
                <w:color w:val="auto"/>
              </w:rPr>
            </w:pPr>
          </w:p>
        </w:tc>
        <w:tc>
          <w:tcPr>
            <w:tcW w:w="2100" w:type="dxa"/>
            <w:vAlign w:val="bottom"/>
            <w:gridSpan w:val="2"/>
            <w:vMerge w:val="restart"/>
          </w:tcPr>
          <w:p>
            <w:pPr>
              <w:ind w:left="360"/>
              <w:spacing w:after="0"/>
              <w:rPr>
                <w:sz w:val="20"/>
                <w:szCs w:val="20"/>
                <w:color w:val="auto"/>
              </w:rPr>
            </w:pPr>
            <w:r>
              <w:rPr>
                <w:rFonts w:ascii="Arial" w:cs="Arial" w:eastAsia="Arial" w:hAnsi="Arial"/>
                <w:sz w:val="16"/>
                <w:szCs w:val="16"/>
                <w:color w:val="999999"/>
              </w:rPr>
              <w:t xml:space="preserve">• </w:t>
            </w:r>
            <w:r>
              <w:rPr>
                <w:rFonts w:ascii="Arial" w:cs="Arial" w:eastAsia="Arial" w:hAnsi="Arial"/>
                <w:sz w:val="16"/>
                <w:szCs w:val="16"/>
                <w:color w:val="000000"/>
              </w:rPr>
              <w:t>Member</w:t>
            </w: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4800" w:type="dxa"/>
            <w:vAlign w:val="bottom"/>
            <w:gridSpan w:val="2"/>
          </w:tcPr>
          <w:p>
            <w:pPr>
              <w:spacing w:after="0" w:line="159" w:lineRule="exact"/>
              <w:rPr>
                <w:sz w:val="20"/>
                <w:szCs w:val="20"/>
                <w:color w:val="auto"/>
              </w:rPr>
            </w:pPr>
            <w:r>
              <w:rPr>
                <w:rFonts w:ascii="Arial" w:cs="Arial" w:eastAsia="Arial" w:hAnsi="Arial"/>
                <w:sz w:val="15"/>
                <w:szCs w:val="15"/>
                <w:b w:val="1"/>
                <w:bCs w:val="1"/>
                <w:color w:val="auto"/>
              </w:rPr>
              <w:t xml:space="preserve">NCGC </w:t>
            </w:r>
            <w:r>
              <w:rPr>
                <w:rFonts w:ascii="Arial" w:cs="Arial" w:eastAsia="Arial" w:hAnsi="Arial"/>
                <w:sz w:val="15"/>
                <w:szCs w:val="15"/>
                <w:color w:val="auto"/>
              </w:rPr>
              <w:t>Nominating and Corporate Governance Committee</w:t>
            </w:r>
          </w:p>
        </w:tc>
        <w:tc>
          <w:tcPr>
            <w:tcW w:w="21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IND </w:t>
            </w:r>
            <w:r>
              <w:rPr>
                <w:rFonts w:ascii="Arial" w:cs="Arial" w:eastAsia="Arial" w:hAnsi="Arial"/>
                <w:sz w:val="15"/>
                <w:szCs w:val="15"/>
                <w:color w:val="auto"/>
              </w:rPr>
              <w:t>Independent director under NYSE and SEC rules</w:t>
            </w:r>
          </w:p>
        </w:tc>
        <w:tc>
          <w:tcPr>
            <w:tcW w:w="2100" w:type="dxa"/>
            <w:vAlign w:val="bottom"/>
            <w:gridSpan w:val="2"/>
          </w:tcPr>
          <w:p>
            <w:pPr>
              <w:ind w:left="360"/>
              <w:spacing w:after="0"/>
              <w:rPr>
                <w:sz w:val="20"/>
                <w:szCs w:val="20"/>
                <w:color w:val="auto"/>
              </w:rPr>
            </w:pPr>
            <w:r>
              <w:rPr>
                <w:rFonts w:ascii="Arial" w:cs="Arial" w:eastAsia="Arial" w:hAnsi="Arial"/>
                <w:sz w:val="16"/>
                <w:szCs w:val="16"/>
                <w:color w:val="auto"/>
              </w:rPr>
              <w:t>E Ex Officio Member</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740"/>
        <w:spacing w:after="0"/>
        <w:rPr>
          <w:sz w:val="20"/>
          <w:szCs w:val="20"/>
          <w:color w:val="auto"/>
        </w:rPr>
      </w:pPr>
      <w:r>
        <w:rPr>
          <w:rFonts w:ascii="Arial" w:cs="Arial" w:eastAsia="Arial" w:hAnsi="Arial"/>
          <w:sz w:val="16"/>
          <w:szCs w:val="16"/>
          <w:b w:val="1"/>
          <w:bCs w:val="1"/>
          <w:color w:val="auto"/>
        </w:rPr>
        <w:t xml:space="preserve">Director Term: </w:t>
      </w:r>
      <w:r>
        <w:rPr>
          <w:rFonts w:ascii="Arial" w:cs="Arial" w:eastAsia="Arial" w:hAnsi="Arial"/>
          <w:sz w:val="16"/>
          <w:szCs w:val="16"/>
          <w:color w:val="auto"/>
        </w:rPr>
        <w:t>One Year</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 xml:space="preserve">Board Meetings in 2021: </w:t>
      </w:r>
      <w:r>
        <w:rPr>
          <w:rFonts w:ascii="Arial" w:cs="Arial" w:eastAsia="Arial" w:hAnsi="Arial"/>
          <w:sz w:val="16"/>
          <w:szCs w:val="16"/>
          <w:color w:val="auto"/>
        </w:rPr>
        <w:t>10</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 xml:space="preserve">Standard Board Committee Meetings in 2021: </w:t>
      </w:r>
      <w:r>
        <w:rPr>
          <w:rFonts w:ascii="Arial" w:cs="Arial" w:eastAsia="Arial" w:hAnsi="Arial"/>
          <w:sz w:val="16"/>
          <w:szCs w:val="16"/>
          <w:color w:val="auto"/>
        </w:rPr>
        <w:t>Audit Committee</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8, People and Compensation Committee (the “P&amp;C Committee”) 4,</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Nominating and Corporate Governance Committee (the</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“Nominating Committee”) 5</w:t>
      </w:r>
    </w:p>
    <w:p>
      <w:pPr>
        <w:spacing w:after="0" w:line="291" w:lineRule="exact"/>
        <w:rPr>
          <w:sz w:val="20"/>
          <w:szCs w:val="20"/>
          <w:color w:val="auto"/>
        </w:rPr>
      </w:pPr>
    </w:p>
    <w:p>
      <w:pPr>
        <w:ind w:left="680" w:hanging="29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58420</wp:posOffset>
            </wp:positionV>
            <wp:extent cx="899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104140</wp:posOffset>
            </wp:positionV>
            <wp:extent cx="62922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168910</wp:posOffset>
            </wp:positionV>
            <wp:extent cx="6292215"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480060"/>
                    </a:xfrm>
                    <a:prstGeom prst="rect">
                      <a:avLst/>
                    </a:prstGeom>
                    <a:noFill/>
                  </pic:spPr>
                </pic:pic>
              </a:graphicData>
            </a:graphic>
          </wp:anchor>
        </w:drawing>
      </w:r>
    </w:p>
    <w:p>
      <w:pPr>
        <w:spacing w:after="0" w:line="281" w:lineRule="exact"/>
        <w:rPr>
          <w:sz w:val="20"/>
          <w:szCs w:val="20"/>
          <w:color w:val="auto"/>
        </w:rPr>
      </w:pPr>
    </w:p>
    <w:p>
      <w:pPr>
        <w:ind w:left="720"/>
        <w:spacing w:after="0" w:line="161" w:lineRule="exact"/>
        <w:tabs>
          <w:tab w:leader="none" w:pos="960" w:val="left"/>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Pay Program Aligned with Business Strategy</w:t>
      </w:r>
      <w:r>
        <w:rPr>
          <w:rFonts w:ascii="Arial" w:cs="Arial" w:eastAsia="Arial" w:hAnsi="Arial"/>
          <w:sz w:val="14"/>
          <w:szCs w:val="14"/>
          <w:color w:val="auto"/>
        </w:rPr>
        <w:t>: Our incentive plan</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Robust Stock Ownership Guidelines</w:t>
      </w:r>
      <w:r>
        <w:rPr>
          <w:rFonts w:ascii="Arial" w:cs="Arial" w:eastAsia="Arial" w:hAnsi="Arial"/>
          <w:sz w:val="14"/>
          <w:szCs w:val="14"/>
          <w:color w:val="auto"/>
        </w:rPr>
        <w:t>: We have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-80645</wp:posOffset>
            </wp:positionV>
            <wp:extent cx="3086100" cy="436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6100" cy="43688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52" w:lineRule="exact"/>
        <w:rPr>
          <w:sz w:val="20"/>
          <w:szCs w:val="20"/>
          <w:color w:val="auto"/>
        </w:rPr>
      </w:pPr>
    </w:p>
    <w:p>
      <w:pPr>
        <w:ind w:left="1020"/>
        <w:spacing w:after="0" w:line="249" w:lineRule="auto"/>
        <w:rPr>
          <w:sz w:val="20"/>
          <w:szCs w:val="20"/>
          <w:color w:val="auto"/>
        </w:rPr>
      </w:pPr>
      <w:r>
        <w:rPr>
          <w:rFonts w:ascii="Arial" w:cs="Arial" w:eastAsia="Arial" w:hAnsi="Arial"/>
          <w:sz w:val="14"/>
          <w:szCs w:val="14"/>
          <w:color w:val="auto"/>
        </w:rPr>
        <w:t>performance measures are well aligned with our business strategy, correlative to total stockholder return and generally consistent with those used by our peer companies.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00"/>
        <w:spacing w:after="0" w:line="249" w:lineRule="auto"/>
        <w:rPr>
          <w:sz w:val="20"/>
          <w:szCs w:val="20"/>
          <w:color w:val="auto"/>
        </w:rPr>
      </w:pPr>
      <w:r>
        <w:rPr>
          <w:rFonts w:ascii="Arial" w:cs="Arial" w:eastAsia="Arial" w:hAnsi="Arial"/>
          <w:sz w:val="14"/>
          <w:szCs w:val="14"/>
          <w:color w:val="auto"/>
        </w:rPr>
        <w:t>management stock ownership guidelines that are applicable to all executive officers, including our named executive officers. The stock ownership guideline for our CEO is six times his annual base salary.</w:t>
      </w:r>
    </w:p>
    <w:p>
      <w:pPr>
        <w:spacing w:after="0" w:line="42" w:lineRule="exact"/>
        <w:rPr>
          <w:sz w:val="20"/>
          <w:szCs w:val="20"/>
          <w:color w:val="auto"/>
        </w:rPr>
      </w:pPr>
    </w:p>
    <w:p>
      <w:pPr>
        <w:sectPr>
          <w:pgSz w:w="11900" w:h="16838" w:orient="portrait"/>
          <w:cols w:equalWidth="0" w:num="2">
            <w:col w:w="5620" w:space="500"/>
            <w:col w:w="4740"/>
          </w:cols>
          <w:pgMar w:left="320" w:top="459" w:right="719" w:bottom="1440" w:gutter="0" w:footer="0" w:header="0"/>
          <w:type w:val="continuous"/>
        </w:sectPr>
      </w:pPr>
    </w:p>
    <w:p>
      <w:pPr>
        <w:ind w:left="720"/>
        <w:spacing w:after="0" w:line="161" w:lineRule="exact"/>
        <w:tabs>
          <w:tab w:leader="none" w:pos="960" w:val="left"/>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Balanced Mix of Performance Measures</w:t>
      </w:r>
      <w:r>
        <w:rPr>
          <w:rFonts w:ascii="Arial" w:cs="Arial" w:eastAsia="Arial" w:hAnsi="Arial"/>
          <w:sz w:val="14"/>
          <w:szCs w:val="14"/>
          <w:color w:val="auto"/>
        </w:rPr>
        <w:t>: We use multiple financial</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High Percentage of Performance-Based Pay</w:t>
      </w:r>
      <w:r>
        <w:rPr>
          <w:rFonts w:ascii="Arial" w:cs="Arial" w:eastAsia="Arial" w:hAnsi="Arial"/>
          <w:sz w:val="14"/>
          <w:szCs w:val="14"/>
          <w:color w:val="auto"/>
        </w:rPr>
        <w:t>: 100% of the annual</w:t>
      </w:r>
    </w:p>
    <w:p>
      <w:pPr>
        <w:sectPr>
          <w:pgSz w:w="11900" w:h="16838" w:orient="portrait"/>
          <w:cols w:equalWidth="0" w:num="1">
            <w:col w:w="10860"/>
          </w:cols>
          <w:pgMar w:left="320" w:top="459" w:right="719" w:bottom="1440" w:gutter="0" w:footer="0" w:header="0"/>
          <w:type w:val="continuous"/>
        </w:sectPr>
      </w:pPr>
    </w:p>
    <w:p>
      <w:pPr>
        <w:spacing w:after="0" w:line="52" w:lineRule="exact"/>
        <w:rPr>
          <w:sz w:val="20"/>
          <w:szCs w:val="20"/>
          <w:color w:val="auto"/>
        </w:rPr>
      </w:pPr>
    </w:p>
    <w:p>
      <w:pPr>
        <w:ind w:left="1020"/>
        <w:spacing w:after="0" w:line="249" w:lineRule="auto"/>
        <w:rPr>
          <w:sz w:val="20"/>
          <w:szCs w:val="20"/>
          <w:color w:val="auto"/>
        </w:rPr>
      </w:pPr>
      <w:r>
        <w:rPr>
          <w:rFonts w:ascii="Arial" w:cs="Arial" w:eastAsia="Arial" w:hAnsi="Arial"/>
          <w:sz w:val="14"/>
          <w:szCs w:val="14"/>
          <w:color w:val="auto"/>
        </w:rPr>
        <w:t>performance measures and stock price-based awards (stock options and relative Total Shareholder Return (TSR)) assessed over one and three-year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313055</wp:posOffset>
            </wp:positionV>
            <wp:extent cx="3206115" cy="788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788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incentive opportunity and the majority (60%) of the long-term incentive opportunity that we offered our named executive officers in 2021 are determined based on the achievement of specific performance measures. 90% of our CEO’s pay and on average 80% of our other named executive officers’ 2021 target total direct compensation is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7620</wp:posOffset>
            </wp:positionV>
            <wp:extent cx="308610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6100" cy="431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660" w:space="460"/>
            <w:col w:w="4740"/>
          </w:cols>
          <w:pgMar w:left="320" w:top="459" w:right="719" w:bottom="1440" w:gutter="0" w:footer="0" w:header="0"/>
          <w:type w:val="continuous"/>
        </w:sectPr>
      </w:pPr>
    </w:p>
    <w:p>
      <w:pPr>
        <w:ind w:left="720"/>
        <w:spacing w:after="0" w:line="161" w:lineRule="exact"/>
        <w:tabs>
          <w:tab w:leader="none" w:pos="960" w:val="left"/>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Independent Compensation Consultant for P&amp;C Committee</w:t>
      </w:r>
      <w:r>
        <w:rPr>
          <w:rFonts w:ascii="Arial" w:cs="Arial" w:eastAsia="Arial" w:hAnsi="Arial"/>
          <w:sz w:val="14"/>
          <w:szCs w:val="14"/>
          <w:color w:val="auto"/>
        </w:rPr>
        <w:t>: Our P&amp;C</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Clawback of Incentive Compensation</w:t>
      </w:r>
      <w:r>
        <w:rPr>
          <w:rFonts w:ascii="Arial" w:cs="Arial" w:eastAsia="Arial" w:hAnsi="Arial"/>
          <w:sz w:val="14"/>
          <w:szCs w:val="14"/>
          <w:color w:val="auto"/>
        </w:rPr>
        <w:t>: Our clawback policy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-80645</wp:posOffset>
            </wp:positionV>
            <wp:extent cx="3086100" cy="746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6100" cy="74612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52" w:lineRule="exact"/>
        <w:rPr>
          <w:sz w:val="20"/>
          <w:szCs w:val="20"/>
          <w:color w:val="auto"/>
        </w:rPr>
      </w:pPr>
    </w:p>
    <w:p>
      <w:pPr>
        <w:ind w:left="1020" w:right="200"/>
        <w:spacing w:after="0" w:line="258" w:lineRule="auto"/>
        <w:rPr>
          <w:sz w:val="20"/>
          <w:szCs w:val="20"/>
          <w:color w:val="auto"/>
        </w:rPr>
      </w:pPr>
      <w:r>
        <w:rPr>
          <w:rFonts w:ascii="Arial" w:cs="Arial" w:eastAsia="Arial" w:hAnsi="Arial"/>
          <w:sz w:val="14"/>
          <w:szCs w:val="14"/>
          <w:color w:val="auto"/>
        </w:rPr>
        <w:t>Committee has engaged Pay Governance LLC as its independent compensation consultant.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to all incentive-based cash and equity compensation granted to current and former executive officers. In the event that we are required to prepare an accounting restatement due to any such executive officer’s intentional misconduct, we will recover from him or her the amount, if any, of incentive compensation in excess of what would have been paid under the accounting restatement.</w:t>
      </w:r>
    </w:p>
    <w:p>
      <w:pPr>
        <w:spacing w:after="0" w:line="47" w:lineRule="exact"/>
        <w:rPr>
          <w:sz w:val="20"/>
          <w:szCs w:val="20"/>
          <w:color w:val="auto"/>
        </w:rPr>
      </w:pPr>
    </w:p>
    <w:p>
      <w:pPr>
        <w:sectPr>
          <w:pgSz w:w="11900" w:h="16838" w:orient="portrait"/>
          <w:cols w:equalWidth="0" w:num="2">
            <w:col w:w="5400" w:space="720"/>
            <w:col w:w="4740"/>
          </w:cols>
          <w:pgMar w:left="320" w:top="459" w:right="719" w:bottom="1440" w:gutter="0" w:footer="0" w:header="0"/>
          <w:type w:val="continuous"/>
        </w:sectPr>
      </w:pPr>
    </w:p>
    <w:p>
      <w:pPr>
        <w:ind w:left="720"/>
        <w:spacing w:after="0" w:line="161" w:lineRule="exact"/>
        <w:tabs>
          <w:tab w:leader="none" w:pos="960" w:val="left"/>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Annual Market Practices and Compensation Risk Review</w:t>
      </w:r>
      <w:r>
        <w:rPr>
          <w:rFonts w:ascii="Arial" w:cs="Arial" w:eastAsia="Arial" w:hAnsi="Arial"/>
          <w:sz w:val="14"/>
          <w:szCs w:val="14"/>
          <w:color w:val="auto"/>
        </w:rPr>
        <w:t>: On an</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Equity Retention Requirement</w:t>
      </w:r>
      <w:r>
        <w:rPr>
          <w:rFonts w:ascii="Arial" w:cs="Arial" w:eastAsia="Arial" w:hAnsi="Arial"/>
          <w:sz w:val="14"/>
          <w:szCs w:val="14"/>
          <w:color w:val="auto"/>
        </w:rPr>
        <w:t>: Until an executive satisfies the</w:t>
      </w:r>
    </w:p>
    <w:p>
      <w:pPr>
        <w:sectPr>
          <w:pgSz w:w="11900" w:h="16838" w:orient="portrait"/>
          <w:cols w:equalWidth="0" w:num="1">
            <w:col w:w="10860"/>
          </w:cols>
          <w:pgMar w:left="320" w:top="459" w:right="719" w:bottom="1440" w:gutter="0" w:footer="0" w:header="0"/>
          <w:type w:val="continuous"/>
        </w:sectPr>
      </w:pPr>
    </w:p>
    <w:p>
      <w:pPr>
        <w:spacing w:after="0" w:line="52" w:lineRule="exact"/>
        <w:rPr>
          <w:sz w:val="20"/>
          <w:szCs w:val="20"/>
          <w:color w:val="auto"/>
        </w:rPr>
      </w:pPr>
    </w:p>
    <w:p>
      <w:pPr>
        <w:ind w:left="1020"/>
        <w:spacing w:after="0" w:line="245" w:lineRule="auto"/>
        <w:rPr>
          <w:sz w:val="20"/>
          <w:szCs w:val="20"/>
          <w:color w:val="auto"/>
        </w:rPr>
      </w:pPr>
      <w:r>
        <w:rPr>
          <w:rFonts w:ascii="Arial" w:cs="Arial" w:eastAsia="Arial" w:hAnsi="Arial"/>
          <w:sz w:val="14"/>
          <w:szCs w:val="14"/>
          <w:color w:val="auto"/>
        </w:rPr>
        <w:t>annual basis, we assess the key elements of our executive compensation programs as compared to market practices and emerging trends, and consider our business strategy and talent needs. We also complete annually a comprehensive risk assessment of our employee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6350</wp:posOffset>
            </wp:positionV>
            <wp:extent cx="3206115" cy="48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applicable stock ownership guidelines, he or she must hold 50% of the net shares acquired upon the vesting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308610</wp:posOffset>
            </wp:positionV>
            <wp:extent cx="308610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6100" cy="43180"/>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5700" w:space="420"/>
            <w:col w:w="4740"/>
          </w:cols>
          <w:pgMar w:left="320" w:top="459" w:right="719" w:bottom="1440" w:gutter="0" w:footer="0" w:header="0"/>
          <w:type w:val="continuous"/>
        </w:sectPr>
      </w:pPr>
    </w:p>
    <w:p>
      <w:pPr>
        <w:ind w:left="720"/>
        <w:spacing w:after="0" w:line="161" w:lineRule="exact"/>
        <w:tabs>
          <w:tab w:leader="none" w:pos="960" w:val="left"/>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Holding Period for Career Shares</w:t>
      </w:r>
      <w:r>
        <w:rPr>
          <w:rFonts w:ascii="Arial" w:cs="Arial" w:eastAsia="Arial" w:hAnsi="Arial"/>
          <w:sz w:val="14"/>
          <w:szCs w:val="14"/>
          <w:color w:val="auto"/>
        </w:rPr>
        <w:t>: As part of our long-term incentive</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Vary Incentive Payouts Commensurate with Results.</w:t>
      </w:r>
      <w:r>
        <w:rPr>
          <w:rFonts w:ascii="MS PGothic" w:cs="MS PGothic" w:eastAsia="MS PGothic" w:hAnsi="MS PGothic"/>
          <w:sz w:val="14"/>
          <w:szCs w:val="14"/>
          <w:color w:val="auto"/>
        </w:rPr>
        <w:t xml:space="preserve"> </w:t>
      </w:r>
      <w:r>
        <w:rPr>
          <w:rFonts w:ascii="Arial" w:cs="Arial" w:eastAsia="Arial" w:hAnsi="Arial"/>
          <w:sz w:val="14"/>
          <w:szCs w:val="14"/>
          <w:color w:val="auto"/>
        </w:rPr>
        <w:t>Our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-80645</wp:posOffset>
            </wp:positionV>
            <wp:extent cx="3086100" cy="436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6100" cy="43688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52" w:lineRule="exact"/>
        <w:rPr>
          <w:sz w:val="20"/>
          <w:szCs w:val="20"/>
          <w:color w:val="auto"/>
        </w:rPr>
      </w:pPr>
    </w:p>
    <w:p>
      <w:pPr>
        <w:jc w:val="both"/>
        <w:ind w:left="1020"/>
        <w:spacing w:after="0" w:line="249" w:lineRule="auto"/>
        <w:rPr>
          <w:sz w:val="20"/>
          <w:szCs w:val="20"/>
          <w:color w:val="auto"/>
        </w:rPr>
      </w:pPr>
      <w:r>
        <w:rPr>
          <w:rFonts w:ascii="Arial" w:cs="Arial" w:eastAsia="Arial" w:hAnsi="Arial"/>
          <w:sz w:val="14"/>
          <w:szCs w:val="14"/>
          <w:color w:val="auto"/>
        </w:rPr>
        <w:t>package, the CEO and certain executives traditionally receive awards of time-based Career Shares. The units underlying the Career Shares must be held until the earlier of age 62 or three years after retirement.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740"/>
        <w:spacing w:after="0" w:line="258" w:lineRule="auto"/>
        <w:rPr>
          <w:sz w:val="20"/>
          <w:szCs w:val="20"/>
          <w:color w:val="auto"/>
        </w:rPr>
      </w:pPr>
      <w:r>
        <w:rPr>
          <w:rFonts w:ascii="Arial" w:cs="Arial" w:eastAsia="Arial" w:hAnsi="Arial"/>
          <w:sz w:val="14"/>
          <w:szCs w:val="14"/>
          <w:color w:val="auto"/>
        </w:rPr>
        <w:t>compensation payouts move up and down, reflecting Company performance.</w:t>
      </w:r>
    </w:p>
    <w:p>
      <w:pPr>
        <w:spacing w:after="0" w:line="354" w:lineRule="exact"/>
        <w:rPr>
          <w:sz w:val="20"/>
          <w:szCs w:val="20"/>
          <w:color w:val="auto"/>
        </w:rPr>
      </w:pPr>
    </w:p>
    <w:p>
      <w:pPr>
        <w:sectPr>
          <w:pgSz w:w="11900" w:h="16838" w:orient="portrait"/>
          <w:cols w:equalWidth="0" w:num="2">
            <w:col w:w="5640" w:space="480"/>
            <w:col w:w="4740"/>
          </w:cols>
          <w:pgMar w:left="320" w:top="459" w:right="719" w:bottom="1440" w:gutter="0" w:footer="0" w:header="0"/>
          <w:type w:val="continuous"/>
        </w:sectPr>
      </w:pP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168910</wp:posOffset>
            </wp:positionV>
            <wp:extent cx="6292215" cy="462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46291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20" w:lineRule="exact"/>
        <w:rPr>
          <w:sz w:val="20"/>
          <w:szCs w:val="20"/>
          <w:color w:val="auto"/>
        </w:rPr>
      </w:pPr>
    </w:p>
    <w:p>
      <w:pPr>
        <w:ind w:left="960" w:hanging="291"/>
        <w:spacing w:after="0" w:line="262" w:lineRule="auto"/>
        <w:tabs>
          <w:tab w:leader="none" w:pos="903" w:val="left"/>
        </w:tabs>
        <w:numPr>
          <w:ilvl w:val="0"/>
          <w:numId w:val="8"/>
        </w:numPr>
        <w:rPr>
          <w:rFonts w:ascii="MS PGothic" w:cs="MS PGothic" w:eastAsia="MS PGothic" w:hAnsi="MS PGothic"/>
          <w:sz w:val="14"/>
          <w:szCs w:val="14"/>
          <w:color w:val="auto"/>
        </w:rPr>
      </w:pPr>
      <w:r>
        <w:rPr>
          <w:rFonts w:ascii="Arial" w:cs="Arial" w:eastAsia="Arial" w:hAnsi="Arial"/>
          <w:sz w:val="14"/>
          <w:szCs w:val="14"/>
          <w:b w:val="1"/>
          <w:bCs w:val="1"/>
          <w:color w:val="auto"/>
        </w:rPr>
        <w:t>No Single-Trigger Change in Control Vesting of Equity Awards</w:t>
      </w:r>
      <w:r>
        <w:rPr>
          <w:rFonts w:ascii="Arial" w:cs="Arial" w:eastAsia="Arial" w:hAnsi="Arial"/>
          <w:sz w:val="14"/>
          <w:szCs w:val="14"/>
          <w:color w:val="auto"/>
        </w:rPr>
        <w:t>: All</w:t>
      </w:r>
      <w:r>
        <w:rPr>
          <w:rFonts w:ascii="Arial" w:cs="Arial" w:eastAsia="Arial" w:hAnsi="Arial"/>
          <w:sz w:val="14"/>
          <w:szCs w:val="14"/>
          <w:b w:val="1"/>
          <w:bCs w:val="1"/>
          <w:color w:val="auto"/>
        </w:rPr>
        <w:t xml:space="preserve"> </w:t>
      </w:r>
      <w:r>
        <w:rPr>
          <w:rFonts w:ascii="Arial" w:cs="Arial" w:eastAsia="Arial" w:hAnsi="Arial"/>
          <w:sz w:val="14"/>
          <w:szCs w:val="14"/>
          <w:color w:val="auto"/>
        </w:rPr>
        <w:t>equity awards are subject to “double-trigger” vesting upon a change in control, which protects our employees in the event of a change in control transaction and helps ensure an orderly transition of leadership.</w:t>
      </w:r>
    </w:p>
    <w:p>
      <w:pPr>
        <w:spacing w:after="0" w:line="25" w:lineRule="exact"/>
        <w:rPr>
          <w:rFonts w:ascii="MS PGothic" w:cs="MS PGothic" w:eastAsia="MS PGothic" w:hAnsi="MS PGothic"/>
          <w:sz w:val="14"/>
          <w:szCs w:val="14"/>
          <w:color w:val="auto"/>
        </w:rPr>
      </w:pPr>
    </w:p>
    <w:p>
      <w:pPr>
        <w:ind w:left="960" w:hanging="291"/>
        <w:spacing w:after="0" w:line="249" w:lineRule="auto"/>
        <w:tabs>
          <w:tab w:leader="none" w:pos="903" w:val="left"/>
        </w:tabs>
        <w:numPr>
          <w:ilvl w:val="0"/>
          <w:numId w:val="8"/>
        </w:numPr>
        <w:rPr>
          <w:rFonts w:ascii="MS PGothic" w:cs="MS PGothic" w:eastAsia="MS PGothic" w:hAnsi="MS PGothic"/>
          <w:sz w:val="14"/>
          <w:szCs w:val="14"/>
          <w:color w:val="auto"/>
        </w:rPr>
      </w:pPr>
      <w:r>
        <w:rPr>
          <w:rFonts w:ascii="Arial" w:cs="Arial" w:eastAsia="Arial" w:hAnsi="Arial"/>
          <w:sz w:val="14"/>
          <w:szCs w:val="14"/>
          <w:b w:val="1"/>
          <w:bCs w:val="1"/>
          <w:color w:val="auto"/>
        </w:rPr>
        <w:t>No Single-Trigger Change in Control Severance Benefits</w:t>
      </w:r>
      <w:r>
        <w:rPr>
          <w:rFonts w:ascii="Arial" w:cs="Arial" w:eastAsia="Arial" w:hAnsi="Arial"/>
          <w:sz w:val="14"/>
          <w:szCs w:val="14"/>
          <w:color w:val="auto"/>
        </w:rPr>
        <w:t>: Our</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executives are not eligible to receive severance benefits solely upon the occurrence of a change in control. This is intended to ensure that members of senior management are not influenced by their personal situations and are able to be objective in evaluating a potential change in control transaction.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288" w:right="300" w:hanging="288"/>
        <w:spacing w:after="0" w:line="262" w:lineRule="auto"/>
        <w:tabs>
          <w:tab w:leader="none" w:pos="265" w:val="left"/>
        </w:tabs>
        <w:numPr>
          <w:ilvl w:val="0"/>
          <w:numId w:val="9"/>
        </w:numPr>
        <w:rPr>
          <w:rFonts w:ascii="MS PGothic" w:cs="MS PGothic" w:eastAsia="MS PGothic" w:hAnsi="MS PGothic"/>
          <w:sz w:val="14"/>
          <w:szCs w:val="14"/>
          <w:color w:val="auto"/>
        </w:rPr>
      </w:pPr>
      <w:r>
        <w:rPr>
          <w:rFonts w:ascii="Arial" w:cs="Arial" w:eastAsia="Arial" w:hAnsi="Arial"/>
          <w:sz w:val="14"/>
          <w:szCs w:val="14"/>
          <w:b w:val="1"/>
          <w:bCs w:val="1"/>
          <w:color w:val="auto"/>
        </w:rPr>
        <w:t>No Hedging or Pledging of Company Stock</w:t>
      </w:r>
      <w:r>
        <w:rPr>
          <w:rFonts w:ascii="Arial" w:cs="Arial" w:eastAsia="Arial" w:hAnsi="Arial"/>
          <w:sz w:val="14"/>
          <w:szCs w:val="14"/>
          <w:color w:val="auto"/>
        </w:rPr>
        <w:t>: We maintain a formal</w:t>
      </w:r>
      <w:r>
        <w:rPr>
          <w:rFonts w:ascii="Arial" w:cs="Arial" w:eastAsia="Arial" w:hAnsi="Arial"/>
          <w:sz w:val="14"/>
          <w:szCs w:val="14"/>
          <w:b w:val="1"/>
          <w:bCs w:val="1"/>
          <w:color w:val="auto"/>
        </w:rPr>
        <w:t xml:space="preserve"> </w:t>
      </w:r>
      <w:r>
        <w:rPr>
          <w:rFonts w:ascii="Arial" w:cs="Arial" w:eastAsia="Arial" w:hAnsi="Arial"/>
          <w:sz w:val="14"/>
          <w:szCs w:val="14"/>
          <w:color w:val="auto"/>
        </w:rPr>
        <w:t>policy prohibiting our officers and directors from entering into hedging transactions involving Company stock and pledging Company stock as collateral for loans.</w:t>
      </w:r>
    </w:p>
    <w:p>
      <w:pPr>
        <w:spacing w:after="0" w:line="25" w:lineRule="exact"/>
        <w:rPr>
          <w:rFonts w:ascii="MS PGothic" w:cs="MS PGothic" w:eastAsia="MS PGothic" w:hAnsi="MS PGothic"/>
          <w:sz w:val="14"/>
          <w:szCs w:val="14"/>
          <w:color w:val="auto"/>
        </w:rPr>
      </w:pPr>
    </w:p>
    <w:p>
      <w:pPr>
        <w:ind w:left="288" w:right="340" w:hanging="288"/>
        <w:spacing w:after="0" w:line="305" w:lineRule="auto"/>
        <w:tabs>
          <w:tab w:leader="none" w:pos="265" w:val="left"/>
        </w:tabs>
        <w:numPr>
          <w:ilvl w:val="0"/>
          <w:numId w:val="9"/>
        </w:numPr>
        <w:rPr>
          <w:rFonts w:ascii="MS PGothic" w:cs="MS PGothic" w:eastAsia="MS PGothic" w:hAnsi="MS PGothic"/>
          <w:sz w:val="14"/>
          <w:szCs w:val="14"/>
          <w:color w:val="auto"/>
        </w:rPr>
      </w:pPr>
      <w:r>
        <w:rPr>
          <w:rFonts w:ascii="Arial" w:cs="Arial" w:eastAsia="Arial" w:hAnsi="Arial"/>
          <w:sz w:val="14"/>
          <w:szCs w:val="14"/>
          <w:b w:val="1"/>
          <w:bCs w:val="1"/>
          <w:color w:val="auto"/>
        </w:rPr>
        <w:t>No Excise Tax Gross-Ups</w:t>
      </w:r>
      <w:r>
        <w:rPr>
          <w:rFonts w:ascii="Arial" w:cs="Arial" w:eastAsia="Arial" w:hAnsi="Arial"/>
          <w:sz w:val="14"/>
          <w:szCs w:val="14"/>
          <w:color w:val="auto"/>
        </w:rPr>
        <w:t>: None of the employment agreements with</w:t>
      </w:r>
      <w:r>
        <w:rPr>
          <w:rFonts w:ascii="Arial" w:cs="Arial" w:eastAsia="Arial" w:hAnsi="Arial"/>
          <w:sz w:val="14"/>
          <w:szCs w:val="14"/>
          <w:b w:val="1"/>
          <w:bCs w:val="1"/>
          <w:color w:val="auto"/>
        </w:rPr>
        <w:t xml:space="preserve"> </w:t>
      </w:r>
      <w:r>
        <w:rPr>
          <w:rFonts w:ascii="Arial" w:cs="Arial" w:eastAsia="Arial" w:hAnsi="Arial"/>
          <w:sz w:val="14"/>
          <w:szCs w:val="14"/>
          <w:color w:val="auto"/>
        </w:rPr>
        <w:t>our executive officers contains an excise tax gross-up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-713740</wp:posOffset>
            </wp:positionV>
            <wp:extent cx="3111500" cy="419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00" cy="419735"/>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5580" w:space="192"/>
            <w:col w:w="5088"/>
          </w:cols>
          <w:pgMar w:left="320" w:top="459" w:right="719" w:bottom="1440" w:gutter="0" w:footer="0" w:header="0"/>
          <w:type w:val="continuous"/>
        </w:sectPr>
      </w:pPr>
    </w:p>
    <w:tbl>
      <w:tblPr>
        <w:tblLayout w:type="fixed"/>
        <w:tblInd w:w="660" w:type="dxa"/>
        <w:tblCellMar>
          <w:top w:w="0" w:type="dxa"/>
          <w:left w:w="0" w:type="dxa"/>
          <w:bottom w:w="0" w:type="dxa"/>
          <w:right w:w="0" w:type="dxa"/>
        </w:tblCellMar>
      </w:tblPr>
      <w:tr>
        <w:trPr>
          <w:trHeight w:val="228"/>
        </w:trPr>
        <w:tc>
          <w:tcPr>
            <w:tcW w:w="5020" w:type="dxa"/>
            <w:vAlign w:val="bottom"/>
            <w:shd w:val="clear" w:color="auto" w:fill="FCE9E8"/>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Repricing of Stock Options</w:t>
            </w:r>
            <w:r>
              <w:rPr>
                <w:rFonts w:ascii="Arial" w:cs="Arial" w:eastAsia="Arial" w:hAnsi="Arial"/>
                <w:sz w:val="14"/>
                <w:szCs w:val="14"/>
                <w:color w:val="auto"/>
              </w:rPr>
              <w:t>: We do not reprice our stock options or</w:t>
            </w:r>
          </w:p>
        </w:tc>
        <w:tc>
          <w:tcPr>
            <w:tcW w:w="4900" w:type="dxa"/>
            <w:vAlign w:val="bottom"/>
            <w:shd w:val="clear" w:color="auto" w:fill="FCE9E8"/>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Guarantee of Regular Incentive Plans</w:t>
            </w:r>
            <w:r>
              <w:rPr>
                <w:rFonts w:ascii="Arial" w:cs="Arial" w:eastAsia="Arial" w:hAnsi="Arial"/>
                <w:sz w:val="14"/>
                <w:szCs w:val="14"/>
                <w:color w:val="auto"/>
              </w:rPr>
              <w:t>: None of our regular</w:t>
            </w:r>
          </w:p>
        </w:tc>
      </w:tr>
      <w:tr>
        <w:trPr>
          <w:trHeight w:val="157"/>
        </w:trPr>
        <w:tc>
          <w:tcPr>
            <w:tcW w:w="5020" w:type="dxa"/>
            <w:vAlign w:val="bottom"/>
            <w:shd w:val="clear" w:color="auto" w:fill="FCE9E8"/>
          </w:tcPr>
          <w:p>
            <w:pPr>
              <w:ind w:left="300"/>
              <w:spacing w:after="0" w:line="157" w:lineRule="exact"/>
              <w:rPr>
                <w:sz w:val="20"/>
                <w:szCs w:val="20"/>
                <w:color w:val="auto"/>
              </w:rPr>
            </w:pPr>
            <w:r>
              <w:rPr>
                <w:rFonts w:ascii="Arial" w:cs="Arial" w:eastAsia="Arial" w:hAnsi="Arial"/>
                <w:sz w:val="14"/>
                <w:szCs w:val="14"/>
                <w:color w:val="auto"/>
              </w:rPr>
              <w:t>provide for cash buyouts of underwater options.</w:t>
            </w:r>
          </w:p>
        </w:tc>
        <w:tc>
          <w:tcPr>
            <w:tcW w:w="4900" w:type="dxa"/>
            <w:vAlign w:val="bottom"/>
            <w:shd w:val="clear" w:color="auto" w:fill="FCE9E8"/>
          </w:tcPr>
          <w:p>
            <w:pPr>
              <w:ind w:left="380"/>
              <w:spacing w:after="0" w:line="157" w:lineRule="exact"/>
              <w:rPr>
                <w:sz w:val="20"/>
                <w:szCs w:val="20"/>
                <w:color w:val="auto"/>
              </w:rPr>
            </w:pPr>
            <w:r>
              <w:rPr>
                <w:rFonts w:ascii="Arial" w:cs="Arial" w:eastAsia="Arial" w:hAnsi="Arial"/>
                <w:sz w:val="14"/>
                <w:szCs w:val="14"/>
                <w:color w:val="auto"/>
              </w:rPr>
              <w:t>incentive plans guarantee awards to our executive officers.</w:t>
            </w:r>
          </w:p>
        </w:tc>
      </w:tr>
    </w:tbl>
    <w:p>
      <w:pPr>
        <w:spacing w:after="0" w:line="261"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w:t>
      </w:r>
    </w:p>
    <w:p>
      <w:pPr>
        <w:sectPr>
          <w:pgSz w:w="11900" w:h="16838" w:orient="portrait"/>
          <w:cols w:equalWidth="0" w:num="1">
            <w:col w:w="10860"/>
          </w:cols>
          <w:pgMar w:left="320" w:top="459" w:right="7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814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Environmental, Social and Governance Highlights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104140</wp:posOffset>
            </wp:positionV>
            <wp:extent cx="6292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68" w:lineRule="exact"/>
        <w:rPr>
          <w:sz w:val="20"/>
          <w:szCs w:val="20"/>
          <w:color w:val="auto"/>
        </w:rPr>
      </w:pPr>
    </w:p>
    <w:p>
      <w:pPr>
        <w:ind w:left="660" w:right="40"/>
        <w:spacing w:after="0" w:line="251" w:lineRule="auto"/>
        <w:rPr>
          <w:sz w:val="20"/>
          <w:szCs w:val="20"/>
          <w:color w:val="auto"/>
        </w:rPr>
      </w:pPr>
      <w:r>
        <w:rPr>
          <w:rFonts w:ascii="Arial" w:cs="Arial" w:eastAsia="Arial" w:hAnsi="Arial"/>
          <w:sz w:val="16"/>
          <w:szCs w:val="16"/>
          <w:color w:val="auto"/>
        </w:rPr>
        <w:t xml:space="preserve">Responsible and sustainable environmental, social and governance (“ESG”) practices are integral to Lear’s strategy and operations. We are continuously working to embed ESG into our key processes such as enterprise risk management, facilities management, supplier selection and evaluation, and product innovation. Our ESG efforts demonstrate how we live our core value of </w:t>
      </w:r>
      <w:r>
        <w:rPr>
          <w:rFonts w:ascii="Arial" w:cs="Arial" w:eastAsia="Arial" w:hAnsi="Arial"/>
          <w:sz w:val="16"/>
          <w:szCs w:val="16"/>
          <w:i w:val="1"/>
          <w:iCs w:val="1"/>
          <w:color w:val="auto"/>
        </w:rPr>
        <w:t>Getting Results the Right</w:t>
      </w:r>
      <w:r>
        <w:rPr>
          <w:rFonts w:ascii="Arial" w:cs="Arial" w:eastAsia="Arial" w:hAnsi="Arial"/>
          <w:sz w:val="16"/>
          <w:szCs w:val="16"/>
          <w:color w:val="auto"/>
        </w:rPr>
        <w:t xml:space="preserve"> </w:t>
      </w:r>
      <w:r>
        <w:rPr>
          <w:rFonts w:ascii="Arial" w:cs="Arial" w:eastAsia="Arial" w:hAnsi="Arial"/>
          <w:sz w:val="16"/>
          <w:szCs w:val="16"/>
          <w:i w:val="1"/>
          <w:iCs w:val="1"/>
          <w:color w:val="auto"/>
        </w:rPr>
        <w:t>Way</w:t>
      </w:r>
      <w:r>
        <w:rPr>
          <w:rFonts w:ascii="Arial" w:cs="Arial" w:eastAsia="Arial" w:hAnsi="Arial"/>
          <w:sz w:val="16"/>
          <w:szCs w:val="16"/>
          <w:color w:val="auto"/>
        </w:rPr>
        <w:t>. Examples of key ESG-related actions during 2021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144145</wp:posOffset>
            </wp:positionV>
            <wp:extent cx="6292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62" w:lineRule="exact"/>
        <w:rPr>
          <w:sz w:val="20"/>
          <w:szCs w:val="20"/>
          <w:color w:val="auto"/>
        </w:rPr>
      </w:pPr>
    </w:p>
    <w:p>
      <w:pPr>
        <w:ind w:left="1760"/>
        <w:spacing w:after="0"/>
        <w:tabs>
          <w:tab w:leader="none" w:pos="5360" w:val="left"/>
          <w:tab w:leader="none" w:pos="8500" w:val="left"/>
        </w:tabs>
        <w:rPr>
          <w:sz w:val="20"/>
          <w:szCs w:val="20"/>
          <w:color w:val="auto"/>
        </w:rPr>
      </w:pPr>
      <w:r>
        <w:rPr>
          <w:rFonts w:ascii="Arial" w:cs="Arial" w:eastAsia="Arial" w:hAnsi="Arial"/>
          <w:sz w:val="14"/>
          <w:szCs w:val="14"/>
          <w:b w:val="1"/>
          <w:bCs w:val="1"/>
          <w:color w:val="E2231A"/>
        </w:rPr>
        <w:t>Environmental</w:t>
      </w:r>
      <w:r>
        <w:rPr>
          <w:sz w:val="20"/>
          <w:szCs w:val="20"/>
          <w:color w:val="auto"/>
        </w:rPr>
        <w:tab/>
      </w:r>
      <w:r>
        <w:rPr>
          <w:rFonts w:ascii="Arial" w:cs="Arial" w:eastAsia="Arial" w:hAnsi="Arial"/>
          <w:sz w:val="14"/>
          <w:szCs w:val="14"/>
          <w:b w:val="1"/>
          <w:bCs w:val="1"/>
          <w:color w:val="E2231A"/>
        </w:rPr>
        <w:t>Social</w:t>
      </w:r>
      <w:r>
        <w:rPr>
          <w:sz w:val="20"/>
          <w:szCs w:val="20"/>
          <w:color w:val="auto"/>
        </w:rPr>
        <w:tab/>
      </w:r>
      <w:r>
        <w:rPr>
          <w:rFonts w:ascii="Arial" w:cs="Arial" w:eastAsia="Arial" w:hAnsi="Arial"/>
          <w:sz w:val="14"/>
          <w:szCs w:val="14"/>
          <w:b w:val="1"/>
          <w:bCs w:val="1"/>
          <w:color w:val="E2231A"/>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26035</wp:posOffset>
            </wp:positionV>
            <wp:extent cx="6292215" cy="2948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948940"/>
                    </a:xfrm>
                    <a:prstGeom prst="rect">
                      <a:avLst/>
                    </a:prstGeom>
                    <a:noFill/>
                  </pic:spPr>
                </pic:pic>
              </a:graphicData>
            </a:graphic>
          </wp:anchor>
        </w:drawing>
      </w:r>
    </w:p>
    <w:p>
      <w:pPr>
        <w:sectPr>
          <w:pgSz w:w="11900" w:h="16838" w:orient="portrait"/>
          <w:cols w:equalWidth="0" w:num="1">
            <w:col w:w="10440"/>
          </w:cols>
          <w:pgMar w:left="320" w:top="459" w:right="1139" w:bottom="1440" w:gutter="0" w:footer="0" w:header="0"/>
        </w:sectPr>
      </w:pPr>
    </w:p>
    <w:p>
      <w:pPr>
        <w:spacing w:after="0" w:line="105" w:lineRule="exact"/>
        <w:rPr>
          <w:sz w:val="20"/>
          <w:szCs w:val="20"/>
          <w:color w:val="auto"/>
        </w:rPr>
      </w:pPr>
    </w:p>
    <w:p>
      <w:pPr>
        <w:ind w:left="820" w:right="100" w:hanging="151"/>
        <w:spacing w:after="0" w:line="229" w:lineRule="auto"/>
        <w:tabs>
          <w:tab w:leader="none" w:pos="8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Worked to formulate a strategy to achieve Lear’s 2030 climate goals of 100% renewable energy and a 50% reduction in our carbon footprint at our manufacturing sites, consisting of a mix of efficiency improvements, on-site energy generation and the purchase of renewable energy</w:t>
      </w:r>
    </w:p>
    <w:p>
      <w:pPr>
        <w:spacing w:after="0" w:line="103" w:lineRule="exact"/>
        <w:rPr>
          <w:rFonts w:ascii="Arial" w:cs="Arial" w:eastAsia="Arial" w:hAnsi="Arial"/>
          <w:sz w:val="15"/>
          <w:szCs w:val="15"/>
          <w:color w:val="auto"/>
        </w:rPr>
      </w:pPr>
    </w:p>
    <w:p>
      <w:pPr>
        <w:ind w:left="820" w:right="40" w:hanging="151"/>
        <w:spacing w:after="0" w:line="233" w:lineRule="auto"/>
        <w:tabs>
          <w:tab w:leader="none" w:pos="8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Released our Energy Efficiency Playbook to share and facilitate best practice energy usage and reductions in our operations globally</w:t>
      </w:r>
    </w:p>
    <w:p>
      <w:pPr>
        <w:spacing w:after="0" w:line="99" w:lineRule="exact"/>
        <w:rPr>
          <w:rFonts w:ascii="Arial" w:cs="Arial" w:eastAsia="Arial" w:hAnsi="Arial"/>
          <w:sz w:val="15"/>
          <w:szCs w:val="15"/>
          <w:color w:val="auto"/>
        </w:rPr>
      </w:pPr>
    </w:p>
    <w:p>
      <w:pPr>
        <w:ind w:left="820" w:right="20" w:hanging="151"/>
        <w:spacing w:after="0" w:line="230" w:lineRule="auto"/>
        <w:tabs>
          <w:tab w:leader="none" w:pos="8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Introduced updated facility specifications to further ensure that our new and refurbished plants use energy efficient equipment, including heating and cooling, LED lighting and plant-wide ventilation systems, among others, when practicable</w:t>
      </w:r>
    </w:p>
    <w:p>
      <w:pPr>
        <w:spacing w:after="0" w:line="101" w:lineRule="exact"/>
        <w:rPr>
          <w:rFonts w:ascii="Arial" w:cs="Arial" w:eastAsia="Arial" w:hAnsi="Arial"/>
          <w:sz w:val="15"/>
          <w:szCs w:val="15"/>
          <w:color w:val="auto"/>
        </w:rPr>
      </w:pPr>
    </w:p>
    <w:p>
      <w:pPr>
        <w:ind w:left="820" w:hanging="151"/>
        <w:spacing w:after="0" w:line="235" w:lineRule="auto"/>
        <w:tabs>
          <w:tab w:leader="none" w:pos="8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Conducted life cycle assessments of our major products to measure and understand their carbon footprint</w:t>
      </w:r>
    </w:p>
    <w:p>
      <w:pPr>
        <w:spacing w:after="0" w:line="100" w:lineRule="exact"/>
        <w:rPr>
          <w:rFonts w:ascii="Arial" w:cs="Arial" w:eastAsia="Arial" w:hAnsi="Arial"/>
          <w:sz w:val="15"/>
          <w:szCs w:val="15"/>
          <w:color w:val="auto"/>
        </w:rPr>
      </w:pPr>
    </w:p>
    <w:p>
      <w:pPr>
        <w:ind w:left="820" w:right="80" w:hanging="151"/>
        <w:spacing w:after="0" w:line="231" w:lineRule="auto"/>
        <w:tabs>
          <w:tab w:leader="none" w:pos="8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Continued to develop and commercialize innovative products that support key sustainable and emerging industry trends, such as connectivity, electrification, and shared mobility</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50" w:right="180" w:hanging="150"/>
        <w:spacing w:after="0" w:line="233" w:lineRule="auto"/>
        <w:tabs>
          <w:tab w:leader="none" w:pos="137"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Conducted more than 190,000 hours of Diversity, Equity and Inclusion (“DEI”) and Expect Respect anti-harassment training since 2019</w:t>
      </w:r>
    </w:p>
    <w:p>
      <w:pPr>
        <w:spacing w:after="0" w:line="83" w:lineRule="exact"/>
        <w:rPr>
          <w:rFonts w:ascii="Arial" w:cs="Arial" w:eastAsia="Arial" w:hAnsi="Arial"/>
          <w:sz w:val="15"/>
          <w:szCs w:val="15"/>
          <w:color w:val="auto"/>
        </w:rPr>
      </w:pPr>
    </w:p>
    <w:p>
      <w:pPr>
        <w:ind w:left="150" w:hanging="150"/>
        <w:spacing w:after="0" w:line="238" w:lineRule="auto"/>
        <w:tabs>
          <w:tab w:leader="none" w:pos="137"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Developed the </w:t>
      </w:r>
      <w:r>
        <w:rPr>
          <w:rFonts w:ascii="Arial" w:cs="Arial" w:eastAsia="Arial" w:hAnsi="Arial"/>
          <w:sz w:val="15"/>
          <w:szCs w:val="15"/>
          <w:i w:val="1"/>
          <w:iCs w:val="1"/>
          <w:color w:val="auto"/>
        </w:rPr>
        <w:t>Together We Grow</w:t>
      </w:r>
      <w:r>
        <w:rPr>
          <w:rFonts w:ascii="Arial" w:cs="Arial" w:eastAsia="Arial" w:hAnsi="Arial"/>
          <w:sz w:val="15"/>
          <w:szCs w:val="15"/>
          <w:color w:val="auto"/>
        </w:rPr>
        <w:t xml:space="preserve"> program to assist diverse, high-potential leaders in developing executive skills and a pathway to career advancement</w:t>
      </w:r>
    </w:p>
    <w:p>
      <w:pPr>
        <w:spacing w:after="0" w:line="101" w:lineRule="exact"/>
        <w:rPr>
          <w:rFonts w:ascii="Arial" w:cs="Arial" w:eastAsia="Arial" w:hAnsi="Arial"/>
          <w:sz w:val="15"/>
          <w:szCs w:val="15"/>
          <w:color w:val="auto"/>
        </w:rPr>
      </w:pPr>
    </w:p>
    <w:p>
      <w:pPr>
        <w:ind w:left="150" w:right="20" w:hanging="150"/>
        <w:spacing w:after="0" w:line="230" w:lineRule="auto"/>
        <w:tabs>
          <w:tab w:leader="none" w:pos="1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Assisted the communities in which we live and work, including administering more than 65,000 COVID-19 vaccines to employees, their families, and local communities in Mexico and conducting employee-driven giving initiatives throughout the world</w:t>
      </w:r>
    </w:p>
    <w:p>
      <w:pPr>
        <w:spacing w:after="0" w:line="101" w:lineRule="exact"/>
        <w:rPr>
          <w:rFonts w:ascii="Arial" w:cs="Arial" w:eastAsia="Arial" w:hAnsi="Arial"/>
          <w:sz w:val="15"/>
          <w:szCs w:val="15"/>
          <w:color w:val="auto"/>
        </w:rPr>
      </w:pPr>
    </w:p>
    <w:p>
      <w:pPr>
        <w:ind w:left="150" w:right="60" w:hanging="150"/>
        <w:spacing w:after="0" w:line="233" w:lineRule="auto"/>
        <w:tabs>
          <w:tab w:leader="none" w:pos="137"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Released new Hybrid Work Playbook with tips from Lear’s leaders to help employees stay engaged, productive and healthy in our flexible work environments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49" w:hanging="149"/>
        <w:spacing w:after="0" w:line="235" w:lineRule="auto"/>
        <w:tabs>
          <w:tab w:leader="none" w:pos="1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Emphasized the importance of sustainability in Lear’s business by establishing ESG as one of our four strategic pillars</w:t>
      </w:r>
    </w:p>
    <w:p>
      <w:pPr>
        <w:spacing w:after="0" w:line="100" w:lineRule="exact"/>
        <w:rPr>
          <w:rFonts w:ascii="Arial" w:cs="Arial" w:eastAsia="Arial" w:hAnsi="Arial"/>
          <w:sz w:val="15"/>
          <w:szCs w:val="15"/>
          <w:color w:val="auto"/>
        </w:rPr>
      </w:pPr>
    </w:p>
    <w:p>
      <w:pPr>
        <w:ind w:left="149" w:right="220" w:hanging="149"/>
        <w:spacing w:after="0" w:line="233" w:lineRule="auto"/>
        <w:tabs>
          <w:tab w:leader="none" w:pos="127"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Assessed 1,600 production supplier sites across the globe against ESG criteria, including environmental stewardship and human rights</w:t>
      </w:r>
    </w:p>
    <w:p>
      <w:pPr>
        <w:spacing w:after="0" w:line="99" w:lineRule="exact"/>
        <w:rPr>
          <w:rFonts w:ascii="Arial" w:cs="Arial" w:eastAsia="Arial" w:hAnsi="Arial"/>
          <w:sz w:val="15"/>
          <w:szCs w:val="15"/>
          <w:color w:val="auto"/>
        </w:rPr>
      </w:pPr>
    </w:p>
    <w:p>
      <w:pPr>
        <w:ind w:left="149" w:right="80" w:hanging="149"/>
        <w:spacing w:after="0" w:line="229" w:lineRule="auto"/>
        <w:tabs>
          <w:tab w:leader="none" w:pos="1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Enhanced transparency and reporting in accordance with the Global Reporting Initiatives’ (“GRI”) Core Requirements, as well as the Sustainability Accounting Standards Board (“SASB”) and Task Force on Climate-Related Financial Disclosures (“TCFD”) recommendations</w:t>
      </w:r>
    </w:p>
    <w:p>
      <w:pPr>
        <w:spacing w:after="0" w:line="103" w:lineRule="exact"/>
        <w:rPr>
          <w:rFonts w:ascii="Arial" w:cs="Arial" w:eastAsia="Arial" w:hAnsi="Arial"/>
          <w:sz w:val="15"/>
          <w:szCs w:val="15"/>
          <w:color w:val="auto"/>
        </w:rPr>
      </w:pPr>
    </w:p>
    <w:p>
      <w:pPr>
        <w:ind w:left="149" w:hanging="149"/>
        <w:spacing w:after="0" w:line="235" w:lineRule="auto"/>
        <w:tabs>
          <w:tab w:leader="none" w:pos="1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Continued engagement with current and potential investors on ESG topics of interest throughout the year</w:t>
      </w:r>
    </w:p>
    <w:p>
      <w:pPr>
        <w:spacing w:after="0" w:line="1616" w:lineRule="exact"/>
        <w:rPr>
          <w:sz w:val="20"/>
          <w:szCs w:val="20"/>
          <w:color w:val="auto"/>
        </w:rPr>
      </w:pPr>
    </w:p>
    <w:p>
      <w:pPr>
        <w:sectPr>
          <w:pgSz w:w="11900" w:h="16838" w:orient="portrait"/>
          <w:cols w:equalWidth="0" w:num="3">
            <w:col w:w="3740" w:space="210"/>
            <w:col w:w="3170" w:space="191"/>
            <w:col w:w="3129"/>
          </w:cols>
          <w:pgMar w:left="320" w:top="459" w:right="1139" w:bottom="1440" w:gutter="0" w:footer="0" w:header="0"/>
          <w:type w:val="continuous"/>
        </w:sectPr>
      </w:pPr>
    </w:p>
    <w:p>
      <w:pPr>
        <w:spacing w:after="0" w:line="84" w:lineRule="exact"/>
        <w:rPr>
          <w:sz w:val="20"/>
          <w:szCs w:val="20"/>
          <w:color w:val="auto"/>
        </w:rPr>
      </w:pPr>
    </w:p>
    <w:p>
      <w:pPr>
        <w:ind w:left="680" w:hanging="29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40"/>
          </w:cols>
          <w:pgMar w:left="320" w:top="459" w:right="11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5100"/>
        <w:spacing w:after="0"/>
        <w:rPr>
          <w:sz w:val="20"/>
          <w:szCs w:val="20"/>
          <w:color w:val="auto"/>
        </w:rPr>
      </w:pPr>
      <w:r>
        <w:rPr>
          <w:rFonts w:ascii="Arial" w:cs="Arial" w:eastAsia="Arial" w:hAnsi="Arial"/>
          <w:sz w:val="40"/>
          <w:szCs w:val="40"/>
          <w:b w:val="1"/>
          <w:bCs w:val="1"/>
          <w:color w:val="E2231A"/>
        </w:rPr>
        <w:t>ELECTION OF DIRECTORS</w:t>
      </w:r>
    </w:p>
    <w:p>
      <w:pPr>
        <w:sectPr>
          <w:pgSz w:w="11900" w:h="16838" w:orient="portrait"/>
          <w:cols w:equalWidth="0" w:num="1">
            <w:col w:w="10860"/>
          </w:cols>
          <w:pgMar w:left="320" w:top="459" w:right="719" w:bottom="1440" w:gutter="0" w:footer="0" w:header="0"/>
        </w:sectPr>
      </w:pPr>
    </w:p>
    <w:p>
      <w:pPr>
        <w:spacing w:after="0" w:line="107"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1)</w:t>
      </w: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Upon the recommendation of our Nominating Committee, the Board has nominated the ten individuals listed below to stand for election to the Board for a one-year term ending at the annual meeting of stockholders in 2023 or until their successors, if any, are elected or appointed. Our Amended and Restated Certificate of Incorporation and Amended and Restated Bylaws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The Board has determined that each director nominee, other than Mr. Scott, if elected, would be an independent director, as further described below in “Directors and Corporate Governance — Independence of Directors.”</w:t>
      </w:r>
    </w:p>
    <w:p>
      <w:pPr>
        <w:spacing w:after="0" w:line="94"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Our Corporate Governance Guidelines also includes a mandatory retirement age policy whereby an individual who has reached the age of seventy-two (72) may not stand for election or re-election to the Board. Mei-Wei Cheng is currently seventy-two (72) years of age and joined the Board in 2019. Given Mr. Cheng’s short tenure on the Board, and his leadership experience with a particular focus on Asian markets and his extensive knowledge of the automotive industry, the Board determined that it is in the Company’s best interest to waive the retirement age policy for Mr. Cheng in order for him to stand for re-election and continue serving on the Board. See “Directors and Corporate Governance — Board Retirement Policy.”</w:t>
      </w:r>
    </w:p>
    <w:p>
      <w:pPr>
        <w:spacing w:after="0" w:line="472"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64" w:lineRule="exact"/>
        <w:rPr>
          <w:sz w:val="20"/>
          <w:szCs w:val="20"/>
          <w:color w:val="auto"/>
        </w:rPr>
      </w:pPr>
    </w:p>
    <w:p>
      <w:pPr>
        <w:jc w:val="both"/>
        <w:ind w:left="660" w:right="500"/>
        <w:spacing w:after="0" w:line="253"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652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E2231A"/>
              </w:rPr>
              <w:t>Position</w:t>
            </w:r>
          </w:p>
        </w:tc>
      </w:tr>
      <w:tr>
        <w:trPr>
          <w:trHeight w:val="244"/>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Mei-Wei Cheng</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Jonathan F. Foster</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Bradley M. Halverson</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Mary Lou Jepsen</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Roger A. Krone</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Patricia L. Lewis</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Kathleen A. Ligocki</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Conrad L. Mallett, Jr.</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 President and Chief Executive Officer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Gregory C. Smith</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 Non-Executive Chairman</w:t>
            </w:r>
          </w:p>
        </w:tc>
      </w:tr>
      <w:tr>
        <w:trPr>
          <w:trHeight w:val="47"/>
        </w:trPr>
        <w:tc>
          <w:tcPr>
            <w:tcW w:w="340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sectPr>
          <w:pgSz w:w="11900" w:h="16838" w:orient="portrait"/>
          <w:cols w:equalWidth="0" w:num="1">
            <w:col w:w="10860"/>
          </w:cols>
          <w:pgMar w:left="320" w:top="459" w:right="719" w:bottom="1440" w:gutter="0" w:footer="0" w:header="0"/>
          <w:type w:val="continuous"/>
        </w:sectPr>
      </w:pPr>
    </w:p>
    <w:p>
      <w:pPr>
        <w:spacing w:after="0" w:line="20"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Biographical information relating to each of the director nominees is set forth below under “Directors and Corporate Governance” and incorporated by reference herein.</w:t>
      </w:r>
    </w:p>
    <w:p>
      <w:pPr>
        <w:spacing w:after="0" w:line="73"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color w:val="auto"/>
        </w:rPr>
        <w:t>THE BOARD UNANIMOUSLY RECOMMENDS A VOTE “FOR” THE ELECTION OF EACH OF LEAR’S DIRECTOR NOMINEES NAMED IN THIS PROXY STATEMENT.</w:t>
      </w:r>
    </w:p>
    <w:p>
      <w:pPr>
        <w:spacing w:after="0" w:line="20" w:lineRule="exact"/>
        <w:rPr>
          <w:sz w:val="20"/>
          <w:szCs w:val="20"/>
          <w:color w:val="auto"/>
        </w:rPr>
      </w:pPr>
      <w:r>
        <w:rPr>
          <w:sz w:val="20"/>
          <w:szCs w:val="20"/>
          <w:color w:val="auto"/>
        </w:rPr>
        <w:br w:type="column"/>
      </w:r>
    </w:p>
    <w:p>
      <w:pPr>
        <w:ind w:right="36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ELECTION OF EACH OF LEAR’S DIRECTOR NOMINEES NAMED IN THIS PROXY STATEMENT UNLESS STOCKHOLDERS SPECIFY A CONTRARY VOTE.</w:t>
      </w:r>
    </w:p>
    <w:p>
      <w:pPr>
        <w:spacing w:after="0" w:line="692" w:lineRule="exact"/>
        <w:rPr>
          <w:sz w:val="20"/>
          <w:szCs w:val="20"/>
          <w:color w:val="auto"/>
        </w:rPr>
      </w:pPr>
    </w:p>
    <w:p>
      <w:pPr>
        <w:sectPr>
          <w:pgSz w:w="11900" w:h="16838" w:orient="portrait"/>
          <w:cols w:equalWidth="0" w:num="2">
            <w:col w:w="5340" w:space="380"/>
            <w:col w:w="5140"/>
          </w:cols>
          <w:pgMar w:left="320" w:top="459" w:right="719" w:bottom="1440" w:gutter="0" w:footer="0" w:header="0"/>
          <w:type w:val="continuous"/>
        </w:sectPr>
      </w:pPr>
    </w:p>
    <w:p>
      <w:pPr>
        <w:spacing w:after="0" w:line="182" w:lineRule="exact"/>
        <w:rPr>
          <w:sz w:val="20"/>
          <w:szCs w:val="20"/>
          <w:color w:val="auto"/>
        </w:rPr>
      </w:pPr>
    </w:p>
    <w:p>
      <w:pPr>
        <w:ind w:left="8820"/>
        <w:spacing w:after="0"/>
        <w:tabs>
          <w:tab w:leader="none" w:pos="10520" w:val="left"/>
          <w:tab w:leader="none" w:pos="107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w:t>
      </w:r>
    </w:p>
    <w:p>
      <w:pPr>
        <w:sectPr>
          <w:pgSz w:w="11900" w:h="16838" w:orient="portrait"/>
          <w:cols w:equalWidth="0" w:num="1">
            <w:col w:w="10860"/>
          </w:cols>
          <w:pgMar w:left="320" w:top="459" w:right="7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DIRECTORS AND CORPORATE GOVERNANCE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Biographical Information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right="440"/>
        <w:spacing w:after="0" w:line="251" w:lineRule="auto"/>
        <w:rPr>
          <w:sz w:val="20"/>
          <w:szCs w:val="20"/>
          <w:color w:val="auto"/>
        </w:rPr>
      </w:pPr>
      <w:r>
        <w:rPr>
          <w:rFonts w:ascii="Arial" w:cs="Arial" w:eastAsia="Arial" w:hAnsi="Arial"/>
          <w:sz w:val="16"/>
          <w:szCs w:val="16"/>
          <w:color w:val="auto"/>
        </w:rPr>
        <w:t>Set forth below is a description of the business experience of each director nominee, as well as the specific qualifications, skills and experiences considered by the Nominating Committee and the Board in recommending our slate of director nominees. Each director nominee listed below is nominated for election to the Board for a term expiring at the annual meeting of stockholders in 2023. See “Election of Directors (Proposal No. 1).”</w:t>
      </w:r>
    </w:p>
    <w:p>
      <w:pPr>
        <w:spacing w:after="0" w:line="213"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Mei-Wei Cheng</w:t>
      </w:r>
      <w:r>
        <w:rPr>
          <w:sz w:val="20"/>
          <w:szCs w:val="20"/>
          <w:color w:val="auto"/>
        </w:rPr>
        <w:tab/>
      </w:r>
      <w:r>
        <w:rPr>
          <w:rFonts w:ascii="Arial" w:cs="Arial" w:eastAsia="Arial" w:hAnsi="Arial"/>
          <w:sz w:val="16"/>
          <w:szCs w:val="16"/>
          <w:color w:val="auto"/>
        </w:rPr>
        <w:t>Age: 72</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20" w:hanging="130"/>
        <w:spacing w:after="0"/>
        <w:tabs>
          <w:tab w:leader="none" w:pos="3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P&amp;C</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6" w:lineRule="auto"/>
        <w:rPr>
          <w:sz w:val="20"/>
          <w:szCs w:val="20"/>
          <w:color w:val="auto"/>
        </w:rPr>
      </w:pPr>
      <w:r>
        <w:rPr>
          <w:rFonts w:ascii="Arial" w:cs="Arial" w:eastAsia="Arial" w:hAnsi="Arial"/>
          <w:sz w:val="16"/>
          <w:szCs w:val="16"/>
          <w:color w:val="auto"/>
        </w:rPr>
        <w:t>Mr. Cheng has been a director of the Company since January 2019. Additionally, Mr. Cheng is a member of the Board of Directors of NIU Technologies (Nasdaq: NIU). He also serves as a member of the Board of Directors and special advisor of Grobest Group Limited, an Asian aquaculture feed company. Mr. Cheng has served as the Non-Executive Chairman of both HCP Packaging since August 2018 and Interplex Holdings Pte. Ltd., from September 2019 to January 2022, both Baring Private Equity Asia portfolio companies. Mr. Cheng has served as an Advisory Board member of (i) CareSyntax, a technology and services platform for hospitals, since May 2018 and (ii) Lumileds, a lighting company, since April 2018. Additionally, Mr. Cheng currently serves as a Senior Venture Partner of Fontinalis Capital Partners II, a position he has held since December 2014. He is also a member of the Cornell Engineering College Advisory Council, the Cornell China Advisory Board and the Dartmouth Tuck Asia Advisory Board. From July 2012 to October 2018, Mr. Cheng served as a member of the Audit and Finance Committee of the Board of Directors for Seagate Technology (Nasdaq: STX), a data storage company. From February 2015 to January 2017, Mr. Cheng served as the Chairman of the Board of Directors of Pactera Technology International Ltd., a portfolio company of Blackstone Group.</w:t>
      </w:r>
    </w:p>
    <w:p>
      <w:pPr>
        <w:spacing w:after="0" w:line="5" w:lineRule="exact"/>
        <w:rPr>
          <w:sz w:val="20"/>
          <w:szCs w:val="20"/>
          <w:color w:val="auto"/>
        </w:rPr>
      </w:pPr>
    </w:p>
    <w:p>
      <w:pPr>
        <w:ind w:left="2660" w:right="40"/>
        <w:spacing w:after="0" w:line="247" w:lineRule="auto"/>
        <w:rPr>
          <w:sz w:val="20"/>
          <w:szCs w:val="20"/>
          <w:color w:val="auto"/>
        </w:rPr>
      </w:pPr>
      <w:r>
        <w:rPr>
          <w:rFonts w:ascii="Arial" w:cs="Arial" w:eastAsia="Arial" w:hAnsi="Arial"/>
          <w:sz w:val="16"/>
          <w:szCs w:val="16"/>
          <w:color w:val="auto"/>
        </w:rPr>
        <w:t>Mr. Cheng also served as a member of the Audit Committee of the Board of Directors of Diebold Nixdorf, Inc. (NYSE: DBD) from 2009 to 2013. Mr. Cheng serves as a Senior Advisor of Iconiq Motors, a new energy vehicle company from September 2017 to the present. From July 2010 to April 2014, Mr. Cheng served as the Chief Executive Officer of Siemens Northeast Asia and as President and Chief Executive Officer of Siemens China. Prior to joining Siemens, Mr. Cheng served as the Chairman and Chief Executive Officer of Ford Motor (China) Ltd. from 1998 to 2008, and as Group Vice President of Ford Motor Company (NYSE: F) from 2009 to 2010. Before joining Ford, Mr. Cheng held various senior executive positions at General Electric Corporation (NYSE: GE) and AT&amp;T (NYSE: T). Mr. Cheng earned a bachelor’s degree in industrial engineering and operations research from Cornell University, a master’s degree in business administration from Rutgers University and is a graduate of both Dartmouth’s Tuck Executive Program and Massachusetts Institute of Technology’s Program for Senior Executives.</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right="340" w:hanging="166"/>
        <w:spacing w:after="0" w:line="260" w:lineRule="auto"/>
        <w:tabs>
          <w:tab w:leader="none" w:pos="28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international senior management and leadership experience, with a particular focus on Asian markets, including at board chairman level</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international, business development, technological and sales and marketing expertise</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knowledge of the automotive industry</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77" w:lineRule="exact"/>
        <w:rPr>
          <w:sz w:val="20"/>
          <w:szCs w:val="20"/>
          <w:color w:val="auto"/>
        </w:rPr>
      </w:pPr>
    </w:p>
    <w:p>
      <w:pPr>
        <w:ind w:left="680" w:hanging="29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Jonathan F. Foster</w:t>
      </w:r>
      <w:r>
        <w:rPr>
          <w:sz w:val="20"/>
          <w:szCs w:val="20"/>
          <w:color w:val="auto"/>
        </w:rPr>
        <w:tab/>
      </w:r>
      <w:r>
        <w:rPr>
          <w:rFonts w:ascii="Arial" w:cs="Arial" w:eastAsia="Arial" w:hAnsi="Arial"/>
          <w:sz w:val="16"/>
          <w:szCs w:val="16"/>
          <w:color w:val="auto"/>
        </w:rPr>
        <w:t>Age: 61</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20" w:hanging="130"/>
        <w:spacing w:after="0"/>
        <w:tabs>
          <w:tab w:leader="none" w:pos="3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280"/>
        <w:spacing w:after="0" w:line="247"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Partners LLC, a mergers and acquisitions advisory, corporate management services and private equity investing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 director of publicly traded Masonite International Corporation (NYSE: DOOR), Berry Global Group, Inc. (NYSE: BERY) and Five Point Holdings LLC (NYSE: FPH). He was previously a director of publicly traded Chemtura Corp., Sabine Oil &amp; Gas and Smurfit-Stone Container Corporation. Mr. Foster is also a director of privately held automotive supplier Aludyne (f/k/a Chassix) and a director of privately held aircraft leasing company Nordic Aviation Capital. He was previously a director of privately held automotive suppliers TI Automotive, Stackpole, Rimstock Holdings plc and Dayco Products. Mr. Foster has a bachelor’s degree in Accounting from Emory University, a master’s degree in Accounting &amp; Finance from the London School of Economics and has attended the Executive Education Program at Harvard Business School and the University of California, Berkeley, School of Law.</w:t>
      </w:r>
    </w:p>
    <w:p>
      <w:pPr>
        <w:spacing w:after="0" w:line="216"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Senior management and leadership experience</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26" w:lineRule="exact"/>
        <w:rPr>
          <w:rFonts w:ascii="Arial" w:cs="Arial" w:eastAsia="Arial" w:hAnsi="Arial"/>
          <w:sz w:val="16"/>
          <w:szCs w:val="16"/>
          <w:color w:val="auto"/>
        </w:rPr>
      </w:pPr>
    </w:p>
    <w:p>
      <w:pPr>
        <w:ind w:left="2820" w:right="500" w:hanging="166"/>
        <w:spacing w:after="0" w:line="260" w:lineRule="auto"/>
        <w:tabs>
          <w:tab w:leader="none" w:pos="28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Experience in financial statement preparation and accounting, financial reporting, compliance and internal controls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 experience as a chief financial officer</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26" w:lineRule="exact"/>
        <w:rPr>
          <w:rFonts w:ascii="Arial" w:cs="Arial" w:eastAsia="Arial" w:hAnsi="Arial"/>
          <w:sz w:val="16"/>
          <w:szCs w:val="16"/>
          <w:color w:val="auto"/>
        </w:rPr>
      </w:pPr>
    </w:p>
    <w:p>
      <w:pPr>
        <w:ind w:left="2820" w:right="1120" w:hanging="166"/>
        <w:spacing w:after="0" w:line="260" w:lineRule="auto"/>
        <w:tabs>
          <w:tab w:leader="none" w:pos="28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experience as an investment banker, private equity investor and director with industrial companies, including those in the automotive sector</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91"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w:t>
      </w:r>
    </w:p>
    <w:p>
      <w:pPr>
        <w:sectPr>
          <w:pgSz w:w="11900" w:h="16838" w:orient="portrait"/>
          <w:cols w:equalWidth="0" w:num="1">
            <w:col w:w="10860"/>
          </w:cols>
          <w:pgMar w:left="320" w:top="459"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Bradley M. Halverson</w:t>
      </w:r>
      <w:r>
        <w:rPr>
          <w:sz w:val="20"/>
          <w:szCs w:val="20"/>
          <w:color w:val="auto"/>
        </w:rPr>
        <w:tab/>
      </w:r>
      <w:r>
        <w:rPr>
          <w:rFonts w:ascii="Arial" w:cs="Arial" w:eastAsia="Arial" w:hAnsi="Arial"/>
          <w:sz w:val="16"/>
          <w:szCs w:val="16"/>
          <w:color w:val="auto"/>
        </w:rPr>
        <w:t>Age: 61</w:t>
      </w:r>
      <w:r>
        <w:rPr>
          <w:sz w:val="20"/>
          <w:szCs w:val="20"/>
          <w:color w:val="auto"/>
        </w:rPr>
        <w:tab/>
      </w:r>
      <w:r>
        <w:rPr>
          <w:rFonts w:ascii="Arial" w:cs="Arial" w:eastAsia="Arial" w:hAnsi="Arial"/>
          <w:sz w:val="16"/>
          <w:szCs w:val="16"/>
          <w:color w:val="auto"/>
        </w:rPr>
        <w:t>Lear Committee:</w:t>
      </w:r>
    </w:p>
    <w:p>
      <w:pPr>
        <w:spacing w:after="0" w:line="143" w:lineRule="exact"/>
        <w:rPr>
          <w:sz w:val="20"/>
          <w:szCs w:val="20"/>
          <w:color w:val="auto"/>
        </w:rPr>
      </w:pPr>
    </w:p>
    <w:p>
      <w:pPr>
        <w:ind w:left="3720" w:hanging="130"/>
        <w:spacing w:after="0"/>
        <w:tabs>
          <w:tab w:leader="none" w:pos="3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P&amp;C</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7" w:lineRule="auto"/>
        <w:rPr>
          <w:sz w:val="20"/>
          <w:szCs w:val="20"/>
          <w:color w:val="auto"/>
        </w:rPr>
      </w:pPr>
      <w:r>
        <w:rPr>
          <w:rFonts w:ascii="Arial" w:cs="Arial" w:eastAsia="Arial" w:hAnsi="Arial"/>
          <w:sz w:val="16"/>
          <w:szCs w:val="16"/>
          <w:color w:val="auto"/>
        </w:rPr>
        <w:t>Mr. Halverson has been a director of the Company since June 2020. Mr. Halverson served as the Group President and Chief Financial Officer of Caterpillar Inc. (NYSE: CAT), the world’s leading manufacturer of construction and mining equipment, diesel and gas engines, turbines, and locomotives, from 2013 to 2018. He joined Caterpillar in 1988, serving in various roles of increasing responsibility including leading the Caterpillar Financial business unit as well as the human resources, global supply chain and information services functions. Mr. Halverson currently serves on the board of Sysco Corporation (NYSE: SYY), where he is the Audit Committee Chairman, on the board of Satellogic Inc. (Nasdaq: SATL), where he is the Audit Committee Chairman, and on the board of Constellation Energy Corporation (Nasdaq: CEG). He also previously served as a director for the U.S. Chamber of Commerce. Mr. Halverson attended the University of Illinois, where he received a Bachelor of Science degree in Accounting and an Executive Masters of Business Administration. He is a Certified Public Accountant and a member of the American Institute of Certified Public Accountants.</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00" w:hanging="146"/>
        <w:spacing w:after="0"/>
        <w:tabs>
          <w:tab w:leader="none" w:pos="2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Senior management and leadership experience, including in international operations</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Previous experience as a chief financial officer of a large, publicly-traded global manufacturing company</w:t>
      </w:r>
    </w:p>
    <w:p>
      <w:pPr>
        <w:spacing w:after="0" w:line="126" w:lineRule="exact"/>
        <w:rPr>
          <w:rFonts w:ascii="Arial" w:cs="Arial" w:eastAsia="Arial" w:hAnsi="Arial"/>
          <w:sz w:val="16"/>
          <w:szCs w:val="16"/>
          <w:color w:val="auto"/>
        </w:rPr>
      </w:pPr>
    </w:p>
    <w:p>
      <w:pPr>
        <w:ind w:left="2820" w:right="180" w:hanging="166"/>
        <w:spacing w:after="0" w:line="260" w:lineRule="auto"/>
        <w:tabs>
          <w:tab w:leader="none" w:pos="2806"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0" w:lineRule="exact"/>
        <w:rPr>
          <w:rFonts w:ascii="Arial" w:cs="Arial" w:eastAsia="Arial" w:hAnsi="Arial"/>
          <w:sz w:val="16"/>
          <w:szCs w:val="16"/>
          <w:color w:val="auto"/>
        </w:rPr>
      </w:pPr>
    </w:p>
    <w:p>
      <w:pPr>
        <w:ind w:left="2820" w:right="680" w:hanging="166"/>
        <w:spacing w:after="0" w:line="260" w:lineRule="auto"/>
        <w:tabs>
          <w:tab w:leader="none" w:pos="2806"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committee chairman and lead independent director levels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334" w:lineRule="exact"/>
        <w:rPr>
          <w:sz w:val="20"/>
          <w:szCs w:val="20"/>
          <w:color w:val="auto"/>
        </w:rPr>
      </w:pPr>
    </w:p>
    <w:p>
      <w:pPr>
        <w:ind w:left="680" w:hanging="290"/>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94"/>
        <w:spacing w:after="0"/>
        <w:rPr>
          <w:sz w:val="20"/>
          <w:szCs w:val="20"/>
          <w:color w:val="auto"/>
        </w:rPr>
      </w:pPr>
      <w:r>
        <w:rPr>
          <w:rFonts w:ascii="Arial" w:cs="Arial" w:eastAsia="Arial" w:hAnsi="Arial"/>
          <w:sz w:val="15"/>
          <w:szCs w:val="15"/>
          <w:i w:val="1"/>
          <w:iCs w:val="1"/>
          <w:color w:val="auto"/>
        </w:rPr>
        <w:t>Mary Lou Jepsen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4466"/>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-635635</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2794635</wp:posOffset>
            </wp:positionH>
            <wp:positionV relativeFrom="paragraph">
              <wp:posOffset>58420</wp:posOffset>
            </wp:positionV>
            <wp:extent cx="22028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90" w:lineRule="exact"/>
        <w:rPr>
          <w:sz w:val="20"/>
          <w:szCs w:val="20"/>
          <w:color w:val="auto"/>
        </w:rPr>
      </w:pPr>
    </w:p>
    <w:p>
      <w:pPr>
        <w:ind w:left="6"/>
        <w:spacing w:after="0"/>
        <w:tabs>
          <w:tab w:leader="none" w:pos="946" w:val="left"/>
        </w:tabs>
        <w:rPr>
          <w:sz w:val="20"/>
          <w:szCs w:val="20"/>
          <w:color w:val="auto"/>
        </w:rPr>
      </w:pPr>
      <w:r>
        <w:rPr>
          <w:rFonts w:ascii="Arial" w:cs="Arial" w:eastAsia="Arial" w:hAnsi="Arial"/>
          <w:sz w:val="16"/>
          <w:szCs w:val="16"/>
          <w:color w:val="auto"/>
        </w:rPr>
        <w:t>Age: 57</w:t>
      </w:r>
      <w:r>
        <w:rPr>
          <w:sz w:val="20"/>
          <w:szCs w:val="20"/>
          <w:color w:val="auto"/>
        </w:rPr>
        <w:tab/>
      </w:r>
      <w:r>
        <w:rPr>
          <w:rFonts w:ascii="Arial" w:cs="Arial" w:eastAsia="Arial" w:hAnsi="Arial"/>
          <w:sz w:val="16"/>
          <w:szCs w:val="16"/>
          <w:color w:val="auto"/>
        </w:rPr>
        <w:t>Lear Committees</w:t>
      </w:r>
    </w:p>
    <w:p>
      <w:pPr>
        <w:spacing w:after="0" w:line="127" w:lineRule="exact"/>
        <w:rPr>
          <w:sz w:val="20"/>
          <w:szCs w:val="20"/>
          <w:color w:val="auto"/>
        </w:rPr>
      </w:pPr>
    </w:p>
    <w:p>
      <w:pPr>
        <w:ind w:left="1086" w:hanging="150"/>
        <w:spacing w:after="0"/>
        <w:tabs>
          <w:tab w:leader="none" w:pos="10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P&amp;C</w:t>
      </w:r>
    </w:p>
    <w:p>
      <w:pPr>
        <w:spacing w:after="0" w:line="126" w:lineRule="exact"/>
        <w:rPr>
          <w:rFonts w:ascii="Arial" w:cs="Arial" w:eastAsia="Arial" w:hAnsi="Arial"/>
          <w:sz w:val="16"/>
          <w:szCs w:val="16"/>
          <w:color w:val="auto"/>
        </w:rPr>
      </w:pPr>
    </w:p>
    <w:p>
      <w:pPr>
        <w:ind w:left="1086" w:hanging="150"/>
        <w:spacing w:after="0"/>
        <w:tabs>
          <w:tab w:leader="none" w:pos="10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6"/>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6" w:right="300"/>
        <w:spacing w:after="0" w:line="247" w:lineRule="auto"/>
        <w:rPr>
          <w:sz w:val="20"/>
          <w:szCs w:val="20"/>
          <w:color w:val="auto"/>
        </w:rPr>
      </w:pPr>
      <w:r>
        <w:rPr>
          <w:rFonts w:ascii="Arial" w:cs="Arial" w:eastAsia="Arial" w:hAnsi="Arial"/>
          <w:sz w:val="16"/>
          <w:szCs w:val="16"/>
          <w:color w:val="auto"/>
        </w:rPr>
        <w:t>Dr. Jepsen was appointed a director of the Company in March 2016. Dr. Jepsen is the CEO, Founder and Chairman of the Board of Openwater, a start-up company pioneering advanced diagnostic and therapeutic medical devices as well as brain computer interfaces. Previously, Dr. Jepsen was the Executive Director of Engineering at Facebook, Inc. (Nasdaq: FB) and Head of Display Technologies at Oculus where she led advanced consumer electronics, opto-electronic and display design and manufacturing efforts. From 2012 to 2015, Dr. Jepsen had a similar role at Google, Inc. (Nasdaq: GOOGL) and Google X. She also co-founded One Laptop per Child and was the lead architect of the $100 laptop, millions of which were shipped to children in the developing world. Since February 2021, Dr. Jepsen has served on the board of directors of Luminar Technologies, Inc. (Nasdaq: LAZR). She is the principal inventor on approximately 250 patents. She has broad advisory experience in Peru, China, Uruguay, Taiwan, Brazil and the United States, as well as at the United Nations. Dr. Jepsen holds a doctorate degree from Brown University in Optical Sciences, a master of science degree from Massachusetts Institute of Technology in Visual Studies and a bachelor’s of science degree in Electrical Engineering from Brown University.</w:t>
      </w:r>
    </w:p>
    <w:p>
      <w:pPr>
        <w:spacing w:after="0" w:line="218" w:lineRule="exact"/>
        <w:rPr>
          <w:sz w:val="20"/>
          <w:szCs w:val="20"/>
          <w:color w:val="auto"/>
        </w:rPr>
      </w:pPr>
    </w:p>
    <w:p>
      <w:pPr>
        <w:ind w:left="6"/>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146" w:hanging="146"/>
        <w:spacing w:after="0"/>
        <w:tabs>
          <w:tab w:leader="none" w:pos="1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One of the world’s foremost display and optical innovators</w:t>
      </w:r>
    </w:p>
    <w:p>
      <w:pPr>
        <w:spacing w:after="0" w:line="126" w:lineRule="exact"/>
        <w:rPr>
          <w:rFonts w:ascii="Arial" w:cs="Arial" w:eastAsia="Arial" w:hAnsi="Arial"/>
          <w:sz w:val="16"/>
          <w:szCs w:val="16"/>
          <w:color w:val="auto"/>
        </w:rPr>
      </w:pPr>
    </w:p>
    <w:p>
      <w:pPr>
        <w:ind w:left="146" w:hanging="146"/>
        <w:spacing w:after="0"/>
        <w:tabs>
          <w:tab w:leader="none" w:pos="1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Exceptional track record of leadership and innovation</w:t>
      </w:r>
    </w:p>
    <w:p>
      <w:pPr>
        <w:spacing w:after="0" w:line="126" w:lineRule="exact"/>
        <w:rPr>
          <w:rFonts w:ascii="Arial" w:cs="Arial" w:eastAsia="Arial" w:hAnsi="Arial"/>
          <w:sz w:val="16"/>
          <w:szCs w:val="16"/>
          <w:color w:val="auto"/>
        </w:rPr>
      </w:pPr>
    </w:p>
    <w:p>
      <w:pPr>
        <w:ind w:left="146" w:hanging="146"/>
        <w:spacing w:after="0"/>
        <w:tabs>
          <w:tab w:leader="none" w:pos="1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experience in working with Asia’s largest computer manufacturers</w:t>
      </w:r>
    </w:p>
    <w:p>
      <w:pPr>
        <w:spacing w:after="0" w:line="126" w:lineRule="exact"/>
        <w:rPr>
          <w:rFonts w:ascii="Arial" w:cs="Arial" w:eastAsia="Arial" w:hAnsi="Arial"/>
          <w:sz w:val="16"/>
          <w:szCs w:val="16"/>
          <w:color w:val="auto"/>
        </w:rPr>
      </w:pPr>
    </w:p>
    <w:p>
      <w:pPr>
        <w:ind w:left="146" w:hanging="146"/>
        <w:spacing w:after="0"/>
        <w:tabs>
          <w:tab w:leader="none" w:pos="1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Experience and leadership in engineering with global technology companies</w:t>
      </w:r>
    </w:p>
    <w:p>
      <w:pPr>
        <w:spacing w:after="0" w:line="126" w:lineRule="exact"/>
        <w:rPr>
          <w:rFonts w:ascii="Arial" w:cs="Arial" w:eastAsia="Arial" w:hAnsi="Arial"/>
          <w:sz w:val="16"/>
          <w:szCs w:val="16"/>
          <w:color w:val="auto"/>
        </w:rPr>
      </w:pPr>
    </w:p>
    <w:p>
      <w:pPr>
        <w:ind w:left="166" w:right="340" w:hanging="166"/>
        <w:spacing w:after="0" w:line="253" w:lineRule="auto"/>
        <w:tabs>
          <w:tab w:leader="none" w:pos="1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Globally recognized with dozens of prestigious awards, including TIME magazine’s “Time 100” as one of the 100 most influential people in the world, a CNN top 10 thinker and by the leading global professional societies in optics, display and electronics</w:t>
      </w:r>
    </w:p>
    <w:p>
      <w:pPr>
        <w:spacing w:after="0" w:line="106" w:lineRule="exact"/>
        <w:rPr>
          <w:rFonts w:ascii="Arial" w:cs="Arial" w:eastAsia="Arial" w:hAnsi="Arial"/>
          <w:sz w:val="16"/>
          <w:szCs w:val="16"/>
          <w:color w:val="auto"/>
        </w:rPr>
      </w:pPr>
    </w:p>
    <w:p>
      <w:pPr>
        <w:ind w:left="146" w:hanging="146"/>
        <w:spacing w:after="0"/>
        <w:tabs>
          <w:tab w:leader="none" w:pos="1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Senior management experience</w:t>
      </w:r>
    </w:p>
    <w:p>
      <w:pPr>
        <w:spacing w:after="0" w:line="126" w:lineRule="exact"/>
        <w:rPr>
          <w:rFonts w:ascii="Arial" w:cs="Arial" w:eastAsia="Arial" w:hAnsi="Arial"/>
          <w:sz w:val="16"/>
          <w:szCs w:val="16"/>
          <w:color w:val="auto"/>
        </w:rPr>
      </w:pPr>
    </w:p>
    <w:p>
      <w:pPr>
        <w:ind w:left="146" w:hanging="146"/>
        <w:spacing w:after="0"/>
        <w:tabs>
          <w:tab w:leader="none" w:pos="1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w:t>
      </w:r>
    </w:p>
    <w:p>
      <w:pPr>
        <w:sectPr>
          <w:pgSz w:w="11900" w:h="16838" w:orient="portrait"/>
          <w:cols w:equalWidth="0" w:num="2">
            <w:col w:w="1934" w:space="720"/>
            <w:col w:w="8206"/>
          </w:cols>
          <w:pgMar w:left="320" w:top="459"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Roger A. Krone</w:t>
      </w:r>
      <w:r>
        <w:rPr>
          <w:sz w:val="20"/>
          <w:szCs w:val="20"/>
          <w:color w:val="auto"/>
        </w:rPr>
        <w:tab/>
      </w:r>
      <w:r>
        <w:rPr>
          <w:rFonts w:ascii="Arial" w:cs="Arial" w:eastAsia="Arial" w:hAnsi="Arial"/>
          <w:sz w:val="16"/>
          <w:szCs w:val="16"/>
          <w:color w:val="auto"/>
        </w:rPr>
        <w:t>Age: 65</w:t>
      </w:r>
      <w:r>
        <w:rPr>
          <w:sz w:val="20"/>
          <w:szCs w:val="20"/>
          <w:color w:val="auto"/>
        </w:rPr>
        <w:tab/>
      </w:r>
      <w:r>
        <w:rPr>
          <w:rFonts w:ascii="Arial" w:cs="Arial" w:eastAsia="Arial" w:hAnsi="Arial"/>
          <w:sz w:val="16"/>
          <w:szCs w:val="16"/>
          <w:color w:val="auto"/>
        </w:rPr>
        <w:t>Lear Committee:</w:t>
      </w: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Nominating</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6" w:lineRule="auto"/>
        <w:rPr>
          <w:sz w:val="20"/>
          <w:szCs w:val="20"/>
          <w:color w:val="auto"/>
        </w:rPr>
      </w:pPr>
      <w:r>
        <w:rPr>
          <w:rFonts w:ascii="Arial" w:cs="Arial" w:eastAsia="Arial" w:hAnsi="Arial"/>
          <w:sz w:val="16"/>
          <w:szCs w:val="16"/>
          <w:color w:val="auto"/>
        </w:rPr>
        <w:t>Mr. Krone has been a director of the Company since November 2020. Mr. Krone has served as the Chief Executive Officer of Leidos Holdings, Inc. (NYSE: LDOS) since July 2014 and as the Chair of its Board since March 2015. Prior to that, Mr. Krone served as President of Network and Space Systems for The Boeing Company (NYSE: BA) from 2006 to 2014. Mr. Krone previously held various senior program management and finance positions at Boeing, McDonnell Douglas Corp. and General Dynamics Corporation (NYSE: GD).</w:t>
      </w:r>
    </w:p>
    <w:p>
      <w:pPr>
        <w:spacing w:after="0" w:line="2" w:lineRule="exact"/>
        <w:rPr>
          <w:sz w:val="20"/>
          <w:szCs w:val="20"/>
          <w:color w:val="auto"/>
        </w:rPr>
      </w:pPr>
    </w:p>
    <w:p>
      <w:pPr>
        <w:ind w:left="2660" w:right="80"/>
        <w:spacing w:after="0" w:line="250" w:lineRule="auto"/>
        <w:rPr>
          <w:sz w:val="20"/>
          <w:szCs w:val="20"/>
          <w:color w:val="auto"/>
        </w:rPr>
      </w:pPr>
      <w:r>
        <w:rPr>
          <w:rFonts w:ascii="Arial" w:cs="Arial" w:eastAsia="Arial" w:hAnsi="Arial"/>
          <w:sz w:val="16"/>
          <w:szCs w:val="16"/>
          <w:color w:val="auto"/>
        </w:rPr>
        <w:t>Mr. Krone currently serves on the board of the Greater Washington Educational Telecommunications Association, Inc. (d/b/a WETA). From February 2017 to April 2019, Mr. Krone served as a director of BorgWarner Incorporated (NYSE: BWA). Mr. Krone has a bachelor’s degree in Aerospace Engineering from the Georgia Institute of Technology, a master’s degree in Aerospace Engineering from the University of Texas at Arlington, and an MBA from the Harvard Graduate School of Business.</w:t>
      </w:r>
    </w:p>
    <w:p>
      <w:pPr>
        <w:spacing w:after="0" w:line="210"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00" w:hanging="146"/>
        <w:spacing w:after="0"/>
        <w:tabs>
          <w:tab w:leader="none" w:pos="2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Senior management experience, including serving as a chief executive officer, at publicly-traded companies</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the board chairman level</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Valuable experience in global operational excellence within the engineering and aviation sectors</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 leadership, business and corporate governance experience</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91" w:lineRule="exact"/>
        <w:rPr>
          <w:sz w:val="20"/>
          <w:szCs w:val="20"/>
          <w:color w:val="auto"/>
        </w:rPr>
      </w:pPr>
    </w:p>
    <w:p>
      <w:pPr>
        <w:ind w:left="780" w:hanging="393"/>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Patricia L. Lewis</w:t>
      </w:r>
      <w:r>
        <w:rPr>
          <w:sz w:val="20"/>
          <w:szCs w:val="20"/>
          <w:color w:val="auto"/>
        </w:rPr>
        <w:tab/>
      </w:r>
      <w:r>
        <w:rPr>
          <w:rFonts w:ascii="Arial" w:cs="Arial" w:eastAsia="Arial" w:hAnsi="Arial"/>
          <w:sz w:val="16"/>
          <w:szCs w:val="16"/>
          <w:color w:val="auto"/>
        </w:rPr>
        <w:t>Age: 60</w:t>
      </w:r>
      <w:r>
        <w:rPr>
          <w:sz w:val="20"/>
          <w:szCs w:val="20"/>
          <w:color w:val="auto"/>
        </w:rPr>
        <w:tab/>
      </w:r>
      <w:r>
        <w:rPr>
          <w:rFonts w:ascii="Arial" w:cs="Arial" w:eastAsia="Arial" w:hAnsi="Arial"/>
          <w:sz w:val="16"/>
          <w:szCs w:val="16"/>
          <w:color w:val="auto"/>
        </w:rPr>
        <w:t>Lear Committee:</w:t>
      </w: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P&amp;C</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280"/>
        <w:spacing w:after="0" w:line="247" w:lineRule="auto"/>
        <w:rPr>
          <w:sz w:val="20"/>
          <w:szCs w:val="20"/>
          <w:color w:val="auto"/>
        </w:rPr>
      </w:pPr>
      <w:r>
        <w:rPr>
          <w:rFonts w:ascii="Arial" w:cs="Arial" w:eastAsia="Arial" w:hAnsi="Arial"/>
          <w:sz w:val="16"/>
          <w:szCs w:val="16"/>
          <w:color w:val="auto"/>
        </w:rPr>
        <w:t xml:space="preserve">Ms. Lewis has been a director of the Company since November 2020. Ms. Lewis currently serves as Executive Vice President and Chief Sustainability Officer at UnitedHealth Group Incorporated (NYSE: UNH), a position she has held since February 2022 in which she is responsible for leading the development and implementation of an enterprise ESG strategy, including establishing and meeting environmental goals, health equity goals, and diversity, equity and inclusion commitments and initiatives. Ms. Lewis previously served as Chief Human Resources Officer at UnitedHealth Group from October 2019 to February 2022. Prior to that, Ms. Lewis served in various senior management roles at Lockheed Martin Corporation (NYSE: LMT), including Senior Vice President and Chief Human Resources Officer from 2014 to October 2019; Vice President, Human Resources, Information Systems and Global Solutions from 2012 to 2014; and Vice President, Human Resources, Electronic Systems from 2011 to 2012. Ms. Lewis previously held various human resources positions at International Business Machines Corporation (NYSE: IBM) and E.I. du Pont de Nemours and Company (NYSE: DD). Prior to that, Ms. Lewis spent 15 years in a variety of operational roles at DuPont and National Semiconductor encompassing manufacturing, logistics and materials management. In 2021, Ms. Lewis was recognized by </w:t>
      </w:r>
      <w:r>
        <w:rPr>
          <w:rFonts w:ascii="Arial" w:cs="Arial" w:eastAsia="Arial" w:hAnsi="Arial"/>
          <w:sz w:val="16"/>
          <w:szCs w:val="16"/>
          <w:i w:val="1"/>
          <w:iCs w:val="1"/>
          <w:color w:val="auto"/>
        </w:rPr>
        <w:t>Savoy Magazine</w:t>
      </w:r>
      <w:r>
        <w:rPr>
          <w:rFonts w:ascii="Arial" w:cs="Arial" w:eastAsia="Arial" w:hAnsi="Arial"/>
          <w:sz w:val="16"/>
          <w:szCs w:val="16"/>
          <w:color w:val="auto"/>
        </w:rPr>
        <w:t xml:space="preserve"> as one of the Most Influential Black Corporate Directors. Ms. Lewis has a bachelor’s degree in Industrial Relations Management from the University of Bridgeport.</w:t>
      </w:r>
    </w:p>
    <w:p>
      <w:pPr>
        <w:spacing w:after="0" w:line="21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right="440" w:hanging="166"/>
        <w:spacing w:after="0" w:line="260" w:lineRule="auto"/>
        <w:tabs>
          <w:tab w:leader="none" w:pos="28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Senior management, leadership and operational experience with multiple global companies across several industries, including health care, national security, life sciences and technology</w:t>
      </w:r>
    </w:p>
    <w:p>
      <w:pPr>
        <w:spacing w:after="0" w:line="100" w:lineRule="exact"/>
        <w:rPr>
          <w:rFonts w:ascii="Arial" w:cs="Arial" w:eastAsia="Arial" w:hAnsi="Arial"/>
          <w:sz w:val="16"/>
          <w:szCs w:val="16"/>
          <w:color w:val="auto"/>
        </w:rPr>
      </w:pPr>
    </w:p>
    <w:p>
      <w:pPr>
        <w:ind w:left="2820" w:right="440" w:hanging="166"/>
        <w:spacing w:after="0" w:line="253" w:lineRule="auto"/>
        <w:tabs>
          <w:tab w:leader="none" w:pos="28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 two decades experience in all aspects of human capital management spanning multiple complex and highly regulated industries, including serving as a Chief Human Resources Officer at large manufacturing and technology companies with significant operations throughout the world</w:t>
      </w:r>
    </w:p>
    <w:p>
      <w:pPr>
        <w:spacing w:after="0" w:line="106" w:lineRule="exact"/>
        <w:rPr>
          <w:rFonts w:ascii="Arial" w:cs="Arial" w:eastAsia="Arial" w:hAnsi="Arial"/>
          <w:sz w:val="16"/>
          <w:szCs w:val="16"/>
          <w:color w:val="auto"/>
        </w:rPr>
      </w:pPr>
    </w:p>
    <w:p>
      <w:pPr>
        <w:ind w:left="2820" w:right="660" w:hanging="166"/>
        <w:spacing w:after="0" w:line="260" w:lineRule="auto"/>
        <w:tabs>
          <w:tab w:leader="none" w:pos="28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 leadership experience in ESG, including responsibility for leading employee and stakeholder engagement; diversity, equity and inclusion; health equity; and environmental strategies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91"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11</w:t>
      </w:r>
    </w:p>
    <w:p>
      <w:pPr>
        <w:sectPr>
          <w:pgSz w:w="11900" w:h="16838" w:orient="portrait"/>
          <w:cols w:equalWidth="0" w:num="1">
            <w:col w:w="10860"/>
          </w:cols>
          <w:pgMar w:left="320" w:top="459"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Kathleen A. Ligocki</w:t>
      </w:r>
      <w:r>
        <w:rPr>
          <w:sz w:val="20"/>
          <w:szCs w:val="20"/>
          <w:color w:val="auto"/>
        </w:rPr>
        <w:tab/>
      </w:r>
      <w:r>
        <w:rPr>
          <w:rFonts w:ascii="Arial" w:cs="Arial" w:eastAsia="Arial" w:hAnsi="Arial"/>
          <w:sz w:val="16"/>
          <w:szCs w:val="16"/>
          <w:color w:val="auto"/>
        </w:rPr>
        <w:t>Age: 65</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40" w:hanging="150"/>
        <w:spacing w:after="0"/>
        <w:tabs>
          <w:tab w:leader="none" w:pos="3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P&amp;C (Chair)</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20"/>
        <w:spacing w:after="0" w:line="247" w:lineRule="auto"/>
        <w:rPr>
          <w:sz w:val="20"/>
          <w:szCs w:val="20"/>
          <w:color w:val="auto"/>
        </w:rPr>
      </w:pPr>
      <w:r>
        <w:rPr>
          <w:rFonts w:ascii="Arial" w:cs="Arial" w:eastAsia="Arial" w:hAnsi="Arial"/>
          <w:sz w:val="16"/>
          <w:szCs w:val="16"/>
          <w:color w:val="auto"/>
        </w:rPr>
        <w:t>Ms. Ligocki has been a director of the Company since September 2012. She currently serves on the boards of Carpenter Technology (NYSE: CRS), where she chairs the Human Capital Management Committee and sits on the Nominating/Governance and Strategy Committees; PPG Industries Inc. (NYSE: PPG), where she sits on the Audit and Sustainability/Innovation Committees; Farmers Business Network, where she is the chair of the board and serves on the Audit and Compensation Committees; and the Indiana University Foundation, where she chairs the Audit Committee and sits on the Legal/Governance Committee. From December 2015 to February 2019, Ms. Ligocki served as the Chief Executive Officer of Agility Fuel Solutions, based in Costa Mesa, California. Ms. Ligocki served as the Chief Executive Officer of Harvest Power, Inc., one of the leading organics management companies in North America from 2014 to 2015. From 2012 to 2014, she served as an Operating Partner at Kleiner Perkins Caufield &amp; Byers, one of Silicon Valley’s top venture capital providers where she worked with the firm’s greentech ventures on strategic challenges, scaling operations and commercialization. Ms. Ligocki also has served as the Chief Executive Officer of two early-stage companies: Next Autoworks, an auto company with a unique low-cost business model, from 2010 to 2012, and GS Motors, a Mexico City-based auto retailer owned by Grupo Salinas, a large Mexican conglomerate, from 2008 to 2009. From 2008 to 2010, Ms. Ligocki was a Principal in Pine Lake Partners, a consultancy focused on start-ups and turnarounds. From 2003 to 2007, Ms. Ligocki was the Chief Executive Officer of Tower Automotive, a global Fortune 1000 automotive supplier. Previously, Ms. Ligocki held executive positions at Ford Motor Company (NYSE: F) and at United Technologies Corporation where she led operations in North America, Europe, Africa, the Middle East and Russia. Ms. Ligocki began her career at General Motors Corporation (NYSE: GM) working for 15 years at Delco Electronics Corporation. Ms. Ligocki formerly served as a director of Qell Acquisition Corp (Nasdaq: QELL), Agility Fuel Solutions, Harvest Power, Inc., Ashland Inc. (NYSE: ASH), Next Autoworks, BlueOak Resources, Lehigh Technologies, and Tower Automotive. Ms. Ligocki earned a bachelor’s degree with highest distinction in Liberal Studies from Indiana University Kokomo and holds an MBA from the Wharton School at the University of Pennsylvania. She also has been awarded honorary doctorate degrees from Oakland University, Central Michigan University and Indiana University Kokomo.</w:t>
      </w:r>
    </w:p>
    <w:p>
      <w:pPr>
        <w:spacing w:after="0" w:line="21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right="520" w:hanging="166"/>
        <w:spacing w:after="0" w:line="260" w:lineRule="auto"/>
        <w:tabs>
          <w:tab w:leader="none" w:pos="2806"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Senior management and leadership experience, including as chief executive officer, in the automotive industry</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in the automotive industry</w:t>
      </w:r>
    </w:p>
    <w:p>
      <w:pPr>
        <w:spacing w:after="0" w:line="126" w:lineRule="exact"/>
        <w:rPr>
          <w:rFonts w:ascii="Arial" w:cs="Arial" w:eastAsia="Arial" w:hAnsi="Arial"/>
          <w:sz w:val="16"/>
          <w:szCs w:val="16"/>
          <w:color w:val="auto"/>
        </w:rPr>
      </w:pPr>
    </w:p>
    <w:p>
      <w:pPr>
        <w:ind w:left="2820" w:right="220" w:hanging="166"/>
        <w:spacing w:after="0" w:line="260" w:lineRule="auto"/>
        <w:tabs>
          <w:tab w:leader="none" w:pos="280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820" w:hanging="166"/>
        <w:spacing w:after="0" w:line="260" w:lineRule="auto"/>
        <w:tabs>
          <w:tab w:leader="none" w:pos="2806"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Understanding of a wide range of issues through experience with businesses ranging from start-ups to large, global manufacturing operations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91" w:lineRule="exact"/>
        <w:rPr>
          <w:sz w:val="20"/>
          <w:szCs w:val="20"/>
          <w:color w:val="auto"/>
        </w:rPr>
      </w:pPr>
    </w:p>
    <w:p>
      <w:pPr>
        <w:ind w:left="780" w:hanging="393"/>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Conrad L. Mallett, Jr.</w:t>
      </w:r>
      <w:r>
        <w:rPr>
          <w:sz w:val="20"/>
          <w:szCs w:val="20"/>
          <w:color w:val="auto"/>
        </w:rPr>
        <w:tab/>
      </w:r>
      <w:r>
        <w:rPr>
          <w:rFonts w:ascii="Arial" w:cs="Arial" w:eastAsia="Arial" w:hAnsi="Arial"/>
          <w:sz w:val="16"/>
          <w:szCs w:val="16"/>
          <w:color w:val="auto"/>
        </w:rPr>
        <w:t>Age: 68</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20" w:hanging="130"/>
        <w:spacing w:after="0"/>
        <w:tabs>
          <w:tab w:leader="none" w:pos="3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Nominating (Chair)</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280"/>
        <w:spacing w:after="0" w:line="247" w:lineRule="auto"/>
        <w:rPr>
          <w:sz w:val="20"/>
          <w:szCs w:val="20"/>
          <w:color w:val="auto"/>
        </w:rPr>
      </w:pPr>
      <w:r>
        <w:rPr>
          <w:rFonts w:ascii="Arial" w:cs="Arial" w:eastAsia="Arial" w:hAnsi="Arial"/>
          <w:sz w:val="16"/>
          <w:szCs w:val="16"/>
          <w:color w:val="auto"/>
        </w:rPr>
        <w:t xml:space="preserve">Justice Mallett has been a director of the Company since August 2002. In June 2020, Justice Mallett was named Deputy Mayor of the City of Detroit. Justice Mallett was previously the Chief Administrative Officer of Detroit Medical Center from September 2019 to December 2020. Prior to that, he served as Chief Executive Officer of Detroit Medical Center’s Sinai-Grace Hospital from August 2017 to September 2019. Prior to that, he was Interim Chief Executive Officer of Detroit Medical Center’s Huron Valley Sinai Hospital from March 2017 to August 2017 and also Executive Vice President and Chief Administrative Officer of Detroit Medical Center from January 2012 to August 2017. Previously, he served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formerly served as a director of Kelly Services, Inc. (Nasdaq KELYA). In 2021 and 2016, Justice Mallett was recognized by </w:t>
      </w:r>
      <w:r>
        <w:rPr>
          <w:rFonts w:ascii="Arial" w:cs="Arial" w:eastAsia="Arial" w:hAnsi="Arial"/>
          <w:sz w:val="16"/>
          <w:szCs w:val="16"/>
          <w:i w:val="1"/>
          <w:iCs w:val="1"/>
          <w:color w:val="auto"/>
        </w:rPr>
        <w:t>Savoy Magazine</w:t>
      </w:r>
      <w:r>
        <w:rPr>
          <w:rFonts w:ascii="Arial" w:cs="Arial" w:eastAsia="Arial" w:hAnsi="Arial"/>
          <w:sz w:val="16"/>
          <w:szCs w:val="16"/>
          <w:color w:val="auto"/>
        </w:rPr>
        <w:t xml:space="preserve"> as one of the Most Influential Black Corporate Directors. Justice Mallett has a bachelor’s degree from the University of California, Los Angeles, a JD and a master of public administration degree from the University of Southern California and an MBA from Oakland University.</w:t>
      </w:r>
    </w:p>
    <w:p>
      <w:pPr>
        <w:spacing w:after="0" w:line="216"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00" w:hanging="146"/>
        <w:spacing w:after="0"/>
        <w:tabs>
          <w:tab w:leader="none" w:pos="2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Senior management and leadership experience</w:t>
      </w:r>
    </w:p>
    <w:p>
      <w:pPr>
        <w:spacing w:after="0" w:line="126" w:lineRule="exact"/>
        <w:rPr>
          <w:rFonts w:ascii="Arial" w:cs="Arial" w:eastAsia="Arial" w:hAnsi="Arial"/>
          <w:sz w:val="16"/>
          <w:szCs w:val="16"/>
          <w:color w:val="auto"/>
        </w:rPr>
      </w:pPr>
    </w:p>
    <w:p>
      <w:pPr>
        <w:ind w:left="2820" w:right="900" w:hanging="166"/>
        <w:spacing w:after="0" w:line="260" w:lineRule="auto"/>
        <w:tabs>
          <w:tab w:leader="none" w:pos="2806"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Leadership experience gained as Chief Justice of the Michigan Supreme Court and through multiple executive-level roles with Detroit Medical Center</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820" w:right="720" w:hanging="166"/>
        <w:spacing w:after="0" w:line="260" w:lineRule="auto"/>
        <w:tabs>
          <w:tab w:leader="none" w:pos="2806"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Extensive legal and governmental experience, including significant involvement in state, municipal and community governmental activities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91"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13</w:t>
      </w:r>
    </w:p>
    <w:p>
      <w:pPr>
        <w:sectPr>
          <w:pgSz w:w="11900" w:h="16838" w:orient="portrait"/>
          <w:cols w:equalWidth="0" w:num="1">
            <w:col w:w="10860"/>
          </w:cols>
          <w:pgMar w:left="320" w:top="459" w:right="7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Raymond E. Scott</w:t>
      </w:r>
      <w:r>
        <w:rPr>
          <w:sz w:val="20"/>
          <w:szCs w:val="20"/>
          <w:color w:val="auto"/>
        </w:rPr>
        <w:tab/>
      </w:r>
      <w:r>
        <w:rPr>
          <w:rFonts w:ascii="Arial" w:cs="Arial" w:eastAsia="Arial" w:hAnsi="Arial"/>
          <w:sz w:val="16"/>
          <w:szCs w:val="16"/>
          <w:color w:val="auto"/>
        </w:rPr>
        <w:t>Age: 56</w:t>
      </w:r>
      <w:r>
        <w:rPr>
          <w:sz w:val="20"/>
          <w:szCs w:val="20"/>
          <w:color w:val="auto"/>
        </w:rPr>
        <w:tab/>
      </w:r>
      <w:r>
        <w:rPr>
          <w:rFonts w:ascii="Arial" w:cs="Arial" w:eastAsia="Arial" w:hAnsi="Arial"/>
          <w:sz w:val="16"/>
          <w:szCs w:val="16"/>
          <w:color w:val="auto"/>
        </w:rPr>
        <w:t>President and Chief Executive Officer</w:t>
      </w:r>
    </w:p>
    <w:p>
      <w:pPr>
        <w:spacing w:after="0" w:line="24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7" w:lineRule="auto"/>
        <w:rPr>
          <w:sz w:val="20"/>
          <w:szCs w:val="20"/>
          <w:color w:val="auto"/>
        </w:rPr>
      </w:pPr>
      <w:r>
        <w:rPr>
          <w:rFonts w:ascii="Arial" w:cs="Arial" w:eastAsia="Arial" w:hAnsi="Arial"/>
          <w:sz w:val="16"/>
          <w:szCs w:val="16"/>
          <w:color w:val="auto"/>
        </w:rPr>
        <w:t>Mr. Scott was appointed as President and Chief Executive Officer of the Company on March 1, 2018. Previously, Mr. Scott also served as the Company’s Interim President, E-Systems from January 28, 2019 to September 3, 2019. Prior to that, he served as the Company’s Executive Vice President and President, Seating, a position he had held since November 2011, and prior to that, as the Company’s Senior Vice President and President, E-Systems, a position he had held since February 2008. Previously, he served in other positions at the Company, including Senior Vice President and President, North American Seat Systems Group since August 2006, Senior Vice President and President, North American Customer Group since June 2005, President, European Customer Focused Division since June 2004 and President, General Motors Division since November 2000. Mr. Scott earned a Bachelor of Science degree in economics from the University of Michigan. He also earned a master of business administration degree from Michigan State University’s Advanced Management Program.</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right="600" w:hanging="166"/>
        <w:spacing w:after="0" w:line="260" w:lineRule="auto"/>
        <w:tabs>
          <w:tab w:leader="none" w:pos="28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Senior management and leadership experience with the Company, with extensive knowledge of the Company’s business, operations and global strategy</w:t>
      </w:r>
    </w:p>
    <w:p>
      <w:pPr>
        <w:spacing w:after="0" w:line="100" w:lineRule="exact"/>
        <w:rPr>
          <w:rFonts w:ascii="Arial" w:cs="Arial" w:eastAsia="Arial" w:hAnsi="Arial"/>
          <w:sz w:val="16"/>
          <w:szCs w:val="16"/>
          <w:color w:val="auto"/>
        </w:rPr>
      </w:pPr>
    </w:p>
    <w:p>
      <w:pPr>
        <w:ind w:left="2820" w:right="760" w:hanging="166"/>
        <w:spacing w:after="0" w:line="260" w:lineRule="auto"/>
        <w:tabs>
          <w:tab w:leader="none" w:pos="28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Track record of leadership, achievement, innovation and execution in the Company’s Seating and E-Systems businesses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More than 30 years of experience in the automotive industry</w:t>
      </w:r>
    </w:p>
    <w:p>
      <w:pPr>
        <w:spacing w:after="0" w:line="291" w:lineRule="exact"/>
        <w:rPr>
          <w:sz w:val="20"/>
          <w:szCs w:val="20"/>
          <w:color w:val="auto"/>
        </w:rPr>
      </w:pPr>
    </w:p>
    <w:p>
      <w:pPr>
        <w:ind w:left="780" w:hanging="393"/>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20"/>
          </w:cols>
          <w:pgMar w:left="320" w:top="45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Gregory C. Smith</w:t>
      </w:r>
      <w:r>
        <w:rPr>
          <w:sz w:val="20"/>
          <w:szCs w:val="20"/>
          <w:color w:val="auto"/>
        </w:rPr>
        <w:tab/>
      </w:r>
      <w:r>
        <w:rPr>
          <w:rFonts w:ascii="Arial" w:cs="Arial" w:eastAsia="Arial" w:hAnsi="Arial"/>
          <w:sz w:val="16"/>
          <w:szCs w:val="16"/>
          <w:color w:val="auto"/>
        </w:rPr>
        <w:t>Age: 70</w:t>
      </w:r>
      <w:r>
        <w:rPr>
          <w:sz w:val="20"/>
          <w:szCs w:val="20"/>
          <w:color w:val="auto"/>
        </w:rPr>
        <w:tab/>
      </w:r>
      <w:r>
        <w:rPr>
          <w:rFonts w:ascii="Arial" w:cs="Arial" w:eastAsia="Arial" w:hAnsi="Arial"/>
          <w:sz w:val="16"/>
          <w:szCs w:val="16"/>
          <w:color w:val="auto"/>
        </w:rPr>
        <w:t>Non-Executive Chairman</w:t>
      </w:r>
    </w:p>
    <w:p>
      <w:pPr>
        <w:spacing w:after="0" w:line="24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280"/>
        <w:spacing w:after="0" w:line="247" w:lineRule="auto"/>
        <w:rPr>
          <w:sz w:val="20"/>
          <w:szCs w:val="20"/>
          <w:color w:val="auto"/>
        </w:rPr>
      </w:pPr>
      <w:r>
        <w:rPr>
          <w:rFonts w:ascii="Arial" w:cs="Arial" w:eastAsia="Arial" w:hAnsi="Arial"/>
          <w:sz w:val="16"/>
          <w:szCs w:val="16"/>
          <w:color w:val="auto"/>
        </w:rPr>
        <w:t>Mr. Smith has served as the Company’s Non-Executive Chairman since May 2020 and been a director of the Company since November 2009. Mr. Smith, a retired Vice Chairman of Ford Motor Company (NYSE: F),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 Ford Motor Company, and President and Chief Operating Officer —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Mr. Smith currently serves as a director of publicly traded Penske Automotive Group (NYSE: PAG), where he serves as the chair of the Audit Committee, and formerly served as a director of the Federal National Mortgage Association (Fannie Mae), Penske Corporation and Solutia Inc. Mr. Smith serves on the Risk Oversight Advisory Council of the National Association of Corporate Directors (NACD). Mr. Smith has a bachelor’s degree in Mechanical Engineering from Rose-Hulman Institute of Technology and an MBA from Eastern Michigan University.</w:t>
      </w:r>
    </w:p>
    <w:p>
      <w:pPr>
        <w:spacing w:after="0" w:line="216"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00" w:hanging="146"/>
        <w:spacing w:after="0"/>
        <w:tabs>
          <w:tab w:leader="none" w:pos="2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Senior management and leadership experience, including in the automotive industry</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Served on audit committees of public and private companies</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Experience actively overseeing finance departments and personnel</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Extensive experience and knowledge of automotive industry</w:t>
      </w:r>
    </w:p>
    <w:p>
      <w:pPr>
        <w:spacing w:after="0" w:line="126" w:lineRule="exact"/>
        <w:rPr>
          <w:rFonts w:ascii="Arial" w:cs="Arial" w:eastAsia="Arial" w:hAnsi="Arial"/>
          <w:sz w:val="16"/>
          <w:szCs w:val="16"/>
          <w:color w:val="auto"/>
        </w:rPr>
      </w:pPr>
    </w:p>
    <w:p>
      <w:pPr>
        <w:ind w:left="2820" w:right="440" w:hanging="166"/>
        <w:spacing w:after="0" w:line="260" w:lineRule="auto"/>
        <w:tabs>
          <w:tab w:leader="none" w:pos="2806"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Experience and knowledge of automotive company operations and strategic issues, including engineering, manufacturing, marketing, human resources and finance</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91"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15</w:t>
      </w:r>
    </w:p>
    <w:p>
      <w:pPr>
        <w:sectPr>
          <w:pgSz w:w="11900" w:h="16838" w:orient="portrait"/>
          <w:cols w:equalWidth="0" w:num="1">
            <w:col w:w="10860"/>
          </w:cols>
          <w:pgMar w:left="320" w:top="459" w:right="7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jc w:val="right"/>
        <w:ind w:right="6200"/>
        <w:spacing w:after="0"/>
        <w:rPr>
          <w:sz w:val="20"/>
          <w:szCs w:val="20"/>
          <w:color w:val="auto"/>
        </w:rPr>
      </w:pPr>
      <w:r>
        <w:rPr>
          <w:rFonts w:ascii="Arial" w:cs="Arial" w:eastAsia="Arial" w:hAnsi="Arial"/>
          <w:sz w:val="23"/>
          <w:szCs w:val="23"/>
          <w:b w:val="1"/>
          <w:bCs w:val="1"/>
          <w:color w:val="auto"/>
        </w:rPr>
        <w:t>Criteria for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40"/>
          </w:cols>
          <w:pgMar w:left="320" w:top="459" w:right="1039" w:bottom="1440" w:gutter="0" w:footer="0" w:header="0"/>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following are the general criteria for the selection of our directors that the Nominating Committee utilizes in evaluating candidates for Board membership. The Nominating Committee considers, without limitation, a director nominee’s independence, skills and other attributes, experience, perspective, background and diversity (which we define broadly to include differences in viewpoints, background, experience, skill, education, national origin, gender, race, age, 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believes that board diversity is important to serving the long-term interests of Lear and its stockholders. In the event the Nominating Committee determines to recruit candidates as potential nominees to join the Board, the candidate pool will include qualified female and racially and/or ethnically diverse candidates and any third-party recruitment utilized in connection with such search will be instructed to include such individuals in the list of candidates they provide the Nominating Committee.</w:t>
      </w:r>
    </w:p>
    <w:p>
      <w:pPr>
        <w:spacing w:after="0" w:line="9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405765</wp:posOffset>
            </wp:positionV>
            <wp:extent cx="5700395" cy="3531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3531870"/>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5400" w:space="320"/>
            <w:col w:w="4820"/>
          </w:cols>
          <w:pgMar w:left="320" w:top="459"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80" w:hanging="393"/>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w:t>
      </w:r>
    </w:p>
    <w:p>
      <w:pPr>
        <w:sectPr>
          <w:pgSz w:w="11900" w:h="16838" w:orient="portrait"/>
          <w:cols w:equalWidth="0" w:num="2">
            <w:col w:w="5280" w:space="440"/>
            <w:col w:w="4820"/>
          </w:cols>
          <w:pgMar w:left="320" w:top="459" w:right="10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56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background required for the effective functioning of the Board, considering our strategy and the regulatory, geographic and market environments. Any such changes to the director selection criteria must be approved by the Board.</w:t>
      </w:r>
    </w:p>
    <w:p>
      <w:pPr>
        <w:spacing w:after="0" w:line="94"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The Nominating Committee screens candidates and recommends director nominees to the Board for approval. The Nominating Committee considers candidates for Board membership suggested by its members and other Board members, as well as management and stockholders. Additionally, the Board annually conducts an in-depth talent review to discuss leadership depth and succession.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Candidates also are evaluated in light of Board policies, such as those relating to director independence and service on other boards, as well as considerations relating to the size and structure of the Board.</w:t>
      </w:r>
    </w:p>
    <w:p>
      <w:pPr>
        <w:spacing w:after="0" w:line="498" w:lineRule="exact"/>
        <w:rPr>
          <w:sz w:val="20"/>
          <w:szCs w:val="20"/>
          <w:color w:val="auto"/>
        </w:rPr>
      </w:pPr>
    </w:p>
    <w:p>
      <w:pPr>
        <w:sectPr>
          <w:pgSz w:w="11900" w:h="16838" w:orient="portrait"/>
          <w:cols w:equalWidth="0" w:num="2">
            <w:col w:w="5380" w:space="360"/>
            <w:col w:w="5340"/>
          </w:cols>
          <w:pgMar w:left="320" w:top="459" w:right="499" w:bottom="1440" w:gutter="0" w:footer="0" w:header="0"/>
          <w:type w:val="continuous"/>
        </w:sectPr>
      </w:pPr>
    </w:p>
    <w:p>
      <w:pPr>
        <w:spacing w:after="0" w:line="1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5747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227" w:lineRule="exact"/>
        <w:rPr>
          <w:sz w:val="20"/>
          <w:szCs w:val="20"/>
          <w:color w:val="auto"/>
        </w:rPr>
      </w:pPr>
    </w:p>
    <w:p>
      <w:pPr>
        <w:ind w:left="120" w:right="700"/>
        <w:spacing w:after="0" w:line="249" w:lineRule="auto"/>
        <w:rPr>
          <w:sz w:val="20"/>
          <w:szCs w:val="20"/>
          <w:color w:val="auto"/>
        </w:rPr>
      </w:pPr>
      <w:r>
        <w:rPr>
          <w:rFonts w:ascii="Arial" w:cs="Arial" w:eastAsia="Arial" w:hAnsi="Arial"/>
          <w:sz w:val="16"/>
          <w:szCs w:val="16"/>
          <w:color w:val="auto"/>
        </w:rPr>
        <w:t>The following matrix provides certain information regarding the members of our Board, including certain types of knowledge, skills experiences and attributes possessed by one or more of our directors which our Board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type of knowledge, skill, experience, or attribute with respect to any of our directors does not mean the director in question is unable to contribute to the decision-making process in that area. The type and degree of knowledge, skill and experience listed below may vary among members of the Board.</w:t>
      </w:r>
    </w:p>
    <w:p>
      <w:pPr>
        <w:spacing w:after="0" w:line="210" w:lineRule="exact"/>
        <w:rPr>
          <w:sz w:val="20"/>
          <w:szCs w:val="20"/>
          <w:color w:val="auto"/>
        </w:rPr>
      </w:pPr>
    </w:p>
    <w:tbl>
      <w:tblPr>
        <w:tblLayout w:type="fixed"/>
        <w:tblInd w:w="130" w:type="dxa"/>
        <w:tblCellMar>
          <w:top w:w="0" w:type="dxa"/>
          <w:left w:w="0" w:type="dxa"/>
          <w:bottom w:w="0" w:type="dxa"/>
          <w:right w:w="0" w:type="dxa"/>
        </w:tblCellMar>
      </w:tblPr>
      <w:tr>
        <w:trPr>
          <w:trHeight w:val="176"/>
        </w:trPr>
        <w:tc>
          <w:tcPr>
            <w:tcW w:w="1020" w:type="dxa"/>
            <w:vAlign w:val="bottom"/>
            <w:tcBorders>
              <w:top w:val="single" w:sz="8" w:color="auto"/>
              <w:left w:val="single" w:sz="8" w:color="auto"/>
              <w:right w:val="single" w:sz="8" w:color="auto"/>
            </w:tcBorders>
            <w:shd w:val="clear" w:color="auto" w:fill="E2231A"/>
          </w:tcPr>
          <w:p>
            <w:pPr>
              <w:spacing w:after="0"/>
              <w:rPr>
                <w:sz w:val="15"/>
                <w:szCs w:val="15"/>
                <w:color w:val="auto"/>
              </w:rPr>
            </w:pPr>
          </w:p>
        </w:tc>
        <w:tc>
          <w:tcPr>
            <w:tcW w:w="2200" w:type="dxa"/>
            <w:vAlign w:val="bottom"/>
            <w:tcBorders>
              <w:top w:val="single" w:sz="8" w:color="auto"/>
              <w:right w:val="single" w:sz="8" w:color="auto"/>
            </w:tcBorders>
            <w:shd w:val="clear" w:color="auto" w:fill="E2231A"/>
          </w:tcPr>
          <w:p>
            <w:pPr>
              <w:spacing w:after="0"/>
              <w:rPr>
                <w:sz w:val="15"/>
                <w:szCs w:val="15"/>
                <w:color w:val="auto"/>
              </w:rPr>
            </w:pP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Mei-Wei</w:t>
            </w:r>
          </w:p>
        </w:tc>
        <w:tc>
          <w:tcPr>
            <w:tcW w:w="70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Jon</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Brad</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Mary Lou</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Roger</w:t>
            </w:r>
          </w:p>
        </w:tc>
        <w:tc>
          <w:tcPr>
            <w:tcW w:w="70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Patricia</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Kathleen</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Conrad</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Ray</w:t>
            </w:r>
          </w:p>
        </w:tc>
        <w:tc>
          <w:tcPr>
            <w:tcW w:w="720" w:type="dxa"/>
            <w:vAlign w:val="bottom"/>
            <w:tcBorders>
              <w:top w:val="single" w:sz="8" w:color="auto"/>
              <w:right w:val="single" w:sz="8" w:color="auto"/>
            </w:tcBorders>
            <w:shd w:val="clear" w:color="auto" w:fill="E2231A"/>
          </w:tcPr>
          <w:p>
            <w:pPr>
              <w:jc w:val="center"/>
              <w:ind w:right="8"/>
              <w:spacing w:after="0"/>
              <w:rPr>
                <w:sz w:val="20"/>
                <w:szCs w:val="20"/>
                <w:color w:val="auto"/>
              </w:rPr>
            </w:pPr>
            <w:r>
              <w:rPr>
                <w:rFonts w:ascii="Arial" w:cs="Arial" w:eastAsia="Arial" w:hAnsi="Arial"/>
                <w:sz w:val="14"/>
                <w:szCs w:val="14"/>
                <w:b w:val="1"/>
                <w:bCs w:val="1"/>
                <w:color w:val="FFFFFF"/>
                <w:w w:val="97"/>
              </w:rPr>
              <w:t>Greg</w:t>
            </w:r>
          </w:p>
        </w:tc>
        <w:tc>
          <w:tcPr>
            <w:tcW w:w="0" w:type="dxa"/>
            <w:vAlign w:val="bottom"/>
          </w:tcPr>
          <w:p>
            <w:pPr>
              <w:spacing w:after="0"/>
              <w:rPr>
                <w:sz w:val="1"/>
                <w:szCs w:val="1"/>
                <w:color w:val="auto"/>
              </w:rPr>
            </w:pPr>
          </w:p>
        </w:tc>
      </w:tr>
      <w:tr>
        <w:trPr>
          <w:trHeight w:val="261"/>
        </w:trPr>
        <w:tc>
          <w:tcPr>
            <w:tcW w:w="1020" w:type="dxa"/>
            <w:vAlign w:val="bottom"/>
            <w:tcBorders>
              <w:left w:val="single" w:sz="8" w:color="auto"/>
              <w:bottom w:val="single" w:sz="8" w:color="E2231A"/>
              <w:right w:val="single" w:sz="8" w:color="auto"/>
            </w:tcBorders>
            <w:shd w:val="clear" w:color="auto" w:fill="E2231A"/>
          </w:tcPr>
          <w:p>
            <w:pPr>
              <w:ind w:left="220"/>
              <w:spacing w:after="0"/>
              <w:rPr>
                <w:sz w:val="20"/>
                <w:szCs w:val="20"/>
                <w:color w:val="auto"/>
              </w:rPr>
            </w:pPr>
            <w:r>
              <w:rPr>
                <w:rFonts w:ascii="Arial" w:cs="Arial" w:eastAsia="Arial" w:hAnsi="Arial"/>
                <w:sz w:val="14"/>
                <w:szCs w:val="14"/>
                <w:b w:val="1"/>
                <w:bCs w:val="1"/>
                <w:color w:val="FFFFFF"/>
              </w:rPr>
              <w:t>Category</w:t>
            </w:r>
          </w:p>
        </w:tc>
        <w:tc>
          <w:tcPr>
            <w:tcW w:w="2200" w:type="dxa"/>
            <w:vAlign w:val="bottom"/>
            <w:tcBorders>
              <w:bottom w:val="single" w:sz="8" w:color="E2231A"/>
              <w:right w:val="single" w:sz="8" w:color="auto"/>
            </w:tcBorders>
            <w:shd w:val="clear" w:color="auto" w:fill="E2231A"/>
          </w:tcPr>
          <w:p>
            <w:pPr>
              <w:ind w:left="620"/>
              <w:spacing w:after="0"/>
              <w:rPr>
                <w:sz w:val="20"/>
                <w:szCs w:val="20"/>
                <w:color w:val="auto"/>
              </w:rPr>
            </w:pPr>
            <w:r>
              <w:rPr>
                <w:rFonts w:ascii="Arial" w:cs="Arial" w:eastAsia="Arial" w:hAnsi="Arial"/>
                <w:sz w:val="14"/>
                <w:szCs w:val="14"/>
                <w:b w:val="1"/>
                <w:bCs w:val="1"/>
                <w:color w:val="FFFFFF"/>
              </w:rPr>
              <w:t>Profile / Skills</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Cheng</w:t>
            </w:r>
          </w:p>
        </w:tc>
        <w:tc>
          <w:tcPr>
            <w:tcW w:w="70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Foster</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Halverson</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Jepsen</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Krone</w:t>
            </w:r>
          </w:p>
        </w:tc>
        <w:tc>
          <w:tcPr>
            <w:tcW w:w="70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Lewis</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Ligocki</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Mallett</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Scott</w:t>
            </w:r>
          </w:p>
        </w:tc>
        <w:tc>
          <w:tcPr>
            <w:tcW w:w="720" w:type="dxa"/>
            <w:vAlign w:val="bottom"/>
            <w:tcBorders>
              <w:bottom w:val="single" w:sz="8" w:color="E2231A"/>
              <w:right w:val="single" w:sz="8" w:color="auto"/>
            </w:tcBorders>
            <w:shd w:val="clear" w:color="auto" w:fill="E2231A"/>
          </w:tcPr>
          <w:p>
            <w:pPr>
              <w:jc w:val="center"/>
              <w:ind w:right="8"/>
              <w:spacing w:after="0"/>
              <w:rPr>
                <w:sz w:val="20"/>
                <w:szCs w:val="20"/>
                <w:color w:val="auto"/>
              </w:rPr>
            </w:pPr>
            <w:r>
              <w:rPr>
                <w:rFonts w:ascii="Arial" w:cs="Arial" w:eastAsia="Arial" w:hAnsi="Arial"/>
                <w:sz w:val="14"/>
                <w:szCs w:val="14"/>
                <w:b w:val="1"/>
                <w:bCs w:val="1"/>
                <w:color w:val="FFFFFF"/>
              </w:rPr>
              <w:t>Smith</w:t>
            </w:r>
          </w:p>
        </w:tc>
        <w:tc>
          <w:tcPr>
            <w:tcW w:w="0" w:type="dxa"/>
            <w:vAlign w:val="bottom"/>
          </w:tcPr>
          <w:p>
            <w:pPr>
              <w:spacing w:after="0"/>
              <w:rPr>
                <w:sz w:val="1"/>
                <w:szCs w:val="1"/>
                <w:color w:val="auto"/>
              </w:rPr>
            </w:pPr>
          </w:p>
        </w:tc>
      </w:tr>
      <w:tr>
        <w:trPr>
          <w:trHeight w:val="250"/>
        </w:trPr>
        <w:tc>
          <w:tcPr>
            <w:tcW w:w="1020" w:type="dxa"/>
            <w:vAlign w:val="bottom"/>
            <w:tcBorders>
              <w:top w:val="single" w:sz="8" w:color="auto"/>
              <w:left w:val="single" w:sz="8" w:color="auto"/>
              <w:right w:val="single" w:sz="8" w:color="auto"/>
            </w:tcBorders>
          </w:tcPr>
          <w:p>
            <w:pPr>
              <w:spacing w:after="0"/>
              <w:rPr>
                <w:sz w:val="21"/>
                <w:szCs w:val="21"/>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Woman</w:t>
            </w:r>
          </w:p>
        </w:tc>
        <w:tc>
          <w:tcPr>
            <w:tcW w:w="72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African-American / Black</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Pan-Asian</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Non-U.S. Resident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LGBTQ</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Borders>
              <w:top w:val="single" w:sz="8" w:color="auto"/>
              <w:left w:val="single" w:sz="8" w:color="auto"/>
              <w:bottom w:val="single" w:sz="8" w:color="auto"/>
              <w:right w:val="single" w:sz="8" w:color="auto"/>
            </w:tcBorders>
            <w:shd w:val="clear" w:color="auto" w:fill="999999"/>
          </w:tcPr>
          <w:p>
            <w:pPr>
              <w:spacing w:after="0"/>
              <w:rPr>
                <w:sz w:val="20"/>
                <w:szCs w:val="20"/>
                <w:color w:val="auto"/>
              </w:rPr>
            </w:pPr>
          </w:p>
        </w:tc>
        <w:tc>
          <w:tcPr>
            <w:tcW w:w="220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0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0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02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CEO / Large Business Head</w:t>
            </w: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60"/>
        </w:trPr>
        <w:tc>
          <w:tcPr>
            <w:tcW w:w="10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020" w:type="dxa"/>
            <w:vAlign w:val="bottom"/>
            <w:tcBorders>
              <w:left w:val="single" w:sz="8" w:color="auto"/>
              <w:right w:val="single" w:sz="8" w:color="auto"/>
            </w:tcBorders>
          </w:tcPr>
          <w:p>
            <w:pPr>
              <w:spacing w:after="0"/>
              <w:rPr>
                <w:sz w:val="18"/>
                <w:szCs w:val="18"/>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CFO / Treasurer / Fin. Serv.</w:t>
            </w:r>
          </w:p>
        </w:tc>
        <w:tc>
          <w:tcPr>
            <w:tcW w:w="72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Exec.</w:t>
            </w: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Auto Industry</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Technology</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Strategy</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Finance</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Commercial / Marketing</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Operations</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333"/>
        </w:trPr>
        <w:tc>
          <w:tcPr>
            <w:tcW w:w="1020" w:type="dxa"/>
            <w:vAlign w:val="bottom"/>
            <w:tcBorders>
              <w:left w:val="single" w:sz="8" w:color="auto"/>
              <w:right w:val="single" w:sz="8" w:color="auto"/>
            </w:tcBorders>
          </w:tcPr>
          <w:p>
            <w:pPr>
              <w:spacing w:after="0"/>
              <w:rPr>
                <w:sz w:val="24"/>
                <w:szCs w:val="24"/>
                <w:color w:val="auto"/>
              </w:rPr>
            </w:pPr>
          </w:p>
        </w:tc>
        <w:tc>
          <w:tcPr>
            <w:tcW w:w="22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color w:val="auto"/>
              </w:rPr>
              <w:t>Human Capital Management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60"/>
        </w:trPr>
        <w:tc>
          <w:tcPr>
            <w:tcW w:w="10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Legal / Governmental</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20" w:type="dxa"/>
            <w:vAlign w:val="bottom"/>
            <w:tcBorders>
              <w:left w:val="single" w:sz="8" w:color="auto"/>
              <w:right w:val="single" w:sz="8" w:color="auto"/>
            </w:tcBorders>
          </w:tcPr>
          <w:p>
            <w:pPr>
              <w:spacing w:after="0"/>
              <w:rPr>
                <w:sz w:val="18"/>
                <w:szCs w:val="18"/>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Environmental, Social,</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Governance</w:t>
            </w: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0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2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International</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-3437255</wp:posOffset>
            </wp:positionV>
            <wp:extent cx="93980" cy="531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53149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-1645285</wp:posOffset>
            </wp:positionV>
            <wp:extent cx="93980" cy="694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694055"/>
                    </a:xfrm>
                    <a:prstGeom prst="rect">
                      <a:avLst/>
                    </a:prstGeom>
                    <a:noFill/>
                  </pic:spPr>
                </pic:pic>
              </a:graphicData>
            </a:graphic>
          </wp:anchor>
        </w:drawing>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table above, an “X” indicates experience in the category gained directly or through active oversight of one responsible for the category.</w:t>
      </w:r>
    </w:p>
    <w:p>
      <w:pPr>
        <w:spacing w:after="0" w:line="264" w:lineRule="exact"/>
        <w:rPr>
          <w:sz w:val="20"/>
          <w:szCs w:val="20"/>
          <w:color w:val="auto"/>
        </w:rPr>
      </w:pPr>
    </w:p>
    <w:p>
      <w:pPr>
        <w:jc w:val="right"/>
        <w:ind w:right="22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17</w:t>
      </w:r>
    </w:p>
    <w:p>
      <w:pPr>
        <w:sectPr>
          <w:pgSz w:w="11900" w:h="16838" w:orient="portrait"/>
          <w:cols w:equalWidth="0" w:num="1">
            <w:col w:w="11080"/>
          </w:cols>
          <w:pgMar w:left="320" w:top="459" w:right="4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jc w:val="right"/>
        <w:ind w:right="4680"/>
        <w:spacing w:after="0"/>
        <w:rPr>
          <w:sz w:val="20"/>
          <w:szCs w:val="20"/>
          <w:color w:val="auto"/>
        </w:rPr>
      </w:pPr>
      <w:r>
        <w:rPr>
          <w:rFonts w:ascii="Arial" w:cs="Arial" w:eastAsia="Arial" w:hAnsi="Arial"/>
          <w:sz w:val="23"/>
          <w:szCs w:val="23"/>
          <w:b w:val="1"/>
          <w:bCs w:val="1"/>
          <w:color w:val="auto"/>
        </w:rPr>
        <w:t>Recommendation of Directors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42" w:lineRule="exact"/>
        <w:rPr>
          <w:sz w:val="20"/>
          <w:szCs w:val="20"/>
          <w:color w:val="auto"/>
        </w:rPr>
      </w:pPr>
    </w:p>
    <w:p>
      <w:pPr>
        <w:ind w:left="660" w:right="300"/>
        <w:spacing w:after="0" w:line="248" w:lineRule="auto"/>
        <w:rPr>
          <w:sz w:val="20"/>
          <w:szCs w:val="20"/>
          <w:color w:val="auto"/>
        </w:rPr>
      </w:pPr>
      <w:r>
        <w:rPr>
          <w:rFonts w:ascii="Arial" w:cs="Arial" w:eastAsia="Arial" w:hAnsi="Arial"/>
          <w:sz w:val="16"/>
          <w:szCs w:val="16"/>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98"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 the Company. For purposes of the Bylaws, “public announcement” means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disclosure in a press release reported by the Dow Jones News Service, Associated Press or a comparable national news service or in a document publicly filed by us with the SEC.</w:t>
      </w:r>
    </w:p>
    <w:p>
      <w:pPr>
        <w:spacing w:after="0" w:line="9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Harry A. Kemp, Senior Vice President, General Counsel and Corporate Secretary. See “Stockholder Proposals for 2023 Annual Meeting of Stockholders.” In addition, to comply with the universal proxy rules (once effective), stockholders who intend to solicit proxies in support of director nominees other than Lear nominees must provide notice that sets forth the information required by Rule 14a-19 under the U.S. Securities Exchange Act of 1934 (the “Exchange Act”) no later than 60 days before the first anniversary of the preceding year’s annual meeting.</w:t>
      </w:r>
    </w:p>
    <w:p>
      <w:pPr>
        <w:spacing w:after="0" w:line="10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 copy of our Bylaws has been filed as an exhibit to our Current Report on Form 8-K filed with the SEC on November 9, 2009.</w:t>
      </w:r>
    </w:p>
    <w:p>
      <w:pPr>
        <w:spacing w:after="0" w:line="833"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A majority of the members of the Board, and each member of the Audit Committee, P&amp;C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In addition to considering the NYSE independence criteria, the Board will consider all relevant facts and circumstances of which it is aware in making an independence determination with respect to any 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Board has made director independence determinations with respect to each of our current directors and one former director who retired from the Board in 2021. Based on the NYSE independence guidelines, the Board has affirmatively determined that (i) Messrs. Cheng, Foster, Halverson, Dr. Jepsen, Mr. Krone, Ms. Lewis,</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Ms. Ligocki and Messrs. Mallett and Smith and former director Mr. Thomas P. Capo (A) have no relationships or only immaterial relationships with us, (B) meet the NYSE independence guidelines with respect to any such relationships and (C) are independent; and</w:t>
      </w:r>
    </w:p>
    <w:p>
      <w:pPr>
        <w:spacing w:after="0" w:line="2" w:lineRule="exact"/>
        <w:rPr>
          <w:sz w:val="20"/>
          <w:szCs w:val="20"/>
          <w:color w:val="auto"/>
        </w:rPr>
      </w:pPr>
    </w:p>
    <w:p>
      <w:pPr>
        <w:ind w:right="400" w:firstLine="3"/>
        <w:spacing w:after="0" w:line="260" w:lineRule="auto"/>
        <w:tabs>
          <w:tab w:leader="none" w:pos="2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Scott is not independent. Mr. Scott is our President and Chief Executive Officer (the “CEO”).</w:t>
      </w:r>
    </w:p>
    <w:p>
      <w:pPr>
        <w:spacing w:after="0" w:line="200" w:lineRule="exact"/>
        <w:rPr>
          <w:sz w:val="20"/>
          <w:szCs w:val="20"/>
          <w:color w:val="auto"/>
        </w:rPr>
      </w:pPr>
    </w:p>
    <w:p>
      <w:pPr>
        <w:sectPr>
          <w:pgSz w:w="11900" w:h="16838" w:orient="portrait"/>
          <w:cols w:equalWidth="0" w:num="2">
            <w:col w:w="5400" w:space="320"/>
            <w:col w:w="4860"/>
          </w:cols>
          <w:pgMar w:left="320" w:top="459" w:right="999" w:bottom="1440" w:gutter="0" w:footer="0" w:header="0"/>
          <w:type w:val="continuous"/>
        </w:sectPr>
      </w:pPr>
    </w:p>
    <w:p>
      <w:pPr>
        <w:spacing w:after="0" w:line="14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Board Retirement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The Board has adopted the policy that an individual may not stand for election or re-election to the Board if such individual has reached seventy-two (72) years of age. Mei Wei Cheng is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currently seventy-two (72) years of age and joined the Board in 2019. Given Mr. Cheng’s short tenure on the Board, and his leadership experience with a particular focus on Asian</w:t>
      </w:r>
    </w:p>
    <w:p>
      <w:pPr>
        <w:spacing w:after="0" w:line="200"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192" w:lineRule="exact"/>
        <w:rPr>
          <w:sz w:val="20"/>
          <w:szCs w:val="20"/>
          <w:color w:val="auto"/>
        </w:rPr>
      </w:pPr>
    </w:p>
    <w:p>
      <w:pPr>
        <w:ind w:left="780" w:hanging="393"/>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markets and his extensive knowledge of the automotive industry, the Board determined that it is in the Company’s best interest to waive the retirement age policy for Mr. Cheng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order for him to stand for re-election and continue serving on the Board.</w:t>
      </w:r>
    </w:p>
    <w:p>
      <w:pPr>
        <w:spacing w:after="0" w:line="597" w:lineRule="exact"/>
        <w:rPr>
          <w:sz w:val="20"/>
          <w:szCs w:val="20"/>
          <w:color w:val="auto"/>
        </w:rPr>
      </w:pPr>
    </w:p>
    <w:p>
      <w:pPr>
        <w:sectPr>
          <w:pgSz w:w="11900" w:h="16838" w:orient="portrait"/>
          <w:cols w:equalWidth="0" w:num="2">
            <w:col w:w="5140" w:space="600"/>
            <w:col w:w="5120"/>
          </w:cols>
          <w:pgMar w:left="320" w:top="459" w:right="719" w:bottom="1440" w:gutter="0" w:footer="0" w:header="0"/>
          <w:type w:val="continuous"/>
        </w:sectPr>
      </w:pPr>
    </w:p>
    <w:p>
      <w:pPr>
        <w:spacing w:after="0" w:line="19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574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700"/>
        <w:spacing w:after="0" w:line="250" w:lineRule="auto"/>
        <w:rPr>
          <w:sz w:val="20"/>
          <w:szCs w:val="20"/>
          <w:color w:val="auto"/>
        </w:rPr>
      </w:pPr>
      <w:r>
        <w:rPr>
          <w:rFonts w:ascii="Arial" w:cs="Arial" w:eastAsia="Arial" w:hAnsi="Arial"/>
          <w:sz w:val="16"/>
          <w:szCs w:val="16"/>
          <w:color w:val="auto"/>
        </w:rPr>
        <w:t>ability to achieve our strategic objectives. The enterprise risk management process supplements management’s ongoing responsibilities to monitor and address risks by working with risk owners to identify the key mitigating actions for certain risks, which then are discussed with senior management.</w:t>
      </w:r>
    </w:p>
    <w:p>
      <w:pPr>
        <w:spacing w:after="0" w:line="200" w:lineRule="exact"/>
        <w:rPr>
          <w:sz w:val="20"/>
          <w:szCs w:val="20"/>
          <w:color w:val="auto"/>
        </w:rPr>
      </w:pPr>
    </w:p>
    <w:p>
      <w:pPr>
        <w:sectPr>
          <w:pgSz w:w="11900" w:h="16838" w:orient="portrait"/>
          <w:cols w:equalWidth="0" w:num="2">
            <w:col w:w="5060" w:space="340"/>
            <w:col w:w="5460"/>
          </w:cols>
          <w:pgMar w:left="320" w:top="459" w:right="719" w:bottom="1440" w:gutter="0" w:footer="0" w:header="0"/>
          <w:type w:val="continuous"/>
        </w:sectPr>
      </w:pPr>
    </w:p>
    <w:p>
      <w:pPr>
        <w:spacing w:after="0" w:line="57" w:lineRule="exact"/>
        <w:rPr>
          <w:sz w:val="20"/>
          <w:szCs w:val="20"/>
          <w:color w:val="auto"/>
        </w:rPr>
      </w:pPr>
    </w:p>
    <w:p>
      <w:pPr>
        <w:ind w:left="120" w:right="600"/>
        <w:spacing w:after="0" w:line="253" w:lineRule="auto"/>
        <w:rPr>
          <w:sz w:val="20"/>
          <w:szCs w:val="20"/>
          <w:color w:val="auto"/>
        </w:rPr>
      </w:pPr>
      <w:r>
        <w:rPr>
          <w:rFonts w:ascii="Arial" w:cs="Arial" w:eastAsia="Arial" w:hAnsi="Arial"/>
          <w:sz w:val="16"/>
          <w:szCs w:val="16"/>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Board/Committee Areas of Risk Oversight and Actions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266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Full Board</w:t>
            </w: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Carefully evaluates the reports received from management and makes inquiries of management on</w:t>
            </w:r>
          </w:p>
        </w:tc>
        <w:tc>
          <w:tcPr>
            <w:tcW w:w="380" w:type="dxa"/>
            <w:vAlign w:val="bottom"/>
          </w:tcPr>
          <w:p>
            <w:pPr>
              <w:spacing w:after="0"/>
              <w:rPr>
                <w:sz w:val="21"/>
                <w:szCs w:val="21"/>
                <w:color w:val="auto"/>
              </w:rPr>
            </w:pPr>
          </w:p>
        </w:tc>
      </w:tr>
      <w:tr>
        <w:trPr>
          <w:trHeight w:val="195"/>
        </w:trPr>
        <w:tc>
          <w:tcPr>
            <w:tcW w:w="26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areas of particular interest to the Board</w:t>
            </w:r>
          </w:p>
        </w:tc>
        <w:tc>
          <w:tcPr>
            <w:tcW w:w="380" w:type="dxa"/>
            <w:vAlign w:val="bottom"/>
          </w:tcPr>
          <w:p>
            <w:pPr>
              <w:spacing w:after="0"/>
              <w:rPr>
                <w:sz w:val="16"/>
                <w:szCs w:val="16"/>
                <w:color w:val="auto"/>
              </w:rPr>
            </w:pPr>
          </w:p>
        </w:tc>
      </w:tr>
      <w:tr>
        <w:trPr>
          <w:trHeight w:val="305"/>
        </w:trPr>
        <w:tc>
          <w:tcPr>
            <w:tcW w:w="266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Reviews with management material strategic, operational, financial, compensation and compliance</w:t>
            </w:r>
          </w:p>
        </w:tc>
        <w:tc>
          <w:tcPr>
            <w:tcW w:w="380" w:type="dxa"/>
            <w:vAlign w:val="bottom"/>
          </w:tcPr>
          <w:p>
            <w:pPr>
              <w:spacing w:after="0"/>
              <w:rPr>
                <w:sz w:val="24"/>
                <w:szCs w:val="24"/>
                <w:color w:val="auto"/>
              </w:rPr>
            </w:pPr>
          </w:p>
        </w:tc>
      </w:tr>
      <w:tr>
        <w:trPr>
          <w:trHeight w:val="195"/>
        </w:trPr>
        <w:tc>
          <w:tcPr>
            <w:tcW w:w="26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risks, including risks related to environmental, social and governance issues</w:t>
            </w:r>
          </w:p>
        </w:tc>
        <w:tc>
          <w:tcPr>
            <w:tcW w:w="380" w:type="dxa"/>
            <w:vAlign w:val="bottom"/>
          </w:tcPr>
          <w:p>
            <w:pPr>
              <w:spacing w:after="0"/>
              <w:rPr>
                <w:sz w:val="16"/>
                <w:szCs w:val="16"/>
                <w:color w:val="auto"/>
              </w:rPr>
            </w:pPr>
          </w:p>
        </w:tc>
      </w:tr>
      <w:tr>
        <w:trPr>
          <w:trHeight w:val="310"/>
        </w:trPr>
        <w:tc>
          <w:tcPr>
            <w:tcW w:w="266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Considers specific risk topics in connection with strategic planning and other matters</w:t>
            </w:r>
          </w:p>
        </w:tc>
        <w:tc>
          <w:tcPr>
            <w:tcW w:w="380" w:type="dxa"/>
            <w:vAlign w:val="bottom"/>
          </w:tcPr>
          <w:p>
            <w:pPr>
              <w:spacing w:after="0"/>
              <w:rPr>
                <w:sz w:val="24"/>
                <w:szCs w:val="24"/>
                <w:color w:val="auto"/>
              </w:rPr>
            </w:pPr>
          </w:p>
        </w:tc>
      </w:tr>
      <w:tr>
        <w:trPr>
          <w:trHeight w:val="305"/>
        </w:trPr>
        <w:tc>
          <w:tcPr>
            <w:tcW w:w="266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Oversees risk oversight and related activities conducted by the Board committees through reports of</w:t>
            </w:r>
          </w:p>
        </w:tc>
        <w:tc>
          <w:tcPr>
            <w:tcW w:w="380" w:type="dxa"/>
            <w:vAlign w:val="bottom"/>
          </w:tcPr>
          <w:p>
            <w:pPr>
              <w:spacing w:after="0"/>
              <w:rPr>
                <w:sz w:val="24"/>
                <w:szCs w:val="24"/>
                <w:color w:val="auto"/>
              </w:rPr>
            </w:pPr>
          </w:p>
        </w:tc>
      </w:tr>
      <w:tr>
        <w:trPr>
          <w:trHeight w:val="195"/>
        </w:trPr>
        <w:tc>
          <w:tcPr>
            <w:tcW w:w="26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the committee chairmen to the Board</w:t>
            </w:r>
          </w:p>
        </w:tc>
        <w:tc>
          <w:tcPr>
            <w:tcW w:w="380" w:type="dxa"/>
            <w:vAlign w:val="bottom"/>
          </w:tcPr>
          <w:p>
            <w:pPr>
              <w:spacing w:after="0"/>
              <w:rPr>
                <w:sz w:val="16"/>
                <w:szCs w:val="16"/>
                <w:color w:val="auto"/>
              </w:rPr>
            </w:pPr>
          </w:p>
        </w:tc>
      </w:tr>
      <w:tr>
        <w:trPr>
          <w:trHeight w:val="128"/>
        </w:trPr>
        <w:tc>
          <w:tcPr>
            <w:tcW w:w="2660" w:type="dxa"/>
            <w:vAlign w:val="bottom"/>
            <w:tcBorders>
              <w:bottom w:val="single" w:sz="8" w:color="auto"/>
            </w:tcBorders>
            <w:shd w:val="clear" w:color="auto" w:fill="FCE9E8"/>
          </w:tcPr>
          <w:p>
            <w:pPr>
              <w:spacing w:after="0"/>
              <w:rPr>
                <w:sz w:val="11"/>
                <w:szCs w:val="11"/>
                <w:color w:val="auto"/>
              </w:rPr>
            </w:pPr>
          </w:p>
        </w:tc>
        <w:tc>
          <w:tcPr>
            <w:tcW w:w="200" w:type="dxa"/>
            <w:vAlign w:val="bottom"/>
            <w:tcBorders>
              <w:bottom w:val="single" w:sz="8" w:color="auto"/>
            </w:tcBorders>
            <w:shd w:val="clear" w:color="auto" w:fill="FCE9E8"/>
          </w:tcPr>
          <w:p>
            <w:pPr>
              <w:spacing w:after="0"/>
              <w:rPr>
                <w:sz w:val="11"/>
                <w:szCs w:val="11"/>
                <w:color w:val="auto"/>
              </w:rPr>
            </w:pPr>
          </w:p>
        </w:tc>
        <w:tc>
          <w:tcPr>
            <w:tcW w:w="7500" w:type="dxa"/>
            <w:vAlign w:val="bottom"/>
            <w:tcBorders>
              <w:bottom w:val="single" w:sz="8" w:color="auto"/>
            </w:tcBorders>
            <w:shd w:val="clear" w:color="auto" w:fill="FCE9E8"/>
          </w:tcPr>
          <w:p>
            <w:pPr>
              <w:spacing w:after="0"/>
              <w:rPr>
                <w:sz w:val="11"/>
                <w:szCs w:val="11"/>
                <w:color w:val="auto"/>
              </w:rPr>
            </w:pPr>
          </w:p>
        </w:tc>
        <w:tc>
          <w:tcPr>
            <w:tcW w:w="380" w:type="dxa"/>
            <w:vAlign w:val="bottom"/>
          </w:tcPr>
          <w:p>
            <w:pPr>
              <w:spacing w:after="0"/>
              <w:rPr>
                <w:sz w:val="11"/>
                <w:szCs w:val="11"/>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6"/>
                <w:szCs w:val="16"/>
                <w:b w:val="1"/>
                <w:bCs w:val="1"/>
                <w:color w:val="auto"/>
              </w:rPr>
              <w:t>Audit Committee</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Responsible for ensuring that the Company has an internal audit function to provide management</w:t>
            </w:r>
          </w:p>
        </w:tc>
      </w:tr>
      <w:tr>
        <w:trPr>
          <w:trHeight w:val="189"/>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and the Audit Committee with ongoing assessments of the Company’s risk management process and</w:t>
            </w:r>
          </w:p>
        </w:tc>
      </w:tr>
      <w:tr>
        <w:trPr>
          <w:trHeight w:val="195"/>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system of internal controls</w:t>
            </w:r>
          </w:p>
        </w:tc>
      </w:tr>
      <w:tr>
        <w:trPr>
          <w:trHeight w:val="305"/>
        </w:trPr>
        <w:tc>
          <w:tcPr>
            <w:tcW w:w="26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Discusses with management the Company’s process for assessing and managing risks, including the</w:t>
            </w:r>
          </w:p>
        </w:tc>
      </w:tr>
      <w:tr>
        <w:trPr>
          <w:trHeight w:val="189"/>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Company’s major risk exposures related to tax matters, financial instruments, litigation and</w:t>
            </w:r>
          </w:p>
        </w:tc>
      </w:tr>
      <w:tr>
        <w:trPr>
          <w:trHeight w:val="189"/>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information security (including cybersecurity) and the steps necessary to monitor and control such</w:t>
            </w:r>
          </w:p>
        </w:tc>
      </w:tr>
      <w:tr>
        <w:trPr>
          <w:trHeight w:val="195"/>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exposures</w:t>
            </w:r>
          </w:p>
        </w:tc>
      </w:tr>
      <w:tr>
        <w:trPr>
          <w:trHeight w:val="310"/>
        </w:trPr>
        <w:tc>
          <w:tcPr>
            <w:tcW w:w="26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Central oversight of financial and compliance risks</w:t>
            </w:r>
          </w:p>
        </w:tc>
      </w:tr>
      <w:tr>
        <w:trPr>
          <w:trHeight w:val="305"/>
        </w:trPr>
        <w:tc>
          <w:tcPr>
            <w:tcW w:w="26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Meets periodically with senior management, our vice president of internal audit, our chief compliance</w:t>
            </w:r>
          </w:p>
        </w:tc>
      </w:tr>
      <w:tr>
        <w:trPr>
          <w:trHeight w:val="189"/>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officer and our independent auditor, Ernst &amp; Young LLP, and reports on its findings at each regularly</w:t>
            </w:r>
          </w:p>
        </w:tc>
      </w:tr>
      <w:tr>
        <w:trPr>
          <w:trHeight w:val="195"/>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scheduled meeting of the Board</w:t>
            </w:r>
          </w:p>
        </w:tc>
      </w:tr>
      <w:tr>
        <w:trPr>
          <w:trHeight w:val="305"/>
        </w:trPr>
        <w:tc>
          <w:tcPr>
            <w:tcW w:w="26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Periodically assesses reports provided by management on risks addressed in the enterprise risk</w:t>
            </w:r>
          </w:p>
        </w:tc>
      </w:tr>
      <w:tr>
        <w:trPr>
          <w:trHeight w:val="195"/>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management process and other risks, and reports to the Board, as appropriate</w:t>
            </w:r>
          </w:p>
        </w:tc>
      </w:tr>
      <w:tr>
        <w:trPr>
          <w:trHeight w:val="128"/>
        </w:trPr>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80" w:type="dxa"/>
            <w:vAlign w:val="bottom"/>
            <w:gridSpan w:val="2"/>
          </w:tcPr>
          <w:p>
            <w:pPr>
              <w:spacing w:after="0"/>
              <w:rPr>
                <w:sz w:val="11"/>
                <w:szCs w:val="11"/>
                <w:color w:val="auto"/>
              </w:rPr>
            </w:pPr>
          </w:p>
        </w:tc>
      </w:tr>
      <w:tr>
        <w:trPr>
          <w:trHeight w:val="225"/>
        </w:trPr>
        <w:tc>
          <w:tcPr>
            <w:tcW w:w="2660" w:type="dxa"/>
            <w:vAlign w:val="bottom"/>
            <w:tcBorders>
              <w:top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P&amp;C Committee</w:t>
            </w:r>
          </w:p>
        </w:tc>
        <w:tc>
          <w:tcPr>
            <w:tcW w:w="200" w:type="dxa"/>
            <w:vAlign w:val="bottom"/>
            <w:tcBorders>
              <w:top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500" w:type="dxa"/>
            <w:vAlign w:val="bottom"/>
            <w:tcBorders>
              <w:top w:val="single" w:sz="8" w:color="auto"/>
            </w:tcBorders>
            <w:shd w:val="clear" w:color="auto" w:fill="FCE9E8"/>
          </w:tcPr>
          <w:p>
            <w:pPr>
              <w:ind w:left="60"/>
              <w:spacing w:after="0"/>
              <w:rPr>
                <w:sz w:val="20"/>
                <w:szCs w:val="20"/>
                <w:color w:val="auto"/>
              </w:rPr>
            </w:pPr>
            <w:r>
              <w:rPr>
                <w:rFonts w:ascii="Arial" w:cs="Arial" w:eastAsia="Arial" w:hAnsi="Arial"/>
                <w:sz w:val="16"/>
                <w:szCs w:val="16"/>
                <w:color w:val="auto"/>
              </w:rPr>
              <w:t>Oversees the review and evaluation of the risks associated with our compensation policies and</w:t>
            </w:r>
          </w:p>
        </w:tc>
        <w:tc>
          <w:tcPr>
            <w:tcW w:w="380" w:type="dxa"/>
            <w:vAlign w:val="bottom"/>
          </w:tcPr>
          <w:p>
            <w:pPr>
              <w:spacing w:after="0"/>
              <w:rPr>
                <w:sz w:val="19"/>
                <w:szCs w:val="19"/>
                <w:color w:val="auto"/>
              </w:rPr>
            </w:pPr>
          </w:p>
        </w:tc>
      </w:tr>
      <w:tr>
        <w:trPr>
          <w:trHeight w:val="195"/>
        </w:trPr>
        <w:tc>
          <w:tcPr>
            <w:tcW w:w="26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500" w:type="dxa"/>
            <w:vAlign w:val="bottom"/>
            <w:shd w:val="clear" w:color="auto" w:fill="FCE9E8"/>
          </w:tcPr>
          <w:p>
            <w:pPr>
              <w:ind w:left="60"/>
              <w:spacing w:after="0"/>
              <w:rPr>
                <w:sz w:val="20"/>
                <w:szCs w:val="20"/>
                <w:color w:val="auto"/>
              </w:rPr>
            </w:pPr>
            <w:r>
              <w:rPr>
                <w:rFonts w:ascii="Arial" w:cs="Arial" w:eastAsia="Arial" w:hAnsi="Arial"/>
                <w:sz w:val="16"/>
                <w:szCs w:val="16"/>
                <w:color w:val="auto"/>
              </w:rPr>
              <w:t>practices (see also “Compensation and Risk”)</w:t>
            </w:r>
          </w:p>
        </w:tc>
        <w:tc>
          <w:tcPr>
            <w:tcW w:w="380" w:type="dxa"/>
            <w:vAlign w:val="bottom"/>
          </w:tcPr>
          <w:p>
            <w:pPr>
              <w:spacing w:after="0"/>
              <w:rPr>
                <w:sz w:val="16"/>
                <w:szCs w:val="16"/>
                <w:color w:val="auto"/>
              </w:rPr>
            </w:pPr>
          </w:p>
        </w:tc>
      </w:tr>
      <w:tr>
        <w:trPr>
          <w:trHeight w:val="128"/>
        </w:trPr>
        <w:tc>
          <w:tcPr>
            <w:tcW w:w="2660" w:type="dxa"/>
            <w:vAlign w:val="bottom"/>
            <w:tcBorders>
              <w:bottom w:val="single" w:sz="8" w:color="auto"/>
            </w:tcBorders>
            <w:shd w:val="clear" w:color="auto" w:fill="FCE9E8"/>
          </w:tcPr>
          <w:p>
            <w:pPr>
              <w:spacing w:after="0"/>
              <w:rPr>
                <w:sz w:val="11"/>
                <w:szCs w:val="11"/>
                <w:color w:val="auto"/>
              </w:rPr>
            </w:pPr>
          </w:p>
        </w:tc>
        <w:tc>
          <w:tcPr>
            <w:tcW w:w="200" w:type="dxa"/>
            <w:vAlign w:val="bottom"/>
            <w:tcBorders>
              <w:bottom w:val="single" w:sz="8" w:color="auto"/>
            </w:tcBorders>
            <w:shd w:val="clear" w:color="auto" w:fill="FCE9E8"/>
          </w:tcPr>
          <w:p>
            <w:pPr>
              <w:spacing w:after="0"/>
              <w:rPr>
                <w:sz w:val="11"/>
                <w:szCs w:val="11"/>
                <w:color w:val="auto"/>
              </w:rPr>
            </w:pPr>
          </w:p>
        </w:tc>
        <w:tc>
          <w:tcPr>
            <w:tcW w:w="7500" w:type="dxa"/>
            <w:vAlign w:val="bottom"/>
            <w:tcBorders>
              <w:bottom w:val="single" w:sz="8" w:color="auto"/>
            </w:tcBorders>
            <w:shd w:val="clear" w:color="auto" w:fill="FCE9E8"/>
          </w:tcPr>
          <w:p>
            <w:pPr>
              <w:spacing w:after="0"/>
              <w:rPr>
                <w:sz w:val="11"/>
                <w:szCs w:val="11"/>
                <w:color w:val="auto"/>
              </w:rPr>
            </w:pPr>
          </w:p>
        </w:tc>
        <w:tc>
          <w:tcPr>
            <w:tcW w:w="380" w:type="dxa"/>
            <w:vAlign w:val="bottom"/>
          </w:tcPr>
          <w:p>
            <w:pPr>
              <w:spacing w:after="0"/>
              <w:rPr>
                <w:sz w:val="11"/>
                <w:szCs w:val="11"/>
                <w:color w:val="auto"/>
              </w:rPr>
            </w:pPr>
          </w:p>
        </w:tc>
      </w:tr>
      <w:tr>
        <w:trPr>
          <w:trHeight w:val="230"/>
        </w:trPr>
        <w:tc>
          <w:tcPr>
            <w:tcW w:w="2660" w:type="dxa"/>
            <w:vAlign w:val="bottom"/>
          </w:tcPr>
          <w:p>
            <w:pPr>
              <w:ind w:left="80"/>
              <w:spacing w:after="0"/>
              <w:rPr>
                <w:sz w:val="20"/>
                <w:szCs w:val="20"/>
                <w:color w:val="auto"/>
              </w:rPr>
            </w:pPr>
            <w:r>
              <w:rPr>
                <w:rFonts w:ascii="Arial" w:cs="Arial" w:eastAsia="Arial" w:hAnsi="Arial"/>
                <w:sz w:val="16"/>
                <w:szCs w:val="16"/>
                <w:b w:val="1"/>
                <w:bCs w:val="1"/>
                <w:color w:val="auto"/>
              </w:rPr>
              <w:t>Nominating Committee</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Oversees risks associated with our governance structure and processes</w:t>
            </w:r>
          </w:p>
        </w:tc>
      </w:tr>
      <w:tr>
        <w:trPr>
          <w:trHeight w:val="305"/>
        </w:trPr>
        <w:tc>
          <w:tcPr>
            <w:tcW w:w="26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Reviews our organizational documents, Code of Business Conduct and Ethics, Corporate</w:t>
            </w:r>
          </w:p>
        </w:tc>
      </w:tr>
      <w:tr>
        <w:trPr>
          <w:trHeight w:val="195"/>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Governance Guidelines and other policies</w:t>
            </w:r>
          </w:p>
        </w:tc>
      </w:tr>
      <w:tr>
        <w:trPr>
          <w:trHeight w:val="305"/>
        </w:trPr>
        <w:tc>
          <w:tcPr>
            <w:tcW w:w="26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Oversees sustainability issues, including as they pertain to environmental and corporate social</w:t>
            </w:r>
          </w:p>
        </w:tc>
      </w:tr>
      <w:tr>
        <w:trPr>
          <w:trHeight w:val="195"/>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gridSpan w:val="2"/>
          </w:tcPr>
          <w:p>
            <w:pPr>
              <w:ind w:left="60"/>
              <w:spacing w:after="0"/>
              <w:rPr>
                <w:sz w:val="20"/>
                <w:szCs w:val="20"/>
                <w:color w:val="auto"/>
              </w:rPr>
            </w:pPr>
            <w:r>
              <w:rPr>
                <w:rFonts w:ascii="Arial" w:cs="Arial" w:eastAsia="Arial" w:hAnsi="Arial"/>
                <w:sz w:val="16"/>
                <w:szCs w:val="16"/>
                <w:color w:val="auto"/>
              </w:rPr>
              <w:t>responsibility matters</w:t>
            </w:r>
          </w:p>
        </w:tc>
      </w:tr>
      <w:tr>
        <w:trPr>
          <w:trHeight w:val="128"/>
        </w:trPr>
        <w:tc>
          <w:tcPr>
            <w:tcW w:w="2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506"/>
        </w:trPr>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80" w:type="dxa"/>
            <w:vAlign w:val="bottom"/>
            <w:gridSpan w:val="2"/>
          </w:tcPr>
          <w:p>
            <w:pPr>
              <w:ind w:left="5740"/>
              <w:spacing w:after="0"/>
              <w:rPr>
                <w:sz w:val="20"/>
                <w:szCs w:val="20"/>
                <w:color w:val="auto"/>
              </w:rPr>
            </w:pPr>
            <w:r>
              <w:rPr>
                <w:rFonts w:ascii="Arial" w:cs="Arial" w:eastAsia="Arial" w:hAnsi="Arial"/>
                <w:sz w:val="15"/>
                <w:szCs w:val="15"/>
                <w:b w:val="1"/>
                <w:bCs w:val="1"/>
                <w:color w:val="E2231A"/>
              </w:rPr>
              <w:t xml:space="preserve">2022 Proxy Statement  </w:t>
            </w:r>
            <w:r>
              <w:rPr>
                <w:rFonts w:ascii="Arial" w:cs="Arial" w:eastAsia="Arial" w:hAnsi="Arial"/>
                <w:sz w:val="17"/>
                <w:szCs w:val="17"/>
                <w:b w:val="1"/>
                <w:bCs w:val="1"/>
                <w:color w:val="E2231A"/>
              </w:rPr>
              <w:t>|</w:t>
            </w:r>
            <w:r>
              <w:rPr>
                <w:rFonts w:ascii="Arial" w:cs="Arial" w:eastAsia="Arial" w:hAnsi="Arial"/>
                <w:sz w:val="15"/>
                <w:szCs w:val="15"/>
                <w:b w:val="1"/>
                <w:bCs w:val="1"/>
                <w:color w:val="E2231A"/>
              </w:rPr>
              <w:t xml:space="preserve">  </w:t>
            </w:r>
            <w:r>
              <w:rPr>
                <w:rFonts w:ascii="Arial" w:cs="Arial" w:eastAsia="Arial" w:hAnsi="Arial"/>
                <w:sz w:val="17"/>
                <w:szCs w:val="17"/>
                <w:color w:val="000000"/>
              </w:rPr>
              <w:t>19</w:t>
            </w:r>
          </w:p>
        </w:tc>
      </w:tr>
    </w:tbl>
    <w:p>
      <w:pPr>
        <w:sectPr>
          <w:pgSz w:w="11900" w:h="16838" w:orient="portrait"/>
          <w:cols w:equalWidth="0" w:num="1">
            <w:col w:w="10860"/>
          </w:cols>
          <w:pgMar w:left="320" w:top="459" w:right="7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Every Day, Striving for Better – Environmental, Social and Governance at Lear</w:t>
      </w:r>
    </w:p>
    <w:p>
      <w:pPr>
        <w:sectPr>
          <w:pgSz w:w="11900" w:h="16838" w:orient="portrait"/>
          <w:cols w:equalWidth="0" w:num="1">
            <w:col w:w="10520"/>
          </w:cols>
          <w:pgMar w:left="320" w:top="459" w:right="1059" w:bottom="1440" w:gutter="0" w:footer="0" w:header="0"/>
        </w:sectPr>
      </w:pPr>
    </w:p>
    <w:p>
      <w:pPr>
        <w:spacing w:after="0" w:line="191"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Consistent with Lear’s vision</w:t>
      </w:r>
      <w:r>
        <w:rPr>
          <w:rFonts w:ascii="Arial" w:cs="Arial" w:eastAsia="Arial" w:hAnsi="Arial"/>
          <w:sz w:val="16"/>
          <w:szCs w:val="16"/>
          <w:i w:val="1"/>
          <w:iCs w:val="1"/>
          <w:color w:val="auto"/>
        </w:rPr>
        <w:t>, Making Every Drive Better</w:t>
      </w:r>
      <w:r>
        <w:rPr>
          <w:rFonts w:ascii="Arial" w:cs="Arial" w:eastAsia="Arial" w:hAnsi="Arial"/>
          <w:sz w:val="16"/>
          <w:szCs w:val="16"/>
          <w:color w:val="auto"/>
        </w:rPr>
        <w:t xml:space="preserve">, we work to ensure that our passion for our business is also channeled into creating possibilities for a better world. This means that as part of our ESG initiatives, which we execute under the mantra of </w:t>
      </w:r>
      <w:r>
        <w:rPr>
          <w:rFonts w:ascii="Arial" w:cs="Arial" w:eastAsia="Arial" w:hAnsi="Arial"/>
          <w:sz w:val="16"/>
          <w:szCs w:val="16"/>
          <w:i w:val="1"/>
          <w:iCs w:val="1"/>
          <w:color w:val="auto"/>
        </w:rPr>
        <w:t>Every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Day, Striving for Better, </w:t>
      </w:r>
      <w:r>
        <w:rPr>
          <w:rFonts w:ascii="Arial" w:cs="Arial" w:eastAsia="Arial" w:hAnsi="Arial"/>
          <w:sz w:val="16"/>
          <w:szCs w:val="16"/>
          <w:color w:val="auto"/>
        </w:rPr>
        <w:t>we are committed to safety in our</w:t>
      </w:r>
      <w:r>
        <w:rPr>
          <w:rFonts w:ascii="Arial" w:cs="Arial" w:eastAsia="Arial" w:hAnsi="Arial"/>
          <w:sz w:val="16"/>
          <w:szCs w:val="16"/>
          <w:i w:val="1"/>
          <w:iCs w:val="1"/>
          <w:color w:val="auto"/>
        </w:rPr>
        <w:t xml:space="preserve"> </w:t>
      </w:r>
      <w:r>
        <w:rPr>
          <w:rFonts w:ascii="Arial" w:cs="Arial" w:eastAsia="Arial" w:hAnsi="Arial"/>
          <w:sz w:val="16"/>
          <w:szCs w:val="16"/>
          <w:color w:val="auto"/>
        </w:rPr>
        <w:t>workplaces, integrity in the conduct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of our business, sustainability in our operations and products, and supporting the global communities in which we live and work. Furthermore, we expect our more than 3,000 suppliers of goods and services to share our commitment to social responsibility and ethical conduct.</w:t>
      </w:r>
    </w:p>
    <w:p>
      <w:pPr>
        <w:spacing w:after="0" w:line="389" w:lineRule="exact"/>
        <w:rPr>
          <w:sz w:val="20"/>
          <w:szCs w:val="20"/>
          <w:color w:val="auto"/>
        </w:rPr>
      </w:pPr>
    </w:p>
    <w:p>
      <w:pPr>
        <w:sectPr>
          <w:pgSz w:w="11900" w:h="16838" w:orient="portrait"/>
          <w:cols w:equalWidth="0" w:num="2">
            <w:col w:w="5360" w:space="360"/>
            <w:col w:w="4800"/>
          </w:cols>
          <w:pgMar w:left="320" w:top="459" w:right="1059" w:bottom="1440" w:gutter="0" w:footer="0" w:header="0"/>
          <w:type w:val="continuous"/>
        </w:sectPr>
      </w:pP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ESG Oversight</w:t>
      </w:r>
    </w:p>
    <w:p>
      <w:pPr>
        <w:spacing w:after="0" w:line="128"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auto"/>
        </w:rPr>
        <w:t>The Nominating and Corporate Governance Committee of our Board of Directors has responsibility for oversight of the Company’s ESG strategy, including as it pertains to environmental, human rights and other corporate social responsibility matters. In this regard the NCGC works closely with our other Board Committees, Audit and People and Compensation, that have responsibility for overseeing certain elements of ESG such as Compliance and Human Capital Management, respectively. To better integrate sustainability considerations throughout the enterprise, Lear also has added specific ESG responsibilities to senior management as shown in the chart below.</w:t>
      </w:r>
    </w:p>
    <w:p>
      <w:pPr>
        <w:spacing w:after="0" w:line="9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 xml:space="preserve">Our ESG strategy is realized through robust human capital management emphasizing leadership development, employee engagement and a culture that values individuals of all backgrounds; innovative product development focused on key sustainability trends like electrification; and policies, procedures and practices that ensure alignment with our core value to </w:t>
      </w:r>
      <w:r>
        <w:rPr>
          <w:rFonts w:ascii="Arial" w:cs="Arial" w:eastAsia="Arial" w:hAnsi="Arial"/>
          <w:sz w:val="16"/>
          <w:szCs w:val="16"/>
          <w:i w:val="1"/>
          <w:iCs w:val="1"/>
          <w:color w:val="auto"/>
        </w:rPr>
        <w:t>Get Results the Right Way</w:t>
      </w:r>
      <w:r>
        <w:rPr>
          <w:rFonts w:ascii="Arial" w:cs="Arial" w:eastAsia="Arial" w:hAnsi="Arial"/>
          <w:sz w:val="16"/>
          <w:szCs w:val="16"/>
          <w:color w:val="auto"/>
        </w:rPr>
        <w:t>. In addition, we value transparency in communication. In 2021 Lear released an enhanced Sustainability Report that includes disclosures in accordance with GRI’s Core Requirements, as well as reporting with the SASB and TCFD recommendations. Lear is a signatory participant in the United Nation’s Global Compact, and we align or sustainability efforts with the ten principles on human rights, labor, environment, and anti-corruption, along with the Sustainable Development Goals (SDGs). To learn more, see Lear’s Sustainability Report: www.lear.com/sustainability.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147320</wp:posOffset>
            </wp:positionV>
            <wp:extent cx="3771900" cy="2966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7190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80" w:hanging="393"/>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20"/>
          </w:cols>
          <w:pgMar w:left="320" w:top="459" w:right="10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Efforts</w:t>
      </w:r>
    </w:p>
    <w:p>
      <w:pPr>
        <w:spacing w:after="0" w:line="128" w:lineRule="exact"/>
        <w:rPr>
          <w:sz w:val="20"/>
          <w:szCs w:val="20"/>
          <w:color w:val="auto"/>
        </w:rPr>
      </w:pPr>
    </w:p>
    <w:p>
      <w:pPr>
        <w:ind w:left="660" w:right="440"/>
        <w:spacing w:after="0" w:line="251" w:lineRule="auto"/>
        <w:rPr>
          <w:sz w:val="20"/>
          <w:szCs w:val="20"/>
          <w:color w:val="auto"/>
        </w:rPr>
      </w:pPr>
      <w:r>
        <w:rPr>
          <w:rFonts w:ascii="Arial" w:cs="Arial" w:eastAsia="Arial" w:hAnsi="Arial"/>
          <w:sz w:val="16"/>
          <w:szCs w:val="16"/>
          <w:color w:val="auto"/>
        </w:rPr>
        <w:t>We are committed to sustainable products and operations. Our core value of innovation helps us not only to create and use environmentally friendly materials, but also to develop advanced technologies that facilitate sustainable, longer-term automotive industry megatrends like electrification and shared mobility. At the same time, our core capability of operational excellence drives us to focus continuously on improving energy efficiency and reducing our consumption of natural resources and creation of waste. More specifically:</w:t>
      </w:r>
    </w:p>
    <w:p>
      <w:pPr>
        <w:sectPr>
          <w:pgSz w:w="11900" w:h="16838" w:orient="portrait"/>
          <w:cols w:equalWidth="0" w:num="1">
            <w:col w:w="10860"/>
          </w:cols>
          <w:pgMar w:left="320" w:top="459" w:right="719" w:bottom="1440" w:gutter="0" w:footer="0" w:header="0"/>
        </w:sectPr>
      </w:pPr>
    </w:p>
    <w:p>
      <w:pPr>
        <w:spacing w:after="0" w:line="263" w:lineRule="exact"/>
        <w:rPr>
          <w:sz w:val="20"/>
          <w:szCs w:val="20"/>
          <w:color w:val="auto"/>
        </w:rPr>
      </w:pPr>
    </w:p>
    <w:p>
      <w:pPr>
        <w:ind w:left="660" w:right="260"/>
        <w:spacing w:after="0" w:line="286" w:lineRule="auto"/>
        <w:rPr>
          <w:sz w:val="20"/>
          <w:szCs w:val="20"/>
          <w:color w:val="auto"/>
        </w:rPr>
      </w:pPr>
      <w:r>
        <w:rPr>
          <w:rFonts w:ascii="Arial" w:cs="Arial" w:eastAsia="Arial" w:hAnsi="Arial"/>
          <w:sz w:val="16"/>
          <w:szCs w:val="16"/>
          <w:b w:val="1"/>
          <w:bCs w:val="1"/>
          <w:i w:val="1"/>
          <w:iCs w:val="1"/>
          <w:color w:val="auto"/>
        </w:rPr>
        <w:t>Our future-focused technologies enable electrification and use renewable materials</w:t>
      </w:r>
    </w:p>
    <w:p>
      <w:pPr>
        <w:spacing w:after="0" w:line="81" w:lineRule="exact"/>
        <w:rPr>
          <w:sz w:val="20"/>
          <w:szCs w:val="20"/>
          <w:color w:val="auto"/>
        </w:rPr>
      </w:pPr>
    </w:p>
    <w:p>
      <w:pPr>
        <w:jc w:val="both"/>
        <w:ind w:left="860" w:hanging="193"/>
        <w:spacing w:after="0" w:line="253"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2021 Lear instituted a design directive within our engineering systems requiring sustainability to be considered as a part of all product design</w:t>
      </w:r>
    </w:p>
    <w:p>
      <w:pPr>
        <w:spacing w:after="0" w:line="106" w:lineRule="exact"/>
        <w:rPr>
          <w:rFonts w:ascii="Arial" w:cs="Arial" w:eastAsia="Arial" w:hAnsi="Arial"/>
          <w:sz w:val="16"/>
          <w:szCs w:val="16"/>
          <w:color w:val="auto"/>
        </w:rPr>
      </w:pPr>
    </w:p>
    <w:p>
      <w:pPr>
        <w:ind w:left="860" w:right="20" w:hanging="193"/>
        <w:spacing w:after="0" w:line="250"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on-board battery chargers, battery management systems, high voltage wiring and connection systems are key components of hybrid and electric vehicles. For 2022, six out of eight of Lear’s E-Systems launches will include content on new electric vehicles</w:t>
      </w:r>
    </w:p>
    <w:p>
      <w:pPr>
        <w:spacing w:after="0" w:line="108" w:lineRule="exact"/>
        <w:rPr>
          <w:rFonts w:ascii="Arial" w:cs="Arial" w:eastAsia="Arial" w:hAnsi="Arial"/>
          <w:sz w:val="16"/>
          <w:szCs w:val="16"/>
          <w:color w:val="auto"/>
        </w:rPr>
      </w:pPr>
    </w:p>
    <w:p>
      <w:pPr>
        <w:jc w:val="both"/>
        <w:ind w:left="860" w:right="240" w:hanging="193"/>
        <w:spacing w:after="0" w:line="260"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Integrated Power Module delivers an array of electrified architectures to help vehicles charge faster and drive farther</w:t>
      </w:r>
    </w:p>
    <w:p>
      <w:pPr>
        <w:spacing w:after="0" w:line="100" w:lineRule="exact"/>
        <w:rPr>
          <w:rFonts w:ascii="Arial" w:cs="Arial" w:eastAsia="Arial" w:hAnsi="Arial"/>
          <w:sz w:val="16"/>
          <w:szCs w:val="16"/>
          <w:color w:val="auto"/>
        </w:rPr>
      </w:pPr>
    </w:p>
    <w:p>
      <w:pPr>
        <w:ind w:left="860" w:hanging="193"/>
        <w:spacing w:after="0" w:line="251"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lightweight recliners, tracks, latches and electrical components reduce the weight of the seats we supply, enabling enhanced fuel efficiency, lower emissions and increased battery driving range</w:t>
      </w:r>
    </w:p>
    <w:p>
      <w:pPr>
        <w:spacing w:after="0" w:line="107" w:lineRule="exact"/>
        <w:rPr>
          <w:rFonts w:ascii="Arial" w:cs="Arial" w:eastAsia="Arial" w:hAnsi="Arial"/>
          <w:sz w:val="16"/>
          <w:szCs w:val="16"/>
          <w:color w:val="auto"/>
        </w:rPr>
      </w:pPr>
    </w:p>
    <w:p>
      <w:pPr>
        <w:ind w:left="860" w:right="280" w:hanging="193"/>
        <w:spacing w:after="0" w:line="251"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Lear’s ConfigurE+, with electrified tracks and a configurable seating or racking system, supports autonomous driving, ridesharing and has potential commercial applications, including for last mile delivery</w:t>
      </w:r>
    </w:p>
    <w:p>
      <w:pPr>
        <w:spacing w:after="0" w:line="102" w:lineRule="exact"/>
        <w:rPr>
          <w:rFonts w:ascii="Arial" w:cs="Arial" w:eastAsia="Arial" w:hAnsi="Arial"/>
          <w:sz w:val="16"/>
          <w:szCs w:val="16"/>
          <w:color w:val="auto"/>
        </w:rPr>
      </w:pPr>
    </w:p>
    <w:p>
      <w:pPr>
        <w:ind w:left="860" w:right="40" w:hanging="193"/>
        <w:spacing w:after="0" w:line="213"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Lear’s INTU</w:t>
      </w:r>
      <w:r>
        <w:rPr>
          <w:rFonts w:ascii="Arial" w:cs="Arial" w:eastAsia="Arial" w:hAnsi="Arial"/>
          <w:sz w:val="27"/>
          <w:szCs w:val="27"/>
          <w:color w:val="auto"/>
          <w:vertAlign w:val="superscript"/>
        </w:rPr>
        <w:t>™</w:t>
      </w:r>
      <w:r>
        <w:rPr>
          <w:rFonts w:ascii="Arial" w:cs="Arial" w:eastAsia="Arial" w:hAnsi="Arial"/>
          <w:sz w:val="16"/>
          <w:szCs w:val="16"/>
          <w:color w:val="auto"/>
        </w:rPr>
        <w:t xml:space="preserve"> intelligent seating with Thermal Comfort delivers faster comfort using less energy than traditional heating or cooling methods, contributing to extended battery driving range for electric vehicles</w:t>
      </w:r>
    </w:p>
    <w:p>
      <w:pPr>
        <w:spacing w:after="0" w:line="117" w:lineRule="exact"/>
        <w:rPr>
          <w:rFonts w:ascii="Arial" w:cs="Arial" w:eastAsia="Arial" w:hAnsi="Arial"/>
          <w:sz w:val="16"/>
          <w:szCs w:val="16"/>
          <w:color w:val="auto"/>
        </w:rPr>
      </w:pPr>
    </w:p>
    <w:p>
      <w:pPr>
        <w:ind w:left="860" w:right="120" w:hanging="193"/>
        <w:spacing w:after="0" w:line="253"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offer surface materials containing renewable and recycled raw materials — such as plant-based fibers and recycled plastics for yarn and seat covers, and recycled polyester</w:t>
      </w:r>
    </w:p>
    <w:p>
      <w:pPr>
        <w:spacing w:after="0" w:line="101" w:lineRule="exact"/>
        <w:rPr>
          <w:rFonts w:ascii="Arial" w:cs="Arial" w:eastAsia="Arial" w:hAnsi="Arial"/>
          <w:sz w:val="16"/>
          <w:szCs w:val="16"/>
          <w:color w:val="auto"/>
        </w:rPr>
      </w:pPr>
    </w:p>
    <w:p>
      <w:pPr>
        <w:ind w:left="860" w:right="40" w:hanging="193"/>
        <w:spacing w:after="0" w:line="213"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SoyFoam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is made from U.S.-sourced soybeans instead of petroleum, creates four times less emissions than conventional foam and requires 60% less conversion energy to produce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b w:val="1"/>
          <w:bCs w:val="1"/>
          <w:i w:val="1"/>
          <w:iCs w:val="1"/>
          <w:color w:val="auto"/>
        </w:rPr>
        <w:t>We set aggressive climate change goals against a 2019 baseline</w:t>
      </w:r>
    </w:p>
    <w:p>
      <w:pPr>
        <w:spacing w:after="0" w:line="81" w:lineRule="exact"/>
        <w:rPr>
          <w:sz w:val="20"/>
          <w:szCs w:val="20"/>
          <w:color w:val="auto"/>
        </w:rPr>
      </w:pPr>
    </w:p>
    <w:p>
      <w:pPr>
        <w:ind w:left="200" w:right="420" w:hanging="197"/>
        <w:spacing w:after="0" w:line="260" w:lineRule="auto"/>
        <w:tabs>
          <w:tab w:leader="none" w:pos="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50% reduction in carbon emissions at our manufacturing plants by 2030</w:t>
      </w:r>
    </w:p>
    <w:p>
      <w:pPr>
        <w:spacing w:after="0" w:line="100" w:lineRule="exact"/>
        <w:rPr>
          <w:rFonts w:ascii="Arial" w:cs="Arial" w:eastAsia="Arial" w:hAnsi="Arial"/>
          <w:sz w:val="16"/>
          <w:szCs w:val="16"/>
          <w:color w:val="auto"/>
        </w:rPr>
      </w:pPr>
    </w:p>
    <w:p>
      <w:pPr>
        <w:ind w:left="200" w:right="660" w:hanging="197"/>
        <w:spacing w:after="0" w:line="260" w:lineRule="auto"/>
        <w:tabs>
          <w:tab w:leader="none" w:pos="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100% renewable energy for electric power consumed at our manufacturing plants by 2030</w:t>
      </w:r>
    </w:p>
    <w:p>
      <w:pPr>
        <w:spacing w:after="0" w:line="100" w:lineRule="exact"/>
        <w:rPr>
          <w:rFonts w:ascii="Arial" w:cs="Arial" w:eastAsia="Arial" w:hAnsi="Arial"/>
          <w:sz w:val="16"/>
          <w:szCs w:val="16"/>
          <w:color w:val="auto"/>
        </w:rPr>
      </w:pPr>
    </w:p>
    <w:p>
      <w:pPr>
        <w:ind w:left="200" w:hanging="197"/>
        <w:spacing w:after="0"/>
        <w:tabs>
          <w:tab w:leader="none" w:pos="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aspiration to be 100% carbon neutral by 2050</w:t>
      </w:r>
    </w:p>
    <w:p>
      <w:pPr>
        <w:spacing w:after="0" w:line="20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b w:val="1"/>
          <w:bCs w:val="1"/>
          <w:i w:val="1"/>
          <w:iCs w:val="1"/>
          <w:color w:val="auto"/>
        </w:rPr>
        <w:t>We are refining our strategy to achieve our climate change goals</w:t>
      </w:r>
    </w:p>
    <w:p>
      <w:pPr>
        <w:spacing w:after="0" w:line="81" w:lineRule="exact"/>
        <w:rPr>
          <w:sz w:val="20"/>
          <w:szCs w:val="20"/>
          <w:color w:val="auto"/>
        </w:rPr>
      </w:pPr>
    </w:p>
    <w:p>
      <w:pPr>
        <w:ind w:left="200" w:right="300" w:hanging="197"/>
        <w:spacing w:after="0" w:line="249" w:lineRule="auto"/>
        <w:tabs>
          <w:tab w:leader="none" w:pos="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renewable energy strategy has resulted in 100% renewable energy for the electricity purchased by Lear facilities in Germany, Poland, and the United Kingdom. We are also working with a third party to develop a comprehensive strategy that includes the purchase of renewable energy as well as on-site generation at certain of our facilities</w:t>
      </w:r>
    </w:p>
    <w:p>
      <w:pPr>
        <w:spacing w:after="0" w:line="110" w:lineRule="exact"/>
        <w:rPr>
          <w:rFonts w:ascii="Arial" w:cs="Arial" w:eastAsia="Arial" w:hAnsi="Arial"/>
          <w:sz w:val="16"/>
          <w:szCs w:val="16"/>
          <w:color w:val="auto"/>
        </w:rPr>
      </w:pPr>
    </w:p>
    <w:p>
      <w:pPr>
        <w:ind w:left="200" w:right="480" w:hanging="197"/>
        <w:spacing w:after="0" w:line="253" w:lineRule="auto"/>
        <w:tabs>
          <w:tab w:leader="none" w:pos="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conducted life cycle assessments of our major products to measure their carbon footprint as part of understanding our Scope 3 emissions</w:t>
      </w:r>
    </w:p>
    <w:p>
      <w:pPr>
        <w:spacing w:after="0" w:line="18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b w:val="1"/>
          <w:bCs w:val="1"/>
          <w:i w:val="1"/>
          <w:iCs w:val="1"/>
          <w:color w:val="auto"/>
        </w:rPr>
        <w:t>We are reducing emissions, saving energy and conserving natural resources in our operations</w:t>
      </w:r>
    </w:p>
    <w:p>
      <w:pPr>
        <w:spacing w:after="0" w:line="81" w:lineRule="exact"/>
        <w:rPr>
          <w:sz w:val="20"/>
          <w:szCs w:val="20"/>
          <w:color w:val="auto"/>
        </w:rPr>
      </w:pPr>
    </w:p>
    <w:p>
      <w:pPr>
        <w:ind w:left="200" w:right="300" w:hanging="197"/>
        <w:spacing w:after="0" w:line="253" w:lineRule="auto"/>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released an Energy Efficiency Playbook at our manufacturing sites to leverage best practices to improve energy efficiency and reduce usage</w:t>
      </w:r>
    </w:p>
    <w:p>
      <w:pPr>
        <w:spacing w:after="0" w:line="106" w:lineRule="exact"/>
        <w:rPr>
          <w:rFonts w:ascii="Arial" w:cs="Arial" w:eastAsia="Arial" w:hAnsi="Arial"/>
          <w:sz w:val="16"/>
          <w:szCs w:val="16"/>
          <w:color w:val="auto"/>
        </w:rPr>
      </w:pPr>
    </w:p>
    <w:p>
      <w:pPr>
        <w:ind w:left="200" w:hanging="197"/>
        <w:spacing w:after="0"/>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100% of Lear’s eligible manufacturing facilities are currently ISO</w:t>
      </w:r>
    </w:p>
    <w:p>
      <w:pPr>
        <w:spacing w:after="0" w:line="5" w:lineRule="exact"/>
        <w:rPr>
          <w:rFonts w:ascii="Arial" w:cs="Arial" w:eastAsia="Arial" w:hAnsi="Arial"/>
          <w:sz w:val="16"/>
          <w:szCs w:val="16"/>
          <w:color w:val="auto"/>
        </w:rPr>
      </w:pPr>
    </w:p>
    <w:p>
      <w:pPr>
        <w:ind w:left="200" w:right="880"/>
        <w:spacing w:after="0" w:line="260" w:lineRule="auto"/>
        <w:rPr>
          <w:rFonts w:ascii="Arial" w:cs="Arial" w:eastAsia="Arial" w:hAnsi="Arial"/>
          <w:sz w:val="16"/>
          <w:szCs w:val="16"/>
          <w:color w:val="auto"/>
        </w:rPr>
      </w:pPr>
      <w:r>
        <w:rPr>
          <w:rFonts w:ascii="Arial" w:cs="Arial" w:eastAsia="Arial" w:hAnsi="Arial"/>
          <w:sz w:val="16"/>
          <w:szCs w:val="16"/>
          <w:color w:val="auto"/>
        </w:rPr>
        <w:t>14001 compliant and new facilities are required to obtain certification as soon as possible after opening</w:t>
      </w:r>
    </w:p>
    <w:p>
      <w:pPr>
        <w:spacing w:after="0" w:line="100" w:lineRule="exact"/>
        <w:rPr>
          <w:rFonts w:ascii="Arial" w:cs="Arial" w:eastAsia="Arial" w:hAnsi="Arial"/>
          <w:sz w:val="16"/>
          <w:szCs w:val="16"/>
          <w:color w:val="auto"/>
        </w:rPr>
      </w:pPr>
    </w:p>
    <w:p>
      <w:pPr>
        <w:ind w:left="200" w:right="400" w:hanging="197"/>
        <w:spacing w:after="0" w:line="251" w:lineRule="auto"/>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Lear introduced updated facility specifications to further ensure that our new and refurbished plants use energy efficient equipment, including heating and cooling, LED lighting and plant-wide ventilation systems, among others, when practicable</w:t>
      </w:r>
    </w:p>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20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21</w:t>
      </w:r>
    </w:p>
    <w:p>
      <w:pPr>
        <w:sectPr>
          <w:pgSz w:w="11900" w:h="16838" w:orient="portrait"/>
          <w:cols w:equalWidth="0" w:num="1">
            <w:col w:w="10860"/>
          </w:cols>
          <w:pgMar w:left="320" w:top="459" w:right="7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Social Initiatives</w:t>
      </w:r>
    </w:p>
    <w:p>
      <w:pPr>
        <w:spacing w:after="0" w:line="128" w:lineRule="exact"/>
        <w:rPr>
          <w:sz w:val="20"/>
          <w:szCs w:val="20"/>
          <w:color w:val="auto"/>
        </w:rPr>
      </w:pPr>
    </w:p>
    <w:p>
      <w:pPr>
        <w:ind w:left="660" w:right="160"/>
        <w:spacing w:after="0" w:line="260" w:lineRule="auto"/>
        <w:rPr>
          <w:sz w:val="20"/>
          <w:szCs w:val="20"/>
          <w:color w:val="auto"/>
        </w:rPr>
      </w:pPr>
      <w:r>
        <w:rPr>
          <w:rFonts w:ascii="Arial" w:cs="Arial" w:eastAsia="Arial" w:hAnsi="Arial"/>
          <w:sz w:val="16"/>
          <w:szCs w:val="16"/>
          <w:color w:val="auto"/>
        </w:rPr>
        <w:t>We believe the best way to deliver the highest quality products and services is to maintain a work environment that prioritizes safety and fosters collaboration, inclusion, tolerance and respect. More specifically:</w:t>
      </w:r>
    </w:p>
    <w:p>
      <w:pPr>
        <w:sectPr>
          <w:pgSz w:w="11900" w:h="16838" w:orient="portrait"/>
          <w:cols w:equalWidth="0" w:num="1">
            <w:col w:w="10560"/>
          </w:cols>
          <w:pgMar w:left="320" w:top="459" w:right="1019" w:bottom="1440" w:gutter="0" w:footer="0" w:header="0"/>
        </w:sectPr>
      </w:pPr>
    </w:p>
    <w:p>
      <w:pPr>
        <w:spacing w:after="0" w:line="256" w:lineRule="exact"/>
        <w:rPr>
          <w:sz w:val="20"/>
          <w:szCs w:val="20"/>
          <w:color w:val="auto"/>
        </w:rPr>
      </w:pPr>
    </w:p>
    <w:p>
      <w:pPr>
        <w:ind w:left="660" w:right="180"/>
        <w:spacing w:after="0" w:line="266" w:lineRule="auto"/>
        <w:rPr>
          <w:sz w:val="20"/>
          <w:szCs w:val="20"/>
          <w:color w:val="auto"/>
        </w:rPr>
      </w:pPr>
      <w:r>
        <w:rPr>
          <w:rFonts w:ascii="Arial" w:cs="Arial" w:eastAsia="Arial" w:hAnsi="Arial"/>
          <w:sz w:val="16"/>
          <w:szCs w:val="16"/>
          <w:b w:val="1"/>
          <w:bCs w:val="1"/>
          <w:i w:val="1"/>
          <w:iCs w:val="1"/>
          <w:color w:val="auto"/>
        </w:rPr>
        <w:t>We create meaningful employment and development opportunities for our approximately 160,000 team members around the world</w:t>
      </w:r>
    </w:p>
    <w:p>
      <w:pPr>
        <w:spacing w:after="0" w:line="97" w:lineRule="exact"/>
        <w:rPr>
          <w:sz w:val="20"/>
          <w:szCs w:val="20"/>
          <w:color w:val="auto"/>
        </w:rPr>
      </w:pPr>
    </w:p>
    <w:p>
      <w:pPr>
        <w:ind w:left="860" w:right="300" w:hanging="193"/>
        <w:spacing w:after="0" w:line="253"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approximately 139,000 hourly employees receive competitive pay and benefits such as transportation, meals, medical leave, paid holidays and health care</w:t>
      </w:r>
    </w:p>
    <w:p>
      <w:pPr>
        <w:spacing w:after="0" w:line="106" w:lineRule="exact"/>
        <w:rPr>
          <w:rFonts w:ascii="Arial" w:cs="Arial" w:eastAsia="Arial" w:hAnsi="Arial"/>
          <w:sz w:val="16"/>
          <w:szCs w:val="16"/>
          <w:color w:val="auto"/>
        </w:rPr>
      </w:pPr>
    </w:p>
    <w:p>
      <w:pPr>
        <w:ind w:left="860" w:right="600" w:hanging="193"/>
        <w:spacing w:after="0" w:line="260"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provided 1.4 million hours of employee training and development in 2021</w:t>
      </w:r>
    </w:p>
    <w:p>
      <w:pPr>
        <w:spacing w:after="0" w:line="100" w:lineRule="exact"/>
        <w:rPr>
          <w:rFonts w:ascii="Arial" w:cs="Arial" w:eastAsia="Arial" w:hAnsi="Arial"/>
          <w:sz w:val="16"/>
          <w:szCs w:val="16"/>
          <w:color w:val="auto"/>
        </w:rPr>
      </w:pPr>
    </w:p>
    <w:p>
      <w:pPr>
        <w:ind w:left="860" w:right="60" w:hanging="193"/>
        <w:spacing w:after="0" w:line="251"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developed and launched the new Hybrid Work Playbook with tips for onboarding new team members and to ensure that all employees stay engaged, productive and healthy in Lear’s flexible work environments</w:t>
      </w:r>
    </w:p>
    <w:p>
      <w:pPr>
        <w:spacing w:after="0" w:line="91" w:lineRule="exact"/>
        <w:rPr>
          <w:rFonts w:ascii="Arial" w:cs="Arial" w:eastAsia="Arial" w:hAnsi="Arial"/>
          <w:sz w:val="16"/>
          <w:szCs w:val="16"/>
          <w:color w:val="auto"/>
        </w:rPr>
      </w:pPr>
    </w:p>
    <w:p>
      <w:pPr>
        <w:ind w:left="860" w:hanging="193"/>
        <w:spacing w:after="0" w:line="263"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Launched in 2017, Lear’s </w:t>
      </w:r>
      <w:r>
        <w:rPr>
          <w:rFonts w:ascii="Arial" w:cs="Arial" w:eastAsia="Arial" w:hAnsi="Arial"/>
          <w:sz w:val="16"/>
          <w:szCs w:val="16"/>
          <w:i w:val="1"/>
          <w:iCs w:val="1"/>
          <w:color w:val="auto"/>
        </w:rPr>
        <w:t>Together We Win</w:t>
      </w:r>
      <w:r>
        <w:rPr>
          <w:rFonts w:ascii="Arial" w:cs="Arial" w:eastAsia="Arial" w:hAnsi="Arial"/>
          <w:sz w:val="16"/>
          <w:szCs w:val="16"/>
          <w:color w:val="auto"/>
        </w:rPr>
        <w:t xml:space="preserve"> (“TWW”) is a global employee engagement program focused on driving cultural change in our operations</w:t>
      </w:r>
    </w:p>
    <w:p>
      <w:pPr>
        <w:spacing w:after="0" w:line="99" w:lineRule="exact"/>
        <w:rPr>
          <w:rFonts w:ascii="Arial" w:cs="Arial" w:eastAsia="Arial" w:hAnsi="Arial"/>
          <w:sz w:val="16"/>
          <w:szCs w:val="16"/>
          <w:color w:val="auto"/>
        </w:rPr>
      </w:pPr>
    </w:p>
    <w:p>
      <w:pPr>
        <w:ind w:left="860" w:right="60" w:hanging="193"/>
        <w:spacing w:after="0" w:line="253"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TWW playbook provides best practices and a roadmap for our plants to improve in the areas of Leadership, Work Environment, Employee Involvement and Team Empowerment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strive for diversity, equity and inclusion in all we do</w:t>
      </w:r>
    </w:p>
    <w:p>
      <w:pPr>
        <w:spacing w:after="0" w:line="131" w:lineRule="exact"/>
        <w:rPr>
          <w:sz w:val="20"/>
          <w:szCs w:val="20"/>
          <w:color w:val="auto"/>
        </w:rPr>
      </w:pPr>
    </w:p>
    <w:p>
      <w:pPr>
        <w:ind w:left="860" w:right="220" w:hanging="193"/>
        <w:spacing w:after="0" w:line="263"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Lear’s </w:t>
      </w:r>
      <w:r>
        <w:rPr>
          <w:rFonts w:ascii="Arial" w:cs="Arial" w:eastAsia="Arial" w:hAnsi="Arial"/>
          <w:sz w:val="16"/>
          <w:szCs w:val="16"/>
          <w:i w:val="1"/>
          <w:iCs w:val="1"/>
          <w:color w:val="auto"/>
        </w:rPr>
        <w:t>Together We Belong</w:t>
      </w:r>
      <w:r>
        <w:rPr>
          <w:rFonts w:ascii="Arial" w:cs="Arial" w:eastAsia="Arial" w:hAnsi="Arial"/>
          <w:sz w:val="16"/>
          <w:szCs w:val="16"/>
          <w:color w:val="auto"/>
        </w:rPr>
        <w:t xml:space="preserve"> DEI campaign drives awareness and engagement, educates our employees and helps fund organizations committed to change</w:t>
      </w:r>
    </w:p>
    <w:p>
      <w:pPr>
        <w:spacing w:after="0" w:line="99" w:lineRule="exact"/>
        <w:rPr>
          <w:rFonts w:ascii="Arial" w:cs="Arial" w:eastAsia="Arial" w:hAnsi="Arial"/>
          <w:sz w:val="16"/>
          <w:szCs w:val="16"/>
          <w:color w:val="auto"/>
        </w:rPr>
      </w:pPr>
    </w:p>
    <w:p>
      <w:pPr>
        <w:ind w:left="860" w:right="80" w:hanging="193"/>
        <w:spacing w:after="0" w:line="253"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have an Executive Diversity Council that oversees our DEI strategy, prioritizes activities and drives accountability and results</w:t>
      </w:r>
    </w:p>
    <w:p>
      <w:pPr>
        <w:spacing w:after="0" w:line="90" w:lineRule="exact"/>
        <w:rPr>
          <w:rFonts w:ascii="Arial" w:cs="Arial" w:eastAsia="Arial" w:hAnsi="Arial"/>
          <w:sz w:val="16"/>
          <w:szCs w:val="16"/>
          <w:color w:val="auto"/>
        </w:rPr>
      </w:pPr>
    </w:p>
    <w:p>
      <w:pPr>
        <w:ind w:left="860" w:hanging="193"/>
        <w:spacing w:after="0" w:line="255"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In 2021 we launched </w:t>
      </w:r>
      <w:r>
        <w:rPr>
          <w:rFonts w:ascii="Arial" w:cs="Arial" w:eastAsia="Arial" w:hAnsi="Arial"/>
          <w:sz w:val="16"/>
          <w:szCs w:val="16"/>
          <w:i w:val="1"/>
          <w:iCs w:val="1"/>
          <w:color w:val="auto"/>
        </w:rPr>
        <w:t>Together We Grow</w:t>
      </w:r>
      <w:r>
        <w:rPr>
          <w:rFonts w:ascii="Arial" w:cs="Arial" w:eastAsia="Arial" w:hAnsi="Arial"/>
          <w:sz w:val="16"/>
          <w:szCs w:val="16"/>
          <w:color w:val="auto"/>
        </w:rPr>
        <w:t>, a new program to assist diverse, high-potential leaders in developing executive skills and a pathway to career advancement. Currently in a pilot phase, the program will expand globally to all high-potential employees</w:t>
      </w:r>
    </w:p>
    <w:p>
      <w:pPr>
        <w:spacing w:after="0" w:line="105" w:lineRule="exact"/>
        <w:rPr>
          <w:rFonts w:ascii="Arial" w:cs="Arial" w:eastAsia="Arial" w:hAnsi="Arial"/>
          <w:sz w:val="16"/>
          <w:szCs w:val="16"/>
          <w:color w:val="auto"/>
        </w:rPr>
      </w:pPr>
    </w:p>
    <w:p>
      <w:pPr>
        <w:ind w:left="860" w:right="180" w:hanging="193"/>
        <w:spacing w:after="0" w:line="251"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support six employee-led, volunteer resource groups that are open to all employees with the goal to improve attraction, retention, inclusion and engagement of a diverse and global workforce</w:t>
      </w:r>
    </w:p>
    <w:p>
      <w:pPr>
        <w:spacing w:after="0" w:line="107" w:lineRule="exact"/>
        <w:rPr>
          <w:rFonts w:ascii="Arial" w:cs="Arial" w:eastAsia="Arial" w:hAnsi="Arial"/>
          <w:sz w:val="16"/>
          <w:szCs w:val="16"/>
          <w:color w:val="auto"/>
        </w:rPr>
      </w:pPr>
    </w:p>
    <w:p>
      <w:pPr>
        <w:ind w:left="860" w:right="140" w:hanging="193"/>
        <w:spacing w:after="0" w:line="260"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Lear spent approximately $5.1 billion with diverse suppliers in the past 10 years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200" w:right="80" w:hanging="197"/>
        <w:spacing w:after="0" w:line="253"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teams completed more than 190,000 hours of DEI and Expect Respect training, which addresses harassment, nondiscrimination, and zero-tolerance for retaliation, since 2019</w:t>
      </w:r>
    </w:p>
    <w:p>
      <w:pPr>
        <w:spacing w:after="0" w:line="106" w:lineRule="exact"/>
        <w:rPr>
          <w:rFonts w:ascii="Arial" w:cs="Arial" w:eastAsia="Arial" w:hAnsi="Arial"/>
          <w:sz w:val="16"/>
          <w:szCs w:val="16"/>
          <w:color w:val="auto"/>
        </w:rPr>
      </w:pPr>
    </w:p>
    <w:p>
      <w:pPr>
        <w:ind w:left="200" w:hanging="197"/>
        <w:spacing w:after="0" w:line="251"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annual pay equity study indicated that less than 1.3% of our female employees required a pay adjustment to base pay and that Lear consistently provides equitable promotion opportunities to men and women</w:t>
      </w:r>
    </w:p>
    <w:p>
      <w:pPr>
        <w:spacing w:after="0" w:line="18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i w:val="1"/>
          <w:iCs w:val="1"/>
          <w:color w:val="auto"/>
        </w:rPr>
        <w:t>We continue to work to ensure the health and safety of our employees during the COVID-19 pandemic</w:t>
      </w:r>
    </w:p>
    <w:p>
      <w:pPr>
        <w:spacing w:after="0" w:line="81" w:lineRule="exact"/>
        <w:rPr>
          <w:sz w:val="20"/>
          <w:szCs w:val="20"/>
          <w:color w:val="auto"/>
        </w:rPr>
      </w:pPr>
    </w:p>
    <w:p>
      <w:pPr>
        <w:ind w:left="200" w:right="100" w:hanging="197"/>
        <w:spacing w:after="0" w:line="251"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Lear continued to enhance our Safe Work Playbook to standardize the way in which our plants operate during the pandemic and continue to make this resource publicly available at no cost. It has been downloaded more than 35,000 times</w:t>
      </w:r>
    </w:p>
    <w:p>
      <w:pPr>
        <w:spacing w:after="0" w:line="107" w:lineRule="exact"/>
        <w:rPr>
          <w:rFonts w:ascii="Arial" w:cs="Arial" w:eastAsia="Arial" w:hAnsi="Arial"/>
          <w:sz w:val="16"/>
          <w:szCs w:val="16"/>
          <w:color w:val="auto"/>
        </w:rPr>
      </w:pPr>
    </w:p>
    <w:p>
      <w:pPr>
        <w:ind w:left="200" w:right="320" w:hanging="197"/>
        <w:spacing w:after="0" w:line="253"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established a Future of Work Taskforce that conducted employee surveys, held focus groups and led benchmarking studies to explore more flexible work environments</w:t>
      </w:r>
    </w:p>
    <w:p>
      <w:pPr>
        <w:spacing w:after="0" w:line="106" w:lineRule="exact"/>
        <w:rPr>
          <w:rFonts w:ascii="Arial" w:cs="Arial" w:eastAsia="Arial" w:hAnsi="Arial"/>
          <w:sz w:val="16"/>
          <w:szCs w:val="16"/>
          <w:color w:val="auto"/>
        </w:rPr>
      </w:pPr>
    </w:p>
    <w:p>
      <w:pPr>
        <w:ind w:left="200" w:right="200" w:hanging="197"/>
        <w:spacing w:after="0" w:line="251"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Lear’s Mexico operations used their manufacturing sites as locations for COVID vaccinations, providing more than 65,000 COVID vaccinations to employees, their families and local communities</w:t>
      </w:r>
    </w:p>
    <w:p>
      <w:pPr>
        <w:spacing w:after="0" w:line="1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Lear employees dedicate themselves to supporting the global communities where they live and work</w:t>
      </w:r>
    </w:p>
    <w:p>
      <w:pPr>
        <w:spacing w:after="0" w:line="81" w:lineRule="exact"/>
        <w:rPr>
          <w:sz w:val="20"/>
          <w:szCs w:val="20"/>
          <w:color w:val="auto"/>
        </w:rPr>
      </w:pPr>
    </w:p>
    <w:p>
      <w:pPr>
        <w:ind w:left="200" w:right="200" w:hanging="197"/>
        <w:spacing w:after="0" w:line="253" w:lineRule="auto"/>
        <w:tabs>
          <w:tab w:leader="none" w:pos="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Michigan-based employees donated $1.0 million to local and global charities during 2021 through our annual Company giving initiative</w:t>
      </w:r>
    </w:p>
    <w:p>
      <w:pPr>
        <w:spacing w:after="0" w:line="90" w:lineRule="exact"/>
        <w:rPr>
          <w:rFonts w:ascii="Arial" w:cs="Arial" w:eastAsia="Arial" w:hAnsi="Arial"/>
          <w:sz w:val="16"/>
          <w:szCs w:val="16"/>
          <w:color w:val="auto"/>
        </w:rPr>
      </w:pPr>
    </w:p>
    <w:p>
      <w:pPr>
        <w:jc w:val="both"/>
        <w:ind w:left="200" w:right="220" w:hanging="197"/>
        <w:spacing w:after="0" w:line="263" w:lineRule="auto"/>
        <w:tabs>
          <w:tab w:leader="none" w:pos="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Our Focus </w:t>
      </w:r>
      <w:r>
        <w:rPr>
          <w:rFonts w:ascii="Arial" w:cs="Arial" w:eastAsia="Arial" w:hAnsi="Arial"/>
          <w:sz w:val="16"/>
          <w:szCs w:val="16"/>
          <w:i w:val="1"/>
          <w:iCs w:val="1"/>
          <w:color w:val="auto"/>
        </w:rPr>
        <w:t>on the Drive</w:t>
      </w:r>
      <w:r>
        <w:rPr>
          <w:rFonts w:ascii="Arial" w:cs="Arial" w:eastAsia="Arial" w:hAnsi="Arial"/>
          <w:sz w:val="16"/>
          <w:szCs w:val="16"/>
          <w:color w:val="auto"/>
        </w:rPr>
        <w:t xml:space="preserve"> distracted driving awareness initiative provided more than 180 virtual and in-person presentations to schools and community organizations since 2017</w:t>
      </w:r>
    </w:p>
    <w:p>
      <w:pPr>
        <w:spacing w:after="0" w:line="99" w:lineRule="exact"/>
        <w:rPr>
          <w:rFonts w:ascii="Arial" w:cs="Arial" w:eastAsia="Arial" w:hAnsi="Arial"/>
          <w:sz w:val="16"/>
          <w:szCs w:val="16"/>
          <w:color w:val="auto"/>
        </w:rPr>
      </w:pPr>
    </w:p>
    <w:p>
      <w:pPr>
        <w:ind w:left="200" w:right="20" w:hanging="197"/>
        <w:spacing w:after="0" w:line="251" w:lineRule="auto"/>
        <w:tabs>
          <w:tab w:leader="none" w:pos="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Lear recommitted to the United Nations Global Compact as a signatory participant and we align our ESG initiatives with the 10 principles supporting human rights, labor, environment and anti-corruption</w:t>
      </w:r>
    </w:p>
    <w:p>
      <w:pPr>
        <w:spacing w:after="0" w:line="1111" w:lineRule="exact"/>
        <w:rPr>
          <w:sz w:val="20"/>
          <w:szCs w:val="20"/>
          <w:color w:val="auto"/>
        </w:rPr>
      </w:pPr>
    </w:p>
    <w:p>
      <w:pPr>
        <w:sectPr>
          <w:pgSz w:w="11900" w:h="16838" w:orient="portrait"/>
          <w:cols w:equalWidth="0" w:num="2">
            <w:col w:w="5420" w:space="300"/>
            <w:col w:w="4840"/>
          </w:cols>
          <w:pgMar w:left="320" w:top="459" w:right="1019" w:bottom="1440" w:gutter="0" w:footer="0" w:header="0"/>
          <w:type w:val="continuous"/>
        </w:sectPr>
      </w:pPr>
    </w:p>
    <w:p>
      <w:pPr>
        <w:spacing w:after="0" w:line="200" w:lineRule="exact"/>
        <w:rPr>
          <w:sz w:val="20"/>
          <w:szCs w:val="20"/>
          <w:color w:val="auto"/>
        </w:rPr>
      </w:pPr>
    </w:p>
    <w:p>
      <w:pPr>
        <w:ind w:left="780" w:hanging="393"/>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Governance</w:t>
      </w:r>
    </w:p>
    <w:p>
      <w:pPr>
        <w:spacing w:after="0" w:line="112" w:lineRule="exact"/>
        <w:rPr>
          <w:sz w:val="20"/>
          <w:szCs w:val="20"/>
          <w:color w:val="auto"/>
        </w:rPr>
      </w:pPr>
    </w:p>
    <w:p>
      <w:pPr>
        <w:ind w:left="660" w:right="460"/>
        <w:spacing w:after="0" w:line="263" w:lineRule="auto"/>
        <w:rPr>
          <w:sz w:val="20"/>
          <w:szCs w:val="20"/>
          <w:color w:val="auto"/>
        </w:rPr>
      </w:pPr>
      <w:r>
        <w:rPr>
          <w:rFonts w:ascii="Arial" w:cs="Arial" w:eastAsia="Arial" w:hAnsi="Arial"/>
          <w:sz w:val="16"/>
          <w:szCs w:val="16"/>
          <w:color w:val="auto"/>
        </w:rPr>
        <w:t xml:space="preserve">Governance at Lear is driven by our commitment to </w:t>
      </w:r>
      <w:r>
        <w:rPr>
          <w:rFonts w:ascii="Arial" w:cs="Arial" w:eastAsia="Arial" w:hAnsi="Arial"/>
          <w:sz w:val="16"/>
          <w:szCs w:val="16"/>
          <w:i w:val="1"/>
          <w:iCs w:val="1"/>
          <w:color w:val="auto"/>
        </w:rPr>
        <w:t>Get Results the Right Way</w:t>
      </w:r>
      <w:r>
        <w:rPr>
          <w:rFonts w:ascii="Arial" w:cs="Arial" w:eastAsia="Arial" w:hAnsi="Arial"/>
          <w:sz w:val="16"/>
          <w:szCs w:val="16"/>
          <w:color w:val="auto"/>
        </w:rPr>
        <w:t>. This means not only developing systems and processes to ensure compliance with regulations and company policies, but also creating a culture of ethics and integrity in everything we do. We expect our supply chain partners to share and demonstrate the same commitment, and we work with them to reinforce this expectation.</w:t>
      </w:r>
    </w:p>
    <w:p>
      <w:pPr>
        <w:sectPr>
          <w:pgSz w:w="11900" w:h="16838" w:orient="portrait"/>
          <w:cols w:equalWidth="0" w:num="1">
            <w:col w:w="10860"/>
          </w:cols>
          <w:pgMar w:left="320" w:top="459" w:right="719" w:bottom="1440" w:gutter="0" w:footer="0" w:header="0"/>
        </w:sect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an experienced and diverse Board of Directors</w:t>
      </w:r>
    </w:p>
    <w:p>
      <w:pPr>
        <w:spacing w:after="0" w:line="147" w:lineRule="exact"/>
        <w:rPr>
          <w:sz w:val="20"/>
          <w:szCs w:val="20"/>
          <w:color w:val="auto"/>
        </w:rPr>
      </w:pPr>
    </w:p>
    <w:p>
      <w:pPr>
        <w:ind w:left="860" w:hanging="193"/>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50% of our Directors are diverse by ethnicity and/or gender</w:t>
      </w:r>
    </w:p>
    <w:p>
      <w:pPr>
        <w:spacing w:after="0" w:line="126" w:lineRule="exact"/>
        <w:rPr>
          <w:rFonts w:ascii="Arial" w:cs="Arial" w:eastAsia="Arial" w:hAnsi="Arial"/>
          <w:sz w:val="16"/>
          <w:szCs w:val="16"/>
          <w:color w:val="auto"/>
        </w:rPr>
      </w:pPr>
    </w:p>
    <w:p>
      <w:pPr>
        <w:ind w:left="860" w:hanging="193"/>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See page 17 for a description of Director skills and experiences</w:t>
      </w:r>
    </w:p>
    <w:p>
      <w:pPr>
        <w:spacing w:after="0" w:line="201" w:lineRule="exact"/>
        <w:rPr>
          <w:sz w:val="20"/>
          <w:szCs w:val="20"/>
          <w:color w:val="auto"/>
        </w:rPr>
      </w:pPr>
    </w:p>
    <w:p>
      <w:pPr>
        <w:ind w:left="660" w:right="840"/>
        <w:spacing w:after="0" w:line="286" w:lineRule="auto"/>
        <w:rPr>
          <w:sz w:val="20"/>
          <w:szCs w:val="20"/>
          <w:color w:val="auto"/>
        </w:rPr>
      </w:pPr>
      <w:r>
        <w:rPr>
          <w:rFonts w:ascii="Arial" w:cs="Arial" w:eastAsia="Arial" w:hAnsi="Arial"/>
          <w:sz w:val="16"/>
          <w:szCs w:val="16"/>
          <w:b w:val="1"/>
          <w:bCs w:val="1"/>
          <w:i w:val="1"/>
          <w:iCs w:val="1"/>
          <w:color w:val="auto"/>
        </w:rPr>
        <w:t>Our cybersecurity efforts protect our products, our customers and our enterprise</w:t>
      </w:r>
    </w:p>
    <w:p>
      <w:pPr>
        <w:spacing w:after="0" w:line="81" w:lineRule="exact"/>
        <w:rPr>
          <w:sz w:val="20"/>
          <w:szCs w:val="20"/>
          <w:color w:val="auto"/>
        </w:rPr>
      </w:pPr>
    </w:p>
    <w:p>
      <w:pPr>
        <w:ind w:left="860" w:right="140" w:hanging="193"/>
        <w:spacing w:after="0" w:line="253" w:lineRule="auto"/>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Lear’s inhouse cybersecurity software experts design security into our vehicle components and offer security monitoring throughout the life cycle of the vehicle</w:t>
      </w:r>
    </w:p>
    <w:p>
      <w:pPr>
        <w:spacing w:after="0" w:line="106" w:lineRule="exact"/>
        <w:rPr>
          <w:rFonts w:ascii="Arial" w:cs="Arial" w:eastAsia="Arial" w:hAnsi="Arial"/>
          <w:sz w:val="16"/>
          <w:szCs w:val="16"/>
          <w:color w:val="auto"/>
        </w:rPr>
      </w:pPr>
    </w:p>
    <w:p>
      <w:pPr>
        <w:ind w:left="860" w:right="100" w:hanging="193"/>
        <w:spacing w:after="0" w:line="251" w:lineRule="auto"/>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have an experienced enterprise cybersecurity team, many of whom possess industry-leading certifications like those offered by the International Information System Security Consortium and Certified Ethical Hacker</w:t>
      </w:r>
    </w:p>
    <w:p>
      <w:pPr>
        <w:spacing w:after="0" w:line="182" w:lineRule="exact"/>
        <w:rPr>
          <w:sz w:val="20"/>
          <w:szCs w:val="20"/>
          <w:color w:val="auto"/>
        </w:rPr>
      </w:pPr>
    </w:p>
    <w:p>
      <w:pPr>
        <w:ind w:left="660" w:right="620"/>
        <w:spacing w:after="0" w:line="286" w:lineRule="auto"/>
        <w:rPr>
          <w:sz w:val="20"/>
          <w:szCs w:val="20"/>
          <w:color w:val="auto"/>
        </w:rPr>
      </w:pPr>
      <w:r>
        <w:rPr>
          <w:rFonts w:ascii="Arial" w:cs="Arial" w:eastAsia="Arial" w:hAnsi="Arial"/>
          <w:sz w:val="16"/>
          <w:szCs w:val="16"/>
          <w:b w:val="1"/>
          <w:bCs w:val="1"/>
          <w:i w:val="1"/>
          <w:iCs w:val="1"/>
          <w:color w:val="auto"/>
        </w:rPr>
        <w:t>We partner with our suppliers to ensure sustainability throughout the supply chain</w:t>
      </w:r>
    </w:p>
    <w:p>
      <w:pPr>
        <w:spacing w:after="0" w:line="81" w:lineRule="exact"/>
        <w:rPr>
          <w:sz w:val="20"/>
          <w:szCs w:val="20"/>
          <w:color w:val="auto"/>
        </w:rPr>
      </w:pPr>
    </w:p>
    <w:p>
      <w:pPr>
        <w:ind w:left="860" w:right="80" w:hanging="193"/>
        <w:spacing w:after="0" w:line="251"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require suppliers to comply with our Supplier Sustainability Policy, which includes commitments to human rights, environmental standards, safe working conditions and responsible sourcing</w:t>
      </w:r>
    </w:p>
    <w:p>
      <w:pPr>
        <w:spacing w:after="0" w:line="107" w:lineRule="exact"/>
        <w:rPr>
          <w:rFonts w:ascii="Arial" w:cs="Arial" w:eastAsia="Arial" w:hAnsi="Arial"/>
          <w:sz w:val="16"/>
          <w:szCs w:val="16"/>
          <w:color w:val="auto"/>
        </w:rPr>
      </w:pPr>
    </w:p>
    <w:p>
      <w:pPr>
        <w:ind w:left="860" w:hanging="193"/>
        <w:spacing w:after="0" w:line="250"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Leveraging a third-party supply chain management partner, Lear assessed more than 1,600 global production supplier sites against ESG criteria, including environmental stewardship and human rights in 2021. We are on target to assess all production suppliers by the end of 2022</w:t>
      </w:r>
    </w:p>
    <w:p>
      <w:pPr>
        <w:spacing w:after="0" w:line="108" w:lineRule="exact"/>
        <w:rPr>
          <w:rFonts w:ascii="Arial" w:cs="Arial" w:eastAsia="Arial" w:hAnsi="Arial"/>
          <w:sz w:val="16"/>
          <w:szCs w:val="16"/>
          <w:color w:val="auto"/>
        </w:rPr>
      </w:pPr>
    </w:p>
    <w:p>
      <w:pPr>
        <w:jc w:val="both"/>
        <w:ind w:left="860" w:right="120" w:hanging="193"/>
        <w:spacing w:after="0" w:line="251"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Lear’s Supplier Portal provides easy access to all policies and commitments, along with resources, awareness materials and tips on key ESG topics, such as human rights, and forced and child labor</w:t>
      </w:r>
    </w:p>
    <w:p>
      <w:pPr>
        <w:spacing w:after="0" w:line="107" w:lineRule="exact"/>
        <w:rPr>
          <w:rFonts w:ascii="Arial" w:cs="Arial" w:eastAsia="Arial" w:hAnsi="Arial"/>
          <w:sz w:val="16"/>
          <w:szCs w:val="16"/>
          <w:color w:val="auto"/>
        </w:rPr>
      </w:pPr>
    </w:p>
    <w:p>
      <w:pPr>
        <w:ind w:left="860" w:right="80" w:hanging="193"/>
        <w:spacing w:after="0" w:line="249"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No Deforestation Policy requires that our suppliers maintain supply chain transparency, so that all materials supplied to us are from legal sources; ensure that land is not clear-cut or burned for production or development; and comply with governmental laws, regulations and guidelines regarding deforestation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940"/>
        <w:spacing w:after="0" w:line="286" w:lineRule="auto"/>
        <w:rPr>
          <w:sz w:val="20"/>
          <w:szCs w:val="20"/>
          <w:color w:val="auto"/>
        </w:rPr>
      </w:pPr>
      <w:r>
        <w:rPr>
          <w:rFonts w:ascii="Arial" w:cs="Arial" w:eastAsia="Arial" w:hAnsi="Arial"/>
          <w:sz w:val="16"/>
          <w:szCs w:val="16"/>
          <w:b w:val="1"/>
          <w:bCs w:val="1"/>
          <w:i w:val="1"/>
          <w:iCs w:val="1"/>
          <w:color w:val="auto"/>
        </w:rPr>
        <w:t>Other key aspects of our corporate governance efforts include:</w:t>
      </w:r>
    </w:p>
    <w:p>
      <w:pPr>
        <w:spacing w:after="0" w:line="81" w:lineRule="exact"/>
        <w:rPr>
          <w:sz w:val="20"/>
          <w:szCs w:val="20"/>
          <w:color w:val="auto"/>
        </w:rPr>
      </w:pPr>
    </w:p>
    <w:p>
      <w:pPr>
        <w:ind w:left="200" w:right="900" w:hanging="197"/>
        <w:spacing w:after="0" w:line="260" w:lineRule="auto"/>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of our director nominees are independent, except our President and Chief Executive Officer</w:t>
      </w:r>
    </w:p>
    <w:p>
      <w:pPr>
        <w:spacing w:after="0" w:line="100" w:lineRule="exact"/>
        <w:rPr>
          <w:rFonts w:ascii="Arial" w:cs="Arial" w:eastAsia="Arial" w:hAnsi="Arial"/>
          <w:sz w:val="16"/>
          <w:szCs w:val="16"/>
          <w:color w:val="auto"/>
        </w:rPr>
      </w:pPr>
    </w:p>
    <w:p>
      <w:pPr>
        <w:ind w:left="200" w:hanging="197"/>
        <w:spacing w:after="0"/>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have a non-executive Chairman of the Board</w:t>
      </w:r>
    </w:p>
    <w:p>
      <w:pPr>
        <w:spacing w:after="0" w:line="126" w:lineRule="exact"/>
        <w:rPr>
          <w:rFonts w:ascii="Arial" w:cs="Arial" w:eastAsia="Arial" w:hAnsi="Arial"/>
          <w:sz w:val="16"/>
          <w:szCs w:val="16"/>
          <w:color w:val="auto"/>
        </w:rPr>
      </w:pPr>
    </w:p>
    <w:p>
      <w:pPr>
        <w:ind w:left="200" w:right="640" w:hanging="197"/>
        <w:spacing w:after="0" w:line="260" w:lineRule="auto"/>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have a majority voting standard with director resignation policy for uncontested director elections</w:t>
      </w:r>
    </w:p>
    <w:p>
      <w:pPr>
        <w:spacing w:after="0" w:line="100" w:lineRule="exact"/>
        <w:rPr>
          <w:rFonts w:ascii="Arial" w:cs="Arial" w:eastAsia="Arial" w:hAnsi="Arial"/>
          <w:sz w:val="16"/>
          <w:szCs w:val="16"/>
          <w:color w:val="auto"/>
        </w:rPr>
      </w:pPr>
    </w:p>
    <w:p>
      <w:pPr>
        <w:ind w:left="200" w:right="320" w:hanging="197"/>
        <w:spacing w:after="0" w:line="260" w:lineRule="auto"/>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have robust stock ownership guidelines for our directors and management</w:t>
      </w:r>
    </w:p>
    <w:p>
      <w:pPr>
        <w:spacing w:after="0" w:line="100" w:lineRule="exact"/>
        <w:rPr>
          <w:rFonts w:ascii="Arial" w:cs="Arial" w:eastAsia="Arial" w:hAnsi="Arial"/>
          <w:sz w:val="16"/>
          <w:szCs w:val="16"/>
          <w:color w:val="auto"/>
        </w:rPr>
      </w:pPr>
    </w:p>
    <w:p>
      <w:pPr>
        <w:ind w:left="200" w:hanging="197"/>
        <w:spacing w:after="0"/>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Risk oversight is conducted by the full Board and committees</w:t>
      </w:r>
    </w:p>
    <w:p>
      <w:pPr>
        <w:spacing w:after="0" w:line="126" w:lineRule="exact"/>
        <w:rPr>
          <w:rFonts w:ascii="Arial" w:cs="Arial" w:eastAsia="Arial" w:hAnsi="Arial"/>
          <w:sz w:val="16"/>
          <w:szCs w:val="16"/>
          <w:color w:val="auto"/>
        </w:rPr>
      </w:pPr>
    </w:p>
    <w:p>
      <w:pPr>
        <w:ind w:left="200" w:hanging="197"/>
        <w:spacing w:after="0"/>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directors are elected annually</w:t>
      </w:r>
    </w:p>
    <w:p>
      <w:pPr>
        <w:spacing w:after="0" w:line="126" w:lineRule="exact"/>
        <w:rPr>
          <w:rFonts w:ascii="Arial" w:cs="Arial" w:eastAsia="Arial" w:hAnsi="Arial"/>
          <w:sz w:val="16"/>
          <w:szCs w:val="16"/>
          <w:color w:val="auto"/>
        </w:rPr>
      </w:pPr>
    </w:p>
    <w:p>
      <w:pPr>
        <w:ind w:left="200" w:right="300" w:hanging="197"/>
        <w:spacing w:after="0" w:line="260" w:lineRule="auto"/>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Executive sessions of independent directors are held at regularly scheduled Board meetings</w:t>
      </w:r>
    </w:p>
    <w:p>
      <w:pPr>
        <w:spacing w:after="0" w:line="100" w:lineRule="exact"/>
        <w:rPr>
          <w:rFonts w:ascii="Arial" w:cs="Arial" w:eastAsia="Arial" w:hAnsi="Arial"/>
          <w:sz w:val="16"/>
          <w:szCs w:val="16"/>
          <w:color w:val="auto"/>
        </w:rPr>
      </w:pPr>
    </w:p>
    <w:p>
      <w:pPr>
        <w:ind w:left="200" w:right="380" w:hanging="197"/>
        <w:spacing w:after="0" w:line="260" w:lineRule="auto"/>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Excellent track record of attendance at all Board and committee meetings in 2021</w:t>
      </w:r>
    </w:p>
    <w:p>
      <w:pPr>
        <w:spacing w:after="0" w:line="100" w:lineRule="exact"/>
        <w:rPr>
          <w:rFonts w:ascii="Arial" w:cs="Arial" w:eastAsia="Arial" w:hAnsi="Arial"/>
          <w:sz w:val="16"/>
          <w:szCs w:val="16"/>
          <w:color w:val="auto"/>
        </w:rPr>
      </w:pPr>
    </w:p>
    <w:p>
      <w:pPr>
        <w:ind w:left="200" w:right="600" w:hanging="197"/>
        <w:spacing w:after="0" w:line="260" w:lineRule="auto"/>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Board and committees complete written self-evaluations and participate in oral evaluations</w:t>
      </w:r>
    </w:p>
    <w:p>
      <w:pPr>
        <w:spacing w:after="0" w:line="87" w:lineRule="exact"/>
        <w:rPr>
          <w:sz w:val="20"/>
          <w:szCs w:val="20"/>
          <w:color w:val="auto"/>
        </w:rPr>
      </w:pPr>
    </w:p>
    <w:p>
      <w:pPr>
        <w:ind w:right="340"/>
        <w:spacing w:after="0" w:line="247" w:lineRule="auto"/>
        <w:rPr>
          <w:sz w:val="20"/>
          <w:szCs w:val="20"/>
          <w:color w:val="auto"/>
        </w:rPr>
      </w:pPr>
      <w:r>
        <w:rPr>
          <w:rFonts w:ascii="Arial" w:cs="Arial" w:eastAsia="Arial" w:hAnsi="Arial"/>
          <w:sz w:val="16"/>
          <w:szCs w:val="16"/>
          <w:color w:val="auto"/>
        </w:rPr>
        <w:t>The Board has approved Corporate Governance Guidelines and a Code of Business Conduct and Ethics.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1165"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209"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23</w:t>
      </w:r>
    </w:p>
    <w:p>
      <w:pPr>
        <w:sectPr>
          <w:pgSz w:w="11900" w:h="16838" w:orient="portrait"/>
          <w:cols w:equalWidth="0" w:num="1">
            <w:col w:w="10860"/>
          </w:cols>
          <w:pgMar w:left="320" w:top="459" w:right="7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70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Other 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Gregory C. Smith is our Non-Executive Chairman of the Board and has served in that role since May 2020. Our Board has decided to maintain separate non-executive chairperson and CEO roles to allow our CEO to focus on the execution of our business strategy, growth and development, while allowing the non-executive chairperson to lead the Board in its fundamental role of providing advice to, and independent oversight of, management. The Board recognizes the time, effort and energy that the CEO is required to devote to 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position in the current business environment, as well as the commitment required to serve as our Chairman. While our Bylaws and Corporate Governance Guidelines do not require that our non-executive chairperson and CEO positions be separate, the Board believes that having separate positions and having an independent director serve as non-executive chairperson is the appropriate leadership structure for the Company at this time.</w:t>
      </w:r>
    </w:p>
    <w:p>
      <w:pPr>
        <w:spacing w:after="0" w:line="580" w:lineRule="exact"/>
        <w:rPr>
          <w:sz w:val="20"/>
          <w:szCs w:val="20"/>
          <w:color w:val="auto"/>
        </w:rPr>
      </w:pPr>
    </w:p>
    <w:p>
      <w:pPr>
        <w:sectPr>
          <w:pgSz w:w="11900" w:h="16838" w:orient="portrait"/>
          <w:cols w:equalWidth="0" w:num="2">
            <w:col w:w="5400" w:space="320"/>
            <w:col w:w="4860"/>
          </w:cols>
          <w:pgMar w:left="320" w:top="459" w:right="999" w:bottom="1440" w:gutter="0" w:footer="0" w:header="0"/>
          <w:type w:val="continuous"/>
        </w:sectPr>
      </w:pP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Meetings</w:t>
      </w:r>
    </w:p>
    <w:p>
      <w:pPr>
        <w:spacing w:after="0" w:line="196" w:lineRule="exact"/>
        <w:rPr>
          <w:sz w:val="20"/>
          <w:szCs w:val="20"/>
          <w:color w:val="auto"/>
        </w:rPr>
      </w:pPr>
    </w:p>
    <w:p>
      <w:pPr>
        <w:ind w:left="660" w:right="280"/>
        <w:spacing w:after="0" w:line="250" w:lineRule="auto"/>
        <w:rPr>
          <w:sz w:val="20"/>
          <w:szCs w:val="20"/>
          <w:color w:val="auto"/>
        </w:rPr>
      </w:pPr>
      <w:r>
        <w:rPr>
          <w:rFonts w:ascii="Arial" w:cs="Arial" w:eastAsia="Arial" w:hAnsi="Arial"/>
          <w:sz w:val="16"/>
          <w:szCs w:val="16"/>
          <w:color w:val="auto"/>
        </w:rPr>
        <w:t>In 2021, our Board held ten meetings. In addition to our Board meetings, our directors attend meetings of committees established by our Board. Each of Lear’s director nominees attended at least 75% of the meetings of our Board and the committees on which he or she served during 2021 that were</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96"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held when he or she was a director. Our directors are encouraged to attend all annual and special meetings of our stockholders. In 2021, our annual meeting of stockholders was held on May 20, 2021, in virtual format, and all directors attended.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management present. Mr. Smith, our Non-Executive Chairman, has presided over these executive sessions through the Annual Meeting.</w:t>
      </w:r>
    </w:p>
    <w:p>
      <w:pPr>
        <w:spacing w:after="0" w:line="200" w:lineRule="exact"/>
        <w:rPr>
          <w:sz w:val="20"/>
          <w:szCs w:val="20"/>
          <w:color w:val="auto"/>
        </w:rPr>
      </w:pPr>
    </w:p>
    <w:p>
      <w:pPr>
        <w:sectPr>
          <w:pgSz w:w="11900" w:h="16838" w:orient="portrait"/>
          <w:cols w:equalWidth="0" w:num="2">
            <w:col w:w="5380" w:space="340"/>
            <w:col w:w="4860"/>
          </w:cols>
          <w:pgMar w:left="320" w:top="459" w:right="99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28" w:lineRule="exact"/>
        <w:rPr>
          <w:sz w:val="20"/>
          <w:szCs w:val="20"/>
          <w:color w:val="auto"/>
        </w:rPr>
      </w:pPr>
    </w:p>
    <w:p>
      <w:pPr>
        <w:ind w:left="660" w:right="100"/>
        <w:spacing w:after="0" w:line="260" w:lineRule="auto"/>
        <w:rPr>
          <w:sz w:val="20"/>
          <w:szCs w:val="20"/>
          <w:color w:val="auto"/>
        </w:rPr>
      </w:pPr>
      <w:r>
        <w:rPr>
          <w:rFonts w:ascii="Arial" w:cs="Arial" w:eastAsia="Arial" w:hAnsi="Arial"/>
          <w:sz w:val="16"/>
          <w:szCs w:val="16"/>
          <w:color w:val="auto"/>
        </w:rPr>
        <w:t>The Board has three standing committees: the Audit Committee, the P&amp;C Committee and the Nominating Committee. The following chart sets forth the directors who currently serve as members of each of the Board committees.</w:t>
      </w:r>
    </w:p>
    <w:p>
      <w:pPr>
        <w:spacing w:after="0" w:line="8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620" w:type="dxa"/>
            <w:vAlign w:val="bottom"/>
          </w:tcPr>
          <w:p>
            <w:pPr>
              <w:jc w:val="center"/>
              <w:ind w:left="2422"/>
              <w:spacing w:after="0"/>
              <w:rPr>
                <w:sz w:val="20"/>
                <w:szCs w:val="20"/>
                <w:color w:val="auto"/>
              </w:rPr>
            </w:pPr>
            <w:r>
              <w:rPr>
                <w:rFonts w:ascii="Arial" w:cs="Arial" w:eastAsia="Arial" w:hAnsi="Arial"/>
                <w:sz w:val="14"/>
                <w:szCs w:val="14"/>
                <w:b w:val="1"/>
                <w:bCs w:val="1"/>
                <w:color w:val="E2231A"/>
              </w:rPr>
              <w:t>Audit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E2231A"/>
              </w:rPr>
              <w:t>P&amp;C</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Nominating</w:t>
            </w:r>
          </w:p>
        </w:tc>
      </w:tr>
      <w:tr>
        <w:trPr>
          <w:trHeight w:val="189"/>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Directors</w:t>
            </w:r>
          </w:p>
        </w:tc>
        <w:tc>
          <w:tcPr>
            <w:tcW w:w="3620" w:type="dxa"/>
            <w:vAlign w:val="bottom"/>
            <w:tcBorders>
              <w:bottom w:val="single" w:sz="8" w:color="auto"/>
            </w:tcBorders>
          </w:tcPr>
          <w:p>
            <w:pPr>
              <w:jc w:val="center"/>
              <w:ind w:left="2442"/>
              <w:spacing w:after="0"/>
              <w:rPr>
                <w:sz w:val="20"/>
                <w:szCs w:val="20"/>
                <w:color w:val="auto"/>
              </w:rPr>
            </w:pPr>
            <w:r>
              <w:rPr>
                <w:rFonts w:ascii="Arial" w:cs="Arial" w:eastAsia="Arial" w:hAnsi="Arial"/>
                <w:sz w:val="14"/>
                <w:szCs w:val="14"/>
                <w:b w:val="1"/>
                <w:bCs w:val="1"/>
                <w:color w:val="E2231A"/>
              </w:rPr>
              <w:t>Committee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Committee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Committee</w:t>
            </w:r>
          </w:p>
        </w:tc>
      </w:tr>
      <w:tr>
        <w:trPr>
          <w:trHeight w:val="183"/>
        </w:trPr>
        <w:tc>
          <w:tcPr>
            <w:tcW w:w="424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Mei-Wei Cheng</w:t>
            </w:r>
          </w:p>
        </w:tc>
        <w:tc>
          <w:tcPr>
            <w:tcW w:w="3620" w:type="dxa"/>
            <w:vAlign w:val="bottom"/>
            <w:shd w:val="clear" w:color="auto" w:fill="FCE9E8"/>
          </w:tcPr>
          <w:p>
            <w:pPr>
              <w:jc w:val="center"/>
              <w:ind w:left="2442"/>
              <w:spacing w:after="0" w:line="183" w:lineRule="exact"/>
              <w:rPr>
                <w:sz w:val="20"/>
                <w:szCs w:val="20"/>
                <w:color w:val="auto"/>
              </w:rPr>
            </w:pPr>
            <w:r>
              <w:rPr>
                <w:rFonts w:ascii="Arial" w:cs="Arial" w:eastAsia="Arial" w:hAnsi="Arial"/>
                <w:sz w:val="16"/>
                <w:szCs w:val="16"/>
                <w:color w:val="auto"/>
                <w:w w:val="93"/>
              </w:rPr>
              <w:t>X</w:t>
            </w:r>
          </w:p>
        </w:tc>
        <w:tc>
          <w:tcPr>
            <w:tcW w:w="1040" w:type="dxa"/>
            <w:vAlign w:val="bottom"/>
            <w:shd w:val="clear" w:color="auto" w:fill="FCE9E8"/>
          </w:tcPr>
          <w:p>
            <w:pPr>
              <w:jc w:val="center"/>
              <w:spacing w:after="0" w:line="183" w:lineRule="exact"/>
              <w:rPr>
                <w:sz w:val="20"/>
                <w:szCs w:val="20"/>
                <w:color w:val="auto"/>
              </w:rPr>
            </w:pPr>
            <w:r>
              <w:rPr>
                <w:rFonts w:ascii="Arial" w:cs="Arial" w:eastAsia="Arial" w:hAnsi="Arial"/>
                <w:sz w:val="16"/>
                <w:szCs w:val="16"/>
                <w:color w:val="auto"/>
                <w:w w:val="93"/>
              </w:rPr>
              <w:t>X</w:t>
            </w:r>
          </w:p>
        </w:tc>
        <w:tc>
          <w:tcPr>
            <w:tcW w:w="1020" w:type="dxa"/>
            <w:vAlign w:val="bottom"/>
            <w:shd w:val="clear" w:color="auto" w:fill="FCE9E8"/>
          </w:tcPr>
          <w:p>
            <w:pPr>
              <w:spacing w:after="0"/>
              <w:rPr>
                <w:sz w:val="15"/>
                <w:szCs w:val="15"/>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Jonathan F. Foster</w:t>
            </w:r>
          </w:p>
        </w:tc>
        <w:tc>
          <w:tcPr>
            <w:tcW w:w="3620" w:type="dxa"/>
            <w:vAlign w:val="bottom"/>
          </w:tcPr>
          <w:p>
            <w:pPr>
              <w:jc w:val="center"/>
              <w:ind w:left="2422"/>
              <w:spacing w:after="0"/>
              <w:rPr>
                <w:sz w:val="20"/>
                <w:szCs w:val="20"/>
                <w:color w:val="auto"/>
              </w:rPr>
            </w:pPr>
            <w:r>
              <w:rPr>
                <w:rFonts w:ascii="Arial" w:cs="Arial" w:eastAsia="Arial" w:hAnsi="Arial"/>
                <w:sz w:val="16"/>
                <w:szCs w:val="16"/>
                <w:color w:val="auto"/>
              </w:rPr>
              <w:t>C</w:t>
            </w:r>
          </w:p>
        </w:tc>
        <w:tc>
          <w:tcPr>
            <w:tcW w:w="10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Bradley M. Halverson</w:t>
            </w:r>
          </w:p>
        </w:tc>
        <w:tc>
          <w:tcPr>
            <w:tcW w:w="3620" w:type="dxa"/>
            <w:vAlign w:val="bottom"/>
            <w:shd w:val="clear" w:color="auto" w:fill="FCE9E8"/>
          </w:tcPr>
          <w:p>
            <w:pPr>
              <w:jc w:val="center"/>
              <w:ind w:left="2442"/>
              <w:spacing w:after="0"/>
              <w:rPr>
                <w:sz w:val="20"/>
                <w:szCs w:val="20"/>
                <w:color w:val="auto"/>
              </w:rPr>
            </w:pPr>
            <w:r>
              <w:rPr>
                <w:rFonts w:ascii="Arial" w:cs="Arial" w:eastAsia="Arial" w:hAnsi="Arial"/>
                <w:sz w:val="16"/>
                <w:szCs w:val="16"/>
                <w:color w:val="auto"/>
                <w:w w:val="93"/>
              </w:rPr>
              <w:t>X</w:t>
            </w:r>
          </w:p>
        </w:tc>
        <w:tc>
          <w:tcPr>
            <w:tcW w:w="10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c>
          <w:tcPr>
            <w:tcW w:w="1020" w:type="dxa"/>
            <w:vAlign w:val="bottom"/>
            <w:shd w:val="clear" w:color="auto" w:fill="FCE9E8"/>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Mary Lou Jepsen</w:t>
            </w:r>
          </w:p>
        </w:tc>
        <w:tc>
          <w:tcPr>
            <w:tcW w:w="36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Roger A. Krone</w:t>
            </w:r>
          </w:p>
        </w:tc>
        <w:tc>
          <w:tcPr>
            <w:tcW w:w="3620" w:type="dxa"/>
            <w:vAlign w:val="bottom"/>
            <w:shd w:val="clear" w:color="auto" w:fill="FCE9E8"/>
          </w:tcPr>
          <w:p>
            <w:pPr>
              <w:spacing w:after="0"/>
              <w:rPr>
                <w:sz w:val="16"/>
                <w:szCs w:val="16"/>
                <w:color w:val="auto"/>
              </w:rPr>
            </w:pPr>
          </w:p>
        </w:tc>
        <w:tc>
          <w:tcPr>
            <w:tcW w:w="1040" w:type="dxa"/>
            <w:vAlign w:val="bottom"/>
            <w:shd w:val="clear" w:color="auto" w:fill="FCE9E8"/>
          </w:tcPr>
          <w:p>
            <w:pPr>
              <w:spacing w:after="0"/>
              <w:rPr>
                <w:sz w:val="16"/>
                <w:szCs w:val="16"/>
                <w:color w:val="auto"/>
              </w:rPr>
            </w:pPr>
          </w:p>
        </w:tc>
        <w:tc>
          <w:tcPr>
            <w:tcW w:w="10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Patricia L. Lewis</w:t>
            </w:r>
          </w:p>
        </w:tc>
        <w:tc>
          <w:tcPr>
            <w:tcW w:w="36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20" w:type="dxa"/>
            <w:vAlign w:val="bottom"/>
          </w:tcPr>
          <w:p>
            <w:pPr>
              <w:spacing w:after="0"/>
              <w:rPr>
                <w:sz w:val="16"/>
                <w:szCs w:val="16"/>
                <w:color w:val="auto"/>
              </w:rPr>
            </w:pP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Kathleen A. Ligocki</w:t>
            </w:r>
          </w:p>
        </w:tc>
        <w:tc>
          <w:tcPr>
            <w:tcW w:w="3620" w:type="dxa"/>
            <w:vAlign w:val="bottom"/>
            <w:shd w:val="clear" w:color="auto" w:fill="FCE9E8"/>
          </w:tcPr>
          <w:p>
            <w:pPr>
              <w:spacing w:after="0"/>
              <w:rPr>
                <w:sz w:val="16"/>
                <w:szCs w:val="16"/>
                <w:color w:val="auto"/>
              </w:rPr>
            </w:pPr>
          </w:p>
        </w:tc>
        <w:tc>
          <w:tcPr>
            <w:tcW w:w="1040" w:type="dxa"/>
            <w:vAlign w:val="bottom"/>
            <w:shd w:val="clear" w:color="auto" w:fill="FCE9E8"/>
          </w:tcPr>
          <w:p>
            <w:pPr>
              <w:jc w:val="center"/>
              <w:ind w:left="1"/>
              <w:spacing w:after="0"/>
              <w:rPr>
                <w:sz w:val="20"/>
                <w:szCs w:val="20"/>
                <w:color w:val="auto"/>
              </w:rPr>
            </w:pPr>
            <w:r>
              <w:rPr>
                <w:rFonts w:ascii="Arial" w:cs="Arial" w:eastAsia="Arial" w:hAnsi="Arial"/>
                <w:sz w:val="16"/>
                <w:szCs w:val="16"/>
                <w:color w:val="auto"/>
              </w:rPr>
              <w:t>C</w:t>
            </w:r>
          </w:p>
        </w:tc>
        <w:tc>
          <w:tcPr>
            <w:tcW w:w="10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Conrad L. Mallett, Jr.</w:t>
            </w:r>
          </w:p>
        </w:tc>
        <w:tc>
          <w:tcPr>
            <w:tcW w:w="3620" w:type="dxa"/>
            <w:vAlign w:val="bottom"/>
          </w:tcPr>
          <w:p>
            <w:pPr>
              <w:jc w:val="center"/>
              <w:ind w:left="2442"/>
              <w:spacing w:after="0"/>
              <w:rPr>
                <w:sz w:val="20"/>
                <w:szCs w:val="20"/>
                <w:color w:val="auto"/>
              </w:rPr>
            </w:pPr>
            <w:r>
              <w:rPr>
                <w:rFonts w:ascii="Arial" w:cs="Arial" w:eastAsia="Arial" w:hAnsi="Arial"/>
                <w:sz w:val="16"/>
                <w:szCs w:val="16"/>
                <w:color w:val="auto"/>
                <w:w w:val="93"/>
              </w:rPr>
              <w:t>X</w:t>
            </w:r>
          </w:p>
        </w:tc>
        <w:tc>
          <w:tcPr>
            <w:tcW w:w="10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w:t>
            </w: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Raymond E. Scott</w:t>
            </w:r>
          </w:p>
        </w:tc>
        <w:tc>
          <w:tcPr>
            <w:tcW w:w="3620" w:type="dxa"/>
            <w:vAlign w:val="bottom"/>
            <w:shd w:val="clear" w:color="auto" w:fill="FCE9E8"/>
          </w:tcPr>
          <w:p>
            <w:pPr>
              <w:spacing w:after="0"/>
              <w:rPr>
                <w:sz w:val="16"/>
                <w:szCs w:val="16"/>
                <w:color w:val="auto"/>
              </w:rPr>
            </w:pPr>
          </w:p>
        </w:tc>
        <w:tc>
          <w:tcPr>
            <w:tcW w:w="1040" w:type="dxa"/>
            <w:vAlign w:val="bottom"/>
            <w:shd w:val="clear" w:color="auto" w:fill="FCE9E8"/>
          </w:tcPr>
          <w:p>
            <w:pPr>
              <w:spacing w:after="0"/>
              <w:rPr>
                <w:sz w:val="16"/>
                <w:szCs w:val="16"/>
                <w:color w:val="auto"/>
              </w:rPr>
            </w:pPr>
          </w:p>
        </w:tc>
        <w:tc>
          <w:tcPr>
            <w:tcW w:w="1020" w:type="dxa"/>
            <w:vAlign w:val="bottom"/>
            <w:shd w:val="clear" w:color="auto" w:fill="FCE9E8"/>
          </w:tcPr>
          <w:p>
            <w:pPr>
              <w:spacing w:after="0"/>
              <w:rPr>
                <w:sz w:val="16"/>
                <w:szCs w:val="16"/>
                <w:color w:val="auto"/>
              </w:rPr>
            </w:pPr>
          </w:p>
        </w:tc>
      </w:tr>
      <w:tr>
        <w:trPr>
          <w:trHeight w:val="189"/>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Gregory C. Smith*</w:t>
            </w:r>
          </w:p>
        </w:tc>
        <w:tc>
          <w:tcPr>
            <w:tcW w:w="3620" w:type="dxa"/>
            <w:vAlign w:val="bottom"/>
            <w:tcBorders>
              <w:bottom w:val="single" w:sz="8" w:color="auto"/>
            </w:tcBorders>
          </w:tcPr>
          <w:p>
            <w:pPr>
              <w:jc w:val="center"/>
              <w:ind w:left="2442"/>
              <w:spacing w:after="0"/>
              <w:rPr>
                <w:sz w:val="20"/>
                <w:szCs w:val="20"/>
                <w:color w:val="auto"/>
              </w:rPr>
            </w:pPr>
            <w:r>
              <w:rPr>
                <w:rFonts w:ascii="Arial" w:cs="Arial" w:eastAsia="Arial" w:hAnsi="Arial"/>
                <w:sz w:val="16"/>
                <w:szCs w:val="16"/>
                <w:color w:val="auto"/>
                <w:w w:val="93"/>
              </w:rPr>
              <w:t>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E</w:t>
            </w:r>
          </w:p>
        </w:tc>
      </w:tr>
    </w:tbl>
    <w:p>
      <w:pPr>
        <w:spacing w:after="0" w:line="86" w:lineRule="exact"/>
        <w:rPr>
          <w:sz w:val="20"/>
          <w:szCs w:val="20"/>
          <w:color w:val="auto"/>
        </w:rPr>
      </w:pPr>
    </w:p>
    <w:p>
      <w:pPr>
        <w:ind w:left="660" w:right="7040" w:firstLine="7"/>
        <w:spacing w:after="0" w:line="362" w:lineRule="auto"/>
        <w:tabs>
          <w:tab w:leader="none" w:pos="943"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Non-Executive Chairman of the Board “C” Denotes member and chair of committee “X” Denotes member</w:t>
      </w:r>
    </w:p>
    <w:p>
      <w:pPr>
        <w:ind w:left="660"/>
        <w:spacing w:after="0"/>
        <w:rPr>
          <w:rFonts w:ascii="Arial" w:cs="Arial" w:eastAsia="Arial" w:hAnsi="Arial"/>
          <w:sz w:val="14"/>
          <w:szCs w:val="14"/>
          <w:color w:val="auto"/>
        </w:rPr>
      </w:pPr>
      <w:r>
        <w:rPr>
          <w:rFonts w:ascii="Arial" w:cs="Arial" w:eastAsia="Arial" w:hAnsi="Arial"/>
          <w:sz w:val="14"/>
          <w:szCs w:val="14"/>
          <w:color w:val="auto"/>
        </w:rPr>
        <w:t>“E” Denotes Ex Officio member</w:t>
      </w:r>
    </w:p>
    <w:p>
      <w:pPr>
        <w:spacing w:after="0" w:line="257" w:lineRule="exact"/>
        <w:rPr>
          <w:sz w:val="20"/>
          <w:szCs w:val="20"/>
          <w:color w:val="auto"/>
        </w:rPr>
      </w:pPr>
    </w:p>
    <w:p>
      <w:pPr>
        <w:ind w:left="780" w:hanging="393"/>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ectPr>
          <w:pgSz w:w="11900" w:h="16838" w:orient="portrait"/>
          <w:cols w:equalWidth="0" w:num="1">
            <w:col w:w="10860"/>
          </w:cols>
          <w:pgMar w:left="320" w:top="459" w:right="719" w:bottom="1440" w:gutter="0" w:footer="0" w:header="0"/>
        </w:sectPr>
      </w:pPr>
    </w:p>
    <w:p>
      <w:pPr>
        <w:spacing w:after="0" w:line="192"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In 2021, the Audit Committee held eight meetings. Each of the members of the Audit Committee is a non-employee director. In addition, the Board has determined that all of the members of the Audit Committee are independent, financially literate</w:t>
      </w:r>
    </w:p>
    <w:p>
      <w:pPr>
        <w:spacing w:after="0" w:line="3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People and Compensation Committee</w:t>
      </w:r>
    </w:p>
    <w:p>
      <w:pPr>
        <w:spacing w:after="0" w:line="192"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In 2021, the P&amp;C Committee held four meetings. Each of the members of the P&amp;C Committee is a non-employee director. In addition, the Board has determined that all of the members of the P&amp;C Committee are independent as defined in the listing standards of the NYSE, including the independence standards applicable to compensation committees. The P&amp;C Committee has overall responsibility for approving and evaluating director and officer compensation plans, policies and programs of the Company and reviewing the disclosure of such plans, policies and programs to our stockholders in the annual proxy statement. The P&amp;C Committee utilizes an independent compensation consultant to assist it in its duties. The P&amp;C Committee operates under a written charter setting forth its functions and responsibilities. Effective September 23, 2021, the P&amp;C Committee revised its charter to expand its responsibilities to include human capital management and succession planning, which expansion is further reflected in the committee’s name change from the “Compensation Committee” to the “People and Compensation Committee.” A copy of the current charter is available on our website at lear.com or in printed form upon request.</w:t>
      </w:r>
    </w:p>
    <w:p>
      <w:pPr>
        <w:spacing w:after="0" w:line="101"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In consultation with the Company’s management, the P&amp;C Committee establishes the general policies relating to senior management compensation and oversees the development and administration of such compensation programs. Our human resources executives and staff support the P&amp;C Committee in its work. These members of management work with compensation consultants whose engagements have been approved by the P&amp;C Committee, accountants and legal counsel, as necessary, to implement the P&amp;C Committee’s decisions, to monitor evolving competitive practices and to make compensation recommendations to the P&amp;C Committee. Our human resources management develops specific compensation recommendations for senior executives, which are first reviewed by senior management and then presented to the P&amp;C Committee and its independent compensation consultant. The P&amp;C Committee has final authority to approve, modify or reject the recommendations and to make its decisions in executive session. The P&amp;C Committee approves all compensation of our executive officers, including equity awards. Under our equity award policy, an aggregate equity award pool to non-executive officers may be approved by the P&amp;C Committee and allocated to individuals by the Company’s CEO.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ind w:right="360"/>
        <w:spacing w:after="0" w:line="251" w:lineRule="auto"/>
        <w:rPr>
          <w:sz w:val="20"/>
          <w:szCs w:val="20"/>
          <w:color w:val="auto"/>
        </w:rPr>
      </w:pPr>
      <w:r>
        <w:rPr>
          <w:rFonts w:ascii="Arial" w:cs="Arial" w:eastAsia="Arial" w:hAnsi="Arial"/>
          <w:sz w:val="16"/>
          <w:szCs w:val="16"/>
          <w:color w:val="auto"/>
        </w:rPr>
        <w:t>and financial experts, as further discussed under “Audit Committee Report.” For a description of the Audit Committee’s responsibilities and findings and additional information about the Audit Committee, see “Audit Committee Report.”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The policy also allows the P&amp;C Committee to delegate to the CEO the ability to grant equity awards to non-executive officer employees who are newly hired or promoted or deemed to be deserving of special retention or recognition awards.</w:t>
      </w:r>
    </w:p>
    <w:p>
      <w:pPr>
        <w:spacing w:after="0" w:line="94" w:lineRule="exact"/>
        <w:rPr>
          <w:sz w:val="20"/>
          <w:szCs w:val="20"/>
          <w:color w:val="auto"/>
        </w:rPr>
      </w:pPr>
    </w:p>
    <w:p>
      <w:pPr>
        <w:ind w:right="280"/>
        <w:spacing w:after="0" w:line="247" w:lineRule="auto"/>
        <w:rPr>
          <w:sz w:val="20"/>
          <w:szCs w:val="20"/>
          <w:color w:val="auto"/>
        </w:rPr>
      </w:pPr>
      <w:r>
        <w:rPr>
          <w:rFonts w:ascii="Arial" w:cs="Arial" w:eastAsia="Arial" w:hAnsi="Arial"/>
          <w:sz w:val="16"/>
          <w:szCs w:val="16"/>
          <w:color w:val="auto"/>
        </w:rPr>
        <w:t>The P&amp;C Committee utilizes Pay Governance LLC (“Pay Governance”) as its independent compensation consultant. The consultant reports directly to the P&amp;C Committee, including with respect to management’s recommendations of compensation programs and awards. The P&amp;C Committee has the sole authority to approve the scope and terms of the engagement of such compensation consultant and to terminate such engagement. The mandate of the consultant is to serve the Company and work with the P&amp;C Committee in its review of executive and director compensation practices, including the competitiveness of pay levels, program design, market trends and technical considerations. Pay Governance has assisted the P&amp;C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P&amp;C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P&amp;C Committee or the Company.</w:t>
      </w:r>
    </w:p>
    <w:p>
      <w:pPr>
        <w:spacing w:after="0" w:line="99" w:lineRule="exact"/>
        <w:rPr>
          <w:sz w:val="20"/>
          <w:szCs w:val="20"/>
          <w:color w:val="auto"/>
        </w:rPr>
      </w:pPr>
    </w:p>
    <w:p>
      <w:pPr>
        <w:ind w:right="500"/>
        <w:spacing w:after="0" w:line="250" w:lineRule="auto"/>
        <w:rPr>
          <w:sz w:val="20"/>
          <w:szCs w:val="20"/>
          <w:color w:val="auto"/>
        </w:rPr>
      </w:pPr>
      <w:r>
        <w:rPr>
          <w:rFonts w:ascii="Arial" w:cs="Arial" w:eastAsia="Arial" w:hAnsi="Arial"/>
          <w:sz w:val="16"/>
          <w:szCs w:val="16"/>
          <w:color w:val="auto"/>
        </w:rPr>
        <w:t>The P&amp;C Committee has reviewed the independence of Pay Governance in light of SEC rules and NYSE listing standards regarding compensation consultants and has concluded that Pay Governance’s work for the P&amp;C Committee does not raise any conflict of interest.</w:t>
      </w:r>
    </w:p>
    <w:p>
      <w:pPr>
        <w:spacing w:after="0" w:line="95" w:lineRule="exact"/>
        <w:rPr>
          <w:sz w:val="20"/>
          <w:szCs w:val="20"/>
          <w:color w:val="auto"/>
        </w:rPr>
      </w:pPr>
    </w:p>
    <w:p>
      <w:pPr>
        <w:ind w:right="360"/>
        <w:spacing w:after="0" w:line="249" w:lineRule="auto"/>
        <w:rPr>
          <w:sz w:val="20"/>
          <w:szCs w:val="20"/>
          <w:color w:val="auto"/>
        </w:rPr>
      </w:pPr>
      <w:r>
        <w:rPr>
          <w:rFonts w:ascii="Arial" w:cs="Arial" w:eastAsia="Arial" w:hAnsi="Arial"/>
          <w:sz w:val="16"/>
          <w:szCs w:val="16"/>
          <w:color w:val="auto"/>
        </w:rPr>
        <w:t>In 2021, the Company’s management retained Frederic W. Cook &amp; Co., Inc. to provide support on an as-needed basis in the review of various executive compensation programs. The Company and the P&amp;C Committee reviewed the engagement of the management consultant under the SEC disclosure rules and found that no conflicts of interest existed with respect to such engagement.</w:t>
      </w:r>
    </w:p>
    <w:p>
      <w:pPr>
        <w:spacing w:after="0" w:line="200" w:lineRule="exact"/>
        <w:rPr>
          <w:sz w:val="20"/>
          <w:szCs w:val="20"/>
          <w:color w:val="auto"/>
        </w:rPr>
      </w:pPr>
    </w:p>
    <w:p>
      <w:pPr>
        <w:spacing w:after="0" w:line="358"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25</w:t>
      </w:r>
    </w:p>
    <w:p>
      <w:pPr>
        <w:sectPr>
          <w:pgSz w:w="11900" w:h="16838" w:orient="portrait"/>
          <w:cols w:equalWidth="0" w:num="2">
            <w:col w:w="5420" w:space="300"/>
            <w:col w:w="5140"/>
          </w:cols>
          <w:pgMar w:left="320" w:top="459" w:right="7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Committee</w:t>
      </w:r>
    </w:p>
    <w:p>
      <w:pPr>
        <w:spacing w:after="0" w:line="192" w:lineRule="exact"/>
        <w:rPr>
          <w:sz w:val="20"/>
          <w:szCs w:val="20"/>
          <w:color w:val="auto"/>
        </w:rPr>
      </w:pPr>
    </w:p>
    <w:p>
      <w:pPr>
        <w:ind w:left="660" w:right="220"/>
        <w:spacing w:after="0" w:line="250" w:lineRule="auto"/>
        <w:rPr>
          <w:sz w:val="20"/>
          <w:szCs w:val="20"/>
          <w:color w:val="auto"/>
        </w:rPr>
      </w:pPr>
      <w:r>
        <w:rPr>
          <w:rFonts w:ascii="Arial" w:cs="Arial" w:eastAsia="Arial" w:hAnsi="Arial"/>
          <w:sz w:val="16"/>
          <w:szCs w:val="16"/>
          <w:color w:val="auto"/>
        </w:rPr>
        <w:t>In 2021, the Nominating Committee held five meetings. Each of the members of the Nominating Committee is a non-employee director. In addition, the Board has determined that all of the members of the Nominating Committee are independent as defined in the listing standards of the NYSE.</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Nominating Committee is responsible for, among other things:</w:t>
      </w:r>
    </w:p>
    <w:p>
      <w:pPr>
        <w:spacing w:after="0" w:line="5" w:lineRule="exact"/>
        <w:rPr>
          <w:sz w:val="20"/>
          <w:szCs w:val="20"/>
          <w:color w:val="auto"/>
        </w:rPr>
      </w:pPr>
    </w:p>
    <w:p>
      <w:pPr>
        <w:ind w:left="660" w:right="420" w:firstLine="7"/>
        <w:spacing w:after="0" w:line="246" w:lineRule="auto"/>
        <w:tabs>
          <w:tab w:leader="none" w:pos="8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consistent with criteria approved by the Board;</w:t>
      </w:r>
    </w:p>
    <w:p>
      <w:pPr>
        <w:ind w:left="660" w:right="180" w:firstLine="7"/>
        <w:spacing w:after="0" w:line="246" w:lineRule="auto"/>
        <w:tabs>
          <w:tab w:leader="none" w:pos="885"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recommending director nominees to the Board for election at the next annual meeting of the stockholders of the Company;</w:t>
      </w:r>
    </w:p>
    <w:p>
      <w:pPr>
        <w:ind w:left="660" w:right="180" w:firstLine="7"/>
        <w:spacing w:after="0" w:line="260" w:lineRule="auto"/>
        <w:tabs>
          <w:tab w:leader="none" w:pos="9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event of a vacancy on or an increase in the size of the Board, recommending director nominees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Board to fill such vacancy or newly established Board seat;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-1188720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firstLine="3"/>
        <w:spacing w:after="0" w:line="248" w:lineRule="auto"/>
        <w:tabs>
          <w:tab w:leader="none" w:pos="27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recommending directors to the Board for membership on each committee of the Board; (v) establishing and reviewing annually our Corporate Governance Guidelines and Code of Business Conduct and Ethics; (vi) reviewing potential conflicts of interest involving our executive officers; and (vii) overseeing sustainability issues, including as they pertain to environmental, human rights and other corporate social responsibility matters. The Nominating Committee operates under a written charter setting forth its functions and responsibilities. A copy of the current charter is available on our website at ir.lear.com or in printed form upon request.</w:t>
      </w:r>
    </w:p>
    <w:p>
      <w:pPr>
        <w:spacing w:after="0" w:line="506" w:lineRule="exact"/>
        <w:rPr>
          <w:sz w:val="20"/>
          <w:szCs w:val="20"/>
          <w:color w:val="auto"/>
        </w:rPr>
      </w:pPr>
    </w:p>
    <w:p>
      <w:pPr>
        <w:sectPr>
          <w:pgSz w:w="11900" w:h="16838" w:orient="portrait"/>
          <w:cols w:equalWidth="0" w:num="2">
            <w:col w:w="5420" w:space="300"/>
            <w:col w:w="4840"/>
          </w:cols>
          <w:pgMar w:left="320" w:top="459" w:right="1019" w:bottom="1440" w:gutter="0" w:footer="0" w:header="0"/>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Harry A. Kemp, Senior Vice President,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ir.lear.com.</w:t>
      </w:r>
    </w:p>
    <w:p>
      <w:pPr>
        <w:spacing w:after="0" w:line="400" w:lineRule="exact"/>
        <w:rPr>
          <w:sz w:val="20"/>
          <w:szCs w:val="20"/>
          <w:color w:val="auto"/>
        </w:rPr>
      </w:pPr>
    </w:p>
    <w:p>
      <w:pPr>
        <w:ind w:left="780" w:hanging="393"/>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ectPr>
          <w:pgSz w:w="11900" w:h="16838" w:orient="portrait"/>
          <w:cols w:equalWidth="0" w:num="2">
            <w:col w:w="5400" w:space="320"/>
            <w:col w:w="4840"/>
          </w:cols>
          <w:pgMar w:left="320" w:top="459" w:right="10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right="980"/>
        <w:spacing w:after="0" w:line="260" w:lineRule="auto"/>
        <w:rPr>
          <w:sz w:val="20"/>
          <w:szCs w:val="20"/>
          <w:color w:val="auto"/>
        </w:rPr>
      </w:pPr>
      <w:r>
        <w:rPr>
          <w:rFonts w:ascii="Arial" w:cs="Arial" w:eastAsia="Arial" w:hAnsi="Arial"/>
          <w:sz w:val="16"/>
          <w:szCs w:val="16"/>
          <w:color w:val="auto"/>
        </w:rPr>
        <w:t>The following table summarizes the annual compensation for our non-employee directors during 2021. A summary of the director compensation program and elements is presented after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139700</wp:posOffset>
            </wp:positionV>
            <wp:extent cx="629221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24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FFFFF"/>
        </w:rPr>
        <w:t>2021 Director Compensation</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Arial" w:cs="Arial" w:eastAsia="Arial" w:hAnsi="Arial"/>
                <w:sz w:val="14"/>
                <w:szCs w:val="14"/>
                <w:b w:val="1"/>
                <w:bCs w:val="1"/>
                <w:color w:val="E2231A"/>
              </w:rPr>
              <w:t>Fees Earned or Paid</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2"/>
        </w:trPr>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60"/>
              <w:spacing w:after="0" w:line="192" w:lineRule="exact"/>
              <w:rPr>
                <w:sz w:val="20"/>
                <w:szCs w:val="20"/>
                <w:color w:val="auto"/>
              </w:rPr>
            </w:pPr>
            <w:r>
              <w:rPr>
                <w:rFonts w:ascii="Arial" w:cs="Arial" w:eastAsia="Arial" w:hAnsi="Arial"/>
                <w:sz w:val="13"/>
                <w:szCs w:val="13"/>
                <w:b w:val="1"/>
                <w:bCs w:val="1"/>
                <w:color w:val="E2231A"/>
              </w:rPr>
              <w:t>in Cash</w:t>
            </w:r>
            <w:r>
              <w:rPr>
                <w:rFonts w:ascii="Arial" w:cs="Arial" w:eastAsia="Arial" w:hAnsi="Arial"/>
                <w:sz w:val="22"/>
                <w:szCs w:val="22"/>
                <w:b w:val="1"/>
                <w:bCs w:val="1"/>
                <w:color w:val="E2231A"/>
                <w:vertAlign w:val="superscript"/>
              </w:rPr>
              <w:t>(1)</w:t>
            </w:r>
          </w:p>
        </w:tc>
        <w:tc>
          <w:tcPr>
            <w:tcW w:w="1840" w:type="dxa"/>
            <w:vAlign w:val="bottom"/>
            <w:tcBorders>
              <w:bottom w:val="single" w:sz="8" w:color="auto"/>
            </w:tcBorders>
            <w:gridSpan w:val="2"/>
          </w:tcPr>
          <w:p>
            <w:pPr>
              <w:ind w:left="360"/>
              <w:spacing w:after="0" w:line="192" w:lineRule="exact"/>
              <w:rPr>
                <w:sz w:val="20"/>
                <w:szCs w:val="20"/>
                <w:color w:val="auto"/>
              </w:rPr>
            </w:pPr>
            <w:r>
              <w:rPr>
                <w:rFonts w:ascii="Arial" w:cs="Arial" w:eastAsia="Arial" w:hAnsi="Arial"/>
                <w:sz w:val="13"/>
                <w:szCs w:val="13"/>
                <w:b w:val="1"/>
                <w:bCs w:val="1"/>
                <w:color w:val="E2231A"/>
              </w:rPr>
              <w:t>Stock Awards</w:t>
            </w:r>
            <w:r>
              <w:rPr>
                <w:rFonts w:ascii="Arial" w:cs="Arial" w:eastAsia="Arial" w:hAnsi="Arial"/>
                <w:sz w:val="22"/>
                <w:szCs w:val="22"/>
                <w:b w:val="1"/>
                <w:bCs w:val="1"/>
                <w:color w:val="E2231A"/>
                <w:vertAlign w:val="superscript"/>
              </w:rPr>
              <w:t>(4)</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E2231A"/>
              </w:rPr>
              <w:t>Total</w:t>
            </w:r>
          </w:p>
        </w:tc>
      </w:tr>
      <w:tr>
        <w:trPr>
          <w:trHeight w:val="237"/>
        </w:trPr>
        <w:tc>
          <w:tcPr>
            <w:tcW w:w="4600" w:type="dxa"/>
            <w:vAlign w:val="bottom"/>
            <w:shd w:val="clear" w:color="auto" w:fill="FCE9E8"/>
          </w:tcPr>
          <w:p>
            <w:pPr>
              <w:ind w:left="80"/>
              <w:spacing w:after="0" w:line="236" w:lineRule="exact"/>
              <w:rPr>
                <w:sz w:val="20"/>
                <w:szCs w:val="20"/>
                <w:color w:val="auto"/>
              </w:rPr>
            </w:pPr>
            <w:r>
              <w:rPr>
                <w:rFonts w:ascii="Arial" w:cs="Arial" w:eastAsia="Arial" w:hAnsi="Arial"/>
                <w:sz w:val="16"/>
                <w:szCs w:val="16"/>
                <w:color w:val="auto"/>
              </w:rPr>
              <w:t>Thomas P. Capo</w:t>
            </w:r>
            <w:r>
              <w:rPr>
                <w:rFonts w:ascii="Arial" w:cs="Arial" w:eastAsia="Arial" w:hAnsi="Arial"/>
                <w:sz w:val="27"/>
                <w:szCs w:val="27"/>
                <w:color w:val="auto"/>
                <w:vertAlign w:val="superscript"/>
              </w:rPr>
              <w:t>(2)</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56,250</w:t>
            </w:r>
          </w:p>
        </w:tc>
        <w:tc>
          <w:tcPr>
            <w:tcW w:w="660" w:type="dxa"/>
            <w:vAlign w:val="bottom"/>
            <w:shd w:val="clear" w:color="auto" w:fill="FCE9E8"/>
          </w:tcPr>
          <w:p>
            <w:pPr>
              <w:ind w:lef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w:t>
            </w:r>
          </w:p>
        </w:tc>
        <w:tc>
          <w:tcPr>
            <w:tcW w:w="4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56,250</w:t>
            </w:r>
          </w:p>
        </w:tc>
      </w:tr>
      <w:tr>
        <w:trPr>
          <w:trHeight w:val="257"/>
        </w:trPr>
        <w:tc>
          <w:tcPr>
            <w:tcW w:w="4600" w:type="dxa"/>
            <w:vAlign w:val="bottom"/>
          </w:tcPr>
          <w:p>
            <w:pPr>
              <w:ind w:left="80"/>
              <w:spacing w:after="0" w:line="257" w:lineRule="exact"/>
              <w:rPr>
                <w:sz w:val="20"/>
                <w:szCs w:val="20"/>
                <w:color w:val="auto"/>
              </w:rPr>
            </w:pPr>
            <w:r>
              <w:rPr>
                <w:rFonts w:ascii="Arial" w:cs="Arial" w:eastAsia="Arial" w:hAnsi="Arial"/>
                <w:sz w:val="16"/>
                <w:szCs w:val="16"/>
                <w:color w:val="auto"/>
              </w:rPr>
              <w:t>Mei-Wei Cheng</w:t>
            </w:r>
            <w:r>
              <w:rPr>
                <w:rFonts w:ascii="Arial" w:cs="Arial" w:eastAsia="Arial" w:hAnsi="Arial"/>
                <w:sz w:val="27"/>
                <w:szCs w:val="27"/>
                <w:color w:val="auto"/>
                <w:vertAlign w:val="superscript"/>
              </w:rPr>
              <w:t>(3)</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115,000</w:t>
            </w:r>
          </w:p>
        </w:tc>
        <w:tc>
          <w:tcPr>
            <w:tcW w:w="66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20"/>
              <w:spacing w:after="0"/>
              <w:rPr>
                <w:sz w:val="20"/>
                <w:szCs w:val="20"/>
                <w:color w:val="auto"/>
              </w:rPr>
            </w:pPr>
            <w:r>
              <w:rPr>
                <w:rFonts w:ascii="Arial" w:cs="Arial" w:eastAsia="Arial" w:hAnsi="Arial"/>
                <w:sz w:val="16"/>
                <w:szCs w:val="16"/>
                <w:color w:val="auto"/>
              </w:rPr>
              <w:t>274,933</w:t>
            </w:r>
          </w:p>
        </w:tc>
      </w:tr>
      <w:tr>
        <w:trPr>
          <w:trHeight w:val="256"/>
        </w:trPr>
        <w:tc>
          <w:tcPr>
            <w:tcW w:w="4600" w:type="dxa"/>
            <w:vAlign w:val="bottom"/>
            <w:shd w:val="clear" w:color="auto" w:fill="FCE9E8"/>
          </w:tcPr>
          <w:p>
            <w:pPr>
              <w:ind w:left="80"/>
              <w:spacing w:after="0"/>
              <w:rPr>
                <w:sz w:val="20"/>
                <w:szCs w:val="20"/>
                <w:color w:val="auto"/>
              </w:rPr>
            </w:pPr>
            <w:r>
              <w:rPr>
                <w:rFonts w:ascii="Arial" w:cs="Arial" w:eastAsia="Arial" w:hAnsi="Arial"/>
                <w:sz w:val="16"/>
                <w:szCs w:val="16"/>
                <w:color w:val="auto"/>
              </w:rPr>
              <w:t>Jonathan F. Foster</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137,000</w:t>
            </w:r>
          </w:p>
        </w:tc>
        <w:tc>
          <w:tcPr>
            <w:tcW w:w="660" w:type="dxa"/>
            <w:vAlign w:val="bottom"/>
            <w:shd w:val="clear" w:color="auto" w:fill="FCE9E8"/>
          </w:tcPr>
          <w:p>
            <w:pPr>
              <w:ind w:lef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296,933</w:t>
            </w:r>
          </w:p>
        </w:tc>
      </w:tr>
      <w:tr>
        <w:trPr>
          <w:trHeight w:val="247"/>
        </w:trPr>
        <w:tc>
          <w:tcPr>
            <w:tcW w:w="4600" w:type="dxa"/>
            <w:vAlign w:val="bottom"/>
          </w:tcPr>
          <w:p>
            <w:pPr>
              <w:ind w:left="80"/>
              <w:spacing w:after="0"/>
              <w:rPr>
                <w:sz w:val="20"/>
                <w:szCs w:val="20"/>
                <w:color w:val="auto"/>
              </w:rPr>
            </w:pPr>
            <w:r>
              <w:rPr>
                <w:rFonts w:ascii="Arial" w:cs="Arial" w:eastAsia="Arial" w:hAnsi="Arial"/>
                <w:sz w:val="16"/>
                <w:szCs w:val="16"/>
                <w:color w:val="auto"/>
              </w:rPr>
              <w:t>Bradley M. Halverson</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117,000</w:t>
            </w:r>
          </w:p>
        </w:tc>
        <w:tc>
          <w:tcPr>
            <w:tcW w:w="66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20"/>
              <w:spacing w:after="0"/>
              <w:rPr>
                <w:sz w:val="20"/>
                <w:szCs w:val="20"/>
                <w:color w:val="auto"/>
              </w:rPr>
            </w:pPr>
            <w:r>
              <w:rPr>
                <w:rFonts w:ascii="Arial" w:cs="Arial" w:eastAsia="Arial" w:hAnsi="Arial"/>
                <w:sz w:val="16"/>
                <w:szCs w:val="16"/>
                <w:color w:val="auto"/>
              </w:rPr>
              <w:t>276,933</w:t>
            </w:r>
          </w:p>
        </w:tc>
      </w:tr>
      <w:tr>
        <w:trPr>
          <w:trHeight w:val="266"/>
        </w:trPr>
        <w:tc>
          <w:tcPr>
            <w:tcW w:w="4600" w:type="dxa"/>
            <w:vAlign w:val="bottom"/>
            <w:shd w:val="clear" w:color="auto" w:fill="FCE9E8"/>
          </w:tcPr>
          <w:p>
            <w:pPr>
              <w:ind w:left="80"/>
              <w:spacing w:after="0"/>
              <w:rPr>
                <w:sz w:val="20"/>
                <w:szCs w:val="20"/>
                <w:color w:val="auto"/>
              </w:rPr>
            </w:pPr>
            <w:r>
              <w:rPr>
                <w:rFonts w:ascii="Arial" w:cs="Arial" w:eastAsia="Arial" w:hAnsi="Arial"/>
                <w:sz w:val="16"/>
                <w:szCs w:val="16"/>
                <w:color w:val="auto"/>
              </w:rPr>
              <w:t>Mary Lou Jepsen</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115,000</w:t>
            </w:r>
          </w:p>
        </w:tc>
        <w:tc>
          <w:tcPr>
            <w:tcW w:w="660" w:type="dxa"/>
            <w:vAlign w:val="bottom"/>
            <w:shd w:val="clear" w:color="auto" w:fill="FCE9E8"/>
          </w:tcPr>
          <w:p>
            <w:pPr>
              <w:ind w:lef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274,933</w:t>
            </w:r>
          </w:p>
        </w:tc>
      </w:tr>
      <w:tr>
        <w:trPr>
          <w:trHeight w:val="247"/>
        </w:trPr>
        <w:tc>
          <w:tcPr>
            <w:tcW w:w="4600" w:type="dxa"/>
            <w:vAlign w:val="bottom"/>
          </w:tcPr>
          <w:p>
            <w:pPr>
              <w:ind w:left="80"/>
              <w:spacing w:after="0"/>
              <w:rPr>
                <w:sz w:val="20"/>
                <w:szCs w:val="20"/>
                <w:color w:val="auto"/>
              </w:rPr>
            </w:pPr>
            <w:r>
              <w:rPr>
                <w:rFonts w:ascii="Arial" w:cs="Arial" w:eastAsia="Arial" w:hAnsi="Arial"/>
                <w:sz w:val="16"/>
                <w:szCs w:val="16"/>
                <w:color w:val="auto"/>
              </w:rPr>
              <w:t>Roger A. Krone</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115,000</w:t>
            </w:r>
          </w:p>
        </w:tc>
        <w:tc>
          <w:tcPr>
            <w:tcW w:w="66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20"/>
              <w:spacing w:after="0"/>
              <w:rPr>
                <w:sz w:val="20"/>
                <w:szCs w:val="20"/>
                <w:color w:val="auto"/>
              </w:rPr>
            </w:pPr>
            <w:r>
              <w:rPr>
                <w:rFonts w:ascii="Arial" w:cs="Arial" w:eastAsia="Arial" w:hAnsi="Arial"/>
                <w:sz w:val="16"/>
                <w:szCs w:val="16"/>
                <w:color w:val="auto"/>
              </w:rPr>
              <w:t>274,933</w:t>
            </w:r>
          </w:p>
        </w:tc>
      </w:tr>
      <w:tr>
        <w:trPr>
          <w:trHeight w:val="266"/>
        </w:trPr>
        <w:tc>
          <w:tcPr>
            <w:tcW w:w="4600" w:type="dxa"/>
            <w:vAlign w:val="bottom"/>
            <w:shd w:val="clear" w:color="auto" w:fill="FCE9E8"/>
          </w:tcPr>
          <w:p>
            <w:pPr>
              <w:ind w:left="80"/>
              <w:spacing w:after="0"/>
              <w:rPr>
                <w:sz w:val="20"/>
                <w:szCs w:val="20"/>
                <w:color w:val="auto"/>
              </w:rPr>
            </w:pPr>
            <w:r>
              <w:rPr>
                <w:rFonts w:ascii="Arial" w:cs="Arial" w:eastAsia="Arial" w:hAnsi="Arial"/>
                <w:sz w:val="16"/>
                <w:szCs w:val="16"/>
                <w:color w:val="auto"/>
              </w:rPr>
              <w:t>Patricia L. Lewis</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115,000</w:t>
            </w:r>
          </w:p>
        </w:tc>
        <w:tc>
          <w:tcPr>
            <w:tcW w:w="660" w:type="dxa"/>
            <w:vAlign w:val="bottom"/>
            <w:shd w:val="clear" w:color="auto" w:fill="FCE9E8"/>
          </w:tcPr>
          <w:p>
            <w:pPr>
              <w:ind w:lef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274,933</w:t>
            </w:r>
          </w:p>
        </w:tc>
      </w:tr>
      <w:tr>
        <w:trPr>
          <w:trHeight w:val="247"/>
        </w:trPr>
        <w:tc>
          <w:tcPr>
            <w:tcW w:w="4600" w:type="dxa"/>
            <w:vAlign w:val="bottom"/>
          </w:tcPr>
          <w:p>
            <w:pPr>
              <w:ind w:left="80"/>
              <w:spacing w:after="0"/>
              <w:rPr>
                <w:sz w:val="20"/>
                <w:szCs w:val="20"/>
                <w:color w:val="auto"/>
              </w:rPr>
            </w:pPr>
            <w:r>
              <w:rPr>
                <w:rFonts w:ascii="Arial" w:cs="Arial" w:eastAsia="Arial" w:hAnsi="Arial"/>
                <w:sz w:val="16"/>
                <w:szCs w:val="16"/>
                <w:color w:val="auto"/>
              </w:rPr>
              <w:t>Kathleen A. Ligocki</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134,917</w:t>
            </w:r>
          </w:p>
        </w:tc>
        <w:tc>
          <w:tcPr>
            <w:tcW w:w="66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20"/>
              <w:spacing w:after="0"/>
              <w:rPr>
                <w:sz w:val="20"/>
                <w:szCs w:val="20"/>
                <w:color w:val="auto"/>
              </w:rPr>
            </w:pPr>
            <w:r>
              <w:rPr>
                <w:rFonts w:ascii="Arial" w:cs="Arial" w:eastAsia="Arial" w:hAnsi="Arial"/>
                <w:sz w:val="16"/>
                <w:szCs w:val="16"/>
                <w:color w:val="auto"/>
              </w:rPr>
              <w:t>294,849</w:t>
            </w:r>
          </w:p>
        </w:tc>
      </w:tr>
      <w:tr>
        <w:trPr>
          <w:trHeight w:val="266"/>
        </w:trPr>
        <w:tc>
          <w:tcPr>
            <w:tcW w:w="4600" w:type="dxa"/>
            <w:vAlign w:val="bottom"/>
            <w:shd w:val="clear" w:color="auto" w:fill="FCE9E8"/>
          </w:tcPr>
          <w:p>
            <w:pPr>
              <w:ind w:left="80"/>
              <w:spacing w:after="0"/>
              <w:rPr>
                <w:sz w:val="20"/>
                <w:szCs w:val="20"/>
                <w:color w:val="auto"/>
              </w:rPr>
            </w:pPr>
            <w:r>
              <w:rPr>
                <w:rFonts w:ascii="Arial" w:cs="Arial" w:eastAsia="Arial" w:hAnsi="Arial"/>
                <w:sz w:val="16"/>
                <w:szCs w:val="16"/>
                <w:color w:val="auto"/>
              </w:rPr>
              <w:t>Conrad L. Mallett, Jr.</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123,750</w:t>
            </w:r>
          </w:p>
        </w:tc>
        <w:tc>
          <w:tcPr>
            <w:tcW w:w="660" w:type="dxa"/>
            <w:vAlign w:val="bottom"/>
            <w:shd w:val="clear" w:color="auto" w:fill="FCE9E8"/>
          </w:tcPr>
          <w:p>
            <w:pPr>
              <w:ind w:lef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159,933</w:t>
            </w:r>
          </w:p>
        </w:tc>
        <w:tc>
          <w:tcPr>
            <w:tcW w:w="4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283,683</w:t>
            </w:r>
          </w:p>
        </w:tc>
      </w:tr>
      <w:tr>
        <w:trPr>
          <w:trHeight w:val="237"/>
        </w:trPr>
        <w:tc>
          <w:tcPr>
            <w:tcW w:w="4600" w:type="dxa"/>
            <w:vAlign w:val="bottom"/>
          </w:tcPr>
          <w:p>
            <w:pPr>
              <w:ind w:left="80"/>
              <w:spacing w:after="0"/>
              <w:rPr>
                <w:sz w:val="20"/>
                <w:szCs w:val="20"/>
                <w:color w:val="auto"/>
              </w:rPr>
            </w:pPr>
            <w:r>
              <w:rPr>
                <w:rFonts w:ascii="Arial" w:cs="Arial" w:eastAsia="Arial" w:hAnsi="Arial"/>
                <w:sz w:val="16"/>
                <w:szCs w:val="16"/>
                <w:color w:val="auto"/>
              </w:rPr>
              <w:t>Gregory C. Smith</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197,000</w:t>
            </w:r>
          </w:p>
        </w:tc>
        <w:tc>
          <w:tcPr>
            <w:tcW w:w="66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279,836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20"/>
              <w:spacing w:after="0"/>
              <w:rPr>
                <w:sz w:val="20"/>
                <w:szCs w:val="20"/>
                <w:color w:val="auto"/>
              </w:rPr>
            </w:pPr>
            <w:r>
              <w:rPr>
                <w:rFonts w:ascii="Arial" w:cs="Arial" w:eastAsia="Arial" w:hAnsi="Arial"/>
                <w:sz w:val="16"/>
                <w:szCs w:val="16"/>
                <w:color w:val="auto"/>
              </w:rPr>
              <w:t>476,836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12065</wp:posOffset>
            </wp:positionV>
            <wp:extent cx="62922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 w:lineRule="exact"/>
        <w:rPr>
          <w:sz w:val="20"/>
          <w:szCs w:val="20"/>
          <w:color w:val="auto"/>
        </w:rPr>
      </w:pPr>
    </w:p>
    <w:p>
      <w:pPr>
        <w:ind w:left="960" w:right="300" w:hanging="293"/>
        <w:spacing w:after="0" w:line="208" w:lineRule="auto"/>
        <w:tabs>
          <w:tab w:leader="none" w:pos="9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Includes cash retainer and other fees earned for service as directors in 2021. The base annual cash retainer is $115,000 and as described below, there is an additional cash retainer for the Non-Executive Chairman and the Chair of each of the Audit Committee, P&amp;C Committee and Nominating Committee. Our directors received the following additional cash fees in 2021. Ms. Ligocki and Messrs. Foster, Halverson and Smith each received $2,000 (representing fees for two non-standing special Financing Committee meetings).</w:t>
      </w:r>
    </w:p>
    <w:p>
      <w:pPr>
        <w:spacing w:after="0" w:line="71" w:lineRule="exact"/>
        <w:rPr>
          <w:rFonts w:ascii="Arial" w:cs="Arial" w:eastAsia="Arial" w:hAnsi="Arial"/>
          <w:sz w:val="24"/>
          <w:szCs w:val="24"/>
          <w:color w:val="auto"/>
          <w:vertAlign w:val="superscript"/>
        </w:rPr>
      </w:pPr>
    </w:p>
    <w:p>
      <w:pPr>
        <w:ind w:left="960" w:right="340" w:hanging="293"/>
        <w:spacing w:after="0" w:line="199" w:lineRule="auto"/>
        <w:tabs>
          <w:tab w:leader="none" w:pos="9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Capo, who served as the Chair of the P&amp;C Committee, did not stand for re-election at the 2021 annual meeting, as he had reached the Company’s mandatory retirement age for directors. The fees earned by Mr. Capo represent the amounts he received prior to his retirement. Following Mr. Capo’s retirement, the Board appointed Ms. Ligocki to be the new Chair of the P&amp;C Committee.</w:t>
      </w:r>
    </w:p>
    <w:p>
      <w:pPr>
        <w:ind w:left="960" w:hanging="293"/>
        <w:spacing w:after="0" w:line="211" w:lineRule="auto"/>
        <w:tabs>
          <w:tab w:leader="none" w:pos="9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Cheng deferred $115,000 and Mr. Krone deferred $105,416 of their 2021 retainer fees.</w:t>
      </w:r>
    </w:p>
    <w:p>
      <w:pPr>
        <w:spacing w:after="0" w:line="71" w:lineRule="exact"/>
        <w:rPr>
          <w:rFonts w:ascii="Arial" w:cs="Arial" w:eastAsia="Arial" w:hAnsi="Arial"/>
          <w:sz w:val="24"/>
          <w:szCs w:val="24"/>
          <w:color w:val="auto"/>
          <w:vertAlign w:val="superscript"/>
        </w:rPr>
      </w:pPr>
    </w:p>
    <w:p>
      <w:pPr>
        <w:ind w:left="960" w:right="340" w:hanging="293"/>
        <w:spacing w:after="0" w:line="212" w:lineRule="auto"/>
        <w:tabs>
          <w:tab w:leader="none" w:pos="9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As described below under the heading “Equity Compensation,” on May 20, 2021, each of our non-employee directors who were members of the Board on the date of the annual meeting received a grant of restricted stock units, which vest on the earlier of the first anniversary of the grant date and the date of the next annual meeting of stockholders that is at least 50 weeks following the immediately preceding year’s annual meeting, subject to each director’s continued service on the Board. The amounts reported in this column for each director reflect the aggregate grant date fair value determined in accordance with FASB Accounting Standards Codification</w:t>
      </w:r>
      <w:r>
        <w:rPr>
          <w:rFonts w:ascii="Arial" w:cs="Arial" w:eastAsia="Arial" w:hAnsi="Arial"/>
          <w:sz w:val="24"/>
          <w:szCs w:val="24"/>
          <w:color w:val="auto"/>
          <w:vertAlign w:val="superscript"/>
        </w:rPr>
        <w:t>™</w:t>
      </w:r>
      <w:r>
        <w:rPr>
          <w:rFonts w:ascii="Arial" w:cs="Arial" w:eastAsia="Arial" w:hAnsi="Arial"/>
          <w:sz w:val="14"/>
          <w:szCs w:val="14"/>
          <w:color w:val="auto"/>
        </w:rPr>
        <w:t xml:space="preserve"> (“ASC”) Topic 718, “Compensation-Stock Compensation.” As of December 31, 2021, each of our non-employee directors who were members of the Board on such date held the following outstanding and unvested restricted stock units: As of December 31, 2021, each of our non-employee directors who were members of the Board on such date held the following outstanding and unvested restricted stock units: Messrs. Cheng, Foster, Halverson, Krone, and Mallett, along with Dr. Jepsen and Ms. Ligocki – 875; Mr. Smith – 1,531. Messrs. Cheng and Krone, along with Ms. Ligocki, each elected to defer 100% of their 2021 restricted stock unit grants; Mr. Mallett elected to defer 80% of his 2021 restricted stock unit grant (in each case, subject to vesting of the restricted stock units).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Summary of 2021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 — Benchmarking”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420"/>
        <w:spacing w:after="0" w:line="248" w:lineRule="auto"/>
        <w:rPr>
          <w:sz w:val="20"/>
          <w:szCs w:val="20"/>
          <w:color w:val="auto"/>
        </w:rPr>
      </w:pPr>
      <w:r>
        <w:rPr>
          <w:rFonts w:ascii="Arial" w:cs="Arial" w:eastAsia="Arial" w:hAnsi="Arial"/>
          <w:sz w:val="16"/>
          <w:szCs w:val="16"/>
          <w:color w:val="auto"/>
        </w:rPr>
        <w:t>below) and a broader set of large companies. The most recent competitive pay study was reviewed in August 2021, and the P&amp;C Committee determined to provide for a $15,000 increase in the grant date fair value of our annual equity award grants, starting in 2022. Based on the most recent benchmarking analysis, the director compensation is near the market median level within the Comparator Group.</w:t>
      </w:r>
    </w:p>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99"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27</w:t>
      </w:r>
    </w:p>
    <w:p>
      <w:pPr>
        <w:sectPr>
          <w:pgSz w:w="11900" w:h="16838" w:orient="portrait"/>
          <w:cols w:equalWidth="0" w:num="1">
            <w:col w:w="10860"/>
          </w:cols>
          <w:pgMar w:left="320" w:top="459" w:right="71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base annual cash retainer for each non-employee director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Outside Directors Compensation Plan is $115,000.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cash retainer for the chairs of the P&amp;C Committee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is $20,000, the additional cash retainer for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chair of the Nominating Committee is $15,000 and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cash retainer for the Presiding Director, if any, is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$10,000. The annual cash retainer for each non-employee director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is paid in advance in equal installments on the last business day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month. Because the Company has an independent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Non-Executive Chairman, there currently is no Presiding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Non-employee directors generally do not receive Board or standing committee meeting fees; however, each non-employee director is eligible to receive $1,500 for each Board meeting in excess of twelve that he/she attends in a calendar year. Meeting fees for a special committee of the Board are set by the Board at the time of the formation of the special committee and usually are set at the rate of $1,000 per meeting. Meeting fees, if any, are paid on the last business day of the month (for that month’s meeting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-2037715</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5420" w:space="300"/>
            <w:col w:w="4860"/>
          </w:cols>
          <w:pgMar w:left="320" w:top="459" w:right="999" w:bottom="1440" w:gutter="0" w:footer="0" w:header="0"/>
        </w:sectPr>
      </w:pP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Pursuant to the Outside Directors Compensation Plan, in addition to a cash retainer, each non-employee director receives a portion of his or her annual compensation in the form of equity compensation, which is granted each year on the date of the annual meeting of stockholders at which a director is elected or re-elected to serve on the Board. Such equity compensation is paid in the form of an annual grant of restricted stock units with a grant date value of approximately $160,000. The restricted stock unit awards will vest on the earlier of the first anniversary of the grant date and the date of the next annual meeting of</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96"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In 2021, the additional compensation for our Non-Executive Chairman, currently Mr. Smith, was an additional annual cash retainer in the amount of $80,000 and an additional annual grant of restricted stock units with a grant date value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stockholders that is at least 50 weeks following the immediately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preceding year’s annual meeting, subject to forfeiture in the event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a director’s service on the Board ceases for any reason prior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vesting date. As stated above, starting with the 2022 annual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meeting, our directors will be eligible for an annual grant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with a grant date fair value of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$175,000, subject to the same vesting terms described immediately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approximately $120,000. The payment and vesting schedule for this additional annual compensation is the same as that described above.</w:t>
      </w:r>
    </w:p>
    <w:p>
      <w:pPr>
        <w:spacing w:after="0" w:line="387" w:lineRule="exact"/>
        <w:rPr>
          <w:sz w:val="20"/>
          <w:szCs w:val="20"/>
          <w:color w:val="auto"/>
        </w:rPr>
      </w:pPr>
    </w:p>
    <w:p>
      <w:pPr>
        <w:sectPr>
          <w:pgSz w:w="11900" w:h="16838" w:orient="portrait"/>
          <w:cols w:equalWidth="0" w:num="2">
            <w:col w:w="5340" w:space="380"/>
            <w:col w:w="4860"/>
          </w:cols>
          <w:pgMar w:left="320" w:top="459" w:right="999" w:bottom="1440" w:gutter="0" w:footer="0" w:header="0"/>
          <w:type w:val="continuous"/>
        </w:sectPr>
      </w:pP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Deferrals</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restricted stock unit grant into a stock account where, subject to and following satisfaction of the applicable vesting requirements, notional stock units are credited until distribution in the form of shares of common stock upon the pre-selected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right="60"/>
        <w:spacing w:after="0" w:line="242" w:lineRule="auto"/>
        <w:rPr>
          <w:sz w:val="20"/>
          <w:szCs w:val="20"/>
          <w:color w:val="auto"/>
        </w:rPr>
      </w:pPr>
      <w:r>
        <w:rPr>
          <w:rFonts w:ascii="Arial" w:cs="Arial" w:eastAsia="Arial" w:hAnsi="Arial"/>
          <w:sz w:val="15"/>
          <w:szCs w:val="15"/>
          <w:color w:val="auto"/>
        </w:rPr>
        <w:t>In general, amounts deferred are paid to a non-employee director as of the earliest of:</w:t>
      </w:r>
    </w:p>
    <w:p>
      <w:pPr>
        <w:spacing w:after="0" w:line="103" w:lineRule="exact"/>
        <w:rPr>
          <w:sz w:val="20"/>
          <w:szCs w:val="20"/>
          <w:color w:val="auto"/>
        </w:rPr>
      </w:pPr>
    </w:p>
    <w:p>
      <w:pPr>
        <w:ind w:left="200" w:hanging="197"/>
        <w:spacing w:after="0"/>
        <w:tabs>
          <w:tab w:leader="none" w:pos="2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date elected by such director;</w:t>
      </w:r>
    </w:p>
    <w:p>
      <w:pPr>
        <w:spacing w:after="0" w:line="126" w:lineRule="exact"/>
        <w:rPr>
          <w:rFonts w:ascii="Arial" w:cs="Arial" w:eastAsia="Arial" w:hAnsi="Arial"/>
          <w:sz w:val="16"/>
          <w:szCs w:val="16"/>
          <w:color w:val="auto"/>
        </w:rPr>
      </w:pPr>
    </w:p>
    <w:p>
      <w:pPr>
        <w:ind w:left="200" w:hanging="197"/>
        <w:spacing w:after="0"/>
        <w:tabs>
          <w:tab w:leader="none" w:pos="2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date the director ceases to be a director; or</w:t>
      </w:r>
    </w:p>
    <w:p>
      <w:pPr>
        <w:spacing w:after="0" w:line="126" w:lineRule="exact"/>
        <w:rPr>
          <w:rFonts w:ascii="Arial" w:cs="Arial" w:eastAsia="Arial" w:hAnsi="Arial"/>
          <w:sz w:val="16"/>
          <w:szCs w:val="16"/>
          <w:color w:val="auto"/>
        </w:rPr>
      </w:pPr>
    </w:p>
    <w:p>
      <w:pPr>
        <w:ind w:left="200" w:right="60" w:hanging="197"/>
        <w:spacing w:after="0" w:line="260" w:lineRule="auto"/>
        <w:tabs>
          <w:tab w:leader="none" w:pos="2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w:t>
      </w:r>
    </w:p>
    <w:p>
      <w:pPr>
        <w:spacing w:after="0" w:line="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Retainer, meeting fees and restricted cash amounts that are deferred are paid in cash in a single sum payment or, at the director’s election, in installments. Amounts of the restricted stock unit grants that are deferred are paid in the form of shares of common stock in a lump sum or installments in accordance with the director’s election.</w:t>
      </w:r>
    </w:p>
    <w:p>
      <w:pPr>
        <w:spacing w:after="0" w:line="200"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96"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w:t>
      </w:r>
    </w:p>
    <w:p>
      <w:pPr>
        <w:spacing w:after="0" w:line="392" w:lineRule="exact"/>
        <w:rPr>
          <w:sz w:val="20"/>
          <w:szCs w:val="20"/>
          <w:color w:val="auto"/>
        </w:rPr>
      </w:pPr>
    </w:p>
    <w:p>
      <w:pPr>
        <w:ind w:left="780" w:hanging="393"/>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of a number of shares with a value equal to five times the base annual cash retainer and must hold 50% of the net shares from their annual stock grants received until they are in</w:t>
      </w:r>
    </w:p>
    <w:p>
      <w:pPr>
        <w:sectPr>
          <w:pgSz w:w="11900" w:h="16838" w:orient="portrait"/>
          <w:cols w:equalWidth="0" w:num="2">
            <w:col w:w="5000" w:space="720"/>
            <w:col w:w="4860"/>
          </w:cols>
          <w:pgMar w:left="320" w:top="459" w:right="9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
        <w:spacing w:after="0" w:line="251" w:lineRule="auto"/>
        <w:rPr>
          <w:sz w:val="20"/>
          <w:szCs w:val="20"/>
          <w:color w:val="auto"/>
        </w:rPr>
      </w:pPr>
      <w:r>
        <w:rPr>
          <w:rFonts w:ascii="Arial" w:cs="Arial" w:eastAsia="Arial" w:hAnsi="Arial"/>
          <w:sz w:val="16"/>
          <w:szCs w:val="16"/>
          <w:color w:val="auto"/>
        </w:rPr>
        <w:t>compliance with these guidelines. As of our latest measurement date (December 31, 2021), all of our non-employee directors who were directors on the measurement date (other than Mr. Cheng, who joined the Board in January 2019, Mr. Halverson, who joined the Board</w:t>
      </w: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in June 2020, and Mr. Krone and Ms. Lewis, who joined the Board in November 2020, each of whom is in compliance with the 50% hold requirement) met the required ownership guideline level.</w:t>
      </w:r>
    </w:p>
    <w:p>
      <w:pPr>
        <w:spacing w:after="0" w:line="983" w:lineRule="exact"/>
        <w:rPr>
          <w:sz w:val="20"/>
          <w:szCs w:val="20"/>
          <w:color w:val="auto"/>
        </w:rPr>
      </w:pPr>
    </w:p>
    <w:p>
      <w:pPr>
        <w:sectPr>
          <w:pgSz w:w="11900" w:h="16838" w:orient="portrait"/>
          <w:cols w:equalWidth="0" w:num="2">
            <w:col w:w="5280" w:space="460"/>
            <w:col w:w="5120"/>
          </w:cols>
          <w:pgMar w:left="320" w:top="459" w:right="719" w:bottom="1440" w:gutter="0" w:footer="0" w:header="0"/>
          <w:type w:val="continuous"/>
        </w:sectPr>
      </w:pPr>
    </w:p>
    <w:p>
      <w:pPr>
        <w:spacing w:after="0" w:line="1" w:lineRule="exact"/>
        <w:rPr>
          <w:sz w:val="20"/>
          <w:szCs w:val="20"/>
          <w:color w:val="auto"/>
        </w:rPr>
      </w:pPr>
    </w:p>
    <w:p>
      <w:pPr>
        <w:ind w:left="280"/>
        <w:spacing w:after="0" w:line="260" w:lineRule="auto"/>
        <w:rPr>
          <w:sz w:val="20"/>
          <w:szCs w:val="20"/>
          <w:color w:val="auto"/>
        </w:rPr>
      </w:pPr>
      <w:r>
        <w:rPr>
          <w:rFonts w:ascii="Arial" w:cs="Arial" w:eastAsia="Arial" w:hAnsi="Arial"/>
          <w:sz w:val="16"/>
          <w:szCs w:val="16"/>
          <w:color w:val="auto"/>
        </w:rPr>
        <w:t>Directors who are also our employees receive no compensation for their services as directors except</w:t>
      </w:r>
    </w:p>
    <w:p>
      <w:pPr>
        <w:spacing w:after="0" w:line="20" w:lineRule="exact"/>
        <w:rPr>
          <w:sz w:val="20"/>
          <w:szCs w:val="20"/>
          <w:color w:val="auto"/>
        </w:rPr>
      </w:pPr>
      <w:r>
        <w:rPr>
          <w:sz w:val="20"/>
          <w:szCs w:val="20"/>
          <w:color w:val="auto"/>
        </w:rPr>
        <w:br w:type="column"/>
      </w:r>
    </w:p>
    <w:p>
      <w:pPr>
        <w:ind w:right="780"/>
        <w:spacing w:after="0" w:line="260" w:lineRule="auto"/>
        <w:rPr>
          <w:sz w:val="20"/>
          <w:szCs w:val="20"/>
          <w:color w:val="auto"/>
        </w:rPr>
      </w:pPr>
      <w:r>
        <w:rPr>
          <w:rFonts w:ascii="Arial" w:cs="Arial" w:eastAsia="Arial" w:hAnsi="Arial"/>
          <w:sz w:val="16"/>
          <w:szCs w:val="16"/>
          <w:color w:val="auto"/>
        </w:rPr>
        <w:t>reimbursement of expenses incurred in attending meetings of our Board or Board committees.</w:t>
      </w:r>
    </w:p>
    <w:p>
      <w:pPr>
        <w:spacing w:after="0" w:line="200" w:lineRule="exact"/>
        <w:rPr>
          <w:sz w:val="20"/>
          <w:szCs w:val="20"/>
          <w:color w:val="auto"/>
        </w:rPr>
      </w:pPr>
    </w:p>
    <w:p>
      <w:pPr>
        <w:sectPr>
          <w:pgSz w:w="11900" w:h="16838" w:orient="portrait"/>
          <w:cols w:equalWidth="0" w:num="2">
            <w:col w:w="5080" w:space="320"/>
            <w:col w:w="5460"/>
          </w:cols>
          <w:pgMar w:left="320" w:top="459" w:right="719" w:bottom="1440" w:gutter="0" w:footer="0" w:header="0"/>
          <w:type w:val="continuous"/>
        </w:sectPr>
      </w:pPr>
    </w:p>
    <w:p>
      <w:pPr>
        <w:spacing w:after="0" w:line="253"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78740</wp:posOffset>
            </wp:positionV>
            <wp:extent cx="63779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pacing w:after="0" w:line="227" w:lineRule="exact"/>
        <w:rPr>
          <w:sz w:val="20"/>
          <w:szCs w:val="20"/>
          <w:color w:val="auto"/>
        </w:rPr>
      </w:pPr>
    </w:p>
    <w:p>
      <w:pPr>
        <w:ind w:left="280" w:right="540"/>
        <w:spacing w:after="0" w:line="249" w:lineRule="auto"/>
        <w:rPr>
          <w:sz w:val="20"/>
          <w:szCs w:val="20"/>
          <w:color w:val="auto"/>
        </w:rPr>
      </w:pPr>
      <w:r>
        <w:rPr>
          <w:rFonts w:ascii="Arial" w:cs="Arial" w:eastAsia="Arial" w:hAnsi="Arial"/>
          <w:sz w:val="16"/>
          <w:szCs w:val="16"/>
          <w:color w:val="auto"/>
        </w:rPr>
        <w:t>The following table sets forth, as of March 31, 2022 (except as indicated below), beneficial ownership, as defined by SEC rules, of our common stock (including shares of common stock subject to stock options that are currently exercisable or exercisable within 60 days of March 31, 2022) and ownership of Restricted Stock Units (“RSUs”) by the persons or groups specified. Each of the persons listed below has sole voting and investment power with respect to the beneficially owned shares listed unless otherwise indicated. The percentage calculations set forth in the table are based on 59,764,493 shares of common stock outstanding on March 25, 2022, rather than based on the percentages set forth in stockholders’ Schedules 13G or 13D, as applicable, filed with the SEC.</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E2231A"/>
              </w:rPr>
              <w:t>Number of Shares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E2231A"/>
              </w:rPr>
              <w:t>Percentage of</w:t>
            </w:r>
          </w:p>
        </w:tc>
        <w:tc>
          <w:tcPr>
            <w:tcW w:w="1320" w:type="dxa"/>
            <w:vAlign w:val="bottom"/>
          </w:tcPr>
          <w:p>
            <w:pPr>
              <w:jc w:val="center"/>
              <w:ind w:right="81"/>
              <w:spacing w:after="0"/>
              <w:rPr>
                <w:sz w:val="20"/>
                <w:szCs w:val="20"/>
                <w:color w:val="auto"/>
              </w:rPr>
            </w:pPr>
            <w:r>
              <w:rPr>
                <w:rFonts w:ascii="Arial" w:cs="Arial" w:eastAsia="Arial" w:hAnsi="Arial"/>
                <w:sz w:val="14"/>
                <w:szCs w:val="14"/>
                <w:b w:val="1"/>
                <w:bCs w:val="1"/>
                <w:color w:val="E2231A"/>
              </w:rPr>
              <w:t>Number of</w:t>
            </w:r>
          </w:p>
        </w:tc>
        <w:tc>
          <w:tcPr>
            <w:tcW w:w="0" w:type="dxa"/>
            <w:vAlign w:val="bottom"/>
          </w:tcPr>
          <w:p>
            <w:pPr>
              <w:spacing w:after="0"/>
              <w:rPr>
                <w:sz w:val="1"/>
                <w:szCs w:val="1"/>
                <w:color w:val="auto"/>
              </w:rPr>
            </w:pPr>
          </w:p>
        </w:tc>
      </w:tr>
      <w:tr>
        <w:trPr>
          <w:trHeight w:val="159"/>
        </w:trPr>
        <w:tc>
          <w:tcPr>
            <w:tcW w:w="4840" w:type="dxa"/>
            <w:vAlign w:val="bottom"/>
          </w:tcPr>
          <w:p>
            <w:pPr>
              <w:spacing w:after="0"/>
              <w:rPr>
                <w:sz w:val="13"/>
                <w:szCs w:val="13"/>
                <w:color w:val="auto"/>
              </w:rPr>
            </w:pPr>
          </w:p>
        </w:tc>
        <w:tc>
          <w:tcPr>
            <w:tcW w:w="192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of Common Stock</w:t>
            </w:r>
          </w:p>
        </w:tc>
        <w:tc>
          <w:tcPr>
            <w:tcW w:w="196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Common Stock</w:t>
            </w:r>
          </w:p>
        </w:tc>
        <w:tc>
          <w:tcPr>
            <w:tcW w:w="1320" w:type="dxa"/>
            <w:vAlign w:val="bottom"/>
          </w:tcPr>
          <w:p>
            <w:pPr>
              <w:jc w:val="center"/>
              <w:ind w:right="61"/>
              <w:spacing w:after="0" w:line="159" w:lineRule="exact"/>
              <w:rPr>
                <w:sz w:val="20"/>
                <w:szCs w:val="20"/>
                <w:color w:val="auto"/>
              </w:rPr>
            </w:pPr>
            <w:r>
              <w:rPr>
                <w:rFonts w:ascii="Arial" w:cs="Arial" w:eastAsia="Arial" w:hAnsi="Arial"/>
                <w:sz w:val="14"/>
                <w:szCs w:val="14"/>
                <w:b w:val="1"/>
                <w:bCs w:val="1"/>
                <w:color w:val="E2231A"/>
              </w:rPr>
              <w:t>RSUs</w:t>
            </w:r>
          </w:p>
        </w:tc>
        <w:tc>
          <w:tcPr>
            <w:tcW w:w="0" w:type="dxa"/>
            <w:vAlign w:val="bottom"/>
          </w:tcPr>
          <w:p>
            <w:pPr>
              <w:spacing w:after="0"/>
              <w:rPr>
                <w:sz w:val="1"/>
                <w:szCs w:val="1"/>
                <w:color w:val="auto"/>
              </w:rPr>
            </w:pPr>
          </w:p>
        </w:tc>
      </w:tr>
      <w:tr>
        <w:trPr>
          <w:trHeight w:val="179"/>
        </w:trPr>
        <w:tc>
          <w:tcPr>
            <w:tcW w:w="48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Owned Beneficially</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Owned Beneficially</w:t>
            </w:r>
          </w:p>
        </w:tc>
        <w:tc>
          <w:tcPr>
            <w:tcW w:w="1320" w:type="dxa"/>
            <w:vAlign w:val="bottom"/>
            <w:tcBorders>
              <w:bottom w:val="single" w:sz="8" w:color="auto"/>
            </w:tcBorders>
          </w:tcPr>
          <w:p>
            <w:pPr>
              <w:jc w:val="center"/>
              <w:ind w:right="61"/>
              <w:spacing w:after="0" w:line="179" w:lineRule="exact"/>
              <w:rPr>
                <w:sz w:val="20"/>
                <w:szCs w:val="20"/>
                <w:color w:val="auto"/>
              </w:rPr>
            </w:pPr>
            <w:r>
              <w:rPr>
                <w:rFonts w:ascii="Arial" w:cs="Arial" w:eastAsia="Arial" w:hAnsi="Arial"/>
                <w:sz w:val="12"/>
                <w:szCs w:val="12"/>
                <w:b w:val="1"/>
                <w:bCs w:val="1"/>
                <w:color w:val="E2231A"/>
              </w:rPr>
              <w:t>Owned</w:t>
            </w:r>
            <w:r>
              <w:rPr>
                <w:rFonts w:ascii="Arial" w:cs="Arial" w:eastAsia="Arial" w:hAnsi="Arial"/>
                <w:sz w:val="20"/>
                <w:szCs w:val="20"/>
                <w:b w:val="1"/>
                <w:bCs w:val="1"/>
                <w:color w:val="E2231A"/>
                <w:vertAlign w:val="superscript"/>
              </w:rPr>
              <w:t>(19)</w:t>
            </w:r>
          </w:p>
        </w:tc>
        <w:tc>
          <w:tcPr>
            <w:tcW w:w="0" w:type="dxa"/>
            <w:vAlign w:val="bottom"/>
          </w:tcPr>
          <w:p>
            <w:pPr>
              <w:spacing w:after="0"/>
              <w:rPr>
                <w:sz w:val="1"/>
                <w:szCs w:val="1"/>
                <w:color w:val="auto"/>
              </w:rPr>
            </w:pPr>
          </w:p>
        </w:tc>
      </w:tr>
      <w:tr>
        <w:trPr>
          <w:trHeight w:val="223"/>
        </w:trPr>
        <w:tc>
          <w:tcPr>
            <w:tcW w:w="484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5% Beneficial Owners:</w:t>
            </w:r>
          </w:p>
        </w:tc>
        <w:tc>
          <w:tcPr>
            <w:tcW w:w="1920" w:type="dxa"/>
            <w:vAlign w:val="bottom"/>
            <w:shd w:val="clear" w:color="auto" w:fill="FCE9E8"/>
          </w:tcPr>
          <w:p>
            <w:pPr>
              <w:spacing w:after="0"/>
              <w:rPr>
                <w:sz w:val="19"/>
                <w:szCs w:val="19"/>
                <w:color w:val="auto"/>
              </w:rPr>
            </w:pPr>
          </w:p>
        </w:tc>
        <w:tc>
          <w:tcPr>
            <w:tcW w:w="1960" w:type="dxa"/>
            <w:vAlign w:val="bottom"/>
            <w:shd w:val="clear" w:color="auto" w:fill="FCE9E8"/>
          </w:tcPr>
          <w:p>
            <w:pPr>
              <w:spacing w:after="0"/>
              <w:rPr>
                <w:sz w:val="19"/>
                <w:szCs w:val="19"/>
                <w:color w:val="auto"/>
              </w:rPr>
            </w:pPr>
          </w:p>
        </w:tc>
        <w:tc>
          <w:tcPr>
            <w:tcW w:w="1320" w:type="dxa"/>
            <w:vAlign w:val="bottom"/>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(1)</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7,777,143</w:t>
            </w:r>
          </w:p>
        </w:tc>
        <w:tc>
          <w:tcPr>
            <w:tcW w:w="196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(2)</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5,499,875</w:t>
            </w:r>
          </w:p>
        </w:tc>
        <w:tc>
          <w:tcPr>
            <w:tcW w:w="196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9.2%</w:t>
            </w:r>
          </w:p>
        </w:tc>
        <w:tc>
          <w:tcPr>
            <w:tcW w:w="132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Pzena Investment Management, LLC</w:t>
            </w:r>
            <w:r>
              <w:rPr>
                <w:rFonts w:ascii="Arial" w:cs="Arial" w:eastAsia="Arial" w:hAnsi="Arial"/>
                <w:sz w:val="27"/>
                <w:szCs w:val="27"/>
                <w:color w:val="auto"/>
                <w:vertAlign w:val="superscript"/>
              </w:rPr>
              <w:t>(3)</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5,162,131</w:t>
            </w:r>
          </w:p>
        </w:tc>
        <w:tc>
          <w:tcPr>
            <w:tcW w:w="1960" w:type="dxa"/>
            <w:vAlign w:val="bottom"/>
          </w:tcPr>
          <w:p>
            <w:pPr>
              <w:jc w:val="right"/>
              <w:ind w:right="120"/>
              <w:spacing w:after="0"/>
              <w:rPr>
                <w:sz w:val="20"/>
                <w:szCs w:val="20"/>
                <w:color w:val="auto"/>
              </w:rPr>
            </w:pPr>
            <w:r>
              <w:rPr>
                <w:rFonts w:ascii="Arial" w:cs="Arial" w:eastAsia="Arial" w:hAnsi="Arial"/>
                <w:sz w:val="16"/>
                <w:szCs w:val="16"/>
                <w:color w:val="auto"/>
              </w:rPr>
              <w:t>8.6%</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Harris Associates L.P.</w:t>
            </w:r>
            <w:r>
              <w:rPr>
                <w:rFonts w:ascii="Arial" w:cs="Arial" w:eastAsia="Arial" w:hAnsi="Arial"/>
                <w:sz w:val="27"/>
                <w:szCs w:val="27"/>
                <w:color w:val="auto"/>
                <w:vertAlign w:val="superscript"/>
              </w:rPr>
              <w:t>(4)</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3,403,233</w:t>
            </w:r>
          </w:p>
        </w:tc>
        <w:tc>
          <w:tcPr>
            <w:tcW w:w="196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5.7%</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84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Officers and Directors:</w:t>
            </w:r>
          </w:p>
        </w:tc>
        <w:tc>
          <w:tcPr>
            <w:tcW w:w="1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FCE9E8"/>
          </w:tcPr>
          <w:p>
            <w:pPr>
              <w:ind w:left="80"/>
              <w:spacing w:after="0" w:line="253" w:lineRule="exact"/>
              <w:rPr>
                <w:sz w:val="20"/>
                <w:szCs w:val="20"/>
                <w:color w:val="auto"/>
              </w:rPr>
            </w:pPr>
            <w:r>
              <w:rPr>
                <w:rFonts w:ascii="Arial" w:cs="Arial" w:eastAsia="Arial" w:hAnsi="Arial"/>
                <w:sz w:val="16"/>
                <w:szCs w:val="16"/>
                <w:color w:val="auto"/>
              </w:rPr>
              <w:t>Raymond E. Scott</w:t>
            </w:r>
            <w:r>
              <w:rPr>
                <w:rFonts w:ascii="Arial" w:cs="Arial" w:eastAsia="Arial" w:hAnsi="Arial"/>
                <w:sz w:val="27"/>
                <w:szCs w:val="27"/>
                <w:color w:val="auto"/>
                <w:vertAlign w:val="superscript"/>
              </w:rPr>
              <w:t>(5)(6)(7)</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184,326</w:t>
            </w:r>
          </w:p>
        </w:tc>
        <w:tc>
          <w:tcPr>
            <w:tcW w:w="19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18,964</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Jason M. Cardew</w:t>
            </w:r>
            <w:r>
              <w:rPr>
                <w:rFonts w:ascii="Arial" w:cs="Arial" w:eastAsia="Arial" w:hAnsi="Arial"/>
                <w:sz w:val="27"/>
                <w:szCs w:val="27"/>
                <w:color w:val="auto"/>
                <w:vertAlign w:val="superscript"/>
              </w:rPr>
              <w:t>(5)(8)</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22,996</w:t>
            </w:r>
          </w:p>
        </w:tc>
        <w:tc>
          <w:tcPr>
            <w:tcW w:w="19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27,998</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Carl A. Esposito</w:t>
            </w:r>
            <w:r>
              <w:rPr>
                <w:rFonts w:ascii="Arial" w:cs="Arial" w:eastAsia="Arial" w:hAnsi="Arial"/>
                <w:sz w:val="27"/>
                <w:szCs w:val="27"/>
                <w:color w:val="auto"/>
                <w:vertAlign w:val="superscript"/>
              </w:rPr>
              <w:t>(5)(8)</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21,351</w:t>
            </w:r>
          </w:p>
        </w:tc>
        <w:tc>
          <w:tcPr>
            <w:tcW w:w="19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52,193</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Frank Orsini</w:t>
            </w:r>
            <w:r>
              <w:rPr>
                <w:rFonts w:ascii="Arial" w:cs="Arial" w:eastAsia="Arial" w:hAnsi="Arial"/>
                <w:sz w:val="27"/>
                <w:szCs w:val="27"/>
                <w:color w:val="auto"/>
                <w:vertAlign w:val="superscript"/>
              </w:rPr>
              <w:t>(5)(8)</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46,427</w:t>
            </w:r>
          </w:p>
        </w:tc>
        <w:tc>
          <w:tcPr>
            <w:tcW w:w="19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36,502</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Thomas A. DiDonato</w:t>
            </w:r>
            <w:r>
              <w:rPr>
                <w:rFonts w:ascii="Arial" w:cs="Arial" w:eastAsia="Arial" w:hAnsi="Arial"/>
                <w:sz w:val="27"/>
                <w:szCs w:val="27"/>
                <w:color w:val="auto"/>
                <w:vertAlign w:val="superscript"/>
              </w:rPr>
              <w:t>(5)(6)</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48,759</w:t>
            </w:r>
          </w:p>
        </w:tc>
        <w:tc>
          <w:tcPr>
            <w:tcW w:w="19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Mei-Wei Cheng</w:t>
            </w:r>
            <w:r>
              <w:rPr>
                <w:rFonts w:ascii="Arial" w:cs="Arial" w:eastAsia="Arial" w:hAnsi="Arial"/>
                <w:sz w:val="27"/>
                <w:szCs w:val="27"/>
                <w:color w:val="auto"/>
                <w:vertAlign w:val="superscript"/>
              </w:rPr>
              <w:t>(7)(9)</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3,928</w:t>
            </w:r>
          </w:p>
        </w:tc>
        <w:tc>
          <w:tcPr>
            <w:tcW w:w="19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Jonathan F. Foster</w:t>
            </w:r>
            <w:r>
              <w:rPr>
                <w:rFonts w:ascii="Arial" w:cs="Arial" w:eastAsia="Arial" w:hAnsi="Arial"/>
                <w:sz w:val="27"/>
                <w:szCs w:val="27"/>
                <w:color w:val="auto"/>
                <w:vertAlign w:val="superscript"/>
              </w:rPr>
              <w:t>(7)(10)</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9,309</w:t>
            </w:r>
          </w:p>
        </w:tc>
        <w:tc>
          <w:tcPr>
            <w:tcW w:w="19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Bradley M. Halverson</w:t>
            </w:r>
            <w:r>
              <w:rPr>
                <w:rFonts w:ascii="Arial" w:cs="Arial" w:eastAsia="Arial" w:hAnsi="Arial"/>
                <w:sz w:val="27"/>
                <w:szCs w:val="27"/>
                <w:color w:val="auto"/>
                <w:vertAlign w:val="superscript"/>
              </w:rPr>
              <w:t>(7)(11)</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2,239</w:t>
            </w:r>
          </w:p>
        </w:tc>
        <w:tc>
          <w:tcPr>
            <w:tcW w:w="19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Mary Lou Jepsen</w:t>
            </w:r>
            <w:r>
              <w:rPr>
                <w:rFonts w:ascii="Arial" w:cs="Arial" w:eastAsia="Arial" w:hAnsi="Arial"/>
                <w:sz w:val="27"/>
                <w:szCs w:val="27"/>
                <w:color w:val="auto"/>
                <w:vertAlign w:val="superscript"/>
              </w:rPr>
              <w:t>(7)(12)</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6,961</w:t>
            </w:r>
          </w:p>
        </w:tc>
        <w:tc>
          <w:tcPr>
            <w:tcW w:w="19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Roger A. Krone</w:t>
            </w:r>
            <w:r>
              <w:rPr>
                <w:rFonts w:ascii="Arial" w:cs="Arial" w:eastAsia="Arial" w:hAnsi="Arial"/>
                <w:sz w:val="27"/>
                <w:szCs w:val="27"/>
                <w:color w:val="auto"/>
                <w:vertAlign w:val="superscript"/>
              </w:rPr>
              <w:t>(7)(13)</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1,454</w:t>
            </w:r>
          </w:p>
        </w:tc>
        <w:tc>
          <w:tcPr>
            <w:tcW w:w="19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Patricia L. Lewis</w:t>
            </w:r>
            <w:r>
              <w:rPr>
                <w:rFonts w:ascii="Arial" w:cs="Arial" w:eastAsia="Arial" w:hAnsi="Arial"/>
                <w:sz w:val="27"/>
                <w:szCs w:val="27"/>
                <w:color w:val="auto"/>
                <w:vertAlign w:val="superscript"/>
              </w:rPr>
              <w:t>(7)(14)</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1,454</w:t>
            </w:r>
          </w:p>
        </w:tc>
        <w:tc>
          <w:tcPr>
            <w:tcW w:w="19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Kathleen A. Ligocki</w:t>
            </w:r>
            <w:r>
              <w:rPr>
                <w:rFonts w:ascii="Arial" w:cs="Arial" w:eastAsia="Arial" w:hAnsi="Arial"/>
                <w:sz w:val="27"/>
                <w:szCs w:val="27"/>
                <w:color w:val="auto"/>
                <w:vertAlign w:val="superscript"/>
              </w:rPr>
              <w:t>(7)(15)</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16,421</w:t>
            </w:r>
          </w:p>
        </w:tc>
        <w:tc>
          <w:tcPr>
            <w:tcW w:w="19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Conrad L. Mallett, Jr.</w:t>
            </w:r>
            <w:r>
              <w:rPr>
                <w:rFonts w:ascii="Arial" w:cs="Arial" w:eastAsia="Arial" w:hAnsi="Arial"/>
                <w:sz w:val="27"/>
                <w:szCs w:val="27"/>
                <w:color w:val="auto"/>
                <w:vertAlign w:val="superscript"/>
              </w:rPr>
              <w:t>(7)(16)</w:t>
            </w:r>
          </w:p>
        </w:tc>
        <w:tc>
          <w:tcPr>
            <w:tcW w:w="19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11,284</w:t>
            </w:r>
          </w:p>
        </w:tc>
        <w:tc>
          <w:tcPr>
            <w:tcW w:w="19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line="242" w:lineRule="exact"/>
              <w:rPr>
                <w:sz w:val="20"/>
                <w:szCs w:val="20"/>
                <w:color w:val="auto"/>
              </w:rPr>
            </w:pPr>
            <w:r>
              <w:rPr>
                <w:rFonts w:ascii="Arial" w:cs="Arial" w:eastAsia="Arial" w:hAnsi="Arial"/>
                <w:sz w:val="16"/>
                <w:szCs w:val="16"/>
                <w:color w:val="auto"/>
              </w:rPr>
              <w:t>Gregory C. Smith</w:t>
            </w:r>
            <w:r>
              <w:rPr>
                <w:rFonts w:ascii="Arial" w:cs="Arial" w:eastAsia="Arial" w:hAnsi="Arial"/>
                <w:sz w:val="27"/>
                <w:szCs w:val="27"/>
                <w:color w:val="auto"/>
                <w:vertAlign w:val="superscript"/>
              </w:rPr>
              <w:t>(7)(17)</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15,422</w:t>
            </w:r>
          </w:p>
        </w:tc>
        <w:tc>
          <w:tcPr>
            <w:tcW w:w="19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40" w:type="dxa"/>
            <w:vAlign w:val="bottom"/>
            <w:shd w:val="clear" w:color="auto" w:fill="FCE9E8"/>
          </w:tcPr>
          <w:p>
            <w:pPr>
              <w:ind w:left="80"/>
              <w:spacing w:after="0"/>
              <w:rPr>
                <w:sz w:val="20"/>
                <w:szCs w:val="20"/>
                <w:color w:val="auto"/>
              </w:rPr>
            </w:pPr>
            <w:r>
              <w:rPr>
                <w:rFonts w:ascii="Arial" w:cs="Arial" w:eastAsia="Arial" w:hAnsi="Arial"/>
                <w:sz w:val="16"/>
                <w:szCs w:val="16"/>
                <w:color w:val="auto"/>
              </w:rPr>
              <w:t>Total Executive Officers and Directors as a Group (18 individuals)</w:t>
            </w:r>
          </w:p>
        </w:tc>
        <w:tc>
          <w:tcPr>
            <w:tcW w:w="1920" w:type="dxa"/>
            <w:vAlign w:val="bottom"/>
            <w:vMerge w:val="restart"/>
            <w:shd w:val="clear" w:color="auto" w:fill="FCE9E8"/>
          </w:tcPr>
          <w:p>
            <w:pPr>
              <w:jc w:val="right"/>
              <w:ind w:right="220"/>
              <w:spacing w:after="0"/>
              <w:rPr>
                <w:sz w:val="20"/>
                <w:szCs w:val="20"/>
                <w:color w:val="auto"/>
              </w:rPr>
            </w:pPr>
            <w:r>
              <w:rPr>
                <w:rFonts w:ascii="Arial" w:cs="Arial" w:eastAsia="Arial" w:hAnsi="Arial"/>
                <w:sz w:val="16"/>
                <w:szCs w:val="16"/>
                <w:color w:val="auto"/>
              </w:rPr>
              <w:t>401,908</w:t>
            </w:r>
          </w:p>
        </w:tc>
        <w:tc>
          <w:tcPr>
            <w:tcW w:w="1960" w:type="dxa"/>
            <w:vAlign w:val="bottom"/>
            <w:vMerge w:val="restart"/>
            <w:shd w:val="clear" w:color="auto" w:fill="FCE9E8"/>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FCE9E8"/>
          </w:tcPr>
          <w:p>
            <w:pPr>
              <w:jc w:val="right"/>
              <w:ind w:right="301"/>
              <w:spacing w:after="0"/>
              <w:rPr>
                <w:sz w:val="20"/>
                <w:szCs w:val="20"/>
                <w:color w:val="auto"/>
              </w:rPr>
            </w:pPr>
            <w:r>
              <w:rPr>
                <w:rFonts w:ascii="Arial" w:cs="Arial" w:eastAsia="Arial" w:hAnsi="Arial"/>
                <w:sz w:val="16"/>
                <w:szCs w:val="16"/>
                <w:color w:val="auto"/>
              </w:rPr>
              <w:t>164,067</w:t>
            </w:r>
          </w:p>
        </w:tc>
        <w:tc>
          <w:tcPr>
            <w:tcW w:w="0" w:type="dxa"/>
            <w:vAlign w:val="bottom"/>
          </w:tcPr>
          <w:p>
            <w:pPr>
              <w:spacing w:after="0"/>
              <w:rPr>
                <w:sz w:val="1"/>
                <w:szCs w:val="1"/>
                <w:color w:val="auto"/>
              </w:rPr>
            </w:pPr>
          </w:p>
        </w:tc>
      </w:tr>
      <w:tr>
        <w:trPr>
          <w:trHeight w:val="172"/>
        </w:trPr>
        <w:tc>
          <w:tcPr>
            <w:tcW w:w="48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(18)</w:t>
            </w:r>
          </w:p>
        </w:tc>
        <w:tc>
          <w:tcPr>
            <w:tcW w:w="1920" w:type="dxa"/>
            <w:vAlign w:val="bottom"/>
            <w:tcBorders>
              <w:bottom w:val="single" w:sz="8" w:color="auto"/>
            </w:tcBorders>
            <w:vMerge w:val="continue"/>
            <w:shd w:val="clear" w:color="auto" w:fill="FCE9E8"/>
          </w:tcPr>
          <w:p>
            <w:pPr>
              <w:spacing w:after="0"/>
              <w:rPr>
                <w:sz w:val="14"/>
                <w:szCs w:val="14"/>
                <w:color w:val="auto"/>
              </w:rPr>
            </w:pPr>
          </w:p>
        </w:tc>
        <w:tc>
          <w:tcPr>
            <w:tcW w:w="1960" w:type="dxa"/>
            <w:vAlign w:val="bottom"/>
            <w:tcBorders>
              <w:bottom w:val="single" w:sz="8" w:color="auto"/>
            </w:tcBorders>
            <w:vMerge w:val="continue"/>
            <w:shd w:val="clear" w:color="auto" w:fill="FCE9E8"/>
          </w:tcPr>
          <w:p>
            <w:pPr>
              <w:spacing w:after="0"/>
              <w:rPr>
                <w:sz w:val="14"/>
                <w:szCs w:val="14"/>
                <w:color w:val="auto"/>
              </w:rPr>
            </w:pPr>
          </w:p>
        </w:tc>
        <w:tc>
          <w:tcPr>
            <w:tcW w:w="1320" w:type="dxa"/>
            <w:vAlign w:val="bottom"/>
            <w:tcBorders>
              <w:bottom w:val="single" w:sz="8" w:color="auto"/>
            </w:tcBorders>
            <w:vMerge w:val="continue"/>
            <w:shd w:val="clear" w:color="auto" w:fill="FCE9E8"/>
          </w:tcPr>
          <w:p>
            <w:pPr>
              <w:spacing w:after="0"/>
              <w:rPr>
                <w:sz w:val="14"/>
                <w:szCs w:val="1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29</w:t>
      </w:r>
    </w:p>
    <w:p>
      <w:pPr>
        <w:sectPr>
          <w:pgSz w:w="11900" w:h="16838" w:orient="portrait"/>
          <w:cols w:equalWidth="0" w:num="1">
            <w:col w:w="10860"/>
          </w:cols>
          <w:pgMar w:left="320" w:top="459" w:right="7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92" w:lineRule="exact"/>
        <w:rPr>
          <w:sz w:val="20"/>
          <w:szCs w:val="20"/>
          <w:color w:val="auto"/>
        </w:rPr>
      </w:pPr>
    </w:p>
    <w:p>
      <w:pPr>
        <w:ind w:left="960" w:hanging="293"/>
        <w:spacing w:after="0"/>
        <w:tabs>
          <w:tab w:leader="none" w:pos="9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Less than 1%</w:t>
      </w:r>
    </w:p>
    <w:p>
      <w:pPr>
        <w:spacing w:after="0" w:line="71" w:lineRule="exact"/>
        <w:rPr>
          <w:sz w:val="20"/>
          <w:szCs w:val="20"/>
          <w:color w:val="auto"/>
        </w:rPr>
      </w:pPr>
    </w:p>
    <w:p>
      <w:pPr>
        <w:ind w:left="960" w:right="40" w:hanging="293"/>
        <w:spacing w:after="0" w:line="213"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January 27, 2022 by BlackRock, Inc. (“BlackRock”). BlackRock is the beneficial owner of 7,777,143 shares, with sole dispositive power as to all such shares and sole voting power as to 7,258,887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74" w:lineRule="exact"/>
        <w:rPr>
          <w:rFonts w:ascii="Arial" w:cs="Arial" w:eastAsia="Arial" w:hAnsi="Arial"/>
          <w:sz w:val="24"/>
          <w:szCs w:val="24"/>
          <w:color w:val="auto"/>
          <w:vertAlign w:val="superscript"/>
        </w:rPr>
      </w:pPr>
    </w:p>
    <w:p>
      <w:pPr>
        <w:ind w:left="960" w:right="100" w:hanging="293"/>
        <w:spacing w:after="0" w:line="208"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10, 2022 by The Vanguard Group (“Vanguard”). Vanguard is the beneficial owner of 5,499,875 shares, with sole dispositive power as to 5,368,380 such shares, shared dispositive power as to 131,495 such shares and shared voting power as to 57,850 such shares. Vanguard’s principal place of business is 100 Vanguard Blvd., Malvern, Pennsylvania 19355.</w:t>
      </w:r>
    </w:p>
    <w:p>
      <w:pPr>
        <w:spacing w:after="0" w:line="71" w:lineRule="exact"/>
        <w:rPr>
          <w:rFonts w:ascii="Arial" w:cs="Arial" w:eastAsia="Arial" w:hAnsi="Arial"/>
          <w:sz w:val="24"/>
          <w:szCs w:val="24"/>
          <w:color w:val="auto"/>
          <w:vertAlign w:val="superscript"/>
        </w:rPr>
      </w:pPr>
    </w:p>
    <w:p>
      <w:pPr>
        <w:ind w:left="960" w:right="60" w:hanging="293"/>
        <w:spacing w:after="0" w:line="199"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January 20, 2022 by Pzena Investment Management, LLC (“Pzena”). Pzena is the beneficial owner of 5,162,131 shares, with sole dispositive power as to all such shares and sole voting power as to 4,516,321 shares. Pzena’s principal place of business is 320 Park Avenue, 8th Floor, New York, New York 10022.</w:t>
      </w:r>
    </w:p>
    <w:p>
      <w:pPr>
        <w:spacing w:after="0" w:line="71" w:lineRule="exact"/>
        <w:rPr>
          <w:rFonts w:ascii="Arial" w:cs="Arial" w:eastAsia="Arial" w:hAnsi="Arial"/>
          <w:sz w:val="24"/>
          <w:szCs w:val="24"/>
          <w:color w:val="auto"/>
          <w:vertAlign w:val="superscript"/>
        </w:rPr>
      </w:pPr>
    </w:p>
    <w:p>
      <w:pPr>
        <w:jc w:val="both"/>
        <w:ind w:left="960" w:right="120" w:hanging="293"/>
        <w:spacing w:after="0" w:line="208"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11, 2022 by Harris Associates L.P. and Harris Associates Inc. (collectively, “Harris”). By reason of advisory and other relationships with the person who owns the shares, Harris may be deemed to be the beneficial owner of 3,403,233 shares, with sole voting power as to 3,373,653 shares and sole dispositive power over all such shares. Harris’ principal place of business is 111 S. Wacker Drive, Suite 4600, Chicago, Illinois 60606.</w:t>
      </w:r>
    </w:p>
    <w:p>
      <w:pPr>
        <w:ind w:left="960" w:hanging="293"/>
        <w:spacing w:after="0" w:line="211"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The individual is a Named Executive Officer.</w:t>
      </w:r>
    </w:p>
    <w:p>
      <w:pPr>
        <w:spacing w:after="0" w:line="71" w:lineRule="exact"/>
        <w:rPr>
          <w:rFonts w:ascii="Arial" w:cs="Arial" w:eastAsia="Arial" w:hAnsi="Arial"/>
          <w:sz w:val="24"/>
          <w:szCs w:val="24"/>
          <w:color w:val="auto"/>
          <w:vertAlign w:val="superscript"/>
        </w:rPr>
      </w:pPr>
    </w:p>
    <w:p>
      <w:pPr>
        <w:ind w:left="960" w:right="40" w:hanging="293"/>
        <w:spacing w:after="0" w:line="221"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Messrs. Scott and DiDonato are retirement-eligible and therefore each qualifies for accelerated vesting of all of his time-vesting Career Shares and RSUs that would have vested if the date of retirement had been 24 months later than it actually occurred. As a result, Mr. Scott’s share ownership includes 44,633 time-vesting Career Shares and 22,662 unvested RSUs and Mr. DiDonato’s share ownership includes 9,538 time-vesting Career Shares and 5,382 unvested RSUs (all RSUs awarded more than one year prior to the record date). Each of Messrs. Scott and DiDonato’s time-vesting Career Shares and unvested RSUs would be forfeited only if he were terminated for “cause” pursuant to the terms of his employment agreement. Messrs. Scott and DiDonato’s respective share ownership also includes 52,791 and 12,539 shares of common stock, respectively, that each person has the right to acquire pursuant to stock options that are currently exercisable.</w:t>
      </w:r>
    </w:p>
    <w:p>
      <w:pPr>
        <w:ind w:left="960" w:hanging="293"/>
        <w:spacing w:after="0" w:line="211"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The individual is a director.</w:t>
      </w:r>
    </w:p>
    <w:p>
      <w:pPr>
        <w:spacing w:after="0" w:line="71" w:lineRule="exact"/>
        <w:rPr>
          <w:rFonts w:ascii="Arial" w:cs="Arial" w:eastAsia="Arial" w:hAnsi="Arial"/>
          <w:sz w:val="24"/>
          <w:szCs w:val="24"/>
          <w:color w:val="auto"/>
          <w:vertAlign w:val="superscript"/>
        </w:rPr>
      </w:pPr>
    </w:p>
    <w:p>
      <w:pPr>
        <w:ind w:left="960" w:right="40" w:hanging="293"/>
        <w:spacing w:after="0" w:line="208"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Messrs. Cardew, Esposito and Orsini are not yet retirement-eligible, and thus, their share ownership does not include any unvested Career Shares or RSUs. If they remain employed by the Company, Messrs. Cardew, Esposito and Orsini will become retirement-eligible on June 29, 2025, September 1, 2026, and April 2, 2027, respectively. Messrs. Cardew, Esposito and Orsini’s respective share ownership also includes 12,275, 11,030, and 15,084 shares of common stock, respectively, that each person has the right to acquire pursuant to stock options that are currently exercisable.</w:t>
      </w:r>
    </w:p>
    <w:p>
      <w:pPr>
        <w:spacing w:after="0" w:line="71" w:lineRule="exact"/>
        <w:rPr>
          <w:rFonts w:ascii="Arial" w:cs="Arial" w:eastAsia="Arial" w:hAnsi="Arial"/>
          <w:sz w:val="24"/>
          <w:szCs w:val="24"/>
          <w:color w:val="auto"/>
          <w:vertAlign w:val="superscript"/>
        </w:rPr>
      </w:pPr>
    </w:p>
    <w:p>
      <w:pPr>
        <w:ind w:left="960" w:hanging="293"/>
        <w:spacing w:after="0" w:line="208"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Mr. Cheng, the information contained in the table above includes 2,453 deferred stock units, which are fully vested and convert into shares of common stock on a 1-for-1 basis upon the earliest of the director’s departure from the Board, a change in control or the pre-established date elected by the director. The table also includes 875 restricted stock units vesting on May 20, 2022,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960" w:right="200" w:hanging="293"/>
        <w:spacing w:after="0" w:line="183"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Mr. Foster, the information contained in the table above includes 875 restricted stock units vesting on May 20, 2022, within 60 days following the record date.</w:t>
      </w:r>
    </w:p>
    <w:p>
      <w:pPr>
        <w:spacing w:after="0" w:line="71" w:lineRule="exact"/>
        <w:rPr>
          <w:rFonts w:ascii="Arial" w:cs="Arial" w:eastAsia="Arial" w:hAnsi="Arial"/>
          <w:sz w:val="24"/>
          <w:szCs w:val="24"/>
          <w:color w:val="auto"/>
          <w:vertAlign w:val="superscript"/>
        </w:rPr>
      </w:pPr>
    </w:p>
    <w:p>
      <w:pPr>
        <w:ind w:left="960" w:right="200" w:hanging="293"/>
        <w:spacing w:after="0" w:line="183"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Mr. Halverson, the information contained in the table above includes 875 restricted stock units vesting on May 20, 2022, within 60 days following the record date.</w:t>
      </w:r>
    </w:p>
    <w:p>
      <w:pPr>
        <w:spacing w:after="0" w:line="71" w:lineRule="exact"/>
        <w:rPr>
          <w:rFonts w:ascii="Arial" w:cs="Arial" w:eastAsia="Arial" w:hAnsi="Arial"/>
          <w:sz w:val="24"/>
          <w:szCs w:val="24"/>
          <w:color w:val="auto"/>
          <w:vertAlign w:val="superscript"/>
        </w:rPr>
      </w:pPr>
    </w:p>
    <w:p>
      <w:pPr>
        <w:ind w:left="960" w:right="160" w:hanging="293"/>
        <w:spacing w:after="0" w:line="183"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Dr. Jepsen, the information contained in the table above includes 875 restricted stock units vesting on May 20, 2022, within 60 days following the record date.</w:t>
      </w:r>
    </w:p>
    <w:p>
      <w:pPr>
        <w:spacing w:after="0" w:line="71" w:lineRule="exact"/>
        <w:rPr>
          <w:rFonts w:ascii="Arial" w:cs="Arial" w:eastAsia="Arial" w:hAnsi="Arial"/>
          <w:sz w:val="24"/>
          <w:szCs w:val="24"/>
          <w:color w:val="auto"/>
          <w:vertAlign w:val="superscript"/>
        </w:rPr>
      </w:pPr>
    </w:p>
    <w:p>
      <w:pPr>
        <w:ind w:left="960" w:right="220" w:hanging="293"/>
        <w:spacing w:after="0" w:line="183"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Mr. Krone, the information contained in the table above includes 875 restricted stock units vesting on May 20, 2022,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960" w:right="200" w:hanging="293"/>
        <w:spacing w:after="0" w:line="183"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Ms. Lewis, the information contained in the table above includes 875 restricted stock units vesting on May 20, 2022, within 60 days following the record date.</w:t>
      </w:r>
    </w:p>
    <w:p>
      <w:pPr>
        <w:spacing w:after="0" w:line="71" w:lineRule="exact"/>
        <w:rPr>
          <w:rFonts w:ascii="Arial" w:cs="Arial" w:eastAsia="Arial" w:hAnsi="Arial"/>
          <w:sz w:val="24"/>
          <w:szCs w:val="24"/>
          <w:color w:val="auto"/>
          <w:vertAlign w:val="superscript"/>
        </w:rPr>
      </w:pPr>
    </w:p>
    <w:p>
      <w:pPr>
        <w:ind w:left="960" w:hanging="293"/>
        <w:spacing w:after="0" w:line="208"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Ms. Ligocki, the information contained in the table above includes 12,560 deferred stock units, which are fully vested and convert into shares of common stock on a 1-for-1 basis upon the earliest of the director’s departure from the Board, a change in control or the pre-established date elected by the director. The table also includes 875 restricted stock units vesting on May 20, 2022,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960" w:right="400" w:hanging="293"/>
        <w:spacing w:after="0" w:line="183" w:lineRule="auto"/>
        <w:tabs>
          <w:tab w:leader="none" w:pos="9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For Mr. Mallett, the information contained in the table above includes 9,820 deferred stock units, which are fully vested and convert into shares of common stock on a 1-for-1 basis upon the earliest of the director’s departure from the Board, a change in control or the pre-established date</w:t>
      </w:r>
    </w:p>
    <w:p>
      <w:pPr>
        <w:spacing w:after="0" w:line="260" w:lineRule="exact"/>
        <w:rPr>
          <w:sz w:val="20"/>
          <w:szCs w:val="20"/>
          <w:color w:val="auto"/>
        </w:rPr>
      </w:pPr>
    </w:p>
    <w:p>
      <w:pPr>
        <w:ind w:left="780" w:hanging="393"/>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93" w:lineRule="exact"/>
        <w:rPr>
          <w:sz w:val="20"/>
          <w:szCs w:val="20"/>
          <w:color w:val="auto"/>
        </w:rPr>
      </w:pPr>
    </w:p>
    <w:p>
      <w:pPr>
        <w:ind w:left="960" w:right="320"/>
        <w:spacing w:after="0" w:line="258" w:lineRule="auto"/>
        <w:rPr>
          <w:sz w:val="20"/>
          <w:szCs w:val="20"/>
          <w:color w:val="auto"/>
        </w:rPr>
      </w:pPr>
      <w:r>
        <w:rPr>
          <w:rFonts w:ascii="Arial" w:cs="Arial" w:eastAsia="Arial" w:hAnsi="Arial"/>
          <w:sz w:val="14"/>
          <w:szCs w:val="14"/>
          <w:color w:val="auto"/>
        </w:rPr>
        <w:t>elected by the director. The table also includes 875 restricted stock units vesting on May 20, 2022, within 60 days following the record date, a portion of which will be deferred upon vesting in accordance with the director’s election.</w:t>
      </w:r>
    </w:p>
    <w:p>
      <w:pPr>
        <w:spacing w:after="0" w:line="59" w:lineRule="exact"/>
        <w:rPr>
          <w:sz w:val="20"/>
          <w:szCs w:val="20"/>
          <w:color w:val="auto"/>
        </w:rPr>
      </w:pPr>
    </w:p>
    <w:p>
      <w:pPr>
        <w:jc w:val="both"/>
        <w:ind w:left="960" w:right="420" w:hanging="293"/>
        <w:spacing w:after="0" w:line="199" w:lineRule="auto"/>
        <w:tabs>
          <w:tab w:leader="none" w:pos="96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For Mr. Smith, the information contained in the table above includes 1,531 restricted stock units vesting on May 20, 2022, within 60 days following the record date. The table also includes 13,891 shares of common stock held in Ann Cournoyer Smith Irrev Trust for the benefit of Mr. Smith’s children of which Mr. Smith is the trustee.</w:t>
      </w:r>
    </w:p>
    <w:p>
      <w:pPr>
        <w:ind w:left="960" w:hanging="293"/>
        <w:spacing w:after="0" w:line="211" w:lineRule="auto"/>
        <w:tabs>
          <w:tab w:leader="none" w:pos="96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Includes Alicia Davis, Amy Doyle, Harry Kemp and Marianne Vidershain.</w:t>
      </w:r>
    </w:p>
    <w:p>
      <w:pPr>
        <w:spacing w:after="0" w:line="71" w:lineRule="exact"/>
        <w:rPr>
          <w:rFonts w:ascii="Arial" w:cs="Arial" w:eastAsia="Arial" w:hAnsi="Arial"/>
          <w:sz w:val="24"/>
          <w:szCs w:val="24"/>
          <w:color w:val="auto"/>
          <w:vertAlign w:val="superscript"/>
        </w:rPr>
      </w:pPr>
    </w:p>
    <w:p>
      <w:pPr>
        <w:jc w:val="both"/>
        <w:ind w:left="960" w:right="460" w:hanging="293"/>
        <w:spacing w:after="0" w:line="199" w:lineRule="auto"/>
        <w:tabs>
          <w:tab w:leader="none" w:pos="96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Includes, as of March 31, 2022, time-vesting Career Shares and unvested RSUs owned by our executive officers. These time-vesting Career Shares and unvested RSUs are subject to all of the economic risks of stock ownership but may not be voted or sold and are subject to vesting provisions as set forth in the respective grant agreements.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right="280"/>
        <w:spacing w:after="0" w:line="249" w:lineRule="auto"/>
        <w:rPr>
          <w:sz w:val="20"/>
          <w:szCs w:val="20"/>
          <w:color w:val="auto"/>
        </w:rPr>
      </w:pPr>
      <w:r>
        <w:rPr>
          <w:rFonts w:ascii="Arial" w:cs="Arial" w:eastAsia="Arial" w:hAnsi="Arial"/>
          <w:sz w:val="16"/>
          <w:szCs w:val="16"/>
          <w:color w:val="auto"/>
        </w:rPr>
        <w:t>Based upon our review of reports filed with the SEC and written representations that no other reports were required, we believe that all of our directors, executive officers and beneficial owners of more than ten percent of our equity securities complied with the reporting requirements of Section 16(a) of the Exchange Act during 2021, with the exception of: (i) a late Form 4 filing for Marianne Vidershain, Vice President and Treasurer, for the vesting of restricted stock units on September 1, 2021, due to an inadvertent administrative error and (ii) a late Form 4 filing for Carl Esposito, Senior Vice President and President, E-Systems, for the vesting of restricted stock units on September 3, 2021, due to an inadvertent administrative error.</w:t>
      </w:r>
    </w:p>
    <w:p>
      <w:pPr>
        <w:spacing w:after="0" w:line="247"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31</w:t>
      </w:r>
    </w:p>
    <w:p>
      <w:pPr>
        <w:sectPr>
          <w:pgSz w:w="11900" w:h="16838" w:orient="portrait"/>
          <w:cols w:equalWidth="0" w:num="1">
            <w:col w:w="10860"/>
          </w:cols>
          <w:pgMar w:left="320" w:top="459" w:right="7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COMPENSATION DISCUSSION AND ANALYSIS</w:t>
      </w:r>
    </w:p>
    <w:p>
      <w:pPr>
        <w:spacing w:after="0" w:line="261"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The following discusses the material elements of the compensation for our Chief Executive Officer (CEO), Chief Financial Officer (CFO) and each of the other executive officers listed in the “2021 Summary Compensation Table” (collectively, the “Named Executive Officers” or “NEOs”) during the year ended December 31, 2021. To assist in understanding compensation for 2021, we have included a discussion of our compensation policies and practices for periods before and after 2021 where relevant. To avoid repetition, in the discussion that follows we make cross-references to specific compensation data and terms for our Named Executive Officers contained in “Executive Compensation.” In addition, because we have a global team of managers in 38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01" w:lineRule="exact"/>
        <w:rPr>
          <w:sz w:val="20"/>
          <w:szCs w:val="20"/>
          <w:color w:val="auto"/>
        </w:rPr>
      </w:pPr>
    </w:p>
    <w:p>
      <w:pPr>
        <w:ind w:left="660"/>
        <w:spacing w:after="0"/>
        <w:tabs>
          <w:tab w:leader="none" w:pos="6020" w:val="left"/>
        </w:tabs>
        <w:rPr>
          <w:sz w:val="20"/>
          <w:szCs w:val="20"/>
          <w:color w:val="auto"/>
        </w:rPr>
      </w:pPr>
      <w:r>
        <w:rPr>
          <w:rFonts w:ascii="Arial" w:cs="Arial" w:eastAsia="Arial" w:hAnsi="Arial"/>
          <w:sz w:val="18"/>
          <w:szCs w:val="18"/>
          <w:i w:val="1"/>
          <w:iCs w:val="1"/>
          <w:color w:val="auto"/>
        </w:rPr>
        <w:t>Our Named Executive Officers for 2021 are:</w:t>
      </w:r>
      <w:r>
        <w:rPr>
          <w:sz w:val="20"/>
          <w:szCs w:val="20"/>
          <w:color w:val="auto"/>
        </w:rPr>
        <w:tab/>
      </w:r>
      <w:r>
        <w:rPr>
          <w:rFonts w:ascii="Arial" w:cs="Arial" w:eastAsia="Arial" w:hAnsi="Arial"/>
          <w:sz w:val="16"/>
          <w:szCs w:val="16"/>
          <w:b w:val="1"/>
          <w:bCs w:val="1"/>
          <w:color w:val="auto"/>
        </w:rPr>
        <w:t>Thomas A. DiDonato</w:t>
      </w:r>
      <w:r>
        <w:rPr>
          <w:rFonts w:ascii="Arial" w:cs="Arial" w:eastAsia="Arial" w:hAnsi="Arial"/>
          <w:sz w:val="16"/>
          <w:szCs w:val="16"/>
          <w:color w:val="auto"/>
        </w:rPr>
        <w:t>, Senior Vice President and Chief</w:t>
      </w:r>
    </w:p>
    <w:p>
      <w:pPr>
        <w:ind w:left="6040"/>
        <w:spacing w:after="0" w:line="185" w:lineRule="auto"/>
        <w:rPr>
          <w:sz w:val="20"/>
          <w:szCs w:val="20"/>
          <w:color w:val="auto"/>
        </w:rPr>
      </w:pPr>
      <w:r>
        <w:rPr>
          <w:rFonts w:ascii="Arial" w:cs="Arial" w:eastAsia="Arial" w:hAnsi="Arial"/>
          <w:sz w:val="14"/>
          <w:szCs w:val="14"/>
          <w:color w:val="auto"/>
        </w:rPr>
        <w:t>Administrative Officer</w:t>
      </w:r>
    </w:p>
    <w:p>
      <w:pPr>
        <w:ind w:left="1000"/>
        <w:spacing w:after="0" w:line="229" w:lineRule="auto"/>
        <w:rPr>
          <w:sz w:val="20"/>
          <w:szCs w:val="20"/>
          <w:color w:val="auto"/>
        </w:rPr>
      </w:pPr>
      <w:r>
        <w:rPr>
          <w:rFonts w:ascii="Arial" w:cs="Arial" w:eastAsia="Arial" w:hAnsi="Arial"/>
          <w:sz w:val="16"/>
          <w:szCs w:val="16"/>
          <w:b w:val="1"/>
          <w:bCs w:val="1"/>
          <w:color w:val="auto"/>
        </w:rPr>
        <w:t>Raymond E. Scott</w:t>
      </w:r>
      <w:r>
        <w:rPr>
          <w:rFonts w:ascii="Arial" w:cs="Arial" w:eastAsia="Arial" w:hAnsi="Arial"/>
          <w:sz w:val="16"/>
          <w:szCs w:val="16"/>
          <w:color w:val="auto"/>
        </w:rPr>
        <w:t>, President and Chief Executive Officer</w:t>
      </w:r>
    </w:p>
    <w:p>
      <w:pPr>
        <w:ind w:left="6040"/>
        <w:spacing w:after="0" w:line="181" w:lineRule="auto"/>
        <w:rPr>
          <w:sz w:val="20"/>
          <w:szCs w:val="20"/>
          <w:color w:val="auto"/>
        </w:rPr>
      </w:pPr>
      <w:r>
        <w:rPr>
          <w:rFonts w:ascii="Arial" w:cs="Arial" w:eastAsia="Arial" w:hAnsi="Arial"/>
          <w:sz w:val="14"/>
          <w:szCs w:val="14"/>
          <w:b w:val="1"/>
          <w:bCs w:val="1"/>
          <w:color w:val="auto"/>
        </w:rPr>
        <w:t>Carl A. Esposito</w:t>
      </w:r>
      <w:r>
        <w:rPr>
          <w:rFonts w:ascii="Arial" w:cs="Arial" w:eastAsia="Arial" w:hAnsi="Arial"/>
          <w:sz w:val="14"/>
          <w:szCs w:val="14"/>
          <w:color w:val="auto"/>
        </w:rPr>
        <w:t>, Senior Vice President and President,</w:t>
      </w:r>
    </w:p>
    <w:p>
      <w:pPr>
        <w:ind w:left="1000" w:right="3740"/>
        <w:spacing w:after="0"/>
        <w:rPr>
          <w:sz w:val="20"/>
          <w:szCs w:val="20"/>
          <w:color w:val="auto"/>
        </w:rPr>
      </w:pPr>
      <w:r>
        <w:rPr>
          <w:rFonts w:ascii="Arial" w:cs="Arial" w:eastAsia="Arial" w:hAnsi="Arial"/>
          <w:sz w:val="15"/>
          <w:szCs w:val="15"/>
          <w:b w:val="1"/>
          <w:bCs w:val="1"/>
          <w:color w:val="auto"/>
        </w:rPr>
        <w:t>Jason M. Cardew</w:t>
      </w:r>
      <w:r>
        <w:rPr>
          <w:rFonts w:ascii="Arial" w:cs="Arial" w:eastAsia="Arial" w:hAnsi="Arial"/>
          <w:sz w:val="15"/>
          <w:szCs w:val="15"/>
          <w:color w:val="auto"/>
        </w:rPr>
        <w:t>, Senior Vice President and Chief Financial</w:t>
      </w:r>
      <w:r>
        <w:rPr>
          <w:rFonts w:ascii="Arial" w:cs="Arial" w:eastAsia="Arial" w:hAnsi="Arial"/>
          <w:sz w:val="15"/>
          <w:szCs w:val="15"/>
          <w:b w:val="1"/>
          <w:bCs w:val="1"/>
          <w:color w:val="auto"/>
        </w:rPr>
        <w:t xml:space="preserve"> </w:t>
      </w:r>
      <w:r>
        <w:rPr>
          <w:rFonts w:ascii="Arial" w:cs="Arial" w:eastAsia="Arial" w:hAnsi="Arial"/>
          <w:sz w:val="29"/>
          <w:szCs w:val="29"/>
          <w:color w:val="auto"/>
          <w:vertAlign w:val="subscript"/>
        </w:rPr>
        <w:t>E-Systems</w:t>
      </w:r>
      <w:r>
        <w:rPr>
          <w:rFonts w:ascii="Arial" w:cs="Arial" w:eastAsia="Arial" w:hAnsi="Arial"/>
          <w:sz w:val="15"/>
          <w:szCs w:val="15"/>
          <w:b w:val="1"/>
          <w:bCs w:val="1"/>
          <w:color w:val="auto"/>
        </w:rPr>
        <w:t xml:space="preserve"> </w:t>
      </w:r>
      <w:r>
        <w:rPr>
          <w:rFonts w:ascii="Arial" w:cs="Arial" w:eastAsia="Arial" w:hAnsi="Arial"/>
          <w:sz w:val="15"/>
          <w:szCs w:val="15"/>
          <w:color w:val="auto"/>
        </w:rPr>
        <w:t>Officer</w:t>
      </w:r>
    </w:p>
    <w:p>
      <w:pPr>
        <w:spacing w:after="0" w:line="133"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Frank C. Orsini</w:t>
      </w:r>
      <w:r>
        <w:rPr>
          <w:rFonts w:ascii="Arial" w:cs="Arial" w:eastAsia="Arial" w:hAnsi="Arial"/>
          <w:sz w:val="16"/>
          <w:szCs w:val="16"/>
          <w:color w:val="auto"/>
        </w:rPr>
        <w:t>, Executive Vice President and President,</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Seating</w:t>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59" w:right="1019" w:bottom="1440" w:gutter="0" w:footer="0" w:header="0"/>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96" w:lineRule="exact"/>
        <w:rPr>
          <w:sz w:val="20"/>
          <w:szCs w:val="20"/>
          <w:color w:val="auto"/>
        </w:rPr>
      </w:pPr>
    </w:p>
    <w:p>
      <w:pPr>
        <w:ind w:left="660"/>
        <w:spacing w:after="0" w:line="227" w:lineRule="auto"/>
        <w:rPr>
          <w:sz w:val="20"/>
          <w:szCs w:val="20"/>
          <w:color w:val="auto"/>
        </w:rPr>
      </w:pPr>
      <w:r>
        <w:rPr>
          <w:rFonts w:ascii="Arial" w:cs="Arial" w:eastAsia="Arial" w:hAnsi="Arial"/>
          <w:sz w:val="16"/>
          <w:szCs w:val="16"/>
          <w:color w:val="auto"/>
        </w:rPr>
        <w:t xml:space="preserve">We are a global automotive technology leader in Seating and E-Systems that enables superior in-vehicle experiences for consumers around the world. We supply seating, electrical distribution and connection systems, and electronic systems to all of the world’s major automotive manufacturers. At Lear, we are </w:t>
      </w:r>
      <w:r>
        <w:rPr>
          <w:rFonts w:ascii="Arial" w:cs="Arial" w:eastAsia="Arial" w:hAnsi="Arial"/>
          <w:sz w:val="16"/>
          <w:szCs w:val="16"/>
          <w:i w:val="1"/>
          <w:iCs w:val="1"/>
          <w:color w:val="auto"/>
        </w:rPr>
        <w:t>Making every drive better</w:t>
      </w:r>
      <w:r>
        <w:rPr>
          <w:rFonts w:ascii="Arial" w:cs="Arial" w:eastAsia="Arial" w:hAnsi="Arial"/>
          <w:sz w:val="27"/>
          <w:szCs w:val="27"/>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by providing the technology for safer,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smarter, and more comfortable journeys, while adhering to our values — </w:t>
      </w:r>
      <w:r>
        <w:rPr>
          <w:rFonts w:ascii="Arial" w:cs="Arial" w:eastAsia="Arial" w:hAnsi="Arial"/>
          <w:sz w:val="16"/>
          <w:szCs w:val="16"/>
          <w:i w:val="1"/>
          <w:iCs w:val="1"/>
          <w:color w:val="auto"/>
        </w:rPr>
        <w:t>Be Inclusive. Be Inventive. Get Results the Right Way.</w:t>
      </w:r>
    </w:p>
    <w:p>
      <w:pPr>
        <w:spacing w:after="0" w:line="108"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Lear, headquartered in Southfield, Michigan, employs a diverse team of talented employees in 38 countries and is driven by a commitment to innovation, operational excellence, and sustainability. We have 253 manufacturing, engineering and administrative locations globally, with 61% of our manufacturing facilities and 85% of our employees located in low cost countries. We are continuing to grow our business in all automotive producing regions of the world, both organically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and through complementary acquisitions. We have an executive compensation program that is generally market-median based for achievement of targets with the opportunity to earn more (or less) commensurate with the Company’s performance.</w:t>
      </w:r>
    </w:p>
    <w:p>
      <w:pPr>
        <w:spacing w:after="0" w:line="9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Our overarching objective is to maximize stockholder value by delivering profitable growth while balancing risk and returns, maintaining a strong balance sheet with investment grade credit metrics, and delivering superior shareholder returns over the long term. Critical to achieving this objective is a highly qualified global team that is strongly motivated to execute our strategy, while navigating uncertainty, through market-competitive pay programs that emphasize at-risk, performance-based pay over annual and multi-year periods and hold employees accountable for delivering our financial, operational and strategic goals.</w:t>
      </w:r>
    </w:p>
    <w:p>
      <w:pPr>
        <w:spacing w:after="0" w:line="575" w:lineRule="exact"/>
        <w:rPr>
          <w:sz w:val="20"/>
          <w:szCs w:val="20"/>
          <w:color w:val="auto"/>
        </w:rPr>
      </w:pPr>
    </w:p>
    <w:p>
      <w:pPr>
        <w:sectPr>
          <w:pgSz w:w="11900" w:h="16838" w:orient="portrait"/>
          <w:cols w:equalWidth="0" w:num="2">
            <w:col w:w="5360" w:space="360"/>
            <w:col w:w="4840"/>
          </w:cols>
          <w:pgMar w:left="320" w:top="459" w:right="101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Resilience During the Continued Global Pandemic</w:t>
      </w:r>
    </w:p>
    <w:p>
      <w:pPr>
        <w:spacing w:after="0" w:line="196"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Considering the significant challenges in 2021, which were not fully anticipated when our budget and operating plans were approved by our Board in November 2020, the Lear team delivered solid financial results. In many areas, our results were above 2020 performance, despite multiple challenges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macro-environment including component shortages impacting industry production volumes, extraordinary increases in commodity costs, in particular the cost of steel which increased to record levels in North America in 2021, and other ongoing challenges driven by the COVID-19</w:t>
      </w:r>
    </w:p>
    <w:p>
      <w:pPr>
        <w:spacing w:after="0" w:line="200" w:lineRule="exact"/>
        <w:rPr>
          <w:sz w:val="20"/>
          <w:szCs w:val="20"/>
          <w:color w:val="auto"/>
        </w:rPr>
      </w:pPr>
    </w:p>
    <w:p>
      <w:pPr>
        <w:sectPr>
          <w:pgSz w:w="11900" w:h="16838" w:orient="portrait"/>
          <w:cols w:equalWidth="0" w:num="2">
            <w:col w:w="5220" w:space="500"/>
            <w:col w:w="4840"/>
          </w:cols>
          <w:pgMar w:left="320" w:top="459" w:right="1019" w:bottom="1440" w:gutter="0" w:footer="0" w:header="0"/>
          <w:type w:val="continuous"/>
        </w:sectPr>
      </w:pPr>
    </w:p>
    <w:p>
      <w:pPr>
        <w:spacing w:after="0" w:line="194" w:lineRule="exact"/>
        <w:rPr>
          <w:sz w:val="20"/>
          <w:szCs w:val="20"/>
          <w:color w:val="auto"/>
        </w:rPr>
      </w:pPr>
    </w:p>
    <w:p>
      <w:pPr>
        <w:ind w:left="780" w:hanging="393"/>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58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auto"/>
        </w:rPr>
        <w:t>pandemic. Operating conditions also drove higher working capital levels in 2021 due to the severe shortage of semiconductor parts, which led to frequent and unpredictable fluctuations in customer volumes. Customer orders were often materially different from their actual purchases. In many instances, customers would order product, but then suspend production on short notice due to supply chain shortages. As a result, inventory levels during 2021 were elevated and working capital fluctuations were not consistent with historical working capital patterns which had an adverse impact on our free cash flow. We expect our working capital levels to return to historical levels when industry conditions and production patterns normalize.</w:t>
      </w:r>
    </w:p>
    <w:p>
      <w:pPr>
        <w:spacing w:after="0" w:line="104"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Our leadership position in operational excellence and strong product capabilities drove new business wins in 2021. In addition to significant new business launched in 2021, our leading position on luxury, large sport utility and pick-up trucks resulted in significant sales growth over market. We continue to invest in innovation and technology to further strengthen our competitive position. During these challenging times, we remain focused on supporting our customers and positioning our company to capitalize on opportunities when the industry recovers.</w:t>
      </w:r>
    </w:p>
    <w:p>
      <w:pPr>
        <w:spacing w:after="0" w:line="99"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Highlights of our 2021 performance and recent significant events include the following:</w:t>
      </w:r>
    </w:p>
    <w:p>
      <w:pPr>
        <w:spacing w:after="0" w:line="101" w:lineRule="exact"/>
        <w:rPr>
          <w:sz w:val="20"/>
          <w:szCs w:val="20"/>
          <w:color w:val="auto"/>
        </w:rPr>
      </w:pPr>
    </w:p>
    <w:p>
      <w:pPr>
        <w:ind w:left="320" w:right="220" w:hanging="204"/>
        <w:spacing w:after="0" w:line="253"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achieved full-year sales of $19.3 billion in 2021, resulting in 8 percentage points of growth over market excluding the impact of foreign exchange, commodity cost pass-through and acquisitions.*</w:t>
      </w:r>
    </w:p>
    <w:p>
      <w:pPr>
        <w:spacing w:after="0" w:line="106" w:lineRule="exact"/>
        <w:rPr>
          <w:rFonts w:ascii="Arial" w:cs="Arial" w:eastAsia="Arial" w:hAnsi="Arial"/>
          <w:sz w:val="16"/>
          <w:szCs w:val="16"/>
          <w:color w:val="auto"/>
        </w:rPr>
      </w:pPr>
    </w:p>
    <w:p>
      <w:pPr>
        <w:ind w:left="320" w:right="480" w:hanging="204"/>
        <w:spacing w:after="0" w:line="242"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increased core operating earnings 35% to $826 million and adjusted earnings per share 49% to $7.94 in 2021.</w:t>
      </w:r>
      <w:r>
        <w:rPr>
          <w:rFonts w:ascii="Arial" w:cs="Arial" w:eastAsia="Arial" w:hAnsi="Arial"/>
          <w:sz w:val="27"/>
          <w:szCs w:val="27"/>
          <w:color w:val="auto"/>
          <w:vertAlign w:val="superscript"/>
        </w:rPr>
        <w:t>**</w:t>
      </w:r>
    </w:p>
    <w:p>
      <w:pPr>
        <w:ind w:left="320" w:hanging="204"/>
        <w:spacing w:after="0"/>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generated free cash flow of $85 million in 2021.</w:t>
      </w:r>
      <w:r>
        <w:rPr>
          <w:rFonts w:ascii="Arial" w:cs="Arial" w:eastAsia="Arial" w:hAnsi="Arial"/>
          <w:sz w:val="27"/>
          <w:szCs w:val="27"/>
          <w:color w:val="auto"/>
          <w:vertAlign w:val="superscript"/>
        </w:rPr>
        <w:t>**</w:t>
      </w:r>
    </w:p>
    <w:p>
      <w:pPr>
        <w:ind w:left="320" w:right="540" w:hanging="204"/>
        <w:spacing w:after="0" w:line="260"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received over 100 awards from global customers, industry organizations and publications for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722630</wp:posOffset>
            </wp:positionV>
            <wp:extent cx="7200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 w:right="440"/>
        <w:spacing w:after="0" w:line="251" w:lineRule="auto"/>
        <w:rPr>
          <w:sz w:val="20"/>
          <w:szCs w:val="20"/>
          <w:color w:val="auto"/>
        </w:rPr>
      </w:pPr>
      <w:r>
        <w:rPr>
          <w:rFonts w:ascii="Arial" w:cs="Arial" w:eastAsia="Arial" w:hAnsi="Arial"/>
          <w:sz w:val="16"/>
          <w:szCs w:val="16"/>
          <w:color w:val="auto"/>
        </w:rPr>
        <w:t>operational excellence, innovation, quality and safety, including receiving the most J.D. Power quality awards in Seating and three Automotive News PACE awards for innovation in E-Systems and Seating.</w:t>
      </w:r>
    </w:p>
    <w:p>
      <w:pPr>
        <w:spacing w:after="0" w:line="108" w:lineRule="exact"/>
        <w:rPr>
          <w:sz w:val="20"/>
          <w:szCs w:val="20"/>
          <w:color w:val="auto"/>
        </w:rPr>
      </w:pPr>
    </w:p>
    <w:p>
      <w:pPr>
        <w:jc w:val="both"/>
        <w:ind w:left="206" w:right="180" w:hanging="206"/>
        <w:spacing w:after="0" w:line="253" w:lineRule="auto"/>
        <w:tabs>
          <w:tab w:leader="none" w:pos="2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improved our financial flexibility by increasing our revolving credit facility to $2 billion and extending its maturity by more than two years, issuing new lower cost debt and extending our debt maturities.</w:t>
      </w:r>
    </w:p>
    <w:p>
      <w:pPr>
        <w:spacing w:after="0" w:line="106" w:lineRule="exact"/>
        <w:rPr>
          <w:rFonts w:ascii="Arial" w:cs="Arial" w:eastAsia="Arial" w:hAnsi="Arial"/>
          <w:sz w:val="16"/>
          <w:szCs w:val="16"/>
          <w:color w:val="auto"/>
        </w:rPr>
      </w:pPr>
    </w:p>
    <w:p>
      <w:pPr>
        <w:ind w:left="206" w:hanging="206"/>
        <w:spacing w:after="0" w:line="253" w:lineRule="auto"/>
        <w:tabs>
          <w:tab w:leader="none" w:pos="2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restored our quarterly dividend to the pre-pandemic level of $0.77 per share in the fourth quarter of 2021 and returned $207 million of cash to shareholders through dividends and share repurchases in 2021.</w:t>
      </w:r>
    </w:p>
    <w:p>
      <w:pPr>
        <w:spacing w:after="0" w:line="106" w:lineRule="exact"/>
        <w:rPr>
          <w:rFonts w:ascii="Arial" w:cs="Arial" w:eastAsia="Arial" w:hAnsi="Arial"/>
          <w:sz w:val="16"/>
          <w:szCs w:val="16"/>
          <w:color w:val="auto"/>
        </w:rPr>
      </w:pPr>
    </w:p>
    <w:p>
      <w:pPr>
        <w:ind w:left="206" w:hanging="206"/>
        <w:spacing w:after="0" w:line="260" w:lineRule="auto"/>
        <w:tabs>
          <w:tab w:leader="none" w:pos="2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increased our just-in-time seating market share to 25% in 2021 from 23% in 2020.</w:t>
      </w:r>
    </w:p>
    <w:p>
      <w:pPr>
        <w:spacing w:after="0" w:line="100" w:lineRule="exact"/>
        <w:rPr>
          <w:rFonts w:ascii="Arial" w:cs="Arial" w:eastAsia="Arial" w:hAnsi="Arial"/>
          <w:sz w:val="16"/>
          <w:szCs w:val="16"/>
          <w:color w:val="auto"/>
        </w:rPr>
      </w:pPr>
    </w:p>
    <w:p>
      <w:pPr>
        <w:ind w:left="206" w:right="60" w:hanging="206"/>
        <w:spacing w:after="0" w:line="251" w:lineRule="auto"/>
        <w:tabs>
          <w:tab w:leader="none" w:pos="2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increased the 2022 to 2024 sales backlog to $3.3 billion. The three-year backlog includes approximately $1 billion of conquest business in Seating and future sales growth on battery electric vehicles in both of our business segments.</w:t>
      </w:r>
    </w:p>
    <w:p>
      <w:pPr>
        <w:spacing w:after="0" w:line="107" w:lineRule="exact"/>
        <w:rPr>
          <w:rFonts w:ascii="Arial" w:cs="Arial" w:eastAsia="Arial" w:hAnsi="Arial"/>
          <w:sz w:val="16"/>
          <w:szCs w:val="16"/>
          <w:color w:val="auto"/>
        </w:rPr>
      </w:pPr>
    </w:p>
    <w:p>
      <w:pPr>
        <w:ind w:left="206" w:right="20" w:hanging="206"/>
        <w:spacing w:after="0" w:line="251" w:lineRule="auto"/>
        <w:tabs>
          <w:tab w:leader="none" w:pos="2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are accelerating growth in connection systems in E-Systems through the acquisition of M&amp;N Plastics, the formation of our Hu Lane joint venture and the establishment of a partnership with IMS Connector Systems.</w:t>
      </w:r>
    </w:p>
    <w:p>
      <w:pPr>
        <w:spacing w:after="0" w:line="107" w:lineRule="exact"/>
        <w:rPr>
          <w:rFonts w:ascii="Arial" w:cs="Arial" w:eastAsia="Arial" w:hAnsi="Arial"/>
          <w:sz w:val="16"/>
          <w:szCs w:val="16"/>
          <w:color w:val="auto"/>
        </w:rPr>
      </w:pPr>
    </w:p>
    <w:p>
      <w:pPr>
        <w:ind w:left="206" w:right="160" w:hanging="206"/>
        <w:spacing w:after="0" w:line="251" w:lineRule="auto"/>
        <w:tabs>
          <w:tab w:leader="none" w:pos="2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are expanding our capabilities in Seating thermal comfort systems through the acquisition of substantially all of Kongsberg Automotive’s Interior Comfort Systems business unit (completed on February 28, 2022).</w:t>
      </w:r>
    </w:p>
    <w:p>
      <w:pPr>
        <w:spacing w:after="0" w:line="107" w:lineRule="exact"/>
        <w:rPr>
          <w:rFonts w:ascii="Arial" w:cs="Arial" w:eastAsia="Arial" w:hAnsi="Arial"/>
          <w:sz w:val="16"/>
          <w:szCs w:val="16"/>
          <w:color w:val="auto"/>
        </w:rPr>
      </w:pPr>
    </w:p>
    <w:p>
      <w:pPr>
        <w:ind w:left="206" w:right="420" w:hanging="206"/>
        <w:spacing w:after="0" w:line="260" w:lineRule="auto"/>
        <w:tabs>
          <w:tab w:leader="none" w:pos="20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Company’s total return to stockholders for the five-year period ended December 31, 2021 was 49%.</w:t>
      </w:r>
    </w:p>
    <w:p>
      <w:pPr>
        <w:spacing w:after="0" w:line="618" w:lineRule="exact"/>
        <w:rPr>
          <w:sz w:val="20"/>
          <w:szCs w:val="20"/>
          <w:color w:val="auto"/>
        </w:rPr>
      </w:pPr>
    </w:p>
    <w:p>
      <w:pPr>
        <w:sectPr>
          <w:pgSz w:w="11900" w:h="16838" w:orient="portrait"/>
          <w:cols w:equalWidth="0" w:num="2">
            <w:col w:w="5300" w:space="434"/>
            <w:col w:w="5366"/>
          </w:cols>
          <w:pgMar w:left="32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 w:hanging="324"/>
        <w:spacing w:after="0"/>
        <w:tabs>
          <w:tab w:leader="none" w:pos="4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Growth over market is calculated by comparing the change in sales compared to the change in industry production, both metrics are versus</w:t>
      </w:r>
    </w:p>
    <w:p>
      <w:pPr>
        <w:spacing w:after="0" w:line="5" w:lineRule="exact"/>
        <w:rPr>
          <w:sz w:val="20"/>
          <w:szCs w:val="20"/>
          <w:color w:val="auto"/>
        </w:rPr>
      </w:pPr>
    </w:p>
    <w:p>
      <w:pPr>
        <w:ind w:left="440" w:right="700"/>
        <w:spacing w:after="0" w:line="246" w:lineRule="auto"/>
        <w:rPr>
          <w:sz w:val="20"/>
          <w:szCs w:val="20"/>
          <w:color w:val="auto"/>
        </w:rPr>
      </w:pPr>
      <w:r>
        <w:rPr>
          <w:rFonts w:ascii="Arial" w:cs="Arial" w:eastAsia="Arial" w:hAnsi="Arial"/>
          <w:sz w:val="16"/>
          <w:szCs w:val="16"/>
          <w:color w:val="auto"/>
        </w:rPr>
        <w:t>the prior year. The change in sales excludes the impact of foreign exchange, commodity cost pass-through and acquisitions. The change in industry production is calculated on a Lear sales-weighted basis by using Lear’s prior year regional sales mix.</w:t>
      </w:r>
    </w:p>
    <w:p>
      <w:pPr>
        <w:spacing w:after="0" w:line="1" w:lineRule="exact"/>
        <w:rPr>
          <w:sz w:val="20"/>
          <w:szCs w:val="20"/>
          <w:color w:val="auto"/>
        </w:rPr>
      </w:pPr>
    </w:p>
    <w:p>
      <w:pPr>
        <w:ind w:left="440" w:right="760" w:hanging="324"/>
        <w:spacing w:after="0" w:line="251" w:lineRule="auto"/>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Core operating earnings, adjusted earnings per share and free cash flow are financial measures that are not calculated in accordance with accounting principles generally accepted in the United States (“GAAP”). For more information regarding our non-GAAP financial measures and reconciliations to the most directly comparable GAAP financial measures, see Appendix A, “Reconciliation of Non-GAAP Financial Measures.”</w:t>
      </w:r>
    </w:p>
    <w:p>
      <w:pPr>
        <w:spacing w:after="0" w:line="259" w:lineRule="exact"/>
        <w:rPr>
          <w:sz w:val="20"/>
          <w:szCs w:val="20"/>
          <w:color w:val="auto"/>
        </w:rPr>
      </w:pPr>
    </w:p>
    <w:p>
      <w:pPr>
        <w:jc w:val="right"/>
        <w:ind w:right="24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33</w:t>
      </w:r>
    </w:p>
    <w:p>
      <w:pPr>
        <w:sectPr>
          <w:pgSz w:w="11900" w:h="16838" w:orient="portrait"/>
          <w:cols w:equalWidth="0" w:num="1">
            <w:col w:w="11100"/>
          </w:cols>
          <w:pgMar w:left="320" w:top="459" w:right="4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Compensation Highlights</w:t>
      </w:r>
    </w:p>
    <w:p>
      <w:pPr>
        <w:spacing w:after="0" w:line="196"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Incentive payouts are directly commensurate with our financial results and earned equity awards are also subject to changes in our stock price over a multi-year period. In 2021, we had three performance-based incentive cycles covering different time periods that were completed, as summarized below (detailed discussion follows later in this Compensation Discussion and Analysis):</w:t>
      </w:r>
    </w:p>
    <w:p>
      <w:pPr>
        <w:spacing w:after="0" w:line="114" w:lineRule="exact"/>
        <w:rPr>
          <w:sz w:val="20"/>
          <w:szCs w:val="20"/>
          <w:color w:val="auto"/>
        </w:rPr>
      </w:pPr>
    </w:p>
    <w:p>
      <w:pPr>
        <w:ind w:left="860" w:hanging="193"/>
        <w:spacing w:after="0" w:line="251"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shown below, the annual incentive was earned at 100% of target, reflecting our performance (including certain adjustments as described on page 43) against 2021 Adjusted Operating Income and Free Cash Flow goals</w:t>
      </w:r>
    </w:p>
    <w:p>
      <w:pPr>
        <w:spacing w:after="0" w:line="107" w:lineRule="exact"/>
        <w:rPr>
          <w:rFonts w:ascii="Arial" w:cs="Arial" w:eastAsia="Arial" w:hAnsi="Arial"/>
          <w:sz w:val="16"/>
          <w:szCs w:val="16"/>
          <w:color w:val="auto"/>
        </w:rPr>
      </w:pPr>
    </w:p>
    <w:p>
      <w:pPr>
        <w:ind w:left="860" w:right="380" w:hanging="193"/>
        <w:spacing w:after="0" w:line="260"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shown below, the 2019-2021 cycle of long-term Performance Shares was earned at 74% of the targeted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97" w:right="60"/>
        <w:spacing w:after="0" w:line="253" w:lineRule="auto"/>
        <w:rPr>
          <w:sz w:val="20"/>
          <w:szCs w:val="20"/>
          <w:color w:val="auto"/>
        </w:rPr>
      </w:pPr>
      <w:r>
        <w:rPr>
          <w:rFonts w:ascii="Arial" w:cs="Arial" w:eastAsia="Arial" w:hAnsi="Arial"/>
          <w:sz w:val="16"/>
          <w:szCs w:val="16"/>
          <w:color w:val="auto"/>
        </w:rPr>
        <w:t>level based on achievement (including certain adjustments as described on page 44) of the Adjusted Pretax Income and Return on Invested Capital (“ROIC”) three-year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-1441450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7" w:lineRule="exact"/>
        <w:rPr>
          <w:sz w:val="20"/>
          <w:szCs w:val="20"/>
          <w:color w:val="auto"/>
        </w:rPr>
      </w:pPr>
    </w:p>
    <w:p>
      <w:pPr>
        <w:ind w:left="197" w:hanging="197"/>
        <w:spacing w:after="0" w:line="248" w:lineRule="auto"/>
        <w:tabs>
          <w:tab w:leader="none" w:pos="19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November 1, 2020 to December 31, 2021 cycle of performance-based Career Shares was earned at 100% of the targeted level based on achievement of the Liquidity, Sales Backlog and relative TSR goals outlined below. These earned shares are subject to an additional vesting period of two years and then a further holding requirement, which is typically until retirement (with distribution the later of age 62 or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558800</wp:posOffset>
            </wp:positionV>
            <wp:extent cx="629221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4003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5260" w:space="463"/>
            <w:col w:w="4677"/>
          </w:cols>
          <w:pgMar w:left="320" w:top="459" w:right="1179" w:bottom="1440" w:gutter="0" w:footer="0" w:header="0"/>
        </w:sectPr>
      </w:pPr>
    </w:p>
    <w:p>
      <w:pPr>
        <w:spacing w:after="0" w:line="204" w:lineRule="exact"/>
        <w:rPr>
          <w:sz w:val="20"/>
          <w:szCs w:val="20"/>
          <w:color w:val="auto"/>
        </w:rPr>
      </w:pPr>
    </w:p>
    <w:p>
      <w:pPr>
        <w:jc w:val="right"/>
        <w:ind w:right="3160"/>
        <w:spacing w:after="0"/>
        <w:rPr>
          <w:sz w:val="20"/>
          <w:szCs w:val="20"/>
          <w:color w:val="auto"/>
        </w:rPr>
      </w:pPr>
      <w:r>
        <w:rPr>
          <w:rFonts w:ascii="Arial" w:cs="Arial" w:eastAsia="Arial" w:hAnsi="Arial"/>
          <w:sz w:val="22"/>
          <w:szCs w:val="22"/>
          <w:b w:val="1"/>
          <w:bCs w:val="1"/>
          <w:color w:val="FFFFFF"/>
        </w:rPr>
        <w:t>2021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2217420</wp:posOffset>
            </wp:positionV>
            <wp:extent cx="6292215"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4003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211455</wp:posOffset>
            </wp:positionV>
            <wp:extent cx="5657850" cy="1697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20"/>
        <w:spacing w:after="0"/>
        <w:rPr>
          <w:sz w:val="20"/>
          <w:szCs w:val="20"/>
          <w:color w:val="auto"/>
        </w:rPr>
      </w:pPr>
      <w:r>
        <w:rPr>
          <w:rFonts w:ascii="Arial" w:cs="Arial" w:eastAsia="Arial" w:hAnsi="Arial"/>
          <w:sz w:val="21"/>
          <w:szCs w:val="21"/>
          <w:b w:val="1"/>
          <w:bCs w:val="1"/>
          <w:color w:val="FFFFFF"/>
        </w:rPr>
        <w:t>2019-2021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218440</wp:posOffset>
            </wp:positionV>
            <wp:extent cx="5657850" cy="1697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80" w:hanging="393"/>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00"/>
          </w:cols>
          <w:pgMar w:left="320" w:top="459" w:right="11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195580</wp:posOffset>
            </wp:positionV>
            <wp:extent cx="6292215"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40030"/>
                    </a:xfrm>
                    <a:prstGeom prst="rect">
                      <a:avLst/>
                    </a:prstGeom>
                    <a:noFill/>
                  </pic:spPr>
                </pic:pic>
              </a:graphicData>
            </a:graphic>
          </wp:anchor>
        </w:drawing>
      </w:r>
    </w:p>
    <w:p>
      <w:pPr>
        <w:spacing w:after="0" w:line="323"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FFFFFF"/>
        </w:rPr>
        <w:t>2020 Performance-Based Career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211455</wp:posOffset>
            </wp:positionV>
            <wp:extent cx="5657850" cy="1525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165735</wp:posOffset>
            </wp:positionV>
            <wp:extent cx="2828925" cy="1525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28925" cy="152590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(See “Pay for Performance,” “Annual Incentives” and “Long-Term Incentives” below for more information regarding these financial measures.)</w:t>
      </w:r>
    </w:p>
    <w:p>
      <w:pPr>
        <w:spacing w:after="0" w:line="107" w:lineRule="exact"/>
        <w:rPr>
          <w:sz w:val="20"/>
          <w:szCs w:val="20"/>
          <w:color w:val="auto"/>
        </w:rPr>
      </w:pPr>
    </w:p>
    <w:p>
      <w:pPr>
        <w:ind w:left="860" w:right="80" w:hanging="193"/>
        <w:spacing w:after="0" w:line="253" w:lineRule="auto"/>
        <w:tabs>
          <w:tab w:leader="none" w:pos="8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Long-term incentive awards granted in January 2021 to our Named Executive Officers were solely in the form of equity to directly link the interests of our executives with those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80"/>
        <w:spacing w:after="0" w:line="251" w:lineRule="auto"/>
        <w:rPr>
          <w:sz w:val="20"/>
          <w:szCs w:val="20"/>
          <w:color w:val="auto"/>
        </w:rPr>
      </w:pPr>
      <w:r>
        <w:rPr>
          <w:rFonts w:ascii="Arial" w:cs="Arial" w:eastAsia="Arial" w:hAnsi="Arial"/>
          <w:sz w:val="16"/>
          <w:szCs w:val="16"/>
          <w:color w:val="auto"/>
        </w:rPr>
        <w:t>our stockholders. We awarded Performance Shares (weighted 60%), which require achievement of financial and TSR goals over a three-year period, stock options (weighted 20%) and RSUs (weighted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35</w:t>
      </w:r>
    </w:p>
    <w:p>
      <w:pPr>
        <w:sectPr>
          <w:pgSz w:w="11900" w:h="16838" w:orient="portrait"/>
          <w:cols w:equalWidth="0" w:num="2">
            <w:col w:w="5320" w:space="600"/>
            <w:col w:w="4940"/>
          </w:cols>
          <w:pgMar w:left="320" w:top="459" w:right="71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93" w:lineRule="exact"/>
        <w:rPr>
          <w:sz w:val="20"/>
          <w:szCs w:val="20"/>
          <w:color w:val="auto"/>
        </w:rPr>
      </w:pPr>
    </w:p>
    <w:p>
      <w:pPr>
        <w:ind w:left="660" w:right="200"/>
        <w:spacing w:after="0" w:line="260" w:lineRule="auto"/>
        <w:rPr>
          <w:sz w:val="20"/>
          <w:szCs w:val="20"/>
          <w:color w:val="auto"/>
        </w:rPr>
      </w:pPr>
      <w:r>
        <w:rPr>
          <w:rFonts w:ascii="Arial" w:cs="Arial" w:eastAsia="Arial" w:hAnsi="Arial"/>
          <w:sz w:val="16"/>
          <w:szCs w:val="16"/>
          <w:color w:val="auto"/>
        </w:rPr>
        <w:t>As part of a market-based pay program, we maintain many design features and corporate governance practices to ensure a strong link between executive pay, Company performance and stockholder interests:</w:t>
      </w:r>
    </w:p>
    <w:p>
      <w:pPr>
        <w:spacing w:after="0" w:line="207" w:lineRule="exact"/>
        <w:rPr>
          <w:sz w:val="20"/>
          <w:szCs w:val="20"/>
          <w:color w:val="auto"/>
        </w:rPr>
      </w:pPr>
    </w:p>
    <w:p>
      <w:pPr>
        <w:ind w:left="2620"/>
        <w:spacing w:after="0"/>
        <w:tabs>
          <w:tab w:leader="none" w:pos="7620" w:val="left"/>
        </w:tabs>
        <w:rPr>
          <w:sz w:val="20"/>
          <w:szCs w:val="20"/>
          <w:color w:val="auto"/>
        </w:rPr>
      </w:pPr>
      <w:r>
        <w:rPr>
          <w:rFonts w:ascii="Arial" w:cs="Arial" w:eastAsia="Arial" w:hAnsi="Arial"/>
          <w:sz w:val="14"/>
          <w:szCs w:val="14"/>
          <w:b w:val="1"/>
          <w:bCs w:val="1"/>
          <w:color w:val="E2231A"/>
        </w:rPr>
        <w:t>WHAT WE DO</w:t>
      </w:r>
      <w:r>
        <w:rPr>
          <w:sz w:val="20"/>
          <w:szCs w:val="20"/>
          <w:color w:val="auto"/>
        </w:rPr>
        <w:tab/>
      </w:r>
      <w:r>
        <w:rPr>
          <w:rFonts w:ascii="Arial" w:cs="Arial" w:eastAsia="Arial" w:hAnsi="Arial"/>
          <w:sz w:val="14"/>
          <w:szCs w:val="14"/>
          <w:b w:val="1"/>
          <w:bCs w:val="1"/>
          <w:color w:val="E2231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8890</wp:posOffset>
            </wp:positionV>
            <wp:extent cx="6292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p>
      <w:pPr>
        <w:spacing w:after="0" w:line="29" w:lineRule="exact"/>
        <w:rPr>
          <w:sz w:val="20"/>
          <w:szCs w:val="20"/>
          <w:color w:val="auto"/>
        </w:rPr>
      </w:pPr>
    </w:p>
    <w:p>
      <w:pPr>
        <w:ind w:left="660" w:right="20"/>
        <w:spacing w:after="0" w:line="260" w:lineRule="auto"/>
        <w:rPr>
          <w:sz w:val="20"/>
          <w:szCs w:val="20"/>
          <w:color w:val="auto"/>
        </w:rPr>
      </w:pPr>
      <w:r>
        <w:rPr>
          <w:rFonts w:ascii="Arial" w:cs="Arial" w:eastAsia="Arial" w:hAnsi="Arial"/>
          <w:sz w:val="16"/>
          <w:szCs w:val="16"/>
          <w:b w:val="1"/>
          <w:bCs w:val="1"/>
          <w:color w:val="auto"/>
        </w:rPr>
        <w:t xml:space="preserve">Pay Program Aligned with Business Strategy </w:t>
      </w:r>
      <w:r>
        <w:rPr>
          <w:rFonts w:ascii="Arial" w:cs="Arial" w:eastAsia="Arial" w:hAnsi="Arial"/>
          <w:sz w:val="16"/>
          <w:szCs w:val="16"/>
          <w:color w:val="auto"/>
        </w:rPr>
        <w:t>(see pages 36, 41</w:t>
      </w:r>
      <w:r>
        <w:rPr>
          <w:rFonts w:ascii="Arial" w:cs="Arial" w:eastAsia="Arial" w:hAnsi="Arial"/>
          <w:sz w:val="16"/>
          <w:szCs w:val="16"/>
          <w:b w:val="1"/>
          <w:bCs w:val="1"/>
          <w:color w:val="auto"/>
        </w:rPr>
        <w:t xml:space="preserve"> </w:t>
      </w:r>
      <w:r>
        <w:rPr>
          <w:rFonts w:ascii="Arial" w:cs="Arial" w:eastAsia="Arial" w:hAnsi="Arial"/>
          <w:sz w:val="16"/>
          <w:szCs w:val="16"/>
          <w:color w:val="auto"/>
        </w:rPr>
        <w:t>to 46)</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Balanced Mix of Performance Measures </w:t>
      </w:r>
      <w:r>
        <w:rPr>
          <w:rFonts w:ascii="Arial" w:cs="Arial" w:eastAsia="Arial" w:hAnsi="Arial"/>
          <w:sz w:val="16"/>
          <w:szCs w:val="16"/>
          <w:color w:val="auto"/>
        </w:rPr>
        <w:t>(see pages 39 to 40)</w:t>
      </w:r>
    </w:p>
    <w:p>
      <w:pPr>
        <w:spacing w:after="0" w:line="127" w:lineRule="exact"/>
        <w:rPr>
          <w:sz w:val="20"/>
          <w:szCs w:val="20"/>
          <w:color w:val="auto"/>
        </w:rPr>
      </w:pPr>
    </w:p>
    <w:p>
      <w:pPr>
        <w:ind w:left="660" w:right="880"/>
        <w:spacing w:after="0" w:line="286" w:lineRule="auto"/>
        <w:rPr>
          <w:sz w:val="20"/>
          <w:szCs w:val="20"/>
          <w:color w:val="auto"/>
        </w:rPr>
      </w:pPr>
      <w:r>
        <w:rPr>
          <w:rFonts w:ascii="Arial" w:cs="Arial" w:eastAsia="Arial" w:hAnsi="Arial"/>
          <w:sz w:val="16"/>
          <w:szCs w:val="16"/>
          <w:b w:val="1"/>
          <w:bCs w:val="1"/>
          <w:color w:val="auto"/>
        </w:rPr>
        <w:t xml:space="preserve">Relative TSR Performance Metric for 2020 and 2021 Performance Share Grants </w:t>
      </w:r>
      <w:r>
        <w:rPr>
          <w:rFonts w:ascii="Arial" w:cs="Arial" w:eastAsia="Arial" w:hAnsi="Arial"/>
          <w:sz w:val="16"/>
          <w:szCs w:val="16"/>
          <w:color w:val="auto"/>
        </w:rPr>
        <w:t>(see pages 43 to 44)</w:t>
      </w:r>
    </w:p>
    <w:p>
      <w:pPr>
        <w:spacing w:after="0" w:line="61" w:lineRule="exact"/>
        <w:rPr>
          <w:sz w:val="20"/>
          <w:szCs w:val="20"/>
          <w:color w:val="auto"/>
        </w:rPr>
      </w:pPr>
    </w:p>
    <w:p>
      <w:pPr>
        <w:ind w:left="660" w:right="320"/>
        <w:spacing w:after="0" w:line="286" w:lineRule="auto"/>
        <w:rPr>
          <w:sz w:val="20"/>
          <w:szCs w:val="20"/>
          <w:color w:val="auto"/>
        </w:rPr>
      </w:pPr>
      <w:r>
        <w:rPr>
          <w:rFonts w:ascii="Arial" w:cs="Arial" w:eastAsia="Arial" w:hAnsi="Arial"/>
          <w:sz w:val="16"/>
          <w:szCs w:val="16"/>
          <w:b w:val="1"/>
          <w:bCs w:val="1"/>
          <w:color w:val="auto"/>
        </w:rPr>
        <w:t xml:space="preserve">High Percentage of Performance-Based Pay </w:t>
      </w:r>
      <w:r>
        <w:rPr>
          <w:rFonts w:ascii="Arial" w:cs="Arial" w:eastAsia="Arial" w:hAnsi="Arial"/>
          <w:sz w:val="16"/>
          <w:szCs w:val="16"/>
          <w:color w:val="auto"/>
        </w:rPr>
        <w:t>(see the charts</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pages 37, 39 and 41)</w:t>
      </w:r>
    </w:p>
    <w:p>
      <w:pPr>
        <w:spacing w:after="0" w:line="61"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b w:val="1"/>
          <w:bCs w:val="1"/>
          <w:color w:val="auto"/>
        </w:rPr>
        <w:t xml:space="preserve">Vary Incentive Payouts Commensurate with Results </w:t>
      </w:r>
      <w:r>
        <w:rPr>
          <w:rFonts w:ascii="Arial" w:cs="Arial" w:eastAsia="Arial" w:hAnsi="Arial"/>
          <w:sz w:val="16"/>
          <w:szCs w:val="16"/>
          <w:color w:val="auto"/>
        </w:rPr>
        <w:t>(see pages</w:t>
      </w:r>
      <w:r>
        <w:rPr>
          <w:rFonts w:ascii="Arial" w:cs="Arial" w:eastAsia="Arial" w:hAnsi="Arial"/>
          <w:sz w:val="16"/>
          <w:szCs w:val="16"/>
          <w:b w:val="1"/>
          <w:bCs w:val="1"/>
          <w:color w:val="auto"/>
        </w:rPr>
        <w:t xml:space="preserve"> </w:t>
      </w:r>
      <w:r>
        <w:rPr>
          <w:rFonts w:ascii="Arial" w:cs="Arial" w:eastAsia="Arial" w:hAnsi="Arial"/>
          <w:sz w:val="16"/>
          <w:szCs w:val="16"/>
          <w:color w:val="auto"/>
        </w:rPr>
        <w:t>34 to 35)</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Robust Stock Ownership Guidelines </w:t>
      </w:r>
      <w:r>
        <w:rPr>
          <w:rFonts w:ascii="Arial" w:cs="Arial" w:eastAsia="Arial" w:hAnsi="Arial"/>
          <w:sz w:val="16"/>
          <w:szCs w:val="16"/>
          <w:color w:val="auto"/>
        </w:rPr>
        <w:t>(see page 46)</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Equity Retention Requirement </w:t>
      </w:r>
      <w:r>
        <w:rPr>
          <w:rFonts w:ascii="Arial" w:cs="Arial" w:eastAsia="Arial" w:hAnsi="Arial"/>
          <w:sz w:val="16"/>
          <w:szCs w:val="16"/>
          <w:color w:val="auto"/>
        </w:rPr>
        <w:t>(see page 46)</w:t>
      </w:r>
    </w:p>
    <w:p>
      <w:pPr>
        <w:spacing w:after="0" w:line="127"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b w:val="1"/>
          <w:bCs w:val="1"/>
          <w:color w:val="auto"/>
        </w:rPr>
        <w:t xml:space="preserve">Annual Market Practices and Compensation Risk Review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37 to 38 and 63 to 64)</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Clawback of Incentive Compensation </w:t>
      </w:r>
      <w:r>
        <w:rPr>
          <w:rFonts w:ascii="Arial" w:cs="Arial" w:eastAsia="Arial" w:hAnsi="Arial"/>
          <w:sz w:val="16"/>
          <w:szCs w:val="16"/>
          <w:color w:val="auto"/>
        </w:rPr>
        <w:t>(see page 47)</w:t>
      </w:r>
    </w:p>
    <w:p>
      <w:pPr>
        <w:spacing w:after="0" w:line="127" w:lineRule="exact"/>
        <w:rPr>
          <w:sz w:val="20"/>
          <w:szCs w:val="20"/>
          <w:color w:val="auto"/>
        </w:rPr>
      </w:pPr>
    </w:p>
    <w:p>
      <w:pPr>
        <w:ind w:left="660" w:right="280"/>
        <w:spacing w:after="0" w:line="286" w:lineRule="auto"/>
        <w:rPr>
          <w:sz w:val="20"/>
          <w:szCs w:val="20"/>
          <w:color w:val="auto"/>
        </w:rPr>
      </w:pPr>
      <w:r>
        <w:rPr>
          <w:rFonts w:ascii="Arial" w:cs="Arial" w:eastAsia="Arial" w:hAnsi="Arial"/>
          <w:sz w:val="16"/>
          <w:szCs w:val="16"/>
          <w:b w:val="1"/>
          <w:bCs w:val="1"/>
          <w:color w:val="auto"/>
        </w:rPr>
        <w:t xml:space="preserve">Independent Compensation Consultant for P&amp;C Committee </w:t>
      </w:r>
      <w:r>
        <w:rPr>
          <w:rFonts w:ascii="Arial" w:cs="Arial" w:eastAsia="Arial" w:hAnsi="Arial"/>
          <w:sz w:val="16"/>
          <w:szCs w:val="16"/>
          <w:color w:val="auto"/>
        </w:rPr>
        <w:t>(see pages 25, 27 and 37 to 39)</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Holding Period for Career Shares </w:t>
      </w:r>
      <w:r>
        <w:rPr>
          <w:rFonts w:ascii="Arial" w:cs="Arial" w:eastAsia="Arial" w:hAnsi="Arial"/>
          <w:sz w:val="16"/>
          <w:szCs w:val="16"/>
          <w:color w:val="auto"/>
        </w:rPr>
        <w:t>(see pages 45 and 51 to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100330</wp:posOffset>
            </wp:positionV>
            <wp:extent cx="62922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(see page 47)</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No Guarantee of Regular Incentive Plans </w:t>
      </w:r>
      <w:r>
        <w:rPr>
          <w:rFonts w:ascii="Arial" w:cs="Arial" w:eastAsia="Arial" w:hAnsi="Arial"/>
          <w:sz w:val="16"/>
          <w:szCs w:val="16"/>
          <w:color w:val="auto"/>
        </w:rPr>
        <w:t>(see pages 34 to</w:t>
      </w:r>
      <w:r>
        <w:rPr>
          <w:rFonts w:ascii="Arial" w:cs="Arial" w:eastAsia="Arial" w:hAnsi="Arial"/>
          <w:sz w:val="16"/>
          <w:szCs w:val="16"/>
          <w:b w:val="1"/>
          <w:bCs w:val="1"/>
          <w:color w:val="auto"/>
        </w:rPr>
        <w:t xml:space="preserve"> </w:t>
      </w:r>
      <w:r>
        <w:rPr>
          <w:rFonts w:ascii="Arial" w:cs="Arial" w:eastAsia="Arial" w:hAnsi="Arial"/>
          <w:sz w:val="16"/>
          <w:szCs w:val="16"/>
          <w:color w:val="auto"/>
        </w:rPr>
        <w:t>35 and 36)</w:t>
      </w:r>
    </w:p>
    <w:p>
      <w:pPr>
        <w:spacing w:after="0" w:line="6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Severance Benefits </w:t>
      </w:r>
      <w:r>
        <w:rPr>
          <w:rFonts w:ascii="Arial" w:cs="Arial" w:eastAsia="Arial" w:hAnsi="Arial"/>
          <w:sz w:val="16"/>
          <w:szCs w:val="16"/>
          <w:color w:val="auto"/>
        </w:rPr>
        <w:t>(see pages 47 and 59 to 63)</w:t>
      </w:r>
    </w:p>
    <w:p>
      <w:pPr>
        <w:spacing w:after="0" w:line="6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Vesting of Equity Awards </w:t>
      </w:r>
      <w:r>
        <w:rPr>
          <w:rFonts w:ascii="Arial" w:cs="Arial" w:eastAsia="Arial" w:hAnsi="Arial"/>
          <w:sz w:val="16"/>
          <w:szCs w:val="16"/>
          <w:color w:val="auto"/>
        </w:rPr>
        <w:t>(see pages 47 and 59 to 63)</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No Hedging or Pledging of Company Stock </w:t>
      </w:r>
      <w:r>
        <w:rPr>
          <w:rFonts w:ascii="Arial" w:cs="Arial" w:eastAsia="Arial" w:hAnsi="Arial"/>
          <w:sz w:val="16"/>
          <w:szCs w:val="16"/>
          <w:color w:val="auto"/>
        </w:rPr>
        <w:t>(see pages 47</w:t>
      </w:r>
      <w:r>
        <w:rPr>
          <w:rFonts w:ascii="Arial" w:cs="Arial" w:eastAsia="Arial" w:hAnsi="Arial"/>
          <w:sz w:val="16"/>
          <w:szCs w:val="16"/>
          <w:b w:val="1"/>
          <w:bCs w:val="1"/>
          <w:color w:val="auto"/>
        </w:rPr>
        <w:t xml:space="preserve"> </w:t>
      </w:r>
      <w:r>
        <w:rPr>
          <w:rFonts w:ascii="Arial" w:cs="Arial" w:eastAsia="Arial" w:hAnsi="Arial"/>
          <w:sz w:val="16"/>
          <w:szCs w:val="16"/>
          <w:color w:val="auto"/>
        </w:rPr>
        <w:t>and 65)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Repricing of Stock Option Awards</w:t>
      </w:r>
    </w:p>
    <w:p>
      <w:pPr>
        <w:spacing w:after="0" w:line="2130" w:lineRule="exact"/>
        <w:rPr>
          <w:sz w:val="20"/>
          <w:szCs w:val="20"/>
          <w:color w:val="auto"/>
        </w:rPr>
      </w:pPr>
    </w:p>
    <w:p>
      <w:pPr>
        <w:sectPr>
          <w:pgSz w:w="11900" w:h="16838" w:orient="portrait"/>
          <w:cols w:equalWidth="0" w:num="2">
            <w:col w:w="5500" w:space="620"/>
            <w:col w:w="4380"/>
          </w:cols>
          <w:pgMar w:left="320" w:top="459" w:right="1079" w:bottom="1440" w:gutter="0" w:footer="0" w:header="0"/>
          <w:type w:val="continuous"/>
        </w:sectPr>
      </w:pP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2021 Target Pay Mix for CEO and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165735</wp:posOffset>
            </wp:positionV>
            <wp:extent cx="6292215" cy="377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377190"/>
                    </a:xfrm>
                    <a:prstGeom prst="rect">
                      <a:avLst/>
                    </a:prstGeom>
                    <a:noFill/>
                  </pic:spPr>
                </pic:pic>
              </a:graphicData>
            </a:graphic>
          </wp:anchor>
        </w:drawing>
      </w:r>
    </w:p>
    <w:p>
      <w:pPr>
        <w:spacing w:after="0" w:line="276"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FFFFFF"/>
        </w:rPr>
        <w:t>2021 Target Total Direct Compensation Allocation</w:t>
      </w:r>
    </w:p>
    <w:p>
      <w:pPr>
        <w:spacing w:after="0" w:line="22" w:lineRule="exact"/>
        <w:rPr>
          <w:sz w:val="20"/>
          <w:szCs w:val="20"/>
          <w:color w:val="auto"/>
        </w:rPr>
      </w:pPr>
    </w:p>
    <w:p>
      <w:pPr>
        <w:jc w:val="right"/>
        <w:ind w:right="1120"/>
        <w:spacing w:after="0"/>
        <w:rPr>
          <w:sz w:val="20"/>
          <w:szCs w:val="20"/>
          <w:color w:val="auto"/>
        </w:rPr>
      </w:pPr>
      <w:r>
        <w:rPr>
          <w:rFonts w:ascii="Arial" w:cs="Arial" w:eastAsia="Arial" w:hAnsi="Arial"/>
          <w:sz w:val="18"/>
          <w:szCs w:val="18"/>
          <w:b w:val="1"/>
          <w:bCs w:val="1"/>
          <w:color w:val="FFFFFF"/>
        </w:rPr>
        <w:t>(Assuming Performance-Based Components at Target and not including Career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80" w:hanging="393"/>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00"/>
          </w:cols>
          <w:pgMar w:left="320" w:top="459" w:right="10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We will continue to monitor our executive compensation programs and consider appropriate modifications that will allow us to drive achievement of our business strategy and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targeted financial results, meet our talent needs and maintain fully competitive compensation programs and practices to maximize long-term stockholder value.</w:t>
      </w:r>
    </w:p>
    <w:p>
      <w:pPr>
        <w:spacing w:after="0" w:line="200"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Pay-Performance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The executive compensation program is designed to drive execution of our business strategy by strongly aligning pay opportunities with performance outcomes. The P&amp;C Committee considers multiple perspectives in assessing the achievement of this critical objective, including a multi-year history of incentive payouts as a percentage of target, financial and TSR results, and the NEOs’ pay relative to the Comparator Group (as defined below). These analyses found that relative to the Comparator Group:</w:t>
      </w:r>
    </w:p>
    <w:p>
      <w:pPr>
        <w:spacing w:after="0" w:line="111" w:lineRule="exact"/>
        <w:rPr>
          <w:sz w:val="20"/>
          <w:szCs w:val="20"/>
          <w:color w:val="auto"/>
        </w:rPr>
      </w:pPr>
    </w:p>
    <w:p>
      <w:pPr>
        <w:ind w:left="1000" w:right="200" w:hanging="333"/>
        <w:spacing w:after="0" w:line="253"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Named Executive Officers’ target pay levels are in the competitive range of market median, on average, with an emphasis on performance-based pay opportunities.</w:t>
      </w:r>
    </w:p>
    <w:p>
      <w:pPr>
        <w:spacing w:after="0" w:line="106" w:lineRule="exact"/>
        <w:rPr>
          <w:rFonts w:ascii="Arial" w:cs="Arial" w:eastAsia="Arial" w:hAnsi="Arial"/>
          <w:sz w:val="16"/>
          <w:szCs w:val="16"/>
          <w:color w:val="auto"/>
        </w:rPr>
      </w:pPr>
    </w:p>
    <w:p>
      <w:pPr>
        <w:jc w:val="both"/>
        <w:ind w:left="1000" w:hanging="333"/>
        <w:spacing w:after="0" w:line="251"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Lear’s incentive plan performance measures are well-aligned to its business strategy, correlative to TSR and are generally consistent with the measures used by the Comparator Group (and the broader industrial market).</w:t>
      </w:r>
    </w:p>
    <w:p>
      <w:pPr>
        <w:spacing w:after="0" w:line="107" w:lineRule="exact"/>
        <w:rPr>
          <w:rFonts w:ascii="Arial" w:cs="Arial" w:eastAsia="Arial" w:hAnsi="Arial"/>
          <w:sz w:val="16"/>
          <w:szCs w:val="16"/>
          <w:color w:val="auto"/>
        </w:rPr>
      </w:pPr>
    </w:p>
    <w:p>
      <w:pPr>
        <w:jc w:val="both"/>
        <w:ind w:left="1000" w:right="100" w:hanging="333"/>
        <w:spacing w:after="0" w:line="260"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Lear’s annual incentive and performance share payouts are aligned with performance relative to the Comparator Group.</w:t>
      </w:r>
    </w:p>
    <w:p>
      <w:pPr>
        <w:spacing w:after="0" w:line="87"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Consistent with the Company’s pay-for-performance philosophy, challenging goals are set for the annual incentive and performance share award opportunities. As such, in some years, payouts will be above target (when our results exceed the target for the performance period), and in other years, payouts will be below target (when our results are below the target for the performance period). Our last three completed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incentive cycles reflect this pay-performance alignment with payouts varying commensurate with results. Due to the challenges during this time, payouts have ranged from 22% to 100% of target.</w:t>
      </w:r>
    </w:p>
    <w:p>
      <w:pPr>
        <w:spacing w:after="0" w:line="107" w:lineRule="exact"/>
        <w:rPr>
          <w:sz w:val="20"/>
          <w:szCs w:val="20"/>
          <w:color w:val="auto"/>
        </w:rPr>
      </w:pPr>
    </w:p>
    <w:p>
      <w:pPr>
        <w:ind w:left="200" w:right="580" w:hanging="197"/>
        <w:spacing w:after="0" w:line="260" w:lineRule="auto"/>
        <w:tabs>
          <w:tab w:leader="none" w:pos="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Annual incentive payouts: 2019, 61% of target, 2020, 60% of target and 2021, 100% of target</w:t>
      </w:r>
    </w:p>
    <w:p>
      <w:pPr>
        <w:spacing w:after="0" w:line="100" w:lineRule="exact"/>
        <w:rPr>
          <w:rFonts w:ascii="Arial" w:cs="Arial" w:eastAsia="Arial" w:hAnsi="Arial"/>
          <w:sz w:val="16"/>
          <w:szCs w:val="16"/>
          <w:color w:val="auto"/>
        </w:rPr>
      </w:pPr>
    </w:p>
    <w:p>
      <w:pPr>
        <w:ind w:left="200" w:right="460" w:hanging="197"/>
        <w:spacing w:after="0" w:line="260" w:lineRule="auto"/>
        <w:tabs>
          <w:tab w:leader="none" w:pos="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Performance Share payouts: 2017-19, 86% of target, 2018-20, 22% of target and 2019-21, 74% of target</w:t>
      </w:r>
    </w:p>
    <w:p>
      <w:pPr>
        <w:spacing w:after="0" w:line="87"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Our typical pay administration approach for promoted executives is to move target pay levels to market median over several years while emphasizing at-risk, performance-based incentive award opportunities. For example, relative to 2019 target pay, the CFO’s 2021 target pay was increased to move closer to market median. The majority of the increased target pay opportunity was provided in at-risk performance share award opportunities which can be earned for results over the three-year period 2021 to 2023, and stock options.</w:t>
      </w:r>
    </w:p>
    <w:p>
      <w:pPr>
        <w:spacing w:after="0" w:line="98"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The actual values realized, if any, from performance share award opportunities and stock options can vary significantly (due to performance and the Company’s stock price) from the grant amounts shown in the Summary Compensation Table (Stock Awards and Option Awards columns). This is reflected in the CEO’s target pay mix, with 90% of total pay at-risk and 60% of total pay from performance share and stock option award opportunities.</w:t>
      </w:r>
    </w:p>
    <w:p>
      <w:pPr>
        <w:spacing w:after="0" w:line="591" w:lineRule="exact"/>
        <w:rPr>
          <w:sz w:val="20"/>
          <w:szCs w:val="20"/>
          <w:color w:val="auto"/>
        </w:rPr>
      </w:pPr>
    </w:p>
    <w:p>
      <w:pPr>
        <w:sectPr>
          <w:pgSz w:w="11900" w:h="16838" w:orient="portrait"/>
          <w:cols w:equalWidth="0" w:num="2">
            <w:col w:w="5360" w:space="360"/>
            <w:col w:w="5140"/>
          </w:cols>
          <w:pgMar w:left="320" w:top="459" w:right="71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2021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P&amp;C Committee reviewed the results of the 2021 stockholder advisory vote on NEO compensation and incorporated the results as one of the many factors considered in connection with the discharge of its responsibilities. Since a substantial majority (97%) of our stockholders voting at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400"/>
        <w:spacing w:after="0" w:line="251" w:lineRule="auto"/>
        <w:rPr>
          <w:sz w:val="20"/>
          <w:szCs w:val="20"/>
          <w:color w:val="auto"/>
        </w:rPr>
      </w:pPr>
      <w:r>
        <w:rPr>
          <w:rFonts w:ascii="Arial" w:cs="Arial" w:eastAsia="Arial" w:hAnsi="Arial"/>
          <w:sz w:val="16"/>
          <w:szCs w:val="16"/>
          <w:color w:val="auto"/>
        </w:rPr>
        <w:t>annual meeting approved the compensation program described in our 2021 Proxy Statement, the P&amp;C Committee did not implement changes to our executive compensation program as a direct result of the stockholders’ advisory vote.</w:t>
      </w:r>
    </w:p>
    <w:p>
      <w:pPr>
        <w:spacing w:after="0" w:line="388"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P&amp;C Committee targets base salaries, annual incentive awards, long-term incentive awards and total direct compensation of our NEOs and other executive officers on average to be within a competitive range (i.e., +/- 10%) of the median of the Company’s comparator group (the “Comparator Group”) and other comparably sized companies in the same general industry. In addition to reviewing annual pay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benchmarking, other factors (including our business strategy, talent needs, executives’ experience levels and cost) are considered in setting target pay. Actual compensation relative to target pay opportunities will vary based on performance and, for long-term incentive awards, the value of common stock at payment.</w:t>
      </w:r>
    </w:p>
    <w:p>
      <w:pPr>
        <w:spacing w:after="0" w:line="572"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334"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37</w:t>
      </w:r>
    </w:p>
    <w:p>
      <w:pPr>
        <w:sectPr>
          <w:pgSz w:w="11900" w:h="16838" w:orient="portrait"/>
          <w:cols w:equalWidth="0" w:num="1">
            <w:col w:w="10860"/>
          </w:cols>
          <w:pgMar w:left="320" w:top="459" w:right="7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5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820"/>
        <w:spacing w:after="0" w:line="246" w:lineRule="auto"/>
        <w:rPr>
          <w:sz w:val="20"/>
          <w:szCs w:val="20"/>
          <w:color w:val="auto"/>
        </w:rPr>
      </w:pPr>
      <w:r>
        <w:rPr>
          <w:rFonts w:ascii="Arial" w:cs="Arial" w:eastAsia="Arial" w:hAnsi="Arial"/>
          <w:sz w:val="16"/>
          <w:szCs w:val="16"/>
          <w:color w:val="auto"/>
        </w:rPr>
        <w:t>The criteria used to select the 18 peer companies in our Comparator Group focused on automotive parts and equipment, industrial machinery, heavy trucks and other durable goods manufacturing companies, generally with the following specifics:</w:t>
      </w:r>
    </w:p>
    <w:p>
      <w:pPr>
        <w:spacing w:after="0" w:line="2" w:lineRule="exact"/>
        <w:rPr>
          <w:sz w:val="20"/>
          <w:szCs w:val="20"/>
          <w:color w:val="auto"/>
        </w:rPr>
      </w:pPr>
    </w:p>
    <w:p>
      <w:pPr>
        <w:ind w:left="820" w:right="40" w:hanging="5"/>
        <w:spacing w:after="0" w:line="251" w:lineRule="auto"/>
        <w:tabs>
          <w:tab w:leader="none" w:pos="100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annual revenues typically ranging from 0.5 times to 2.0 times the Company’s revenues; (ii) global companies typically with U.S. headquarters; (iii) market capitalization typically ranging from 0.2 times to 5.0 times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Company’s market capitalization; and (iv) companies that are considered by independent proxy advisors to be the 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394" w:lineRule="exact"/>
        <w:rPr>
          <w:sz w:val="20"/>
          <w:szCs w:val="20"/>
          <w:color w:val="auto"/>
        </w:rPr>
      </w:pPr>
    </w:p>
    <w:p>
      <w:pPr>
        <w:sectPr>
          <w:pgSz w:w="11900" w:h="16838" w:orient="portrait"/>
          <w:cols w:equalWidth="0" w:num="2">
            <w:col w:w="5400" w:space="320"/>
            <w:col w:w="4700"/>
          </w:cols>
          <w:pgMar w:left="320" w:top="459" w:right="1159" w:bottom="1440" w:gutter="0" w:footer="0" w:header="0"/>
          <w:type w:val="continuous"/>
        </w:sectPr>
      </w:pPr>
    </w:p>
    <w:p>
      <w:pPr>
        <w:spacing w:after="0" w:line="56" w:lineRule="exact"/>
        <w:rPr>
          <w:sz w:val="20"/>
          <w:szCs w:val="20"/>
          <w:color w:val="auto"/>
        </w:rPr>
      </w:pPr>
    </w:p>
    <w:p>
      <w:pPr>
        <w:ind w:left="820" w:right="100"/>
        <w:spacing w:after="0" w:line="260" w:lineRule="auto"/>
        <w:rPr>
          <w:sz w:val="20"/>
          <w:szCs w:val="20"/>
          <w:color w:val="auto"/>
        </w:rPr>
      </w:pPr>
      <w:r>
        <w:rPr>
          <w:rFonts w:ascii="Arial" w:cs="Arial" w:eastAsia="Arial" w:hAnsi="Arial"/>
          <w:sz w:val="16"/>
          <w:szCs w:val="16"/>
          <w:color w:val="auto"/>
        </w:rPr>
        <w:t>The companies in the Comparator Group for 2021 are shown below. The revenues for this group in their most recently reported fiscal year ranged from $12.4 billion to $44.0 billion, with a median of $17.8 billion. Lear’s revenues for 2021 were $19.3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139700</wp:posOffset>
            </wp:positionV>
            <wp:extent cx="6103620"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03620" cy="205740"/>
                    </a:xfrm>
                    <a:prstGeom prst="rect">
                      <a:avLst/>
                    </a:prstGeom>
                    <a:noFill/>
                  </pic:spPr>
                </pic:pic>
              </a:graphicData>
            </a:graphic>
          </wp:anchor>
        </w:drawing>
      </w:r>
    </w:p>
    <w:p>
      <w:pPr>
        <w:spacing w:after="0" w:line="24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FFFFFF"/>
        </w:rPr>
        <w:t>2021 Comparator Group</w:t>
      </w:r>
    </w:p>
    <w:p>
      <w:pPr>
        <w:spacing w:after="0" w:line="87" w:lineRule="exact"/>
        <w:rPr>
          <w:sz w:val="20"/>
          <w:szCs w:val="20"/>
          <w:color w:val="auto"/>
        </w:rPr>
      </w:pPr>
    </w:p>
    <w:tbl>
      <w:tblPr>
        <w:tblLayout w:type="fixed"/>
        <w:tblInd w:w="820" w:type="dxa"/>
        <w:tblCellMar>
          <w:top w:w="0" w:type="dxa"/>
          <w:left w:w="0" w:type="dxa"/>
          <w:bottom w:w="0" w:type="dxa"/>
          <w:right w:w="0" w:type="dxa"/>
        </w:tblCellMar>
      </w:tblPr>
      <w:tr>
        <w:trPr>
          <w:trHeight w:val="209"/>
        </w:trPr>
        <w:tc>
          <w:tcPr>
            <w:tcW w:w="178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Adient plc</w:t>
            </w:r>
          </w:p>
        </w:tc>
        <w:tc>
          <w:tcPr>
            <w:tcW w:w="2940" w:type="dxa"/>
            <w:vAlign w:val="bottom"/>
            <w:tcBorders>
              <w:bottom w:val="single" w:sz="8" w:color="FCE9E8"/>
            </w:tcBorders>
            <w:shd w:val="clear" w:color="auto" w:fill="FCE9E8"/>
          </w:tcPr>
          <w:p>
            <w:pPr>
              <w:ind w:left="540"/>
              <w:spacing w:after="0"/>
              <w:rPr>
                <w:sz w:val="20"/>
                <w:szCs w:val="20"/>
                <w:color w:val="auto"/>
              </w:rPr>
            </w:pPr>
            <w:r>
              <w:rPr>
                <w:rFonts w:ascii="Arial" w:cs="Arial" w:eastAsia="Arial" w:hAnsi="Arial"/>
                <w:sz w:val="14"/>
                <w:szCs w:val="14"/>
                <w:color w:val="auto"/>
              </w:rPr>
              <w:t>Eaton Corporation plc</w:t>
            </w:r>
          </w:p>
        </w:tc>
        <w:tc>
          <w:tcPr>
            <w:tcW w:w="2520" w:type="dxa"/>
            <w:vAlign w:val="bottom"/>
            <w:tcBorders>
              <w:bottom w:val="single" w:sz="8" w:color="FCE9E8"/>
            </w:tcBorders>
            <w:shd w:val="clear" w:color="auto" w:fill="FCE9E8"/>
          </w:tcPr>
          <w:p>
            <w:pPr>
              <w:ind w:left="200"/>
              <w:spacing w:after="0"/>
              <w:rPr>
                <w:sz w:val="20"/>
                <w:szCs w:val="20"/>
                <w:color w:val="auto"/>
              </w:rPr>
            </w:pPr>
            <w:r>
              <w:rPr>
                <w:rFonts w:ascii="Arial" w:cs="Arial" w:eastAsia="Arial" w:hAnsi="Arial"/>
                <w:sz w:val="14"/>
                <w:szCs w:val="14"/>
                <w:color w:val="auto"/>
              </w:rPr>
              <w:t>Magna International Inc.</w:t>
            </w:r>
          </w:p>
        </w:tc>
        <w:tc>
          <w:tcPr>
            <w:tcW w:w="236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4"/>
                <w:szCs w:val="14"/>
                <w:color w:val="auto"/>
              </w:rPr>
              <w:t>Tenneco Inc.</w:t>
            </w:r>
          </w:p>
        </w:tc>
      </w:tr>
      <w:tr>
        <w:trPr>
          <w:trHeight w:val="204"/>
        </w:trPr>
        <w:tc>
          <w:tcPr>
            <w:tcW w:w="1780" w:type="dxa"/>
            <w:vAlign w:val="bottom"/>
          </w:tcPr>
          <w:p>
            <w:pPr>
              <w:ind w:left="60"/>
              <w:spacing w:after="0"/>
              <w:rPr>
                <w:sz w:val="20"/>
                <w:szCs w:val="20"/>
                <w:color w:val="auto"/>
              </w:rPr>
            </w:pPr>
            <w:r>
              <w:rPr>
                <w:rFonts w:ascii="Arial" w:cs="Arial" w:eastAsia="Arial" w:hAnsi="Arial"/>
                <w:sz w:val="14"/>
                <w:szCs w:val="14"/>
                <w:color w:val="auto"/>
              </w:rPr>
              <w:t>Aptiv PLC</w:t>
            </w:r>
          </w:p>
        </w:tc>
        <w:tc>
          <w:tcPr>
            <w:tcW w:w="2940" w:type="dxa"/>
            <w:vAlign w:val="bottom"/>
          </w:tcPr>
          <w:p>
            <w:pPr>
              <w:ind w:left="540"/>
              <w:spacing w:after="0"/>
              <w:rPr>
                <w:sz w:val="20"/>
                <w:szCs w:val="20"/>
                <w:color w:val="auto"/>
              </w:rPr>
            </w:pPr>
            <w:r>
              <w:rPr>
                <w:rFonts w:ascii="Arial" w:cs="Arial" w:eastAsia="Arial" w:hAnsi="Arial"/>
                <w:sz w:val="14"/>
                <w:szCs w:val="14"/>
                <w:color w:val="auto"/>
              </w:rPr>
              <w:t>Emerson Electric Co.</w:t>
            </w:r>
          </w:p>
        </w:tc>
        <w:tc>
          <w:tcPr>
            <w:tcW w:w="2520" w:type="dxa"/>
            <w:vAlign w:val="bottom"/>
          </w:tcPr>
          <w:p>
            <w:pPr>
              <w:ind w:left="200"/>
              <w:spacing w:after="0"/>
              <w:rPr>
                <w:sz w:val="20"/>
                <w:szCs w:val="20"/>
                <w:color w:val="auto"/>
              </w:rPr>
            </w:pPr>
            <w:r>
              <w:rPr>
                <w:rFonts w:ascii="Arial" w:cs="Arial" w:eastAsia="Arial" w:hAnsi="Arial"/>
                <w:sz w:val="14"/>
                <w:szCs w:val="14"/>
                <w:color w:val="auto"/>
              </w:rPr>
              <w:t>Navistar International Corporation</w:t>
            </w:r>
          </w:p>
        </w:tc>
        <w:tc>
          <w:tcPr>
            <w:tcW w:w="2360" w:type="dxa"/>
            <w:vAlign w:val="bottom"/>
          </w:tcPr>
          <w:p>
            <w:pPr>
              <w:ind w:left="160"/>
              <w:spacing w:after="0"/>
              <w:rPr>
                <w:sz w:val="20"/>
                <w:szCs w:val="20"/>
                <w:color w:val="auto"/>
              </w:rPr>
            </w:pPr>
            <w:r>
              <w:rPr>
                <w:rFonts w:ascii="Arial" w:cs="Arial" w:eastAsia="Arial" w:hAnsi="Arial"/>
                <w:sz w:val="14"/>
                <w:szCs w:val="14"/>
                <w:color w:val="auto"/>
              </w:rPr>
              <w:t>Textron Inc.</w:t>
            </w:r>
          </w:p>
        </w:tc>
      </w:tr>
      <w:tr>
        <w:trPr>
          <w:trHeight w:val="26"/>
        </w:trPr>
        <w:tc>
          <w:tcPr>
            <w:tcW w:w="17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09"/>
        </w:trPr>
        <w:tc>
          <w:tcPr>
            <w:tcW w:w="178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BorgWarner Inc.</w:t>
            </w:r>
          </w:p>
        </w:tc>
        <w:tc>
          <w:tcPr>
            <w:tcW w:w="2940" w:type="dxa"/>
            <w:vAlign w:val="bottom"/>
            <w:tcBorders>
              <w:bottom w:val="single" w:sz="8" w:color="FCE9E8"/>
            </w:tcBorders>
            <w:shd w:val="clear" w:color="auto" w:fill="FCE9E8"/>
          </w:tcPr>
          <w:p>
            <w:pPr>
              <w:ind w:left="540"/>
              <w:spacing w:after="0"/>
              <w:rPr>
                <w:sz w:val="20"/>
                <w:szCs w:val="20"/>
                <w:color w:val="auto"/>
              </w:rPr>
            </w:pPr>
            <w:r>
              <w:rPr>
                <w:rFonts w:ascii="Arial" w:cs="Arial" w:eastAsia="Arial" w:hAnsi="Arial"/>
                <w:sz w:val="14"/>
                <w:szCs w:val="14"/>
                <w:color w:val="auto"/>
              </w:rPr>
              <w:t>Goodyear Tire &amp; Rubber Company</w:t>
            </w:r>
          </w:p>
        </w:tc>
        <w:tc>
          <w:tcPr>
            <w:tcW w:w="2520" w:type="dxa"/>
            <w:vAlign w:val="bottom"/>
            <w:tcBorders>
              <w:bottom w:val="single" w:sz="8" w:color="FCE9E8"/>
            </w:tcBorders>
            <w:shd w:val="clear" w:color="auto" w:fill="FCE9E8"/>
          </w:tcPr>
          <w:p>
            <w:pPr>
              <w:ind w:left="200"/>
              <w:spacing w:after="0"/>
              <w:rPr>
                <w:sz w:val="20"/>
                <w:szCs w:val="20"/>
                <w:color w:val="auto"/>
              </w:rPr>
            </w:pPr>
            <w:r>
              <w:rPr>
                <w:rFonts w:ascii="Arial" w:cs="Arial" w:eastAsia="Arial" w:hAnsi="Arial"/>
                <w:sz w:val="14"/>
                <w:szCs w:val="14"/>
                <w:color w:val="auto"/>
              </w:rPr>
              <w:t>PACCAR Inc.</w:t>
            </w:r>
          </w:p>
        </w:tc>
        <w:tc>
          <w:tcPr>
            <w:tcW w:w="236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4"/>
                <w:szCs w:val="14"/>
                <w:color w:val="auto"/>
              </w:rPr>
              <w:t>Whirlpool Corporation</w:t>
            </w:r>
          </w:p>
        </w:tc>
      </w:tr>
      <w:tr>
        <w:trPr>
          <w:trHeight w:val="204"/>
        </w:trPr>
        <w:tc>
          <w:tcPr>
            <w:tcW w:w="1780" w:type="dxa"/>
            <w:vAlign w:val="bottom"/>
          </w:tcPr>
          <w:p>
            <w:pPr>
              <w:ind w:left="60"/>
              <w:spacing w:after="0"/>
              <w:rPr>
                <w:sz w:val="20"/>
                <w:szCs w:val="20"/>
                <w:color w:val="auto"/>
              </w:rPr>
            </w:pPr>
            <w:r>
              <w:rPr>
                <w:rFonts w:ascii="Arial" w:cs="Arial" w:eastAsia="Arial" w:hAnsi="Arial"/>
                <w:sz w:val="14"/>
                <w:szCs w:val="14"/>
                <w:color w:val="auto"/>
              </w:rPr>
              <w:t>Cummins Inc.</w:t>
            </w:r>
          </w:p>
        </w:tc>
        <w:tc>
          <w:tcPr>
            <w:tcW w:w="2940" w:type="dxa"/>
            <w:vAlign w:val="bottom"/>
          </w:tcPr>
          <w:p>
            <w:pPr>
              <w:ind w:left="540"/>
              <w:spacing w:after="0"/>
              <w:rPr>
                <w:sz w:val="20"/>
                <w:szCs w:val="20"/>
                <w:color w:val="auto"/>
              </w:rPr>
            </w:pPr>
            <w:r>
              <w:rPr>
                <w:rFonts w:ascii="Arial" w:cs="Arial" w:eastAsia="Arial" w:hAnsi="Arial"/>
                <w:sz w:val="14"/>
                <w:szCs w:val="14"/>
                <w:color w:val="auto"/>
              </w:rPr>
              <w:t>Illinois Tool Works Inc.</w:t>
            </w:r>
          </w:p>
        </w:tc>
        <w:tc>
          <w:tcPr>
            <w:tcW w:w="2520" w:type="dxa"/>
            <w:vAlign w:val="bottom"/>
          </w:tcPr>
          <w:p>
            <w:pPr>
              <w:ind w:left="200"/>
              <w:spacing w:after="0"/>
              <w:rPr>
                <w:sz w:val="20"/>
                <w:szCs w:val="20"/>
                <w:color w:val="auto"/>
              </w:rPr>
            </w:pPr>
            <w:r>
              <w:rPr>
                <w:rFonts w:ascii="Arial" w:cs="Arial" w:eastAsia="Arial" w:hAnsi="Arial"/>
                <w:sz w:val="14"/>
                <w:szCs w:val="14"/>
                <w:color w:val="auto"/>
              </w:rPr>
              <w:t>Parker-Hannifin Corporation</w:t>
            </w:r>
          </w:p>
        </w:tc>
        <w:tc>
          <w:tcPr>
            <w:tcW w:w="2360" w:type="dxa"/>
            <w:vAlign w:val="bottom"/>
          </w:tcPr>
          <w:p>
            <w:pPr>
              <w:spacing w:after="0"/>
              <w:rPr>
                <w:sz w:val="17"/>
                <w:szCs w:val="17"/>
                <w:color w:val="auto"/>
              </w:rPr>
            </w:pPr>
          </w:p>
        </w:tc>
      </w:tr>
      <w:tr>
        <w:trPr>
          <w:trHeight w:val="26"/>
        </w:trPr>
        <w:tc>
          <w:tcPr>
            <w:tcW w:w="17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10"/>
        </w:trPr>
        <w:tc>
          <w:tcPr>
            <w:tcW w:w="178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Deere &amp; Company</w:t>
            </w:r>
          </w:p>
        </w:tc>
        <w:tc>
          <w:tcPr>
            <w:tcW w:w="2940" w:type="dxa"/>
            <w:vAlign w:val="bottom"/>
            <w:tcBorders>
              <w:bottom w:val="single" w:sz="8" w:color="FCE9E8"/>
            </w:tcBorders>
            <w:shd w:val="clear" w:color="auto" w:fill="FCE9E8"/>
          </w:tcPr>
          <w:p>
            <w:pPr>
              <w:ind w:left="540"/>
              <w:spacing w:after="0"/>
              <w:rPr>
                <w:sz w:val="20"/>
                <w:szCs w:val="20"/>
                <w:color w:val="auto"/>
              </w:rPr>
            </w:pPr>
            <w:r>
              <w:rPr>
                <w:rFonts w:ascii="Arial" w:cs="Arial" w:eastAsia="Arial" w:hAnsi="Arial"/>
                <w:sz w:val="14"/>
                <w:szCs w:val="14"/>
                <w:color w:val="auto"/>
              </w:rPr>
              <w:t>L3Harris Technologies, Inc.</w:t>
            </w:r>
          </w:p>
        </w:tc>
        <w:tc>
          <w:tcPr>
            <w:tcW w:w="2520" w:type="dxa"/>
            <w:vAlign w:val="bottom"/>
            <w:tcBorders>
              <w:bottom w:val="single" w:sz="8" w:color="FCE9E8"/>
            </w:tcBorders>
            <w:shd w:val="clear" w:color="auto" w:fill="FCE9E8"/>
          </w:tcPr>
          <w:p>
            <w:pPr>
              <w:ind w:left="200"/>
              <w:spacing w:after="0"/>
              <w:rPr>
                <w:sz w:val="20"/>
                <w:szCs w:val="20"/>
                <w:color w:val="auto"/>
              </w:rPr>
            </w:pPr>
            <w:r>
              <w:rPr>
                <w:rFonts w:ascii="Arial" w:cs="Arial" w:eastAsia="Arial" w:hAnsi="Arial"/>
                <w:sz w:val="14"/>
                <w:szCs w:val="14"/>
                <w:color w:val="auto"/>
              </w:rPr>
              <w:t>TE Connectivity Ltd.</w:t>
            </w:r>
          </w:p>
        </w:tc>
        <w:tc>
          <w:tcPr>
            <w:tcW w:w="2360" w:type="dxa"/>
            <w:vAlign w:val="bottom"/>
            <w:tcBorders>
              <w:bottom w:val="single" w:sz="8" w:color="FCE9E8"/>
            </w:tcBorders>
            <w:shd w:val="clear" w:color="auto" w:fill="FCE9E8"/>
          </w:tcPr>
          <w:p>
            <w:pPr>
              <w:spacing w:after="0"/>
              <w:rPr>
                <w:sz w:val="18"/>
                <w:szCs w:val="18"/>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20"/>
          </w:cols>
          <w:pgMar w:left="320" w:top="459" w:right="1159" w:bottom="1440" w:gutter="0" w:footer="0" w:header="0"/>
          <w:type w:val="continuous"/>
        </w:sectPr>
      </w:pPr>
    </w:p>
    <w:p>
      <w:pPr>
        <w:spacing w:after="0" w:line="99" w:lineRule="exact"/>
        <w:rPr>
          <w:sz w:val="20"/>
          <w:szCs w:val="20"/>
          <w:color w:val="auto"/>
        </w:rPr>
      </w:pPr>
    </w:p>
    <w:p>
      <w:pPr>
        <w:ind w:left="820"/>
        <w:spacing w:after="0" w:line="260" w:lineRule="auto"/>
        <w:rPr>
          <w:sz w:val="20"/>
          <w:szCs w:val="20"/>
          <w:color w:val="auto"/>
        </w:rPr>
      </w:pPr>
      <w:r>
        <w:rPr>
          <w:rFonts w:ascii="Arial" w:cs="Arial" w:eastAsia="Arial" w:hAnsi="Arial"/>
          <w:sz w:val="16"/>
          <w:szCs w:val="16"/>
          <w:color w:val="auto"/>
        </w:rPr>
        <w:t>The above companies were used to inform the officer target pay changes made in May 2021. At this same meeting, the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Committee decided to remove Navistar, which was acquired, from the peer group for future pay benchmarking.</w:t>
      </w:r>
    </w:p>
    <w:p>
      <w:pPr>
        <w:spacing w:after="0" w:line="200" w:lineRule="exact"/>
        <w:rPr>
          <w:sz w:val="20"/>
          <w:szCs w:val="20"/>
          <w:color w:val="auto"/>
        </w:rPr>
      </w:pPr>
    </w:p>
    <w:p>
      <w:pPr>
        <w:sectPr>
          <w:pgSz w:w="11900" w:h="16838" w:orient="portrait"/>
          <w:cols w:equalWidth="0" w:num="2">
            <w:col w:w="5400" w:space="320"/>
            <w:col w:w="4700"/>
          </w:cols>
          <w:pgMar w:left="320" w:top="459" w:right="1159" w:bottom="1440" w:gutter="0" w:footer="0" w:header="0"/>
          <w:type w:val="continuous"/>
        </w:sectPr>
      </w:pPr>
    </w:p>
    <w:p>
      <w:pPr>
        <w:spacing w:after="0" w:line="14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Total Compensation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69850</wp:posOffset>
            </wp:positionV>
            <wp:extent cx="6103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type w:val="continuous"/>
        </w:sectPr>
      </w:pPr>
    </w:p>
    <w:p>
      <w:pPr>
        <w:spacing w:after="0" w:line="342"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The P&amp;C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 P&amp;C Committee reviews total compensation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summaries or tally sheets for our Named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381" w:lineRule="exact"/>
        <w:rPr>
          <w:sz w:val="20"/>
          <w:szCs w:val="20"/>
          <w:color w:val="auto"/>
        </w:rPr>
      </w:pPr>
    </w:p>
    <w:p>
      <w:pPr>
        <w:sectPr>
          <w:pgSz w:w="11900" w:h="16838" w:orient="portrait"/>
          <w:cols w:equalWidth="0" w:num="2">
            <w:col w:w="5400" w:space="320"/>
            <w:col w:w="4700"/>
          </w:cols>
          <w:pgMar w:left="320" w:top="459" w:right="1159" w:bottom="1440" w:gutter="0" w:footer="0" w:header="0"/>
          <w:type w:val="continuous"/>
        </w:sectPr>
      </w:pPr>
    </w:p>
    <w:p>
      <w:pPr>
        <w:spacing w:after="0" w:line="14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Role of Management in Setting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78740</wp:posOffset>
            </wp:positionV>
            <wp:extent cx="61036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type w:val="continuous"/>
        </w:sectPr>
      </w:pPr>
    </w:p>
    <w:p>
      <w:pPr>
        <w:spacing w:after="0" w:line="342"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Our human resources staff supports the P&amp;C Committee in its work. They also work with compensation consultants, whose engagements have been approved by the P&amp;C Committee, and with accountants, legal counsel and other advisors, as necessary, to implement the P&amp;C Committee’s decisions, to monitor evolving competitive practices and to make compensation recommendations to the P&amp;C Committee. The P&amp;C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For most compensation topics for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which the P&amp;C Committee is responsible, it has directed Pay Governance to work with management to develop recommendations that reflect the P&amp;C Committee’s objectives for the compensation program. Pay Governance performs no other services for the Company. The P&amp;C Committee has final authority to approve, modify or reject these recommendations and to make its decisions in executive session. Our President and CEO provides input with respect to compensation of the executive officers (other than himself) but is otherwise not involved in decisions of the P&amp;C Committee affecting the compensation of our executive officers. While our CFO, General Counsel, Senior Vice President and Chief Administrative Officer and other members of our human</w:t>
      </w:r>
    </w:p>
    <w:p>
      <w:pPr>
        <w:spacing w:after="0" w:line="200" w:lineRule="exact"/>
        <w:rPr>
          <w:sz w:val="20"/>
          <w:szCs w:val="20"/>
          <w:color w:val="auto"/>
        </w:rPr>
      </w:pPr>
    </w:p>
    <w:p>
      <w:pPr>
        <w:sectPr>
          <w:pgSz w:w="11900" w:h="16838" w:orient="portrait"/>
          <w:cols w:equalWidth="0" w:num="2">
            <w:col w:w="5400" w:space="320"/>
            <w:col w:w="4700"/>
          </w:cols>
          <w:pgMar w:left="320" w:top="459" w:right="115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780" w:hanging="393"/>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20"/>
          </w:cols>
          <w:pgMar w:left="320" w:top="459" w:right="11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59" w:right="719" w:bottom="978" w:gutter="0" w:footer="0" w:header="0"/>
        </w:sectPr>
      </w:pPr>
    </w:p>
    <w:p>
      <w:pPr>
        <w:spacing w:after="0" w:line="200" w:lineRule="exact"/>
        <w:rPr>
          <w:sz w:val="20"/>
          <w:szCs w:val="20"/>
          <w:color w:val="auto"/>
        </w:rPr>
      </w:pPr>
    </w:p>
    <w:p>
      <w:pPr>
        <w:spacing w:after="0" w:line="312" w:lineRule="exact"/>
        <w:rPr>
          <w:sz w:val="20"/>
          <w:szCs w:val="20"/>
          <w:color w:val="auto"/>
        </w:rPr>
      </w:pPr>
    </w:p>
    <w:p>
      <w:pPr>
        <w:ind w:left="820"/>
        <w:spacing w:after="0" w:line="251" w:lineRule="auto"/>
        <w:rPr>
          <w:sz w:val="20"/>
          <w:szCs w:val="20"/>
          <w:color w:val="auto"/>
        </w:rPr>
      </w:pPr>
      <w:r>
        <w:rPr>
          <w:rFonts w:ascii="Arial" w:cs="Arial" w:eastAsia="Arial" w:hAnsi="Arial"/>
          <w:sz w:val="16"/>
          <w:szCs w:val="16"/>
          <w:color w:val="auto"/>
        </w:rPr>
        <w:t>resources management attend such meetings to provide information, present materials to the P&amp;C Committee and answer related questions, they are not involved in decisions of the P&amp;C Committee affecting the compensation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560"/>
        <w:spacing w:after="0" w:line="253" w:lineRule="auto"/>
        <w:rPr>
          <w:sz w:val="20"/>
          <w:szCs w:val="20"/>
          <w:color w:val="auto"/>
        </w:rPr>
      </w:pPr>
      <w:r>
        <w:rPr>
          <w:rFonts w:ascii="Arial" w:cs="Arial" w:eastAsia="Arial" w:hAnsi="Arial"/>
          <w:sz w:val="16"/>
          <w:szCs w:val="16"/>
          <w:color w:val="auto"/>
        </w:rPr>
        <w:t>executive officers. The P&amp;C Committee typically meets in executive session after each of its regularly scheduled meetings to discuss executive compensation and make decisions.</w:t>
      </w:r>
    </w:p>
    <w:p>
      <w:pPr>
        <w:spacing w:after="0" w:line="387" w:lineRule="exact"/>
        <w:rPr>
          <w:sz w:val="20"/>
          <w:szCs w:val="20"/>
          <w:color w:val="auto"/>
        </w:rPr>
      </w:pPr>
    </w:p>
    <w:p>
      <w:pPr>
        <w:sectPr>
          <w:pgSz w:w="11900" w:h="16838" w:orient="portrait"/>
          <w:cols w:equalWidth="0" w:num="2">
            <w:col w:w="5280" w:space="440"/>
            <w:col w:w="5140"/>
          </w:cols>
          <w:pgMar w:left="320" w:top="459" w:right="719" w:bottom="978" w:gutter="0" w:footer="0" w:header="0"/>
          <w:type w:val="continuous"/>
        </w:sectPr>
      </w:pPr>
    </w:p>
    <w:p>
      <w:pPr>
        <w:spacing w:after="0" w:line="15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Discretion of P&amp;C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69850</wp:posOffset>
            </wp:positionV>
            <wp:extent cx="6103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10860"/>
          </w:cols>
          <w:pgMar w:left="320" w:top="459" w:right="719" w:bottom="978" w:gutter="0" w:footer="0" w:header="0"/>
          <w:type w:val="continuous"/>
        </w:sectPr>
      </w:pPr>
    </w:p>
    <w:p>
      <w:pPr>
        <w:spacing w:after="0" w:line="342"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The P&amp;C Committee generally has the discretion to make awards under the Annual Incentive Plan (“AIP”) and the 2019 Long-Term Stock Incentive Plan (and, prior to our 2019 Annual Meeting, our 2009 Long-Term Stock Incentive Plan) (the “LTSIP”) to our executive officers, including the NEOs. In addition, under the AIP and the LTSIP, the P&amp;C Committee retains the authority to provide for adjustments to the financial measures utilized for annual and long-term incentive awards, such as excluding the impact of gains or losses on the sale of assets, the effects of changes in accounting principles or the application thereof, or unusual or non-recurring items, including the impact of significant differences from the assumptions contained in the financial budget upon which the applicable performance targets were established.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60"/>
        <w:spacing w:after="0" w:line="248" w:lineRule="auto"/>
        <w:rPr>
          <w:sz w:val="20"/>
          <w:szCs w:val="20"/>
          <w:color w:val="auto"/>
        </w:rPr>
      </w:pPr>
      <w:r>
        <w:rPr>
          <w:rFonts w:ascii="Arial" w:cs="Arial" w:eastAsia="Arial" w:hAnsi="Arial"/>
          <w:sz w:val="16"/>
          <w:szCs w:val="16"/>
          <w:color w:val="auto"/>
        </w:rPr>
        <w:t>Any such adjustments to financial measures are intended to better reflect the actual performance of approximately 7,000 AIP and over 100 Performance-Vested LTI Award participants, align award payments with decisions that support the Company’s long-term financial plan and strategies, avoid unintended inflation or deflation of awards due to unusual or non-recurring items during the performance period, and emphasize the Company’s preference for long-term, sustainable growth.</w:t>
      </w:r>
    </w:p>
    <w:p>
      <w:pPr>
        <w:spacing w:after="0" w:line="99"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color w:val="auto"/>
        </w:rPr>
        <w:t>Adjustments are limited in number and, when considered and applied, take into account our overarching objectives of ensuring strong alignment of pay decisions and Company performance results in support of stakeholder value creation and talent attraction, retention and motivation.</w:t>
      </w:r>
    </w:p>
    <w:p>
      <w:pPr>
        <w:spacing w:after="0" w:line="272" w:lineRule="exact"/>
        <w:rPr>
          <w:sz w:val="20"/>
          <w:szCs w:val="20"/>
          <w:color w:val="auto"/>
        </w:rPr>
      </w:pPr>
    </w:p>
    <w:p>
      <w:pPr>
        <w:sectPr>
          <w:pgSz w:w="11900" w:h="16838" w:orient="portrait"/>
          <w:cols w:equalWidth="0" w:num="2">
            <w:col w:w="5340" w:space="380"/>
            <w:col w:w="5140"/>
          </w:cols>
          <w:pgMar w:left="320" w:top="459" w:right="719" w:bottom="978" w:gutter="0" w:footer="0" w:header="0"/>
          <w:type w:val="continuous"/>
        </w:sectPr>
      </w:pPr>
    </w:p>
    <w:p>
      <w:pPr>
        <w:spacing w:after="0" w:line="161"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Executive Compensation Objectives and Core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69850</wp:posOffset>
            </wp:positionV>
            <wp:extent cx="6103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ectPr>
          <w:pgSz w:w="11900" w:h="16838" w:orient="portrait"/>
          <w:cols w:equalWidth="0" w:num="1">
            <w:col w:w="10860"/>
          </w:cols>
          <w:pgMar w:left="320" w:top="459" w:right="719" w:bottom="978" w:gutter="0" w:footer="0" w:header="0"/>
          <w:type w:val="continuous"/>
        </w:sect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objectives of our compensation program are to:</w:t>
      </w:r>
    </w:p>
    <w:p>
      <w:pPr>
        <w:spacing w:after="0" w:line="127" w:lineRule="exact"/>
        <w:rPr>
          <w:sz w:val="20"/>
          <w:szCs w:val="20"/>
          <w:color w:val="auto"/>
        </w:rPr>
      </w:pPr>
    </w:p>
    <w:p>
      <w:pPr>
        <w:ind w:left="1020" w:hanging="205"/>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6" w:lineRule="exact"/>
        <w:rPr>
          <w:rFonts w:ascii="Arial" w:cs="Arial" w:eastAsia="Arial" w:hAnsi="Arial"/>
          <w:sz w:val="16"/>
          <w:szCs w:val="16"/>
          <w:color w:val="auto"/>
        </w:rPr>
      </w:pPr>
    </w:p>
    <w:p>
      <w:pPr>
        <w:ind w:left="1020" w:right="60" w:hanging="205"/>
        <w:spacing w:after="0" w:line="260"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as well as return on investment;</w:t>
      </w:r>
    </w:p>
    <w:p>
      <w:pPr>
        <w:spacing w:after="0" w:line="100" w:lineRule="exact"/>
        <w:rPr>
          <w:rFonts w:ascii="Arial" w:cs="Arial" w:eastAsia="Arial" w:hAnsi="Arial"/>
          <w:sz w:val="16"/>
          <w:szCs w:val="16"/>
          <w:color w:val="auto"/>
        </w:rPr>
      </w:pPr>
    </w:p>
    <w:p>
      <w:pPr>
        <w:ind w:left="1020" w:hanging="205"/>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link the interests of management with those of stockholders;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00" w:right="520" w:hanging="200"/>
        <w:spacing w:after="0" w:line="260" w:lineRule="auto"/>
        <w:tabs>
          <w:tab w:leader="none" w:pos="2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align management’s compensation with our business strategy and compensation philosophy;</w:t>
      </w:r>
    </w:p>
    <w:p>
      <w:pPr>
        <w:spacing w:after="0" w:line="100" w:lineRule="exact"/>
        <w:rPr>
          <w:rFonts w:ascii="Arial" w:cs="Arial" w:eastAsia="Arial" w:hAnsi="Arial"/>
          <w:sz w:val="16"/>
          <w:szCs w:val="16"/>
          <w:color w:val="auto"/>
        </w:rPr>
      </w:pPr>
    </w:p>
    <w:p>
      <w:pPr>
        <w:ind w:left="200" w:right="640" w:hanging="200"/>
        <w:spacing w:after="0" w:line="260" w:lineRule="auto"/>
        <w:tabs>
          <w:tab w:leader="none" w:pos="2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promote teamwork within our group of global managers (our “One Lear” concept); and</w:t>
      </w:r>
    </w:p>
    <w:p>
      <w:pPr>
        <w:spacing w:after="0" w:line="100" w:lineRule="exact"/>
        <w:rPr>
          <w:rFonts w:ascii="Arial" w:cs="Arial" w:eastAsia="Arial" w:hAnsi="Arial"/>
          <w:sz w:val="16"/>
          <w:szCs w:val="16"/>
          <w:color w:val="auto"/>
        </w:rPr>
      </w:pPr>
    </w:p>
    <w:p>
      <w:pPr>
        <w:ind w:left="200" w:hanging="200"/>
        <w:spacing w:after="0"/>
        <w:tabs>
          <w:tab w:leader="none" w:pos="2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attract, reward and retain the best executive talent.</w:t>
      </w:r>
    </w:p>
    <w:p>
      <w:pPr>
        <w:spacing w:after="0" w:line="321" w:lineRule="exact"/>
        <w:rPr>
          <w:sz w:val="20"/>
          <w:szCs w:val="20"/>
          <w:color w:val="auto"/>
        </w:rPr>
      </w:pPr>
    </w:p>
    <w:p>
      <w:pPr>
        <w:sectPr>
          <w:pgSz w:w="11900" w:h="16838" w:orient="portrait"/>
          <w:cols w:equalWidth="0" w:num="2">
            <w:col w:w="5320" w:space="400"/>
            <w:col w:w="5140"/>
          </w:cols>
          <w:pgMar w:left="320" w:top="459" w:right="719" w:bottom="978" w:gutter="0" w:footer="0" w:header="0"/>
          <w:type w:val="continuous"/>
        </w:sectPr>
      </w:pPr>
    </w:p>
    <w:p>
      <w:pPr>
        <w:spacing w:after="0" w:line="183" w:lineRule="exact"/>
        <w:rPr>
          <w:sz w:val="20"/>
          <w:szCs w:val="20"/>
          <w:color w:val="auto"/>
        </w:rPr>
      </w:pPr>
    </w:p>
    <w:p>
      <w:pPr>
        <w:ind w:left="820" w:right="600"/>
        <w:spacing w:after="0" w:line="260" w:lineRule="auto"/>
        <w:rPr>
          <w:sz w:val="20"/>
          <w:szCs w:val="20"/>
          <w:color w:val="auto"/>
        </w:rPr>
      </w:pPr>
      <w:r>
        <w:rPr>
          <w:rFonts w:ascii="Arial" w:cs="Arial" w:eastAsia="Arial" w:hAnsi="Arial"/>
          <w:sz w:val="16"/>
          <w:szCs w:val="16"/>
          <w:color w:val="auto"/>
        </w:rPr>
        <w:t>To achieve these objectives, we provide a total compensation program for executive officers that consists of base salary, annual and long-term incentive award opportunities, which are summarized below for 2021, as well as certain benefits (covered later).</w:t>
      </w:r>
    </w:p>
    <w:p>
      <w:pPr>
        <w:spacing w:after="0" w:line="20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E2231A"/>
              </w:rPr>
              <w:t>Fixed vs.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E2231A"/>
              </w:rPr>
              <w:t>Cash vs.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E2231A"/>
              </w:rPr>
              <w:t>Payout</w:t>
            </w:r>
          </w:p>
        </w:tc>
      </w:tr>
      <w:tr>
        <w:trPr>
          <w:trHeight w:val="189"/>
        </w:trPr>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Element</w:t>
            </w:r>
          </w:p>
        </w:tc>
        <w:tc>
          <w:tcPr>
            <w:tcW w:w="34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E2231A"/>
              </w:rPr>
              <w:t>Purpose</w:t>
            </w:r>
          </w:p>
        </w:tc>
        <w:tc>
          <w:tcPr>
            <w:tcW w:w="2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E2231A"/>
              </w:rPr>
              <w:t>Performance 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Variable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Equity</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Range</w:t>
            </w:r>
          </w:p>
        </w:tc>
      </w:tr>
      <w:tr>
        <w:trPr>
          <w:trHeight w:val="238"/>
        </w:trPr>
        <w:tc>
          <w:tcPr>
            <w:tcW w:w="1240" w:type="dxa"/>
            <w:vAlign w:val="bottom"/>
            <w:shd w:val="clear" w:color="auto" w:fill="FCE9E8"/>
          </w:tcPr>
          <w:p>
            <w:pPr>
              <w:ind w:left="60"/>
              <w:spacing w:after="0"/>
              <w:rPr>
                <w:sz w:val="20"/>
                <w:szCs w:val="20"/>
                <w:color w:val="auto"/>
              </w:rPr>
            </w:pPr>
            <w:r>
              <w:rPr>
                <w:rFonts w:ascii="Arial" w:cs="Arial" w:eastAsia="Arial" w:hAnsi="Arial"/>
                <w:sz w:val="16"/>
                <w:szCs w:val="16"/>
                <w:color w:val="auto"/>
              </w:rPr>
              <w:t>Base Salary</w:t>
            </w: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Provide a competitive rate of pay to attract,</w:t>
            </w:r>
          </w:p>
        </w:tc>
        <w:tc>
          <w:tcPr>
            <w:tcW w:w="2100" w:type="dxa"/>
            <w:vAlign w:val="bottom"/>
            <w:shd w:val="clear" w:color="auto" w:fill="FCE9E8"/>
          </w:tcPr>
          <w:p>
            <w:pPr>
              <w:ind w:left="40"/>
              <w:spacing w:after="0"/>
              <w:rPr>
                <w:sz w:val="20"/>
                <w:szCs w:val="20"/>
                <w:color w:val="auto"/>
              </w:rPr>
            </w:pPr>
            <w:r>
              <w:rPr>
                <w:rFonts w:ascii="Arial" w:cs="Arial" w:eastAsia="Arial" w:hAnsi="Arial"/>
                <w:sz w:val="16"/>
                <w:szCs w:val="16"/>
                <w:color w:val="auto"/>
              </w:rPr>
              <w:t>Individual performance,</w:t>
            </w:r>
          </w:p>
        </w:tc>
        <w:tc>
          <w:tcPr>
            <w:tcW w:w="7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Fixed</w:t>
            </w: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Cash</w:t>
            </w: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1240" w:type="dxa"/>
            <w:vAlign w:val="bottom"/>
            <w:shd w:val="clear" w:color="auto" w:fill="FCE9E8"/>
          </w:tcPr>
          <w:p>
            <w:pPr>
              <w:spacing w:after="0"/>
              <w:rPr>
                <w:sz w:val="16"/>
                <w:szCs w:val="16"/>
                <w:color w:val="auto"/>
              </w:rPr>
            </w:pP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motivate and retain executive officers of the</w:t>
            </w:r>
          </w:p>
        </w:tc>
        <w:tc>
          <w:tcPr>
            <w:tcW w:w="2100" w:type="dxa"/>
            <w:vAlign w:val="bottom"/>
            <w:shd w:val="clear" w:color="auto" w:fill="FCE9E8"/>
          </w:tcPr>
          <w:p>
            <w:pPr>
              <w:ind w:left="40"/>
              <w:spacing w:after="0"/>
              <w:rPr>
                <w:sz w:val="20"/>
                <w:szCs w:val="20"/>
                <w:color w:val="auto"/>
              </w:rPr>
            </w:pPr>
            <w:r>
              <w:rPr>
                <w:rFonts w:ascii="Arial" w:cs="Arial" w:eastAsia="Arial" w:hAnsi="Arial"/>
                <w:sz w:val="16"/>
                <w:szCs w:val="16"/>
                <w:color w:val="auto"/>
              </w:rPr>
              <w:t>responsibilities, experience,</w:t>
            </w: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spacing w:after="0"/>
              <w:rPr>
                <w:sz w:val="16"/>
                <w:szCs w:val="16"/>
                <w:color w:val="auto"/>
              </w:rPr>
            </w:pPr>
          </w:p>
        </w:tc>
      </w:tr>
      <w:tr>
        <w:trPr>
          <w:trHeight w:val="189"/>
        </w:trPr>
        <w:tc>
          <w:tcPr>
            <w:tcW w:w="1240" w:type="dxa"/>
            <w:vAlign w:val="bottom"/>
            <w:shd w:val="clear" w:color="auto" w:fill="FCE9E8"/>
          </w:tcPr>
          <w:p>
            <w:pPr>
              <w:spacing w:after="0"/>
              <w:rPr>
                <w:sz w:val="16"/>
                <w:szCs w:val="16"/>
                <w:color w:val="auto"/>
              </w:rPr>
            </w:pP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Company</w:t>
            </w:r>
          </w:p>
        </w:tc>
        <w:tc>
          <w:tcPr>
            <w:tcW w:w="2100" w:type="dxa"/>
            <w:vAlign w:val="bottom"/>
            <w:shd w:val="clear" w:color="auto" w:fill="FCE9E8"/>
          </w:tcPr>
          <w:p>
            <w:pPr>
              <w:ind w:left="40"/>
              <w:spacing w:after="0"/>
              <w:rPr>
                <w:sz w:val="20"/>
                <w:szCs w:val="20"/>
                <w:color w:val="auto"/>
              </w:rPr>
            </w:pPr>
            <w:r>
              <w:rPr>
                <w:rFonts w:ascii="Arial" w:cs="Arial" w:eastAsia="Arial" w:hAnsi="Arial"/>
                <w:sz w:val="16"/>
                <w:szCs w:val="16"/>
                <w:color w:val="auto"/>
              </w:rPr>
              <w:t>time in position and critical</w:t>
            </w: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spacing w:after="0"/>
              <w:rPr>
                <w:sz w:val="16"/>
                <w:szCs w:val="16"/>
                <w:color w:val="auto"/>
              </w:rPr>
            </w:pPr>
          </w:p>
        </w:tc>
      </w:tr>
      <w:tr>
        <w:trPr>
          <w:trHeight w:val="235"/>
        </w:trPr>
        <w:tc>
          <w:tcPr>
            <w:tcW w:w="1240" w:type="dxa"/>
            <w:vAlign w:val="bottom"/>
            <w:tcBorders>
              <w:bottom w:val="single" w:sz="8" w:color="FCE9E8"/>
            </w:tcBorders>
            <w:shd w:val="clear" w:color="auto" w:fill="FCE9E8"/>
          </w:tcPr>
          <w:p>
            <w:pPr>
              <w:spacing w:after="0"/>
              <w:rPr>
                <w:sz w:val="20"/>
                <w:szCs w:val="20"/>
                <w:color w:val="auto"/>
              </w:rPr>
            </w:pPr>
          </w:p>
        </w:tc>
        <w:tc>
          <w:tcPr>
            <w:tcW w:w="3420" w:type="dxa"/>
            <w:vAlign w:val="bottom"/>
            <w:tcBorders>
              <w:bottom w:val="single" w:sz="8" w:color="FCE9E8"/>
            </w:tcBorders>
            <w:shd w:val="clear" w:color="auto" w:fill="FCE9E8"/>
          </w:tcPr>
          <w:p>
            <w:pPr>
              <w:spacing w:after="0"/>
              <w:rPr>
                <w:sz w:val="20"/>
                <w:szCs w:val="20"/>
                <w:color w:val="auto"/>
              </w:rPr>
            </w:pPr>
          </w:p>
        </w:tc>
        <w:tc>
          <w:tcPr>
            <w:tcW w:w="2100" w:type="dxa"/>
            <w:vAlign w:val="bottom"/>
            <w:tcBorders>
              <w:bottom w:val="single" w:sz="8" w:color="FCE9E8"/>
            </w:tcBorders>
            <w:shd w:val="clear" w:color="auto" w:fill="FCE9E8"/>
          </w:tcPr>
          <w:p>
            <w:pPr>
              <w:ind w:left="40"/>
              <w:spacing w:after="0"/>
              <w:rPr>
                <w:sz w:val="20"/>
                <w:szCs w:val="20"/>
                <w:color w:val="auto"/>
              </w:rPr>
            </w:pPr>
            <w:r>
              <w:rPr>
                <w:rFonts w:ascii="Arial" w:cs="Arial" w:eastAsia="Arial" w:hAnsi="Arial"/>
                <w:sz w:val="16"/>
                <w:szCs w:val="16"/>
                <w:color w:val="auto"/>
              </w:rPr>
              <w:t>skills</w:t>
            </w:r>
          </w:p>
        </w:tc>
        <w:tc>
          <w:tcPr>
            <w:tcW w:w="740" w:type="dxa"/>
            <w:vAlign w:val="bottom"/>
            <w:tcBorders>
              <w:bottom w:val="single" w:sz="8" w:color="FCE9E8"/>
            </w:tcBorders>
            <w:shd w:val="clear" w:color="auto" w:fill="FCE9E8"/>
          </w:tcPr>
          <w:p>
            <w:pPr>
              <w:spacing w:after="0"/>
              <w:rPr>
                <w:sz w:val="20"/>
                <w:szCs w:val="20"/>
                <w:color w:val="auto"/>
              </w:rPr>
            </w:pPr>
          </w:p>
        </w:tc>
        <w:tc>
          <w:tcPr>
            <w:tcW w:w="760" w:type="dxa"/>
            <w:vAlign w:val="bottom"/>
            <w:tcBorders>
              <w:bottom w:val="single" w:sz="8" w:color="FCE9E8"/>
            </w:tcBorders>
            <w:shd w:val="clear" w:color="auto" w:fill="FCE9E8"/>
          </w:tcPr>
          <w:p>
            <w:pPr>
              <w:spacing w:after="0"/>
              <w:rPr>
                <w:sz w:val="20"/>
                <w:szCs w:val="20"/>
                <w:color w:val="auto"/>
              </w:rPr>
            </w:pPr>
          </w:p>
        </w:tc>
        <w:tc>
          <w:tcPr>
            <w:tcW w:w="1340" w:type="dxa"/>
            <w:vAlign w:val="bottom"/>
            <w:tcBorders>
              <w:bottom w:val="single" w:sz="8" w:color="FCE9E8"/>
            </w:tcBorders>
            <w:shd w:val="clear" w:color="auto" w:fill="FCE9E8"/>
          </w:tcPr>
          <w:p>
            <w:pPr>
              <w:spacing w:after="0"/>
              <w:rPr>
                <w:sz w:val="20"/>
                <w:szCs w:val="20"/>
                <w:color w:val="auto"/>
              </w:rPr>
            </w:pPr>
          </w:p>
        </w:tc>
      </w:tr>
      <w:tr>
        <w:trPr>
          <w:trHeight w:val="258"/>
        </w:trPr>
        <w:tc>
          <w:tcPr>
            <w:tcW w:w="1240" w:type="dxa"/>
            <w:vAlign w:val="bottom"/>
          </w:tcPr>
          <w:p>
            <w:pPr>
              <w:ind w:left="60"/>
              <w:spacing w:after="0"/>
              <w:rPr>
                <w:sz w:val="20"/>
                <w:szCs w:val="20"/>
                <w:color w:val="auto"/>
              </w:rPr>
            </w:pPr>
            <w:r>
              <w:rPr>
                <w:rFonts w:ascii="Arial" w:cs="Arial" w:eastAsia="Arial" w:hAnsi="Arial"/>
                <w:sz w:val="16"/>
                <w:szCs w:val="16"/>
                <w:color w:val="auto"/>
              </w:rPr>
              <w:t>2021 AIP</w:t>
            </w:r>
          </w:p>
        </w:tc>
        <w:tc>
          <w:tcPr>
            <w:tcW w:w="3420" w:type="dxa"/>
            <w:vAlign w:val="bottom"/>
          </w:tcPr>
          <w:p>
            <w:pPr>
              <w:ind w:left="60"/>
              <w:spacing w:after="0"/>
              <w:rPr>
                <w:sz w:val="20"/>
                <w:szCs w:val="20"/>
                <w:color w:val="auto"/>
              </w:rPr>
            </w:pPr>
            <w:r>
              <w:rPr>
                <w:rFonts w:ascii="Arial" w:cs="Arial" w:eastAsia="Arial" w:hAnsi="Arial"/>
                <w:sz w:val="16"/>
                <w:szCs w:val="16"/>
                <w:color w:val="auto"/>
              </w:rPr>
              <w:t>Align a portion of annual pay to performance</w:t>
            </w:r>
          </w:p>
        </w:tc>
        <w:tc>
          <w:tcPr>
            <w:tcW w:w="2100" w:type="dxa"/>
            <w:vAlign w:val="bottom"/>
          </w:tcPr>
          <w:p>
            <w:pPr>
              <w:ind w:left="40"/>
              <w:spacing w:after="0"/>
              <w:rPr>
                <w:sz w:val="20"/>
                <w:szCs w:val="20"/>
                <w:color w:val="auto"/>
              </w:rPr>
            </w:pPr>
            <w:r>
              <w:rPr>
                <w:rFonts w:ascii="Arial" w:cs="Arial" w:eastAsia="Arial" w:hAnsi="Arial"/>
                <w:sz w:val="16"/>
                <w:szCs w:val="16"/>
                <w:color w:val="auto"/>
              </w:rPr>
              <w:t>Adjusted Operating</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tcPr>
          <w:p>
            <w:pPr>
              <w:jc w:val="center"/>
              <w:spacing w:after="0"/>
              <w:rPr>
                <w:sz w:val="20"/>
                <w:szCs w:val="20"/>
                <w:color w:val="auto"/>
              </w:rPr>
            </w:pPr>
            <w:r>
              <w:rPr>
                <w:rFonts w:ascii="Arial" w:cs="Arial" w:eastAsia="Arial" w:hAnsi="Arial"/>
                <w:sz w:val="16"/>
                <w:szCs w:val="16"/>
                <w:color w:val="auto"/>
              </w:rPr>
              <w:t>Cash</w:t>
            </w:r>
          </w:p>
        </w:tc>
        <w:tc>
          <w:tcPr>
            <w:tcW w:w="1340" w:type="dxa"/>
            <w:vAlign w:val="bottom"/>
          </w:tcPr>
          <w:p>
            <w:pPr>
              <w:jc w:val="center"/>
              <w:spacing w:after="0"/>
              <w:rPr>
                <w:sz w:val="20"/>
                <w:szCs w:val="20"/>
                <w:color w:val="auto"/>
              </w:rPr>
            </w:pPr>
            <w:r>
              <w:rPr>
                <w:rFonts w:ascii="Arial" w:cs="Arial" w:eastAsia="Arial" w:hAnsi="Arial"/>
                <w:sz w:val="16"/>
                <w:szCs w:val="16"/>
                <w:color w:val="auto"/>
              </w:rPr>
              <w:t>0-200% of target</w:t>
            </w:r>
          </w:p>
        </w:tc>
      </w:tr>
      <w:tr>
        <w:trPr>
          <w:trHeight w:val="189"/>
        </w:trPr>
        <w:tc>
          <w:tcPr>
            <w:tcW w:w="124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against key goals and objectives for the year</w:t>
            </w:r>
          </w:p>
        </w:tc>
        <w:tc>
          <w:tcPr>
            <w:tcW w:w="2100" w:type="dxa"/>
            <w:vAlign w:val="bottom"/>
          </w:tcPr>
          <w:p>
            <w:pPr>
              <w:ind w:left="40"/>
              <w:spacing w:after="0"/>
              <w:rPr>
                <w:sz w:val="20"/>
                <w:szCs w:val="20"/>
                <w:color w:val="auto"/>
              </w:rPr>
            </w:pPr>
            <w:r>
              <w:rPr>
                <w:rFonts w:ascii="Arial" w:cs="Arial" w:eastAsia="Arial" w:hAnsi="Arial"/>
                <w:sz w:val="16"/>
                <w:szCs w:val="16"/>
                <w:color w:val="auto"/>
              </w:rPr>
              <w:t>Income (1/2)</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100" w:type="dxa"/>
            <w:vAlign w:val="bottom"/>
          </w:tcPr>
          <w:p>
            <w:pPr>
              <w:ind w:left="40"/>
              <w:spacing w:after="0"/>
              <w:rPr>
                <w:sz w:val="20"/>
                <w:szCs w:val="20"/>
                <w:color w:val="auto"/>
              </w:rPr>
            </w:pPr>
            <w:r>
              <w:rPr>
                <w:rFonts w:ascii="Arial" w:cs="Arial" w:eastAsia="Arial" w:hAnsi="Arial"/>
                <w:sz w:val="16"/>
                <w:szCs w:val="16"/>
                <w:color w:val="auto"/>
              </w:rPr>
              <w:t>Free Cash Flow (1/2)</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3"/>
        </w:trPr>
        <w:tc>
          <w:tcPr>
            <w:tcW w:w="1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58"/>
        </w:trPr>
        <w:tc>
          <w:tcPr>
            <w:tcW w:w="1240" w:type="dxa"/>
            <w:vAlign w:val="bottom"/>
            <w:shd w:val="clear" w:color="auto" w:fill="FCE9E8"/>
          </w:tcPr>
          <w:p>
            <w:pPr>
              <w:ind w:left="60"/>
              <w:spacing w:after="0"/>
              <w:rPr>
                <w:sz w:val="20"/>
                <w:szCs w:val="20"/>
                <w:color w:val="auto"/>
              </w:rPr>
            </w:pPr>
            <w:r>
              <w:rPr>
                <w:rFonts w:ascii="Arial" w:cs="Arial" w:eastAsia="Arial" w:hAnsi="Arial"/>
                <w:sz w:val="16"/>
                <w:szCs w:val="16"/>
                <w:color w:val="auto"/>
              </w:rPr>
              <w:t>Performance</w:t>
            </w: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Align executive pay with long-term stockholder</w:t>
            </w:r>
          </w:p>
        </w:tc>
        <w:tc>
          <w:tcPr>
            <w:tcW w:w="2100" w:type="dxa"/>
            <w:vAlign w:val="bottom"/>
            <w:shd w:val="clear" w:color="auto" w:fill="FCE9E8"/>
          </w:tcPr>
          <w:p>
            <w:pPr>
              <w:ind w:left="40"/>
              <w:spacing w:after="0"/>
              <w:rPr>
                <w:sz w:val="20"/>
                <w:szCs w:val="20"/>
                <w:color w:val="auto"/>
              </w:rPr>
            </w:pPr>
            <w:r>
              <w:rPr>
                <w:rFonts w:ascii="Arial" w:cs="Arial" w:eastAsia="Arial" w:hAnsi="Arial"/>
                <w:sz w:val="16"/>
                <w:szCs w:val="16"/>
                <w:color w:val="auto"/>
              </w:rPr>
              <w:t>Annual Adjusted Pretax</w:t>
            </w:r>
          </w:p>
        </w:tc>
        <w:tc>
          <w:tcPr>
            <w:tcW w:w="7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Equity</w:t>
            </w: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0-200% of target</w:t>
            </w:r>
          </w:p>
        </w:tc>
      </w:tr>
      <w:tr>
        <w:trPr>
          <w:trHeight w:val="189"/>
        </w:trPr>
        <w:tc>
          <w:tcPr>
            <w:tcW w:w="1240" w:type="dxa"/>
            <w:vAlign w:val="bottom"/>
            <w:shd w:val="clear" w:color="auto" w:fill="FCE9E8"/>
          </w:tcPr>
          <w:p>
            <w:pPr>
              <w:ind w:left="60"/>
              <w:spacing w:after="0"/>
              <w:rPr>
                <w:sz w:val="20"/>
                <w:szCs w:val="20"/>
                <w:color w:val="auto"/>
              </w:rPr>
            </w:pPr>
            <w:r>
              <w:rPr>
                <w:rFonts w:ascii="Arial" w:cs="Arial" w:eastAsia="Arial" w:hAnsi="Arial"/>
                <w:sz w:val="16"/>
                <w:szCs w:val="16"/>
                <w:color w:val="auto"/>
              </w:rPr>
              <w:t>Shares under</w:t>
            </w: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interests through equity-based compensation</w:t>
            </w:r>
          </w:p>
        </w:tc>
        <w:tc>
          <w:tcPr>
            <w:tcW w:w="2100" w:type="dxa"/>
            <w:vAlign w:val="bottom"/>
            <w:shd w:val="clear" w:color="auto" w:fill="FCE9E8"/>
          </w:tcPr>
          <w:p>
            <w:pPr>
              <w:ind w:left="40"/>
              <w:spacing w:after="0"/>
              <w:rPr>
                <w:sz w:val="20"/>
                <w:szCs w:val="20"/>
                <w:color w:val="auto"/>
              </w:rPr>
            </w:pPr>
            <w:r>
              <w:rPr>
                <w:rFonts w:ascii="Arial" w:cs="Arial" w:eastAsia="Arial" w:hAnsi="Arial"/>
                <w:sz w:val="16"/>
                <w:szCs w:val="16"/>
                <w:color w:val="auto"/>
              </w:rPr>
              <w:t>Income (2/3)</w:t>
            </w: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number of</w:t>
            </w:r>
          </w:p>
        </w:tc>
      </w:tr>
      <w:tr>
        <w:trPr>
          <w:trHeight w:val="189"/>
        </w:trPr>
        <w:tc>
          <w:tcPr>
            <w:tcW w:w="1240" w:type="dxa"/>
            <w:vAlign w:val="bottom"/>
            <w:shd w:val="clear" w:color="auto" w:fill="FCE9E8"/>
          </w:tcPr>
          <w:p>
            <w:pPr>
              <w:ind w:left="60"/>
              <w:spacing w:after="0"/>
              <w:rPr>
                <w:sz w:val="20"/>
                <w:szCs w:val="20"/>
                <w:color w:val="auto"/>
              </w:rPr>
            </w:pPr>
            <w:r>
              <w:rPr>
                <w:rFonts w:ascii="Arial" w:cs="Arial" w:eastAsia="Arial" w:hAnsi="Arial"/>
                <w:sz w:val="16"/>
                <w:szCs w:val="16"/>
                <w:color w:val="auto"/>
              </w:rPr>
              <w:t>LTSIP (2021-</w:t>
            </w: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tied to key performance metrics of the</w:t>
            </w:r>
          </w:p>
        </w:tc>
        <w:tc>
          <w:tcPr>
            <w:tcW w:w="2100" w:type="dxa"/>
            <w:vAlign w:val="bottom"/>
            <w:shd w:val="clear" w:color="auto" w:fill="FCE9E8"/>
          </w:tcPr>
          <w:p>
            <w:pPr>
              <w:ind w:left="40"/>
              <w:spacing w:after="0"/>
              <w:rPr>
                <w:sz w:val="20"/>
                <w:szCs w:val="20"/>
                <w:color w:val="auto"/>
              </w:rPr>
            </w:pPr>
            <w:r>
              <w:rPr>
                <w:rFonts w:ascii="Arial" w:cs="Arial" w:eastAsia="Arial" w:hAnsi="Arial"/>
                <w:sz w:val="16"/>
                <w:szCs w:val="16"/>
                <w:color w:val="auto"/>
              </w:rPr>
              <w:t>Relative TSR (1/3)</w:t>
            </w: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shares;</w:t>
            </w:r>
          </w:p>
        </w:tc>
      </w:tr>
      <w:tr>
        <w:trPr>
          <w:trHeight w:val="189"/>
        </w:trPr>
        <w:tc>
          <w:tcPr>
            <w:tcW w:w="1240" w:type="dxa"/>
            <w:vAlign w:val="bottom"/>
            <w:shd w:val="clear" w:color="auto" w:fill="FCE9E8"/>
          </w:tcPr>
          <w:p>
            <w:pPr>
              <w:ind w:left="60"/>
              <w:spacing w:after="0"/>
              <w:rPr>
                <w:sz w:val="20"/>
                <w:szCs w:val="20"/>
                <w:color w:val="auto"/>
              </w:rPr>
            </w:pPr>
            <w:r>
              <w:rPr>
                <w:rFonts w:ascii="Arial" w:cs="Arial" w:eastAsia="Arial" w:hAnsi="Arial"/>
                <w:sz w:val="16"/>
                <w:szCs w:val="16"/>
                <w:color w:val="auto"/>
              </w:rPr>
              <w:t>2023)</w:t>
            </w: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Company over a three-year period</w:t>
            </w:r>
          </w:p>
        </w:tc>
        <w:tc>
          <w:tcPr>
            <w:tcW w:w="210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w:t>
            </w:r>
          </w:p>
        </w:tc>
      </w:tr>
      <w:tr>
        <w:trPr>
          <w:trHeight w:val="189"/>
        </w:trPr>
        <w:tc>
          <w:tcPr>
            <w:tcW w:w="1240" w:type="dxa"/>
            <w:vAlign w:val="bottom"/>
            <w:shd w:val="clear" w:color="auto" w:fill="FCE9E8"/>
          </w:tcPr>
          <w:p>
            <w:pPr>
              <w:spacing w:after="0"/>
              <w:rPr>
                <w:sz w:val="16"/>
                <w:szCs w:val="16"/>
                <w:color w:val="auto"/>
              </w:rPr>
            </w:pPr>
          </w:p>
        </w:tc>
        <w:tc>
          <w:tcPr>
            <w:tcW w:w="3420" w:type="dxa"/>
            <w:vAlign w:val="bottom"/>
            <w:shd w:val="clear" w:color="auto" w:fill="FCE9E8"/>
          </w:tcPr>
          <w:p>
            <w:pPr>
              <w:spacing w:after="0"/>
              <w:rPr>
                <w:sz w:val="16"/>
                <w:szCs w:val="16"/>
                <w:color w:val="auto"/>
              </w:rPr>
            </w:pPr>
          </w:p>
        </w:tc>
        <w:tc>
          <w:tcPr>
            <w:tcW w:w="210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Share value</w:t>
            </w:r>
          </w:p>
        </w:tc>
      </w:tr>
      <w:tr>
        <w:trPr>
          <w:trHeight w:val="189"/>
        </w:trPr>
        <w:tc>
          <w:tcPr>
            <w:tcW w:w="1240" w:type="dxa"/>
            <w:vAlign w:val="bottom"/>
            <w:shd w:val="clear" w:color="auto" w:fill="FCE9E8"/>
          </w:tcPr>
          <w:p>
            <w:pPr>
              <w:spacing w:after="0"/>
              <w:rPr>
                <w:sz w:val="16"/>
                <w:szCs w:val="16"/>
                <w:color w:val="auto"/>
              </w:rPr>
            </w:pPr>
          </w:p>
        </w:tc>
        <w:tc>
          <w:tcPr>
            <w:tcW w:w="3420" w:type="dxa"/>
            <w:vAlign w:val="bottom"/>
            <w:shd w:val="clear" w:color="auto" w:fill="FCE9E8"/>
          </w:tcPr>
          <w:p>
            <w:pPr>
              <w:spacing w:after="0"/>
              <w:rPr>
                <w:sz w:val="16"/>
                <w:szCs w:val="16"/>
                <w:color w:val="auto"/>
              </w:rPr>
            </w:pPr>
          </w:p>
        </w:tc>
        <w:tc>
          <w:tcPr>
            <w:tcW w:w="210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fluctuates with</w:t>
            </w:r>
          </w:p>
        </w:tc>
      </w:tr>
      <w:tr>
        <w:trPr>
          <w:trHeight w:val="189"/>
        </w:trPr>
        <w:tc>
          <w:tcPr>
            <w:tcW w:w="1240" w:type="dxa"/>
            <w:vAlign w:val="bottom"/>
            <w:shd w:val="clear" w:color="auto" w:fill="FCE9E8"/>
          </w:tcPr>
          <w:p>
            <w:pPr>
              <w:spacing w:after="0"/>
              <w:rPr>
                <w:sz w:val="16"/>
                <w:szCs w:val="16"/>
                <w:color w:val="auto"/>
              </w:rPr>
            </w:pPr>
          </w:p>
        </w:tc>
        <w:tc>
          <w:tcPr>
            <w:tcW w:w="3420" w:type="dxa"/>
            <w:vAlign w:val="bottom"/>
            <w:shd w:val="clear" w:color="auto" w:fill="FCE9E8"/>
          </w:tcPr>
          <w:p>
            <w:pPr>
              <w:spacing w:after="0"/>
              <w:rPr>
                <w:sz w:val="16"/>
                <w:szCs w:val="16"/>
                <w:color w:val="auto"/>
              </w:rPr>
            </w:pPr>
          </w:p>
        </w:tc>
        <w:tc>
          <w:tcPr>
            <w:tcW w:w="210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stock price</w:t>
            </w:r>
          </w:p>
        </w:tc>
      </w:tr>
      <w:tr>
        <w:trPr>
          <w:trHeight w:val="195"/>
        </w:trPr>
        <w:tc>
          <w:tcPr>
            <w:tcW w:w="1240" w:type="dxa"/>
            <w:vAlign w:val="bottom"/>
            <w:shd w:val="clear" w:color="auto" w:fill="FCE9E8"/>
          </w:tcPr>
          <w:p>
            <w:pPr>
              <w:spacing w:after="0"/>
              <w:rPr>
                <w:sz w:val="16"/>
                <w:szCs w:val="16"/>
                <w:color w:val="auto"/>
              </w:rPr>
            </w:pPr>
          </w:p>
        </w:tc>
        <w:tc>
          <w:tcPr>
            <w:tcW w:w="3420" w:type="dxa"/>
            <w:vAlign w:val="bottom"/>
            <w:shd w:val="clear" w:color="auto" w:fill="FCE9E8"/>
          </w:tcPr>
          <w:p>
            <w:pPr>
              <w:spacing w:after="0"/>
              <w:rPr>
                <w:sz w:val="16"/>
                <w:szCs w:val="16"/>
                <w:color w:val="auto"/>
              </w:rPr>
            </w:pPr>
          </w:p>
        </w:tc>
        <w:tc>
          <w:tcPr>
            <w:tcW w:w="210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movement</w:t>
            </w:r>
          </w:p>
        </w:tc>
      </w:tr>
      <w:tr>
        <w:trPr>
          <w:trHeight w:val="74"/>
        </w:trPr>
        <w:tc>
          <w:tcPr>
            <w:tcW w:w="1240" w:type="dxa"/>
            <w:vAlign w:val="bottom"/>
            <w:shd w:val="clear" w:color="auto" w:fill="FCE9E8"/>
          </w:tcPr>
          <w:p>
            <w:pPr>
              <w:spacing w:after="0"/>
              <w:rPr>
                <w:sz w:val="6"/>
                <w:szCs w:val="6"/>
                <w:color w:val="auto"/>
              </w:rPr>
            </w:pPr>
          </w:p>
        </w:tc>
        <w:tc>
          <w:tcPr>
            <w:tcW w:w="3420" w:type="dxa"/>
            <w:vAlign w:val="bottom"/>
            <w:shd w:val="clear" w:color="auto" w:fill="FCE9E8"/>
          </w:tcPr>
          <w:p>
            <w:pPr>
              <w:spacing w:after="0"/>
              <w:rPr>
                <w:sz w:val="6"/>
                <w:szCs w:val="6"/>
                <w:color w:val="auto"/>
              </w:rPr>
            </w:pPr>
          </w:p>
        </w:tc>
        <w:tc>
          <w:tcPr>
            <w:tcW w:w="2100" w:type="dxa"/>
            <w:vAlign w:val="bottom"/>
            <w:shd w:val="clear" w:color="auto" w:fill="FCE9E8"/>
          </w:tcPr>
          <w:p>
            <w:pPr>
              <w:spacing w:after="0"/>
              <w:rPr>
                <w:sz w:val="6"/>
                <w:szCs w:val="6"/>
                <w:color w:val="auto"/>
              </w:rPr>
            </w:pPr>
          </w:p>
        </w:tc>
        <w:tc>
          <w:tcPr>
            <w:tcW w:w="740" w:type="dxa"/>
            <w:vAlign w:val="bottom"/>
            <w:shd w:val="clear" w:color="auto" w:fill="FCE9E8"/>
          </w:tcPr>
          <w:p>
            <w:pPr>
              <w:spacing w:after="0"/>
              <w:rPr>
                <w:sz w:val="6"/>
                <w:szCs w:val="6"/>
                <w:color w:val="auto"/>
              </w:rPr>
            </w:pPr>
          </w:p>
        </w:tc>
        <w:tc>
          <w:tcPr>
            <w:tcW w:w="760" w:type="dxa"/>
            <w:vAlign w:val="bottom"/>
            <w:shd w:val="clear" w:color="auto" w:fill="FCE9E8"/>
          </w:tcPr>
          <w:p>
            <w:pPr>
              <w:spacing w:after="0"/>
              <w:rPr>
                <w:sz w:val="6"/>
                <w:szCs w:val="6"/>
                <w:color w:val="auto"/>
              </w:rPr>
            </w:pPr>
          </w:p>
        </w:tc>
        <w:tc>
          <w:tcPr>
            <w:tcW w:w="1340" w:type="dxa"/>
            <w:vAlign w:val="bottom"/>
            <w:shd w:val="clear" w:color="auto" w:fill="FCE9E8"/>
          </w:tcPr>
          <w:p>
            <w:pPr>
              <w:spacing w:after="0"/>
              <w:rPr>
                <w:sz w:val="6"/>
                <w:szCs w:val="6"/>
                <w:color w:val="auto"/>
              </w:rPr>
            </w:pPr>
          </w:p>
        </w:tc>
      </w:tr>
      <w:tr>
        <w:trPr>
          <w:trHeight w:val="258"/>
        </w:trPr>
        <w:tc>
          <w:tcPr>
            <w:tcW w:w="1240" w:type="dxa"/>
            <w:vAlign w:val="bottom"/>
          </w:tcPr>
          <w:p>
            <w:pPr>
              <w:ind w:left="60"/>
              <w:spacing w:after="0"/>
              <w:rPr>
                <w:sz w:val="20"/>
                <w:szCs w:val="20"/>
                <w:color w:val="auto"/>
              </w:rPr>
            </w:pPr>
            <w:r>
              <w:rPr>
                <w:rFonts w:ascii="Arial" w:cs="Arial" w:eastAsia="Arial" w:hAnsi="Arial"/>
                <w:sz w:val="16"/>
                <w:szCs w:val="16"/>
                <w:color w:val="auto"/>
              </w:rPr>
              <w:t>RSUs under</w:t>
            </w:r>
          </w:p>
        </w:tc>
        <w:tc>
          <w:tcPr>
            <w:tcW w:w="3420" w:type="dxa"/>
            <w:vAlign w:val="bottom"/>
          </w:tcPr>
          <w:p>
            <w:pPr>
              <w:ind w:left="60"/>
              <w:spacing w:after="0"/>
              <w:rPr>
                <w:sz w:val="20"/>
                <w:szCs w:val="20"/>
                <w:color w:val="auto"/>
              </w:rPr>
            </w:pPr>
            <w:r>
              <w:rPr>
                <w:rFonts w:ascii="Arial" w:cs="Arial" w:eastAsia="Arial" w:hAnsi="Arial"/>
                <w:sz w:val="16"/>
                <w:szCs w:val="16"/>
                <w:color w:val="auto"/>
              </w:rPr>
              <w:t>Align executive pay with long-term stockholder</w:t>
            </w:r>
          </w:p>
        </w:tc>
        <w:tc>
          <w:tcPr>
            <w:tcW w:w="2100" w:type="dxa"/>
            <w:vAlign w:val="bottom"/>
          </w:tcPr>
          <w:p>
            <w:pPr>
              <w:ind w:left="40"/>
              <w:spacing w:after="0"/>
              <w:rPr>
                <w:sz w:val="20"/>
                <w:szCs w:val="20"/>
                <w:color w:val="auto"/>
              </w:rPr>
            </w:pPr>
            <w:r>
              <w:rPr>
                <w:rFonts w:ascii="Arial" w:cs="Arial" w:eastAsia="Arial" w:hAnsi="Arial"/>
                <w:sz w:val="16"/>
                <w:szCs w:val="16"/>
                <w:color w:val="auto"/>
              </w:rPr>
              <w:t>Stock price alignment</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tcPr>
          <w:p>
            <w:pPr>
              <w:jc w:val="center"/>
              <w:spacing w:after="0"/>
              <w:rPr>
                <w:sz w:val="20"/>
                <w:szCs w:val="20"/>
                <w:color w:val="auto"/>
              </w:rPr>
            </w:pPr>
            <w:r>
              <w:rPr>
                <w:rFonts w:ascii="Arial" w:cs="Arial" w:eastAsia="Arial" w:hAnsi="Arial"/>
                <w:sz w:val="16"/>
                <w:szCs w:val="16"/>
                <w:color w:val="auto"/>
              </w:rPr>
              <w:t>Equity</w:t>
            </w:r>
          </w:p>
        </w:tc>
        <w:tc>
          <w:tcPr>
            <w:tcW w:w="1340" w:type="dxa"/>
            <w:vAlign w:val="bottom"/>
          </w:tcPr>
          <w:p>
            <w:pPr>
              <w:jc w:val="center"/>
              <w:spacing w:after="0"/>
              <w:rPr>
                <w:sz w:val="20"/>
                <w:szCs w:val="20"/>
                <w:color w:val="auto"/>
              </w:rPr>
            </w:pPr>
            <w:r>
              <w:rPr>
                <w:rFonts w:ascii="Arial" w:cs="Arial" w:eastAsia="Arial" w:hAnsi="Arial"/>
                <w:sz w:val="16"/>
                <w:szCs w:val="16"/>
                <w:color w:val="auto"/>
              </w:rPr>
              <w:t>Fluctuates with</w:t>
            </w:r>
          </w:p>
        </w:tc>
      </w:tr>
      <w:tr>
        <w:trPr>
          <w:trHeight w:val="189"/>
        </w:trPr>
        <w:tc>
          <w:tcPr>
            <w:tcW w:w="1240" w:type="dxa"/>
            <w:vAlign w:val="bottom"/>
          </w:tcPr>
          <w:p>
            <w:pPr>
              <w:ind w:left="60"/>
              <w:spacing w:after="0"/>
              <w:rPr>
                <w:sz w:val="20"/>
                <w:szCs w:val="20"/>
                <w:color w:val="auto"/>
              </w:rPr>
            </w:pPr>
            <w:r>
              <w:rPr>
                <w:rFonts w:ascii="Arial" w:cs="Arial" w:eastAsia="Arial" w:hAnsi="Arial"/>
                <w:sz w:val="16"/>
                <w:szCs w:val="16"/>
                <w:color w:val="auto"/>
              </w:rPr>
              <w:t>LTSIP</w:t>
            </w:r>
          </w:p>
        </w:tc>
        <w:tc>
          <w:tcPr>
            <w:tcW w:w="3420" w:type="dxa"/>
            <w:vAlign w:val="bottom"/>
          </w:tcPr>
          <w:p>
            <w:pPr>
              <w:ind w:left="60"/>
              <w:spacing w:after="0"/>
              <w:rPr>
                <w:sz w:val="20"/>
                <w:szCs w:val="20"/>
                <w:color w:val="auto"/>
              </w:rPr>
            </w:pPr>
            <w:r>
              <w:rPr>
                <w:rFonts w:ascii="Arial" w:cs="Arial" w:eastAsia="Arial" w:hAnsi="Arial"/>
                <w:sz w:val="16"/>
                <w:szCs w:val="16"/>
                <w:color w:val="auto"/>
              </w:rPr>
              <w:t>interests through equity-based compensation</w:t>
            </w: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stock price</w:t>
            </w:r>
          </w:p>
        </w:tc>
      </w:tr>
      <w:tr>
        <w:trPr>
          <w:trHeight w:val="195"/>
        </w:trPr>
        <w:tc>
          <w:tcPr>
            <w:tcW w:w="1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movement</w:t>
            </w:r>
          </w:p>
        </w:tc>
      </w:tr>
      <w:tr>
        <w:trPr>
          <w:trHeight w:val="60"/>
        </w:trPr>
        <w:tc>
          <w:tcPr>
            <w:tcW w:w="12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8"/>
        </w:trPr>
        <w:tc>
          <w:tcPr>
            <w:tcW w:w="1240" w:type="dxa"/>
            <w:vAlign w:val="bottom"/>
            <w:shd w:val="clear" w:color="auto" w:fill="FCE9E8"/>
          </w:tcPr>
          <w:p>
            <w:pPr>
              <w:ind w:left="60"/>
              <w:spacing w:after="0"/>
              <w:rPr>
                <w:sz w:val="20"/>
                <w:szCs w:val="20"/>
                <w:color w:val="auto"/>
              </w:rPr>
            </w:pPr>
            <w:r>
              <w:rPr>
                <w:rFonts w:ascii="Arial" w:cs="Arial" w:eastAsia="Arial" w:hAnsi="Arial"/>
                <w:sz w:val="16"/>
                <w:szCs w:val="16"/>
                <w:color w:val="auto"/>
              </w:rPr>
              <w:t>Stock Options</w:t>
            </w: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Align executive pay with long-term stockholder</w:t>
            </w:r>
          </w:p>
        </w:tc>
        <w:tc>
          <w:tcPr>
            <w:tcW w:w="2100" w:type="dxa"/>
            <w:vAlign w:val="bottom"/>
            <w:shd w:val="clear" w:color="auto" w:fill="FCE9E8"/>
          </w:tcPr>
          <w:p>
            <w:pPr>
              <w:ind w:left="40"/>
              <w:spacing w:after="0"/>
              <w:rPr>
                <w:sz w:val="20"/>
                <w:szCs w:val="20"/>
                <w:color w:val="auto"/>
              </w:rPr>
            </w:pPr>
            <w:r>
              <w:rPr>
                <w:rFonts w:ascii="Arial" w:cs="Arial" w:eastAsia="Arial" w:hAnsi="Arial"/>
                <w:sz w:val="16"/>
                <w:szCs w:val="16"/>
                <w:color w:val="auto"/>
              </w:rPr>
              <w:t>Stock price alignment</w:t>
            </w:r>
          </w:p>
        </w:tc>
        <w:tc>
          <w:tcPr>
            <w:tcW w:w="7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Equity</w:t>
            </w: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100% of grant</w:t>
            </w:r>
          </w:p>
        </w:tc>
      </w:tr>
      <w:tr>
        <w:trPr>
          <w:trHeight w:val="189"/>
        </w:trPr>
        <w:tc>
          <w:tcPr>
            <w:tcW w:w="1240" w:type="dxa"/>
            <w:vAlign w:val="bottom"/>
            <w:shd w:val="clear" w:color="auto" w:fill="FCE9E8"/>
          </w:tcPr>
          <w:p>
            <w:pPr>
              <w:ind w:left="60"/>
              <w:spacing w:after="0"/>
              <w:rPr>
                <w:sz w:val="20"/>
                <w:szCs w:val="20"/>
                <w:color w:val="auto"/>
              </w:rPr>
            </w:pPr>
            <w:r>
              <w:rPr>
                <w:rFonts w:ascii="Arial" w:cs="Arial" w:eastAsia="Arial" w:hAnsi="Arial"/>
                <w:sz w:val="16"/>
                <w:szCs w:val="16"/>
                <w:color w:val="auto"/>
              </w:rPr>
              <w:t>under LTSIP</w:t>
            </w:r>
          </w:p>
        </w:tc>
        <w:tc>
          <w:tcPr>
            <w:tcW w:w="342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interests through equity-based compensation</w:t>
            </w:r>
          </w:p>
        </w:tc>
        <w:tc>
          <w:tcPr>
            <w:tcW w:w="210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value fluctuates</w:t>
            </w:r>
          </w:p>
        </w:tc>
      </w:tr>
      <w:tr>
        <w:trPr>
          <w:trHeight w:val="189"/>
        </w:trPr>
        <w:tc>
          <w:tcPr>
            <w:tcW w:w="1240" w:type="dxa"/>
            <w:vAlign w:val="bottom"/>
            <w:shd w:val="clear" w:color="auto" w:fill="FCE9E8"/>
          </w:tcPr>
          <w:p>
            <w:pPr>
              <w:spacing w:after="0"/>
              <w:rPr>
                <w:sz w:val="16"/>
                <w:szCs w:val="16"/>
                <w:color w:val="auto"/>
              </w:rPr>
            </w:pPr>
          </w:p>
        </w:tc>
        <w:tc>
          <w:tcPr>
            <w:tcW w:w="3420" w:type="dxa"/>
            <w:vAlign w:val="bottom"/>
            <w:shd w:val="clear" w:color="auto" w:fill="FCE9E8"/>
          </w:tcPr>
          <w:p>
            <w:pPr>
              <w:spacing w:after="0"/>
              <w:rPr>
                <w:sz w:val="16"/>
                <w:szCs w:val="16"/>
                <w:color w:val="auto"/>
              </w:rPr>
            </w:pPr>
          </w:p>
        </w:tc>
        <w:tc>
          <w:tcPr>
            <w:tcW w:w="2100" w:type="dxa"/>
            <w:vAlign w:val="bottom"/>
            <w:shd w:val="clear" w:color="auto" w:fill="FCE9E8"/>
          </w:tcPr>
          <w:p>
            <w:pPr>
              <w:spacing w:after="0"/>
              <w:rPr>
                <w:sz w:val="16"/>
                <w:szCs w:val="16"/>
                <w:color w:val="auto"/>
              </w:rPr>
            </w:pPr>
          </w:p>
        </w:tc>
        <w:tc>
          <w:tcPr>
            <w:tcW w:w="74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3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with stock price</w:t>
            </w:r>
          </w:p>
        </w:tc>
      </w:tr>
      <w:tr>
        <w:trPr>
          <w:trHeight w:val="235"/>
        </w:trPr>
        <w:tc>
          <w:tcPr>
            <w:tcW w:w="1240" w:type="dxa"/>
            <w:vAlign w:val="bottom"/>
            <w:tcBorders>
              <w:bottom w:val="single" w:sz="8" w:color="FCE9E8"/>
            </w:tcBorders>
            <w:shd w:val="clear" w:color="auto" w:fill="FCE9E8"/>
          </w:tcPr>
          <w:p>
            <w:pPr>
              <w:spacing w:after="0"/>
              <w:rPr>
                <w:sz w:val="20"/>
                <w:szCs w:val="20"/>
                <w:color w:val="auto"/>
              </w:rPr>
            </w:pPr>
          </w:p>
        </w:tc>
        <w:tc>
          <w:tcPr>
            <w:tcW w:w="3420" w:type="dxa"/>
            <w:vAlign w:val="bottom"/>
            <w:tcBorders>
              <w:bottom w:val="single" w:sz="8" w:color="FCE9E8"/>
            </w:tcBorders>
            <w:shd w:val="clear" w:color="auto" w:fill="FCE9E8"/>
          </w:tcPr>
          <w:p>
            <w:pPr>
              <w:spacing w:after="0"/>
              <w:rPr>
                <w:sz w:val="20"/>
                <w:szCs w:val="20"/>
                <w:color w:val="auto"/>
              </w:rPr>
            </w:pPr>
          </w:p>
        </w:tc>
        <w:tc>
          <w:tcPr>
            <w:tcW w:w="2100" w:type="dxa"/>
            <w:vAlign w:val="bottom"/>
            <w:tcBorders>
              <w:bottom w:val="single" w:sz="8" w:color="FCE9E8"/>
            </w:tcBorders>
            <w:shd w:val="clear" w:color="auto" w:fill="FCE9E8"/>
          </w:tcPr>
          <w:p>
            <w:pPr>
              <w:spacing w:after="0"/>
              <w:rPr>
                <w:sz w:val="20"/>
                <w:szCs w:val="20"/>
                <w:color w:val="auto"/>
              </w:rPr>
            </w:pPr>
          </w:p>
        </w:tc>
        <w:tc>
          <w:tcPr>
            <w:tcW w:w="740" w:type="dxa"/>
            <w:vAlign w:val="bottom"/>
            <w:tcBorders>
              <w:bottom w:val="single" w:sz="8" w:color="FCE9E8"/>
            </w:tcBorders>
            <w:shd w:val="clear" w:color="auto" w:fill="FCE9E8"/>
          </w:tcPr>
          <w:p>
            <w:pPr>
              <w:spacing w:after="0"/>
              <w:rPr>
                <w:sz w:val="20"/>
                <w:szCs w:val="20"/>
                <w:color w:val="auto"/>
              </w:rPr>
            </w:pPr>
          </w:p>
        </w:tc>
        <w:tc>
          <w:tcPr>
            <w:tcW w:w="760" w:type="dxa"/>
            <w:vAlign w:val="bottom"/>
            <w:tcBorders>
              <w:bottom w:val="single" w:sz="8" w:color="FCE9E8"/>
            </w:tcBorders>
            <w:shd w:val="clear" w:color="auto" w:fill="FCE9E8"/>
          </w:tcPr>
          <w:p>
            <w:pPr>
              <w:spacing w:after="0"/>
              <w:rPr>
                <w:sz w:val="20"/>
                <w:szCs w:val="20"/>
                <w:color w:val="auto"/>
              </w:rPr>
            </w:pPr>
          </w:p>
        </w:tc>
        <w:tc>
          <w:tcPr>
            <w:tcW w:w="13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rPr>
              <w:t>movement</w:t>
            </w:r>
          </w:p>
        </w:tc>
      </w:tr>
      <w:tr>
        <w:trPr>
          <w:trHeight w:val="20"/>
        </w:trPr>
        <w:tc>
          <w:tcPr>
            <w:tcW w:w="124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39</w:t>
      </w:r>
    </w:p>
    <w:p>
      <w:pPr>
        <w:sectPr>
          <w:pgSz w:w="11900" w:h="16838" w:orient="portrait"/>
          <w:cols w:equalWidth="0" w:num="1">
            <w:col w:w="10860"/>
          </w:cols>
          <w:pgMar w:left="320" w:top="459" w:right="719" w:bottom="978"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5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820"/>
        <w:spacing w:after="0" w:line="250" w:lineRule="auto"/>
        <w:rPr>
          <w:sz w:val="20"/>
          <w:szCs w:val="20"/>
          <w:color w:val="auto"/>
        </w:rPr>
      </w:pPr>
      <w:r>
        <w:rPr>
          <w:rFonts w:ascii="Arial" w:cs="Arial" w:eastAsia="Arial" w:hAnsi="Arial"/>
          <w:sz w:val="16"/>
          <w:szCs w:val="16"/>
          <w:color w:val="auto"/>
        </w:rPr>
        <w:t>The P&amp;C Committee routinely reviews the elements noted above. In general, the P&amp;C Committee monitors compensation levels to ensure that a higher proportion of an executive’s total compensation is awarded in the form of variable and performance-based components (dependent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Company performance) as the executive’s responsibilities increase.</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Narrative descriptions of the individual elements of compensation are included below.</w:t>
      </w:r>
    </w:p>
    <w:p>
      <w:pPr>
        <w:spacing w:after="0" w:line="273" w:lineRule="exact"/>
        <w:rPr>
          <w:sz w:val="20"/>
          <w:szCs w:val="20"/>
          <w:color w:val="auto"/>
        </w:rPr>
      </w:pPr>
    </w:p>
    <w:p>
      <w:pPr>
        <w:sectPr>
          <w:pgSz w:w="11900" w:h="16838" w:orient="portrait"/>
          <w:cols w:equalWidth="0" w:num="2">
            <w:col w:w="5300" w:space="420"/>
            <w:col w:w="4700"/>
          </w:cols>
          <w:pgMar w:left="320" w:top="459" w:right="1159" w:bottom="1440" w:gutter="0" w:footer="0" w:header="0"/>
          <w:type w:val="continuous"/>
        </w:sectPr>
      </w:pPr>
    </w:p>
    <w:p>
      <w:pPr>
        <w:spacing w:after="0" w:line="15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Base Salary</w:t>
      </w:r>
    </w:p>
    <w:p>
      <w:pPr>
        <w:spacing w:after="0" w:line="196"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Base salaries for our NEOs are targeted, on average, around the median level for comparable positions based on market benchmarking, as well as a review of scope, duties and responsibilities, along with performance, experience and internal equity.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P&amp;C Committee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annual CEO performance review. Generally, in February of each year, the CEO and P&amp;C Committee reach agreement on his goals and objectives for the upcoming year, and the P&amp;C Committee evaluates his performance for the prior year against the prior year’s agreed goals and objectives. Our CEO has traditionally received a lower percentage of his total compensation in the form of fixed amounts like base salary relative to our other executives in order to link more closely his compensation to the performance of the Company.</w:t>
      </w:r>
    </w:p>
    <w:p>
      <w:pPr>
        <w:spacing w:after="0" w:line="390" w:lineRule="exact"/>
        <w:rPr>
          <w:sz w:val="20"/>
          <w:szCs w:val="20"/>
          <w:color w:val="auto"/>
        </w:rPr>
      </w:pPr>
    </w:p>
    <w:p>
      <w:pPr>
        <w:sectPr>
          <w:pgSz w:w="11900" w:h="16838" w:orient="portrait"/>
          <w:cols w:equalWidth="0" w:num="2">
            <w:col w:w="5420" w:space="300"/>
            <w:col w:w="4700"/>
          </w:cols>
          <w:pgMar w:left="320" w:top="459" w:right="1159" w:bottom="1440" w:gutter="0" w:footer="0" w:header="0"/>
          <w:type w:val="continuous"/>
        </w:sectPr>
      </w:pPr>
    </w:p>
    <w:p>
      <w:pPr>
        <w:spacing w:after="0" w:line="59" w:lineRule="exact"/>
        <w:rPr>
          <w:sz w:val="20"/>
          <w:szCs w:val="20"/>
          <w:color w:val="auto"/>
        </w:rPr>
      </w:pPr>
    </w:p>
    <w:p>
      <w:pPr>
        <w:ind w:left="820" w:right="60"/>
        <w:spacing w:after="0" w:line="253" w:lineRule="auto"/>
        <w:rPr>
          <w:sz w:val="20"/>
          <w:szCs w:val="20"/>
          <w:color w:val="auto"/>
        </w:rPr>
      </w:pPr>
      <w:r>
        <w:rPr>
          <w:rFonts w:ascii="Arial" w:cs="Arial" w:eastAsia="Arial" w:hAnsi="Arial"/>
          <w:sz w:val="16"/>
          <w:szCs w:val="16"/>
          <w:color w:val="auto"/>
        </w:rPr>
        <w:t>The P&amp;C Committee approved base salary increases in May 2021. The 2020 and 2021 base salaries of our NEOs are summarized in the table below and reflect performance/merit-based increases in 2021 (Mr. Cardew’s salary increase was higher to move his salary closer to the market median, which reflects a multi-year pay transition following his promotion to CFO in November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143510</wp:posOffset>
            </wp:positionV>
            <wp:extent cx="6103620" cy="222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03620" cy="222885"/>
                    </a:xfrm>
                    <a:prstGeom prst="rect">
                      <a:avLst/>
                    </a:prstGeom>
                    <a:noFill/>
                  </pic:spPr>
                </pic:pic>
              </a:graphicData>
            </a:graphic>
          </wp:anchor>
        </w:drawing>
      </w:r>
    </w:p>
    <w:p>
      <w:pPr>
        <w:spacing w:after="0" w:line="228"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FFFFFF"/>
        </w:rPr>
        <w:t>Base Salaries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80" w:type="dxa"/>
            <w:vAlign w:val="bottom"/>
            <w:gridSpan w:val="2"/>
          </w:tcPr>
          <w:p>
            <w:pPr>
              <w:ind w:left="400"/>
              <w:spacing w:after="0"/>
              <w:rPr>
                <w:sz w:val="20"/>
                <w:szCs w:val="20"/>
                <w:color w:val="auto"/>
              </w:rPr>
            </w:pPr>
            <w:r>
              <w:rPr>
                <w:rFonts w:ascii="Arial" w:cs="Arial" w:eastAsia="Arial" w:hAnsi="Arial"/>
                <w:sz w:val="14"/>
                <w:szCs w:val="14"/>
                <w:b w:val="1"/>
                <w:bCs w:val="1"/>
                <w:color w:val="E2231A"/>
              </w:rPr>
              <w:t>2021 Base Salary Rate</w:t>
            </w:r>
          </w:p>
        </w:tc>
        <w:tc>
          <w:tcPr>
            <w:tcW w:w="1660" w:type="dxa"/>
            <w:vAlign w:val="bottom"/>
          </w:tcPr>
          <w:p>
            <w:pPr>
              <w:spacing w:after="0"/>
              <w:rPr>
                <w:sz w:val="14"/>
                <w:szCs w:val="14"/>
                <w:color w:val="auto"/>
              </w:rPr>
            </w:pPr>
          </w:p>
        </w:tc>
      </w:tr>
      <w:tr>
        <w:trPr>
          <w:trHeight w:val="189"/>
        </w:trPr>
        <w:tc>
          <w:tcPr>
            <w:tcW w:w="26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E2231A"/>
              </w:rPr>
              <w:t>2020 Base Salary Rate</w:t>
            </w:r>
          </w:p>
        </w:tc>
        <w:tc>
          <w:tcPr>
            <w:tcW w:w="23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E2231A"/>
              </w:rPr>
              <w:t>(Effective May 1, 2021)</w:t>
            </w: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E2231A"/>
              </w:rPr>
              <w:t>% Change</w:t>
            </w:r>
          </w:p>
        </w:tc>
      </w:tr>
      <w:tr>
        <w:trPr>
          <w:trHeight w:val="236"/>
        </w:trPr>
        <w:tc>
          <w:tcPr>
            <w:tcW w:w="2600" w:type="dxa"/>
            <w:vAlign w:val="bottom"/>
            <w:shd w:val="clear" w:color="auto" w:fill="FCE9E8"/>
          </w:tcPr>
          <w:p>
            <w:pPr>
              <w:ind w:left="60"/>
              <w:spacing w:after="0"/>
              <w:rPr>
                <w:sz w:val="20"/>
                <w:szCs w:val="20"/>
                <w:color w:val="auto"/>
              </w:rPr>
            </w:pPr>
            <w:r>
              <w:rPr>
                <w:rFonts w:ascii="Arial" w:cs="Arial" w:eastAsia="Arial" w:hAnsi="Arial"/>
                <w:sz w:val="16"/>
                <w:szCs w:val="16"/>
                <w:color w:val="auto"/>
              </w:rPr>
              <w:t>Raymond E. Scott</w:t>
            </w:r>
          </w:p>
        </w:tc>
        <w:tc>
          <w:tcPr>
            <w:tcW w:w="1500" w:type="dxa"/>
            <w:vAlign w:val="bottom"/>
            <w:shd w:val="clear" w:color="auto" w:fill="FCE9E8"/>
          </w:tcPr>
          <w:p>
            <w:pPr>
              <w:ind w:left="10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1,200,000</w:t>
            </w:r>
          </w:p>
        </w:tc>
        <w:tc>
          <w:tcPr>
            <w:tcW w:w="8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1,270,000</w:t>
            </w:r>
          </w:p>
        </w:tc>
        <w:tc>
          <w:tcPr>
            <w:tcW w:w="166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6%</w:t>
            </w:r>
          </w:p>
        </w:tc>
      </w:tr>
      <w:tr>
        <w:trPr>
          <w:trHeight w:val="233"/>
        </w:trPr>
        <w:tc>
          <w:tcPr>
            <w:tcW w:w="2600" w:type="dxa"/>
            <w:vAlign w:val="bottom"/>
          </w:tcPr>
          <w:p>
            <w:pPr>
              <w:ind w:left="60"/>
              <w:spacing w:after="0"/>
              <w:rPr>
                <w:sz w:val="20"/>
                <w:szCs w:val="20"/>
                <w:color w:val="auto"/>
              </w:rPr>
            </w:pPr>
            <w:r>
              <w:rPr>
                <w:rFonts w:ascii="Arial" w:cs="Arial" w:eastAsia="Arial" w:hAnsi="Arial"/>
                <w:sz w:val="16"/>
                <w:szCs w:val="16"/>
                <w:color w:val="auto"/>
              </w:rPr>
              <w:t>Jason M. Cardew</w:t>
            </w:r>
          </w:p>
        </w:tc>
        <w:tc>
          <w:tcPr>
            <w:tcW w:w="1500" w:type="dxa"/>
            <w:vAlign w:val="bottom"/>
          </w:tcPr>
          <w:p>
            <w:pPr>
              <w:ind w:left="10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700,000</w:t>
            </w:r>
          </w:p>
        </w:tc>
        <w:tc>
          <w:tcPr>
            <w:tcW w:w="840" w:type="dxa"/>
            <w:vAlign w:val="bottom"/>
          </w:tcPr>
          <w:p>
            <w:pPr>
              <w:ind w:left="4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59"/>
              <w:spacing w:after="0"/>
              <w:rPr>
                <w:sz w:val="20"/>
                <w:szCs w:val="20"/>
                <w:color w:val="auto"/>
              </w:rPr>
            </w:pPr>
            <w:r>
              <w:rPr>
                <w:rFonts w:ascii="Arial" w:cs="Arial" w:eastAsia="Arial" w:hAnsi="Arial"/>
                <w:sz w:val="16"/>
                <w:szCs w:val="16"/>
                <w:color w:val="auto"/>
              </w:rPr>
              <w:t>824,000</w:t>
            </w:r>
          </w:p>
        </w:tc>
        <w:tc>
          <w:tcPr>
            <w:tcW w:w="1660" w:type="dxa"/>
            <w:vAlign w:val="bottom"/>
          </w:tcPr>
          <w:p>
            <w:pPr>
              <w:jc w:val="right"/>
              <w:ind w:right="301"/>
              <w:spacing w:after="0"/>
              <w:rPr>
                <w:sz w:val="20"/>
                <w:szCs w:val="20"/>
                <w:color w:val="auto"/>
              </w:rPr>
            </w:pPr>
            <w:r>
              <w:rPr>
                <w:rFonts w:ascii="Arial" w:cs="Arial" w:eastAsia="Arial" w:hAnsi="Arial"/>
                <w:sz w:val="16"/>
                <w:szCs w:val="16"/>
                <w:color w:val="auto"/>
              </w:rPr>
              <w:t>18%</w:t>
            </w:r>
          </w:p>
        </w:tc>
      </w:tr>
      <w:tr>
        <w:trPr>
          <w:trHeight w:val="253"/>
        </w:trPr>
        <w:tc>
          <w:tcPr>
            <w:tcW w:w="2600" w:type="dxa"/>
            <w:vAlign w:val="bottom"/>
            <w:shd w:val="clear" w:color="auto" w:fill="FCE9E8"/>
          </w:tcPr>
          <w:p>
            <w:pPr>
              <w:ind w:left="60"/>
              <w:spacing w:after="0"/>
              <w:rPr>
                <w:sz w:val="20"/>
                <w:szCs w:val="20"/>
                <w:color w:val="auto"/>
              </w:rPr>
            </w:pPr>
            <w:r>
              <w:rPr>
                <w:rFonts w:ascii="Arial" w:cs="Arial" w:eastAsia="Arial" w:hAnsi="Arial"/>
                <w:sz w:val="16"/>
                <w:szCs w:val="16"/>
                <w:color w:val="auto"/>
              </w:rPr>
              <w:t>Frank C. Orsini</w:t>
            </w:r>
          </w:p>
        </w:tc>
        <w:tc>
          <w:tcPr>
            <w:tcW w:w="1500" w:type="dxa"/>
            <w:vAlign w:val="bottom"/>
            <w:shd w:val="clear" w:color="auto" w:fill="FCE9E8"/>
          </w:tcPr>
          <w:p>
            <w:pPr>
              <w:ind w:left="10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800,000</w:t>
            </w:r>
          </w:p>
        </w:tc>
        <w:tc>
          <w:tcPr>
            <w:tcW w:w="84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824,000</w:t>
            </w:r>
          </w:p>
        </w:tc>
        <w:tc>
          <w:tcPr>
            <w:tcW w:w="1660" w:type="dxa"/>
            <w:vAlign w:val="bottom"/>
            <w:shd w:val="clear" w:color="auto" w:fill="FCE9E8"/>
          </w:tcPr>
          <w:p>
            <w:pPr>
              <w:jc w:val="right"/>
              <w:ind w:right="301"/>
              <w:spacing w:after="0"/>
              <w:rPr>
                <w:sz w:val="20"/>
                <w:szCs w:val="20"/>
                <w:color w:val="auto"/>
              </w:rPr>
            </w:pPr>
            <w:r>
              <w:rPr>
                <w:rFonts w:ascii="Arial" w:cs="Arial" w:eastAsia="Arial" w:hAnsi="Arial"/>
                <w:sz w:val="16"/>
                <w:szCs w:val="16"/>
                <w:color w:val="auto"/>
              </w:rPr>
              <w:t>3%</w:t>
            </w:r>
          </w:p>
        </w:tc>
      </w:tr>
      <w:tr>
        <w:trPr>
          <w:trHeight w:val="233"/>
        </w:trPr>
        <w:tc>
          <w:tcPr>
            <w:tcW w:w="2600" w:type="dxa"/>
            <w:vAlign w:val="bottom"/>
          </w:tcPr>
          <w:p>
            <w:pPr>
              <w:ind w:left="60"/>
              <w:spacing w:after="0"/>
              <w:rPr>
                <w:sz w:val="20"/>
                <w:szCs w:val="20"/>
                <w:color w:val="auto"/>
              </w:rPr>
            </w:pPr>
            <w:r>
              <w:rPr>
                <w:rFonts w:ascii="Arial" w:cs="Arial" w:eastAsia="Arial" w:hAnsi="Arial"/>
                <w:sz w:val="16"/>
                <w:szCs w:val="16"/>
                <w:color w:val="auto"/>
              </w:rPr>
              <w:t>Thomas A. DiDonato</w:t>
            </w:r>
          </w:p>
        </w:tc>
        <w:tc>
          <w:tcPr>
            <w:tcW w:w="1500" w:type="dxa"/>
            <w:vAlign w:val="bottom"/>
          </w:tcPr>
          <w:p>
            <w:pPr>
              <w:ind w:left="10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700,000</w:t>
            </w:r>
          </w:p>
        </w:tc>
        <w:tc>
          <w:tcPr>
            <w:tcW w:w="840" w:type="dxa"/>
            <w:vAlign w:val="bottom"/>
          </w:tcPr>
          <w:p>
            <w:pPr>
              <w:ind w:left="4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59"/>
              <w:spacing w:after="0"/>
              <w:rPr>
                <w:sz w:val="20"/>
                <w:szCs w:val="20"/>
                <w:color w:val="auto"/>
              </w:rPr>
            </w:pPr>
            <w:r>
              <w:rPr>
                <w:rFonts w:ascii="Arial" w:cs="Arial" w:eastAsia="Arial" w:hAnsi="Arial"/>
                <w:sz w:val="16"/>
                <w:szCs w:val="16"/>
                <w:color w:val="auto"/>
              </w:rPr>
              <w:t>721,000</w:t>
            </w:r>
          </w:p>
        </w:tc>
        <w:tc>
          <w:tcPr>
            <w:tcW w:w="1660" w:type="dxa"/>
            <w:vAlign w:val="bottom"/>
          </w:tcPr>
          <w:p>
            <w:pPr>
              <w:jc w:val="right"/>
              <w:ind w:right="301"/>
              <w:spacing w:after="0"/>
              <w:rPr>
                <w:sz w:val="20"/>
                <w:szCs w:val="20"/>
                <w:color w:val="auto"/>
              </w:rPr>
            </w:pPr>
            <w:r>
              <w:rPr>
                <w:rFonts w:ascii="Arial" w:cs="Arial" w:eastAsia="Arial" w:hAnsi="Arial"/>
                <w:sz w:val="16"/>
                <w:szCs w:val="16"/>
                <w:color w:val="auto"/>
              </w:rPr>
              <w:t>3%</w:t>
            </w:r>
          </w:p>
        </w:tc>
      </w:tr>
      <w:tr>
        <w:trPr>
          <w:trHeight w:val="246"/>
        </w:trPr>
        <w:tc>
          <w:tcPr>
            <w:tcW w:w="260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6"/>
                <w:szCs w:val="16"/>
                <w:color w:val="auto"/>
              </w:rPr>
              <w:t>Carl A. Esposito</w:t>
            </w:r>
          </w:p>
        </w:tc>
        <w:tc>
          <w:tcPr>
            <w:tcW w:w="1500" w:type="dxa"/>
            <w:vAlign w:val="bottom"/>
            <w:tcBorders>
              <w:bottom w:val="single" w:sz="8" w:color="auto"/>
            </w:tcBorders>
            <w:shd w:val="clear" w:color="auto" w:fill="FCE9E8"/>
          </w:tcPr>
          <w:p>
            <w:pPr>
              <w:ind w:left="10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FCE9E8"/>
          </w:tcPr>
          <w:p>
            <w:pPr>
              <w:jc w:val="right"/>
              <w:ind w:right="299"/>
              <w:spacing w:after="0"/>
              <w:rPr>
                <w:sz w:val="20"/>
                <w:szCs w:val="20"/>
                <w:color w:val="auto"/>
              </w:rPr>
            </w:pPr>
            <w:r>
              <w:rPr>
                <w:rFonts w:ascii="Arial" w:cs="Arial" w:eastAsia="Arial" w:hAnsi="Arial"/>
                <w:sz w:val="16"/>
                <w:szCs w:val="16"/>
                <w:color w:val="auto"/>
              </w:rPr>
              <w:t>650,000</w:t>
            </w:r>
          </w:p>
        </w:tc>
        <w:tc>
          <w:tcPr>
            <w:tcW w:w="840" w:type="dxa"/>
            <w:vAlign w:val="bottom"/>
            <w:tcBorders>
              <w:bottom w:val="single" w:sz="8" w:color="auto"/>
            </w:tcBorders>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FCE9E8"/>
          </w:tcPr>
          <w:p>
            <w:pPr>
              <w:jc w:val="right"/>
              <w:ind w:right="359"/>
              <w:spacing w:after="0"/>
              <w:rPr>
                <w:sz w:val="20"/>
                <w:szCs w:val="20"/>
                <w:color w:val="auto"/>
              </w:rPr>
            </w:pPr>
            <w:r>
              <w:rPr>
                <w:rFonts w:ascii="Arial" w:cs="Arial" w:eastAsia="Arial" w:hAnsi="Arial"/>
                <w:sz w:val="16"/>
                <w:szCs w:val="16"/>
                <w:color w:val="auto"/>
              </w:rPr>
              <w:t>700,000</w:t>
            </w:r>
          </w:p>
        </w:tc>
        <w:tc>
          <w:tcPr>
            <w:tcW w:w="1660" w:type="dxa"/>
            <w:vAlign w:val="bottom"/>
            <w:tcBorders>
              <w:bottom w:val="single" w:sz="8" w:color="auto"/>
            </w:tcBorders>
            <w:shd w:val="clear" w:color="auto" w:fill="FCE9E8"/>
          </w:tcPr>
          <w:p>
            <w:pPr>
              <w:jc w:val="right"/>
              <w:ind w:right="301"/>
              <w:spacing w:after="0"/>
              <w:rPr>
                <w:sz w:val="20"/>
                <w:szCs w:val="20"/>
                <w:color w:val="auto"/>
              </w:rPr>
            </w:pPr>
            <w:r>
              <w:rPr>
                <w:rFonts w:ascii="Arial" w:cs="Arial" w:eastAsia="Arial" w:hAnsi="Arial"/>
                <w:sz w:val="16"/>
                <w:szCs w:val="16"/>
                <w:color w:val="auto"/>
              </w:rPr>
              <w:t>8%</w:t>
            </w:r>
          </w:p>
        </w:tc>
      </w:tr>
    </w:tbl>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For 2022, as of March 1, the annual base salaries for our NEOs remain unchanged from the 2021 annual base salary rates.</w:t>
      </w:r>
    </w:p>
    <w:p>
      <w:pPr>
        <w:spacing w:after="0" w:line="200" w:lineRule="exact"/>
        <w:rPr>
          <w:sz w:val="20"/>
          <w:szCs w:val="20"/>
          <w:color w:val="auto"/>
        </w:rPr>
      </w:pPr>
    </w:p>
    <w:p>
      <w:pPr>
        <w:spacing w:after="0" w:line="361" w:lineRule="exact"/>
        <w:rPr>
          <w:sz w:val="20"/>
          <w:szCs w:val="20"/>
          <w:color w:val="auto"/>
        </w:rPr>
      </w:pPr>
    </w:p>
    <w:p>
      <w:pPr>
        <w:ind w:left="780" w:hanging="393"/>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20"/>
          </w:cols>
          <w:pgMar w:left="320" w:top="459" w:right="11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2021 Incentive Programs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 for Performance</w:t>
      </w:r>
    </w:p>
    <w:p>
      <w:pPr>
        <w:spacing w:after="0" w:line="124" w:lineRule="exact"/>
        <w:rPr>
          <w:sz w:val="20"/>
          <w:szCs w:val="20"/>
          <w:color w:val="auto"/>
        </w:rPr>
      </w:pPr>
    </w:p>
    <w:p>
      <w:pPr>
        <w:ind w:left="660" w:right="340"/>
        <w:spacing w:after="0" w:line="249" w:lineRule="auto"/>
        <w:rPr>
          <w:sz w:val="20"/>
          <w:szCs w:val="20"/>
          <w:color w:val="auto"/>
        </w:rPr>
      </w:pPr>
      <w:r>
        <w:rPr>
          <w:rFonts w:ascii="Arial" w:cs="Arial" w:eastAsia="Arial" w:hAnsi="Arial"/>
          <w:sz w:val="16"/>
          <w:szCs w:val="16"/>
          <w:color w:val="auto"/>
        </w:rPr>
        <w:t>All of the annual incentive opportunity and the majority (80%) of the long-term incentive opportunity are determined based on specific performance measures that drive achievement of our business strategy while ensuring sharp focus on critical results or that only have value if our stock price appreciates. In addition, as part of the Company’s long-term strategy for providing retirement benefits, the Company has historically granted time-based Career Shares, including in 2021. In order to drive profitable growth with efficient capital management, we selected complementary performance measures (which assess earnings and capital management over annual or three-year periods, as well as relative TSR) to use in our incentive plans for 2021:</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Measure</w:t>
            </w:r>
          </w:p>
        </w:tc>
        <w:tc>
          <w:tcPr>
            <w:tcW w:w="82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E2231A"/>
              </w:rPr>
              <w:t>Plan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Weighting</w:t>
            </w:r>
          </w:p>
        </w:tc>
        <w:tc>
          <w:tcPr>
            <w:tcW w:w="200" w:type="dxa"/>
            <w:vAlign w:val="bottom"/>
            <w:tcBorders>
              <w:bottom w:val="single" w:sz="8" w:color="auto"/>
            </w:tcBorders>
          </w:tcPr>
          <w:p>
            <w:pPr>
              <w:spacing w:after="0"/>
              <w:rPr>
                <w:sz w:val="15"/>
                <w:szCs w:val="15"/>
                <w:color w:val="auto"/>
              </w:rPr>
            </w:pPr>
          </w:p>
        </w:tc>
        <w:tc>
          <w:tcPr>
            <w:tcW w:w="634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E2231A"/>
              </w:rPr>
              <w:t>Background</w:t>
            </w:r>
          </w:p>
        </w:tc>
        <w:tc>
          <w:tcPr>
            <w:tcW w:w="0" w:type="dxa"/>
            <w:vAlign w:val="bottom"/>
          </w:tcPr>
          <w:p>
            <w:pPr>
              <w:spacing w:after="0"/>
              <w:rPr>
                <w:sz w:val="1"/>
                <w:szCs w:val="1"/>
                <w:color w:val="auto"/>
              </w:rPr>
            </w:pPr>
          </w:p>
        </w:tc>
      </w:tr>
      <w:tr>
        <w:trPr>
          <w:trHeight w:val="238"/>
        </w:trPr>
        <w:tc>
          <w:tcPr>
            <w:tcW w:w="1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Adjusted</w:t>
            </w:r>
          </w:p>
        </w:tc>
        <w:tc>
          <w:tcPr>
            <w:tcW w:w="820" w:type="dxa"/>
            <w:vAlign w:val="bottom"/>
            <w:shd w:val="clear" w:color="auto" w:fill="FCE9E8"/>
          </w:tcPr>
          <w:p>
            <w:pPr>
              <w:jc w:val="center"/>
              <w:ind w:left="1"/>
              <w:spacing w:after="0"/>
              <w:rPr>
                <w:sz w:val="20"/>
                <w:szCs w:val="20"/>
                <w:color w:val="auto"/>
              </w:rPr>
            </w:pPr>
            <w:r>
              <w:rPr>
                <w:rFonts w:ascii="Arial" w:cs="Arial" w:eastAsia="Arial" w:hAnsi="Arial"/>
                <w:sz w:val="16"/>
                <w:szCs w:val="16"/>
                <w:color w:val="auto"/>
              </w:rPr>
              <w:t>AIP</w:t>
            </w:r>
          </w:p>
        </w:tc>
        <w:tc>
          <w:tcPr>
            <w:tcW w:w="118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1/2</w:t>
            </w: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34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Pretax income before equity income, interest, other expense, restructuring costs and</w:t>
            </w:r>
          </w:p>
        </w:tc>
        <w:tc>
          <w:tcPr>
            <w:tcW w:w="0" w:type="dxa"/>
            <w:vAlign w:val="bottom"/>
          </w:tcPr>
          <w:p>
            <w:pPr>
              <w:spacing w:after="0"/>
              <w:rPr>
                <w:sz w:val="1"/>
                <w:szCs w:val="1"/>
                <w:color w:val="auto"/>
              </w:rPr>
            </w:pPr>
          </w:p>
        </w:tc>
      </w:tr>
      <w:tr>
        <w:trPr>
          <w:trHeight w:val="195"/>
        </w:trPr>
        <w:tc>
          <w:tcPr>
            <w:tcW w:w="1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Operating Income</w:t>
            </w:r>
          </w:p>
        </w:tc>
        <w:tc>
          <w:tcPr>
            <w:tcW w:w="820" w:type="dxa"/>
            <w:vAlign w:val="bottom"/>
            <w:shd w:val="clear" w:color="auto" w:fill="FCE9E8"/>
          </w:tcPr>
          <w:p>
            <w:pPr>
              <w:spacing w:after="0"/>
              <w:rPr>
                <w:sz w:val="16"/>
                <w:szCs w:val="16"/>
                <w:color w:val="auto"/>
              </w:rPr>
            </w:pPr>
          </w:p>
        </w:tc>
        <w:tc>
          <w:tcPr>
            <w:tcW w:w="11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340" w:type="dxa"/>
            <w:vAlign w:val="bottom"/>
            <w:shd w:val="clear" w:color="auto" w:fill="FCE9E8"/>
          </w:tcPr>
          <w:p>
            <w:pPr>
              <w:ind w:left="60"/>
              <w:spacing w:after="0"/>
              <w:rPr>
                <w:sz w:val="20"/>
                <w:szCs w:val="20"/>
                <w:color w:val="auto"/>
              </w:rPr>
            </w:pPr>
            <w:r>
              <w:rPr>
                <w:rFonts w:ascii="Arial" w:cs="Arial" w:eastAsia="Arial" w:hAnsi="Arial"/>
                <w:sz w:val="16"/>
                <w:szCs w:val="16"/>
                <w:color w:val="auto"/>
              </w:rPr>
              <w:t>other special items</w:t>
            </w:r>
          </w:p>
        </w:tc>
        <w:tc>
          <w:tcPr>
            <w:tcW w:w="0" w:type="dxa"/>
            <w:vAlign w:val="bottom"/>
          </w:tcPr>
          <w:p>
            <w:pPr>
              <w:spacing w:after="0"/>
              <w:rPr>
                <w:sz w:val="1"/>
                <w:szCs w:val="1"/>
                <w:color w:val="auto"/>
              </w:rPr>
            </w:pPr>
          </w:p>
        </w:tc>
      </w:tr>
      <w:tr>
        <w:trPr>
          <w:trHeight w:val="305"/>
        </w:trPr>
        <w:tc>
          <w:tcPr>
            <w:tcW w:w="1380" w:type="dxa"/>
            <w:vAlign w:val="bottom"/>
            <w:shd w:val="clear" w:color="auto" w:fill="FCE9E8"/>
          </w:tcPr>
          <w:p>
            <w:pPr>
              <w:spacing w:after="0"/>
              <w:rPr>
                <w:sz w:val="24"/>
                <w:szCs w:val="24"/>
                <w:color w:val="auto"/>
              </w:rPr>
            </w:pPr>
          </w:p>
        </w:tc>
        <w:tc>
          <w:tcPr>
            <w:tcW w:w="820" w:type="dxa"/>
            <w:vAlign w:val="bottom"/>
            <w:shd w:val="clear" w:color="auto" w:fill="FCE9E8"/>
          </w:tcPr>
          <w:p>
            <w:pPr>
              <w:spacing w:after="0"/>
              <w:rPr>
                <w:sz w:val="24"/>
                <w:szCs w:val="24"/>
                <w:color w:val="auto"/>
              </w:rPr>
            </w:pPr>
          </w:p>
        </w:tc>
        <w:tc>
          <w:tcPr>
            <w:tcW w:w="1180" w:type="dxa"/>
            <w:vAlign w:val="bottom"/>
            <w:shd w:val="clear" w:color="auto" w:fill="FCE9E8"/>
          </w:tcPr>
          <w:p>
            <w:pPr>
              <w:spacing w:after="0"/>
              <w:rPr>
                <w:sz w:val="24"/>
                <w:szCs w:val="24"/>
                <w:color w:val="auto"/>
              </w:rPr>
            </w:pPr>
          </w:p>
        </w:tc>
        <w:tc>
          <w:tcPr>
            <w:tcW w:w="6540" w:type="dxa"/>
            <w:vAlign w:val="bottom"/>
            <w:gridSpan w:val="2"/>
            <w:shd w:val="clear" w:color="auto" w:fill="FCE9E8"/>
          </w:tcPr>
          <w:p>
            <w:pPr>
              <w:ind w:left="100"/>
              <w:spacing w:after="0"/>
              <w:rPr>
                <w:sz w:val="20"/>
                <w:szCs w:val="20"/>
                <w:color w:val="auto"/>
              </w:rPr>
            </w:pPr>
            <w:r>
              <w:rPr>
                <w:rFonts w:ascii="Arial" w:cs="Arial" w:eastAsia="Arial" w:hAnsi="Arial"/>
                <w:sz w:val="16"/>
                <w:szCs w:val="16"/>
                <w:color w:val="auto"/>
              </w:rPr>
              <w:t>• Adjusted Operating Income is a well understood operating metric that can be influenced</w:t>
            </w:r>
          </w:p>
        </w:tc>
        <w:tc>
          <w:tcPr>
            <w:tcW w:w="0" w:type="dxa"/>
            <w:vAlign w:val="bottom"/>
          </w:tcPr>
          <w:p>
            <w:pPr>
              <w:spacing w:after="0"/>
              <w:rPr>
                <w:sz w:val="1"/>
                <w:szCs w:val="1"/>
                <w:color w:val="auto"/>
              </w:rPr>
            </w:pPr>
          </w:p>
        </w:tc>
      </w:tr>
      <w:tr>
        <w:trPr>
          <w:trHeight w:val="195"/>
        </w:trPr>
        <w:tc>
          <w:tcPr>
            <w:tcW w:w="138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1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340" w:type="dxa"/>
            <w:vAlign w:val="bottom"/>
            <w:shd w:val="clear" w:color="auto" w:fill="FCE9E8"/>
          </w:tcPr>
          <w:p>
            <w:pPr>
              <w:ind w:left="60"/>
              <w:spacing w:after="0"/>
              <w:rPr>
                <w:sz w:val="20"/>
                <w:szCs w:val="20"/>
                <w:color w:val="auto"/>
              </w:rPr>
            </w:pPr>
            <w:r>
              <w:rPr>
                <w:rFonts w:ascii="Arial" w:cs="Arial" w:eastAsia="Arial" w:hAnsi="Arial"/>
                <w:sz w:val="16"/>
                <w:szCs w:val="16"/>
                <w:color w:val="auto"/>
              </w:rPr>
              <w:t>by all levels of employees of the Company</w:t>
            </w:r>
          </w:p>
        </w:tc>
        <w:tc>
          <w:tcPr>
            <w:tcW w:w="0" w:type="dxa"/>
            <w:vAlign w:val="bottom"/>
          </w:tcPr>
          <w:p>
            <w:pPr>
              <w:spacing w:after="0"/>
              <w:rPr>
                <w:sz w:val="1"/>
                <w:szCs w:val="1"/>
                <w:color w:val="auto"/>
              </w:rPr>
            </w:pPr>
          </w:p>
        </w:tc>
      </w:tr>
      <w:tr>
        <w:trPr>
          <w:trHeight w:val="311"/>
        </w:trPr>
        <w:tc>
          <w:tcPr>
            <w:tcW w:w="1380" w:type="dxa"/>
            <w:vAlign w:val="bottom"/>
            <w:shd w:val="clear" w:color="auto" w:fill="FCE9E8"/>
          </w:tcPr>
          <w:p>
            <w:pPr>
              <w:spacing w:after="0"/>
              <w:rPr>
                <w:sz w:val="24"/>
                <w:szCs w:val="24"/>
                <w:color w:val="auto"/>
              </w:rPr>
            </w:pPr>
          </w:p>
        </w:tc>
        <w:tc>
          <w:tcPr>
            <w:tcW w:w="820" w:type="dxa"/>
            <w:vAlign w:val="bottom"/>
            <w:shd w:val="clear" w:color="auto" w:fill="FCE9E8"/>
          </w:tcPr>
          <w:p>
            <w:pPr>
              <w:spacing w:after="0"/>
              <w:rPr>
                <w:sz w:val="24"/>
                <w:szCs w:val="24"/>
                <w:color w:val="auto"/>
              </w:rPr>
            </w:pPr>
          </w:p>
        </w:tc>
        <w:tc>
          <w:tcPr>
            <w:tcW w:w="118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34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Provides motivation to maximize earnings from current operations</w:t>
            </w:r>
          </w:p>
        </w:tc>
        <w:tc>
          <w:tcPr>
            <w:tcW w:w="0" w:type="dxa"/>
            <w:vAlign w:val="bottom"/>
          </w:tcPr>
          <w:p>
            <w:pPr>
              <w:spacing w:after="0"/>
              <w:rPr>
                <w:sz w:val="1"/>
                <w:szCs w:val="1"/>
                <w:color w:val="auto"/>
              </w:rPr>
            </w:pPr>
          </w:p>
        </w:tc>
      </w:tr>
      <w:tr>
        <w:trPr>
          <w:trHeight w:val="73"/>
        </w:trPr>
        <w:tc>
          <w:tcPr>
            <w:tcW w:w="1380" w:type="dxa"/>
            <w:vAlign w:val="bottom"/>
            <w:shd w:val="clear" w:color="auto" w:fill="FCE9E8"/>
          </w:tcPr>
          <w:p>
            <w:pPr>
              <w:spacing w:after="0"/>
              <w:rPr>
                <w:sz w:val="6"/>
                <w:szCs w:val="6"/>
                <w:color w:val="auto"/>
              </w:rPr>
            </w:pPr>
          </w:p>
        </w:tc>
        <w:tc>
          <w:tcPr>
            <w:tcW w:w="820" w:type="dxa"/>
            <w:vAlign w:val="bottom"/>
            <w:shd w:val="clear" w:color="auto" w:fill="FCE9E8"/>
          </w:tcPr>
          <w:p>
            <w:pPr>
              <w:spacing w:after="0"/>
              <w:rPr>
                <w:sz w:val="6"/>
                <w:szCs w:val="6"/>
                <w:color w:val="auto"/>
              </w:rPr>
            </w:pPr>
          </w:p>
        </w:tc>
        <w:tc>
          <w:tcPr>
            <w:tcW w:w="1180" w:type="dxa"/>
            <w:vAlign w:val="bottom"/>
            <w:shd w:val="clear" w:color="auto" w:fill="FCE9E8"/>
          </w:tcPr>
          <w:p>
            <w:pPr>
              <w:spacing w:after="0"/>
              <w:rPr>
                <w:sz w:val="6"/>
                <w:szCs w:val="6"/>
                <w:color w:val="auto"/>
              </w:rPr>
            </w:pPr>
          </w:p>
        </w:tc>
        <w:tc>
          <w:tcPr>
            <w:tcW w:w="200" w:type="dxa"/>
            <w:vAlign w:val="bottom"/>
            <w:shd w:val="clear" w:color="auto" w:fill="FCE9E8"/>
          </w:tcPr>
          <w:p>
            <w:pPr>
              <w:spacing w:after="0"/>
              <w:rPr>
                <w:sz w:val="6"/>
                <w:szCs w:val="6"/>
                <w:color w:val="auto"/>
              </w:rPr>
            </w:pPr>
          </w:p>
        </w:tc>
        <w:tc>
          <w:tcPr>
            <w:tcW w:w="6340" w:type="dxa"/>
            <w:vAlign w:val="bottom"/>
            <w:shd w:val="clear" w:color="auto" w:fill="FCE9E8"/>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AIP</w:t>
            </w: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3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 less capital expenditures, excluding certain</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transactions.</w:t>
            </w:r>
          </w:p>
        </w:tc>
        <w:tc>
          <w:tcPr>
            <w:tcW w:w="0" w:type="dxa"/>
            <w:vAlign w:val="bottom"/>
          </w:tcPr>
          <w:p>
            <w:pPr>
              <w:spacing w:after="0"/>
              <w:rPr>
                <w:sz w:val="1"/>
                <w:szCs w:val="1"/>
                <w:color w:val="auto"/>
              </w:rPr>
            </w:pPr>
          </w:p>
        </w:tc>
      </w:tr>
      <w:tr>
        <w:trPr>
          <w:trHeight w:val="305"/>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340" w:type="dxa"/>
            <w:vAlign w:val="bottom"/>
          </w:tcPr>
          <w:p>
            <w:pPr>
              <w:ind w:left="40"/>
              <w:spacing w:after="0"/>
              <w:rPr>
                <w:sz w:val="20"/>
                <w:szCs w:val="20"/>
                <w:color w:val="auto"/>
              </w:rPr>
            </w:pPr>
            <w:r>
              <w:rPr>
                <w:rFonts w:ascii="Arial" w:cs="Arial" w:eastAsia="Arial" w:hAnsi="Arial"/>
                <w:sz w:val="16"/>
                <w:szCs w:val="16"/>
                <w:color w:val="auto"/>
              </w:rPr>
              <w:t>Free Cash Flow is a well understood operating metric that can be influenced by all</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levels of employees of the Company.</w:t>
            </w:r>
          </w:p>
        </w:tc>
        <w:tc>
          <w:tcPr>
            <w:tcW w:w="0" w:type="dxa"/>
            <w:vAlign w:val="bottom"/>
          </w:tcPr>
          <w:p>
            <w:pPr>
              <w:spacing w:after="0"/>
              <w:rPr>
                <w:sz w:val="1"/>
                <w:szCs w:val="1"/>
                <w:color w:val="auto"/>
              </w:rPr>
            </w:pPr>
          </w:p>
        </w:tc>
      </w:tr>
      <w:tr>
        <w:trPr>
          <w:trHeight w:val="305"/>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340" w:type="dxa"/>
            <w:vAlign w:val="bottom"/>
          </w:tcPr>
          <w:p>
            <w:pPr>
              <w:ind w:left="40"/>
              <w:spacing w:after="0"/>
              <w:rPr>
                <w:sz w:val="20"/>
                <w:szCs w:val="20"/>
                <w:color w:val="auto"/>
              </w:rPr>
            </w:pPr>
            <w:r>
              <w:rPr>
                <w:rFonts w:ascii="Arial" w:cs="Arial" w:eastAsia="Arial" w:hAnsi="Arial"/>
                <w:sz w:val="16"/>
                <w:szCs w:val="16"/>
                <w:color w:val="auto"/>
              </w:rPr>
              <w:t>Provides motivation to maximize cash flow through earnings and appropriate</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management of working capital and investments.</w:t>
            </w:r>
          </w:p>
        </w:tc>
        <w:tc>
          <w:tcPr>
            <w:tcW w:w="0" w:type="dxa"/>
            <w:vAlign w:val="bottom"/>
          </w:tcPr>
          <w:p>
            <w:pPr>
              <w:spacing w:after="0"/>
              <w:rPr>
                <w:sz w:val="1"/>
                <w:szCs w:val="1"/>
                <w:color w:val="auto"/>
              </w:rPr>
            </w:pPr>
          </w:p>
        </w:tc>
      </w:tr>
      <w:tr>
        <w:trPr>
          <w:trHeight w:val="73"/>
        </w:trPr>
        <w:tc>
          <w:tcPr>
            <w:tcW w:w="1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5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Annual Adjusted</w:t>
            </w:r>
          </w:p>
        </w:tc>
        <w:tc>
          <w:tcPr>
            <w:tcW w:w="8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LTSIP</w:t>
            </w:r>
          </w:p>
        </w:tc>
        <w:tc>
          <w:tcPr>
            <w:tcW w:w="11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2/3rd for</w:t>
            </w:r>
          </w:p>
        </w:tc>
        <w:tc>
          <w:tcPr>
            <w:tcW w:w="6540" w:type="dxa"/>
            <w:vAlign w:val="bottom"/>
            <w:gridSpan w:val="2"/>
            <w:shd w:val="clear" w:color="auto" w:fill="FCE9E8"/>
          </w:tcPr>
          <w:p>
            <w:pPr>
              <w:ind w:left="100"/>
              <w:spacing w:after="0"/>
              <w:rPr>
                <w:sz w:val="20"/>
                <w:szCs w:val="20"/>
                <w:color w:val="auto"/>
              </w:rPr>
            </w:pPr>
            <w:r>
              <w:rPr>
                <w:rFonts w:ascii="Arial" w:cs="Arial" w:eastAsia="Arial" w:hAnsi="Arial"/>
                <w:sz w:val="16"/>
                <w:szCs w:val="16"/>
                <w:color w:val="auto"/>
              </w:rPr>
              <w:t>• Annual adjusted net income for each year in the performance period (2021, 2022 and</w:t>
            </w:r>
          </w:p>
        </w:tc>
        <w:tc>
          <w:tcPr>
            <w:tcW w:w="0" w:type="dxa"/>
            <w:vAlign w:val="bottom"/>
          </w:tcPr>
          <w:p>
            <w:pPr>
              <w:spacing w:after="0"/>
              <w:rPr>
                <w:sz w:val="1"/>
                <w:szCs w:val="1"/>
                <w:color w:val="auto"/>
              </w:rPr>
            </w:pPr>
          </w:p>
        </w:tc>
      </w:tr>
      <w:tr>
        <w:trPr>
          <w:trHeight w:val="189"/>
        </w:trPr>
        <w:tc>
          <w:tcPr>
            <w:tcW w:w="1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Pretax Income</w:t>
            </w:r>
          </w:p>
        </w:tc>
        <w:tc>
          <w:tcPr>
            <w:tcW w:w="820" w:type="dxa"/>
            <w:vAlign w:val="bottom"/>
            <w:shd w:val="clear" w:color="auto" w:fill="FCE9E8"/>
          </w:tcPr>
          <w:p>
            <w:pPr>
              <w:spacing w:after="0"/>
              <w:rPr>
                <w:sz w:val="16"/>
                <w:szCs w:val="16"/>
                <w:color w:val="auto"/>
              </w:rPr>
            </w:pPr>
          </w:p>
        </w:tc>
        <w:tc>
          <w:tcPr>
            <w:tcW w:w="11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w:t>
            </w:r>
          </w:p>
        </w:tc>
        <w:tc>
          <w:tcPr>
            <w:tcW w:w="200" w:type="dxa"/>
            <w:vAlign w:val="bottom"/>
            <w:shd w:val="clear" w:color="auto" w:fill="FCE9E8"/>
          </w:tcPr>
          <w:p>
            <w:pPr>
              <w:spacing w:after="0"/>
              <w:rPr>
                <w:sz w:val="16"/>
                <w:szCs w:val="16"/>
                <w:color w:val="auto"/>
              </w:rPr>
            </w:pPr>
          </w:p>
        </w:tc>
        <w:tc>
          <w:tcPr>
            <w:tcW w:w="6340" w:type="dxa"/>
            <w:vAlign w:val="bottom"/>
            <w:shd w:val="clear" w:color="auto" w:fill="FCE9E8"/>
          </w:tcPr>
          <w:p>
            <w:pPr>
              <w:ind w:left="60"/>
              <w:spacing w:after="0"/>
              <w:rPr>
                <w:sz w:val="20"/>
                <w:szCs w:val="20"/>
                <w:color w:val="auto"/>
              </w:rPr>
            </w:pPr>
            <w:r>
              <w:rPr>
                <w:rFonts w:ascii="Arial" w:cs="Arial" w:eastAsia="Arial" w:hAnsi="Arial"/>
                <w:sz w:val="16"/>
                <w:szCs w:val="16"/>
                <w:color w:val="auto"/>
              </w:rPr>
              <w:t>2023) before a provision for income taxes, excluding certain transactions.</w:t>
            </w:r>
          </w:p>
        </w:tc>
        <w:tc>
          <w:tcPr>
            <w:tcW w:w="0" w:type="dxa"/>
            <w:vAlign w:val="bottom"/>
          </w:tcPr>
          <w:p>
            <w:pPr>
              <w:spacing w:after="0"/>
              <w:rPr>
                <w:sz w:val="1"/>
                <w:szCs w:val="1"/>
                <w:color w:val="auto"/>
              </w:rPr>
            </w:pPr>
          </w:p>
        </w:tc>
      </w:tr>
      <w:tr>
        <w:trPr>
          <w:trHeight w:val="195"/>
        </w:trPr>
        <w:tc>
          <w:tcPr>
            <w:tcW w:w="138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1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Shares</w:t>
            </w:r>
          </w:p>
        </w:tc>
        <w:tc>
          <w:tcPr>
            <w:tcW w:w="200" w:type="dxa"/>
            <w:vAlign w:val="bottom"/>
            <w:vMerge w:val="restart"/>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340" w:type="dxa"/>
            <w:vAlign w:val="bottom"/>
            <w:vMerge w:val="restart"/>
            <w:shd w:val="clear" w:color="auto" w:fill="FCE9E8"/>
          </w:tcPr>
          <w:p>
            <w:pPr>
              <w:ind w:left="40"/>
              <w:spacing w:after="0"/>
              <w:rPr>
                <w:sz w:val="20"/>
                <w:szCs w:val="20"/>
                <w:color w:val="auto"/>
              </w:rPr>
            </w:pPr>
            <w:r>
              <w:rPr>
                <w:rFonts w:ascii="Arial" w:cs="Arial" w:eastAsia="Arial" w:hAnsi="Arial"/>
                <w:sz w:val="16"/>
                <w:szCs w:val="16"/>
                <w:color w:val="auto"/>
              </w:rPr>
              <w:t>Focuses on earnings generated from products sold, encouraging profitable revenue</w:t>
            </w:r>
          </w:p>
        </w:tc>
        <w:tc>
          <w:tcPr>
            <w:tcW w:w="0" w:type="dxa"/>
            <w:vAlign w:val="bottom"/>
          </w:tcPr>
          <w:p>
            <w:pPr>
              <w:spacing w:after="0"/>
              <w:rPr>
                <w:sz w:val="1"/>
                <w:szCs w:val="1"/>
                <w:color w:val="auto"/>
              </w:rPr>
            </w:pPr>
          </w:p>
        </w:tc>
      </w:tr>
      <w:tr>
        <w:trPr>
          <w:trHeight w:val="116"/>
        </w:trPr>
        <w:tc>
          <w:tcPr>
            <w:tcW w:w="1380" w:type="dxa"/>
            <w:vAlign w:val="bottom"/>
            <w:shd w:val="clear" w:color="auto" w:fill="FCE9E8"/>
          </w:tcPr>
          <w:p>
            <w:pPr>
              <w:spacing w:after="0"/>
              <w:rPr>
                <w:sz w:val="10"/>
                <w:szCs w:val="10"/>
                <w:color w:val="auto"/>
              </w:rPr>
            </w:pPr>
          </w:p>
        </w:tc>
        <w:tc>
          <w:tcPr>
            <w:tcW w:w="820" w:type="dxa"/>
            <w:vAlign w:val="bottom"/>
            <w:shd w:val="clear" w:color="auto" w:fill="FCE9E8"/>
          </w:tcPr>
          <w:p>
            <w:pPr>
              <w:spacing w:after="0"/>
              <w:rPr>
                <w:sz w:val="10"/>
                <w:szCs w:val="10"/>
                <w:color w:val="auto"/>
              </w:rPr>
            </w:pPr>
          </w:p>
        </w:tc>
        <w:tc>
          <w:tcPr>
            <w:tcW w:w="1180" w:type="dxa"/>
            <w:vAlign w:val="bottom"/>
            <w:shd w:val="clear" w:color="auto" w:fill="FCE9E8"/>
          </w:tcPr>
          <w:p>
            <w:pPr>
              <w:spacing w:after="0"/>
              <w:rPr>
                <w:sz w:val="10"/>
                <w:szCs w:val="10"/>
                <w:color w:val="auto"/>
              </w:rPr>
            </w:pPr>
          </w:p>
        </w:tc>
        <w:tc>
          <w:tcPr>
            <w:tcW w:w="200" w:type="dxa"/>
            <w:vAlign w:val="bottom"/>
            <w:vMerge w:val="continue"/>
            <w:shd w:val="clear" w:color="auto" w:fill="FCE9E8"/>
          </w:tcPr>
          <w:p>
            <w:pPr>
              <w:spacing w:after="0"/>
              <w:rPr>
                <w:sz w:val="10"/>
                <w:szCs w:val="10"/>
                <w:color w:val="auto"/>
              </w:rPr>
            </w:pPr>
          </w:p>
        </w:tc>
        <w:tc>
          <w:tcPr>
            <w:tcW w:w="6340" w:type="dxa"/>
            <w:vAlign w:val="bottom"/>
            <w:vMerge w:val="continue"/>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38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1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340" w:type="dxa"/>
            <w:vAlign w:val="bottom"/>
            <w:shd w:val="clear" w:color="auto" w:fill="FCE9E8"/>
          </w:tcPr>
          <w:p>
            <w:pPr>
              <w:ind w:left="60"/>
              <w:spacing w:after="0"/>
              <w:rPr>
                <w:sz w:val="20"/>
                <w:szCs w:val="20"/>
                <w:color w:val="auto"/>
              </w:rPr>
            </w:pPr>
            <w:r>
              <w:rPr>
                <w:rFonts w:ascii="Arial" w:cs="Arial" w:eastAsia="Arial" w:hAnsi="Arial"/>
                <w:sz w:val="16"/>
                <w:szCs w:val="16"/>
                <w:color w:val="auto"/>
              </w:rPr>
              <w:t>growth and efficient management of costs over time.</w:t>
            </w:r>
          </w:p>
        </w:tc>
        <w:tc>
          <w:tcPr>
            <w:tcW w:w="0" w:type="dxa"/>
            <w:vAlign w:val="bottom"/>
          </w:tcPr>
          <w:p>
            <w:pPr>
              <w:spacing w:after="0"/>
              <w:rPr>
                <w:sz w:val="1"/>
                <w:szCs w:val="1"/>
                <w:color w:val="auto"/>
              </w:rPr>
            </w:pPr>
          </w:p>
        </w:tc>
      </w:tr>
      <w:tr>
        <w:trPr>
          <w:trHeight w:val="305"/>
        </w:trPr>
        <w:tc>
          <w:tcPr>
            <w:tcW w:w="1380" w:type="dxa"/>
            <w:vAlign w:val="bottom"/>
            <w:shd w:val="clear" w:color="auto" w:fill="FCE9E8"/>
          </w:tcPr>
          <w:p>
            <w:pPr>
              <w:spacing w:after="0"/>
              <w:rPr>
                <w:sz w:val="24"/>
                <w:szCs w:val="24"/>
                <w:color w:val="auto"/>
              </w:rPr>
            </w:pPr>
          </w:p>
        </w:tc>
        <w:tc>
          <w:tcPr>
            <w:tcW w:w="820" w:type="dxa"/>
            <w:vAlign w:val="bottom"/>
            <w:shd w:val="clear" w:color="auto" w:fill="FCE9E8"/>
          </w:tcPr>
          <w:p>
            <w:pPr>
              <w:spacing w:after="0"/>
              <w:rPr>
                <w:sz w:val="24"/>
                <w:szCs w:val="24"/>
                <w:color w:val="auto"/>
              </w:rPr>
            </w:pPr>
          </w:p>
        </w:tc>
        <w:tc>
          <w:tcPr>
            <w:tcW w:w="118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6340" w:type="dxa"/>
            <w:vAlign w:val="bottom"/>
            <w:shd w:val="clear" w:color="auto" w:fill="FCE9E8"/>
          </w:tcPr>
          <w:p>
            <w:pPr>
              <w:ind w:left="40"/>
              <w:spacing w:after="0"/>
              <w:rPr>
                <w:sz w:val="20"/>
                <w:szCs w:val="20"/>
                <w:color w:val="auto"/>
              </w:rPr>
            </w:pPr>
            <w:r>
              <w:rPr>
                <w:rFonts w:ascii="Arial" w:cs="Arial" w:eastAsia="Arial" w:hAnsi="Arial"/>
                <w:sz w:val="16"/>
                <w:szCs w:val="16"/>
                <w:color w:val="auto"/>
              </w:rPr>
              <w:t>Performance results for each year are independently assessed to calculate an annual</w:t>
            </w:r>
          </w:p>
        </w:tc>
        <w:tc>
          <w:tcPr>
            <w:tcW w:w="0" w:type="dxa"/>
            <w:vAlign w:val="bottom"/>
          </w:tcPr>
          <w:p>
            <w:pPr>
              <w:spacing w:after="0"/>
              <w:rPr>
                <w:sz w:val="1"/>
                <w:szCs w:val="1"/>
                <w:color w:val="auto"/>
              </w:rPr>
            </w:pPr>
          </w:p>
        </w:tc>
      </w:tr>
      <w:tr>
        <w:trPr>
          <w:trHeight w:val="195"/>
        </w:trPr>
        <w:tc>
          <w:tcPr>
            <w:tcW w:w="138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18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6340" w:type="dxa"/>
            <w:vAlign w:val="bottom"/>
            <w:shd w:val="clear" w:color="auto" w:fill="FCE9E8"/>
          </w:tcPr>
          <w:p>
            <w:pPr>
              <w:ind w:left="60"/>
              <w:spacing w:after="0"/>
              <w:rPr>
                <w:sz w:val="20"/>
                <w:szCs w:val="20"/>
                <w:color w:val="auto"/>
              </w:rPr>
            </w:pPr>
            <w:r>
              <w:rPr>
                <w:rFonts w:ascii="Arial" w:cs="Arial" w:eastAsia="Arial" w:hAnsi="Arial"/>
                <w:sz w:val="16"/>
                <w:szCs w:val="16"/>
                <w:color w:val="auto"/>
              </w:rPr>
              <w:t>payout factor, which is averaged to determine the three-year payout.</w:t>
            </w:r>
          </w:p>
        </w:tc>
        <w:tc>
          <w:tcPr>
            <w:tcW w:w="0" w:type="dxa"/>
            <w:vAlign w:val="bottom"/>
          </w:tcPr>
          <w:p>
            <w:pPr>
              <w:spacing w:after="0"/>
              <w:rPr>
                <w:sz w:val="1"/>
                <w:szCs w:val="1"/>
                <w:color w:val="auto"/>
              </w:rPr>
            </w:pPr>
          </w:p>
        </w:tc>
      </w:tr>
      <w:tr>
        <w:trPr>
          <w:trHeight w:val="73"/>
        </w:trPr>
        <w:tc>
          <w:tcPr>
            <w:tcW w:w="1380" w:type="dxa"/>
            <w:vAlign w:val="bottom"/>
            <w:shd w:val="clear" w:color="auto" w:fill="FCE9E8"/>
          </w:tcPr>
          <w:p>
            <w:pPr>
              <w:spacing w:after="0"/>
              <w:rPr>
                <w:sz w:val="6"/>
                <w:szCs w:val="6"/>
                <w:color w:val="auto"/>
              </w:rPr>
            </w:pPr>
          </w:p>
        </w:tc>
        <w:tc>
          <w:tcPr>
            <w:tcW w:w="820" w:type="dxa"/>
            <w:vAlign w:val="bottom"/>
            <w:shd w:val="clear" w:color="auto" w:fill="FCE9E8"/>
          </w:tcPr>
          <w:p>
            <w:pPr>
              <w:spacing w:after="0"/>
              <w:rPr>
                <w:sz w:val="6"/>
                <w:szCs w:val="6"/>
                <w:color w:val="auto"/>
              </w:rPr>
            </w:pPr>
          </w:p>
        </w:tc>
        <w:tc>
          <w:tcPr>
            <w:tcW w:w="1180" w:type="dxa"/>
            <w:vAlign w:val="bottom"/>
            <w:shd w:val="clear" w:color="auto" w:fill="FCE9E8"/>
          </w:tcPr>
          <w:p>
            <w:pPr>
              <w:spacing w:after="0"/>
              <w:rPr>
                <w:sz w:val="6"/>
                <w:szCs w:val="6"/>
                <w:color w:val="auto"/>
              </w:rPr>
            </w:pPr>
          </w:p>
        </w:tc>
        <w:tc>
          <w:tcPr>
            <w:tcW w:w="200" w:type="dxa"/>
            <w:vAlign w:val="bottom"/>
            <w:shd w:val="clear" w:color="auto" w:fill="FCE9E8"/>
          </w:tcPr>
          <w:p>
            <w:pPr>
              <w:spacing w:after="0"/>
              <w:rPr>
                <w:sz w:val="6"/>
                <w:szCs w:val="6"/>
                <w:color w:val="auto"/>
              </w:rPr>
            </w:pPr>
          </w:p>
        </w:tc>
        <w:tc>
          <w:tcPr>
            <w:tcW w:w="6340" w:type="dxa"/>
            <w:vAlign w:val="bottom"/>
            <w:shd w:val="clear" w:color="auto" w:fill="FCE9E8"/>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80"/>
              <w:spacing w:after="0"/>
              <w:rPr>
                <w:sz w:val="20"/>
                <w:szCs w:val="20"/>
                <w:color w:val="auto"/>
              </w:rPr>
            </w:pPr>
            <w:r>
              <w:rPr>
                <w:rFonts w:ascii="Arial" w:cs="Arial" w:eastAsia="Arial" w:hAnsi="Arial"/>
                <w:sz w:val="16"/>
                <w:szCs w:val="16"/>
                <w:color w:val="auto"/>
              </w:rPr>
              <w:t>Relative TSR</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LTSIP</w:t>
            </w:r>
          </w:p>
        </w:tc>
        <w:tc>
          <w:tcPr>
            <w:tcW w:w="1180" w:type="dxa"/>
            <w:vAlign w:val="bottom"/>
          </w:tcPr>
          <w:p>
            <w:pPr>
              <w:jc w:val="center"/>
              <w:spacing w:after="0"/>
              <w:rPr>
                <w:sz w:val="20"/>
                <w:szCs w:val="20"/>
                <w:color w:val="auto"/>
              </w:rPr>
            </w:pPr>
            <w:r>
              <w:rPr>
                <w:rFonts w:ascii="Arial" w:cs="Arial" w:eastAsia="Arial" w:hAnsi="Arial"/>
                <w:sz w:val="16"/>
                <w:szCs w:val="16"/>
                <w:color w:val="auto"/>
              </w:rPr>
              <w:t>1/3rd for</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340" w:type="dxa"/>
            <w:vAlign w:val="bottom"/>
          </w:tcPr>
          <w:p>
            <w:pPr>
              <w:ind w:left="40"/>
              <w:spacing w:after="0"/>
              <w:rPr>
                <w:sz w:val="20"/>
                <w:szCs w:val="20"/>
                <w:color w:val="auto"/>
              </w:rPr>
            </w:pPr>
            <w:r>
              <w:rPr>
                <w:rFonts w:ascii="Arial" w:cs="Arial" w:eastAsia="Arial" w:hAnsi="Arial"/>
                <w:sz w:val="16"/>
                <w:szCs w:val="16"/>
                <w:color w:val="auto"/>
              </w:rPr>
              <w:t>Relative TSR for the 2021 Performance Share awards for the three-year performance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Performance</w:t>
            </w: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period (2021-2023) based on the three-year TSR achieved by the Company relative to</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the three-year TSR achieved by a group of auto suppliers and industrial companies</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over the performance period (starting TSR assessment period in December 2020</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compared to ending TSR assessment period in December 2023).</w:t>
            </w:r>
          </w:p>
        </w:tc>
        <w:tc>
          <w:tcPr>
            <w:tcW w:w="0" w:type="dxa"/>
            <w:vAlign w:val="bottom"/>
          </w:tcPr>
          <w:p>
            <w:pPr>
              <w:spacing w:after="0"/>
              <w:rPr>
                <w:sz w:val="1"/>
                <w:szCs w:val="1"/>
                <w:color w:val="auto"/>
              </w:rPr>
            </w:pPr>
          </w:p>
        </w:tc>
      </w:tr>
      <w:tr>
        <w:trPr>
          <w:trHeight w:val="305"/>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340" w:type="dxa"/>
            <w:vAlign w:val="bottom"/>
          </w:tcPr>
          <w:p>
            <w:pPr>
              <w:ind w:left="40"/>
              <w:spacing w:after="0"/>
              <w:rPr>
                <w:sz w:val="20"/>
                <w:szCs w:val="20"/>
                <w:color w:val="auto"/>
              </w:rPr>
            </w:pPr>
            <w:r>
              <w:rPr>
                <w:rFonts w:ascii="Arial" w:cs="Arial" w:eastAsia="Arial" w:hAnsi="Arial"/>
                <w:sz w:val="16"/>
                <w:szCs w:val="16"/>
                <w:color w:val="auto"/>
              </w:rPr>
              <w:t>Focuses on alignment of executive pay with value creation for our shareholders relative</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to our peers.</w:t>
            </w: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340" w:type="dxa"/>
            <w:vAlign w:val="bottom"/>
          </w:tcPr>
          <w:p>
            <w:pPr>
              <w:ind w:left="40"/>
              <w:spacing w:after="0"/>
              <w:rPr>
                <w:sz w:val="20"/>
                <w:szCs w:val="20"/>
                <w:color w:val="auto"/>
              </w:rPr>
            </w:pPr>
            <w:r>
              <w:rPr>
                <w:rFonts w:ascii="Arial" w:cs="Arial" w:eastAsia="Arial" w:hAnsi="Arial"/>
                <w:sz w:val="16"/>
                <w:szCs w:val="16"/>
                <w:color w:val="auto"/>
              </w:rPr>
              <w:t>Target award earned for median relative TSR, which aligns to target pay opportunities</w:t>
            </w:r>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line="194" w:lineRule="exact"/>
              <w:rPr>
                <w:sz w:val="20"/>
                <w:szCs w:val="20"/>
                <w:color w:val="auto"/>
              </w:rPr>
            </w:pPr>
            <w:r>
              <w:rPr>
                <w:rFonts w:ascii="Arial" w:cs="Arial" w:eastAsia="Arial" w:hAnsi="Arial"/>
                <w:sz w:val="14"/>
                <w:szCs w:val="14"/>
                <w:color w:val="auto"/>
              </w:rPr>
              <w:t>set at median, with maximum award of 200% of target for relative TSR of at least 75</w:t>
            </w:r>
            <w:r>
              <w:rPr>
                <w:rFonts w:ascii="Arial" w:cs="Arial" w:eastAsia="Arial" w:hAnsi="Arial"/>
                <w:sz w:val="22"/>
                <w:szCs w:val="22"/>
                <w:color w:val="auto"/>
                <w:vertAlign w:val="superscript"/>
              </w:rPr>
              <w:t>th</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percentile. However, awards are capped at target if the Company’s TSR is negative for</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ind w:left="60"/>
              <w:spacing w:after="0"/>
              <w:rPr>
                <w:sz w:val="20"/>
                <w:szCs w:val="20"/>
                <w:color w:val="auto"/>
              </w:rPr>
            </w:pPr>
            <w:r>
              <w:rPr>
                <w:rFonts w:ascii="Arial" w:cs="Arial" w:eastAsia="Arial" w:hAnsi="Arial"/>
                <w:sz w:val="16"/>
                <w:szCs w:val="16"/>
                <w:color w:val="auto"/>
              </w:rPr>
              <w:t>the assessment period.</w:t>
            </w:r>
          </w:p>
        </w:tc>
        <w:tc>
          <w:tcPr>
            <w:tcW w:w="0" w:type="dxa"/>
            <w:vAlign w:val="bottom"/>
          </w:tcPr>
          <w:p>
            <w:pPr>
              <w:spacing w:after="0"/>
              <w:rPr>
                <w:sz w:val="1"/>
                <w:szCs w:val="1"/>
                <w:color w:val="auto"/>
              </w:rPr>
            </w:pPr>
          </w:p>
        </w:tc>
      </w:tr>
      <w:tr>
        <w:trPr>
          <w:trHeight w:val="73"/>
        </w:trPr>
        <w:tc>
          <w:tcPr>
            <w:tcW w:w="1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41</w:t>
      </w:r>
    </w:p>
    <w:p>
      <w:pPr>
        <w:sectPr>
          <w:pgSz w:w="11900" w:h="16838" w:orient="portrait"/>
          <w:cols w:equalWidth="0" w:num="1">
            <w:col w:w="10860"/>
          </w:cols>
          <w:pgMar w:left="320" w:top="459" w:right="7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72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Incentives</w:t>
      </w:r>
    </w:p>
    <w:p>
      <w:pPr>
        <w:spacing w:after="0" w:line="192"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color w:val="auto"/>
        </w:rPr>
        <w:t>Our NEOs and nearly 7,000 other employees are eligible to participate in the AIP, which provides annual cash incentive award opportunities based upon the achievement of financial performance goals important to the Company’s success. Awards, if earned, are typically paid early in the following year based on our performance achieved in the prior fiscal year.</w:t>
      </w:r>
    </w:p>
    <w:p>
      <w:pPr>
        <w:spacing w:after="0" w:line="81"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NEO is assigned an annual target</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under the AIP expressed as a percentage of such officer’s base salary. An executive’s target annual incentive percentage generally increases as his or her ability to affect the Company’s performance increases. Consequently, as an executive’s responsibilities increase, his or her variable compensation in the form of an annual incentive, which is dependent on Company performance, generally makes up a larger portion of the executive’s total compensation.</w:t>
      </w:r>
    </w:p>
    <w:p>
      <w:pPr>
        <w:spacing w:after="0" w:line="100" w:lineRule="exact"/>
        <w:rPr>
          <w:sz w:val="20"/>
          <w:szCs w:val="20"/>
          <w:color w:val="auto"/>
        </w:rPr>
      </w:pPr>
    </w:p>
    <w:p>
      <w:pPr>
        <w:ind w:left="660" w:right="460"/>
        <w:spacing w:after="0" w:line="260" w:lineRule="auto"/>
        <w:rPr>
          <w:sz w:val="20"/>
          <w:szCs w:val="20"/>
          <w:color w:val="auto"/>
        </w:rPr>
      </w:pPr>
      <w:r>
        <w:rPr>
          <w:rFonts w:ascii="Arial" w:cs="Arial" w:eastAsia="Arial" w:hAnsi="Arial"/>
          <w:sz w:val="16"/>
          <w:szCs w:val="16"/>
          <w:color w:val="auto"/>
        </w:rPr>
        <w:t>For 2021, the target annual incentive opportunity for each of Messrs. Scott, Orsini, DiDonato, Cardew and Esposito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150%, 100%, 100%, 100% and 80%, respectively, of their base salaries.</w:t>
      </w:r>
    </w:p>
    <w:p>
      <w:pPr>
        <w:spacing w:after="0" w:line="7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Our 2021 AIP, which was approved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2020, utilized Adjusted Operating Income and Free Cash Flow because they are highly visible and important measures of operating performance that are relied upon by investors. The goals applicable to the 2021 AIP were set based on the Board-approved budget, with the target goals (set as a range) reflecting a level of performance which at the time was anticipated to be challenging but achievable; the threshold goals reflecting a level of performance at which the P&amp;C Committee believed a portion of the award should be earned; and the maximum goals being set well above target, requiring significant achievements and reflecting performance at which the P&amp;C Committee believed a 200% target award was warranted.</w:t>
      </w:r>
    </w:p>
    <w:p>
      <w:pPr>
        <w:spacing w:after="0" w:line="698"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3"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i w:val="1"/>
          <w:iCs w:val="1"/>
          <w:color w:val="auto"/>
        </w:rPr>
        <w:t xml:space="preserve">Payouts. </w:t>
      </w:r>
      <w:r>
        <w:rPr>
          <w:rFonts w:ascii="Arial" w:cs="Arial" w:eastAsia="Arial" w:hAnsi="Arial"/>
          <w:sz w:val="16"/>
          <w:szCs w:val="16"/>
          <w:color w:val="auto"/>
        </w:rPr>
        <w:t>Our actual 2021 Adjusted Operating Income and Free Cash Flow (as reflected in the charts above under the heading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Summary — Executive Compensation Highlights — 2021 Annual Incentive Program”) resulted in annual incentive awards being earned at 100% of target, as shown below for each NEO. In determining the payouts of the 2021 Annual Incentive Program, consistent with our pay-for-performance philosophy of providing incentive payouts for delivering operating results, the P&amp;C Committee deemed it appropriate to exclude a portion of the estimated impact of the extraordinary increase in commodity costs and the adverse impact to working capital as a result of the severe shortage of semiconductor parts, which led to frequent and unpredictable fluctuations in customer volumes, from our financial performance results as significant unplanned, unbudgeted items. Similarly, the P&amp;C Committee excluded the impact of acquisitions made during 2021, which would have increased financial performance results and corresponding payouts, as significant unplanned, unbudgeted items. Factoring in such exclusions, 2021 Adjusted Operating Income was slightly above the target range and 2021 Free Cash Flow was slightly below the target range (see the charts above under the heading “Executive Summary – Executive Compensation Highlights – 2021 Annual Incentive Program” for our Adjusted Operating Income and Free Cash Flow results). Financial results, on a weighted average basis, for these metrics earned payouts at the target level and reflected improvement in Adjusted Operating Income (measure used in both years) relative to 2020 (2021 of $958 million versus 2020 of $614 million).</w:t>
      </w: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FFFFFF"/>
        </w:rPr>
        <w:t>2021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-156210</wp:posOffset>
            </wp:positionV>
            <wp:extent cx="629221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660" w:type="dxa"/>
            <w:vAlign w:val="bottom"/>
          </w:tcPr>
          <w:p>
            <w:pPr>
              <w:jc w:val="right"/>
              <w:ind w:right="322"/>
              <w:spacing w:after="0"/>
              <w:rPr>
                <w:sz w:val="20"/>
                <w:szCs w:val="20"/>
                <w:color w:val="auto"/>
              </w:rPr>
            </w:pPr>
            <w:r>
              <w:rPr>
                <w:rFonts w:ascii="Arial" w:cs="Arial" w:eastAsia="Arial" w:hAnsi="Arial"/>
                <w:sz w:val="14"/>
                <w:szCs w:val="14"/>
                <w:b w:val="1"/>
                <w:bCs w:val="1"/>
                <w:color w:val="E2231A"/>
              </w:rPr>
              <w:t>Target Opportunity</w:t>
            </w: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80" w:type="dxa"/>
            <w:vAlign w:val="bottom"/>
            <w:gridSpan w:val="2"/>
          </w:tcPr>
          <w:p>
            <w:pPr>
              <w:ind w:left="320"/>
              <w:spacing w:after="0"/>
              <w:rPr>
                <w:sz w:val="20"/>
                <w:szCs w:val="20"/>
                <w:color w:val="auto"/>
              </w:rPr>
            </w:pPr>
            <w:r>
              <w:rPr>
                <w:rFonts w:ascii="Arial" w:cs="Arial" w:eastAsia="Arial" w:hAnsi="Arial"/>
                <w:sz w:val="14"/>
                <w:szCs w:val="14"/>
                <w:b w:val="1"/>
                <w:bCs w:val="1"/>
                <w:color w:val="E2231A"/>
              </w:rPr>
              <w:t>2021 Incentive</w:t>
            </w:r>
          </w:p>
        </w:tc>
      </w:tr>
      <w:tr>
        <w:trPr>
          <w:trHeight w:val="192"/>
        </w:trPr>
        <w:tc>
          <w:tcPr>
            <w:tcW w:w="25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E2231A"/>
              </w:rPr>
              <w:t>(as % of Base)</w:t>
            </w:r>
          </w:p>
        </w:tc>
        <w:tc>
          <w:tcPr>
            <w:tcW w:w="1720" w:type="dxa"/>
            <w:vAlign w:val="bottom"/>
            <w:tcBorders>
              <w:bottom w:val="single" w:sz="8" w:color="auto"/>
            </w:tcBorders>
            <w:gridSpan w:val="2"/>
          </w:tcPr>
          <w:p>
            <w:pPr>
              <w:ind w:left="240"/>
              <w:spacing w:after="0" w:line="192" w:lineRule="exact"/>
              <w:rPr>
                <w:sz w:val="20"/>
                <w:szCs w:val="20"/>
                <w:color w:val="auto"/>
              </w:rPr>
            </w:pPr>
            <w:r>
              <w:rPr>
                <w:rFonts w:ascii="Arial" w:cs="Arial" w:eastAsia="Arial" w:hAnsi="Arial"/>
                <w:sz w:val="13"/>
                <w:szCs w:val="13"/>
                <w:b w:val="1"/>
                <w:bCs w:val="1"/>
                <w:color w:val="E2231A"/>
              </w:rPr>
              <w:t>Target Amount</w:t>
            </w:r>
            <w:r>
              <w:rPr>
                <w:rFonts w:ascii="Arial" w:cs="Arial" w:eastAsia="Arial" w:hAnsi="Arial"/>
                <w:sz w:val="22"/>
                <w:szCs w:val="22"/>
                <w:b w:val="1"/>
                <w:bCs w:val="1"/>
                <w:color w:val="E2231A"/>
                <w:vertAlign w:val="superscript"/>
              </w:rPr>
              <w:t>(1)</w:t>
            </w:r>
          </w:p>
        </w:tc>
        <w:tc>
          <w:tcPr>
            <w:tcW w:w="13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E2231A"/>
              </w:rPr>
              <w:t>Results</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1"/>
              <w:spacing w:after="0" w:line="192" w:lineRule="exact"/>
              <w:rPr>
                <w:sz w:val="20"/>
                <w:szCs w:val="20"/>
                <w:color w:val="auto"/>
              </w:rPr>
            </w:pPr>
            <w:r>
              <w:rPr>
                <w:rFonts w:ascii="Arial" w:cs="Arial" w:eastAsia="Arial" w:hAnsi="Arial"/>
                <w:sz w:val="13"/>
                <w:szCs w:val="13"/>
                <w:b w:val="1"/>
                <w:bCs w:val="1"/>
                <w:color w:val="E2231A"/>
              </w:rPr>
              <w:t>Amount</w:t>
            </w:r>
            <w:r>
              <w:rPr>
                <w:rFonts w:ascii="Arial" w:cs="Arial" w:eastAsia="Arial" w:hAnsi="Arial"/>
                <w:sz w:val="22"/>
                <w:szCs w:val="22"/>
                <w:b w:val="1"/>
                <w:bCs w:val="1"/>
                <w:color w:val="E2231A"/>
                <w:vertAlign w:val="superscript"/>
              </w:rPr>
              <w:t>(2)</w:t>
            </w:r>
          </w:p>
        </w:tc>
      </w:tr>
      <w:tr>
        <w:trPr>
          <w:trHeight w:val="237"/>
        </w:trPr>
        <w:tc>
          <w:tcPr>
            <w:tcW w:w="254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266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150%</w:t>
            </w:r>
          </w:p>
        </w:tc>
        <w:tc>
          <w:tcPr>
            <w:tcW w:w="50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239"/>
              <w:spacing w:after="0"/>
              <w:rPr>
                <w:sz w:val="20"/>
                <w:szCs w:val="20"/>
                <w:color w:val="auto"/>
              </w:rPr>
            </w:pPr>
            <w:r>
              <w:rPr>
                <w:rFonts w:ascii="Arial" w:cs="Arial" w:eastAsia="Arial" w:hAnsi="Arial"/>
                <w:sz w:val="16"/>
                <w:szCs w:val="16"/>
                <w:color w:val="auto"/>
              </w:rPr>
              <w:t>1,905,000</w:t>
            </w:r>
          </w:p>
        </w:tc>
        <w:tc>
          <w:tcPr>
            <w:tcW w:w="1320" w:type="dxa"/>
            <w:vAlign w:val="bottom"/>
            <w:shd w:val="clear" w:color="auto" w:fill="FCE9E8"/>
          </w:tcPr>
          <w:p>
            <w:pPr>
              <w:jc w:val="right"/>
              <w:ind w:right="241"/>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FCE9E8"/>
          </w:tcPr>
          <w:p>
            <w:pPr>
              <w:jc w:val="right"/>
              <w:ind w:right="281"/>
              <w:spacing w:after="0"/>
              <w:rPr>
                <w:sz w:val="20"/>
                <w:szCs w:val="20"/>
                <w:color w:val="auto"/>
              </w:rPr>
            </w:pPr>
            <w:r>
              <w:rPr>
                <w:rFonts w:ascii="Arial" w:cs="Arial" w:eastAsia="Arial" w:hAnsi="Arial"/>
                <w:sz w:val="16"/>
                <w:szCs w:val="16"/>
                <w:color w:val="auto"/>
              </w:rPr>
              <w:t>1,905,000</w:t>
            </w:r>
          </w:p>
        </w:tc>
      </w:tr>
      <w:tr>
        <w:trPr>
          <w:trHeight w:val="233"/>
        </w:trPr>
        <w:tc>
          <w:tcPr>
            <w:tcW w:w="254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266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500" w:type="dxa"/>
            <w:vAlign w:val="bottom"/>
          </w:tcPr>
          <w:p>
            <w:pPr>
              <w:ind w:lef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824,000</w:t>
            </w:r>
          </w:p>
        </w:tc>
        <w:tc>
          <w:tcPr>
            <w:tcW w:w="1320" w:type="dxa"/>
            <w:vAlign w:val="bottom"/>
          </w:tcPr>
          <w:p>
            <w:pPr>
              <w:jc w:val="right"/>
              <w:ind w:right="241"/>
              <w:spacing w:after="0"/>
              <w:rPr>
                <w:sz w:val="20"/>
                <w:szCs w:val="20"/>
                <w:color w:val="auto"/>
              </w:rPr>
            </w:pPr>
            <w:r>
              <w:rPr>
                <w:rFonts w:ascii="Arial" w:cs="Arial" w:eastAsia="Arial" w:hAnsi="Arial"/>
                <w:sz w:val="16"/>
                <w:szCs w:val="16"/>
                <w:color w:val="auto"/>
              </w:rPr>
              <w:t>100%</w:t>
            </w:r>
          </w:p>
        </w:tc>
        <w:tc>
          <w:tcPr>
            <w:tcW w:w="440" w:type="dxa"/>
            <w:vAlign w:val="bottom"/>
          </w:tcPr>
          <w:p>
            <w:pPr>
              <w:ind w:left="3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824,000</w:t>
            </w:r>
          </w:p>
        </w:tc>
      </w:tr>
      <w:tr>
        <w:trPr>
          <w:trHeight w:val="253"/>
        </w:trPr>
        <w:tc>
          <w:tcPr>
            <w:tcW w:w="254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266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100%</w:t>
            </w:r>
          </w:p>
        </w:tc>
        <w:tc>
          <w:tcPr>
            <w:tcW w:w="50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239"/>
              <w:spacing w:after="0"/>
              <w:rPr>
                <w:sz w:val="20"/>
                <w:szCs w:val="20"/>
                <w:color w:val="auto"/>
              </w:rPr>
            </w:pPr>
            <w:r>
              <w:rPr>
                <w:rFonts w:ascii="Arial" w:cs="Arial" w:eastAsia="Arial" w:hAnsi="Arial"/>
                <w:sz w:val="16"/>
                <w:szCs w:val="16"/>
                <w:color w:val="auto"/>
              </w:rPr>
              <w:t>824,000</w:t>
            </w:r>
          </w:p>
        </w:tc>
        <w:tc>
          <w:tcPr>
            <w:tcW w:w="1320" w:type="dxa"/>
            <w:vAlign w:val="bottom"/>
            <w:shd w:val="clear" w:color="auto" w:fill="FCE9E8"/>
          </w:tcPr>
          <w:p>
            <w:pPr>
              <w:jc w:val="right"/>
              <w:ind w:right="241"/>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FCE9E8"/>
          </w:tcPr>
          <w:p>
            <w:pPr>
              <w:jc w:val="right"/>
              <w:ind w:right="281"/>
              <w:spacing w:after="0"/>
              <w:rPr>
                <w:sz w:val="20"/>
                <w:szCs w:val="20"/>
                <w:color w:val="auto"/>
              </w:rPr>
            </w:pPr>
            <w:r>
              <w:rPr>
                <w:rFonts w:ascii="Arial" w:cs="Arial" w:eastAsia="Arial" w:hAnsi="Arial"/>
                <w:sz w:val="16"/>
                <w:szCs w:val="16"/>
                <w:color w:val="auto"/>
              </w:rPr>
              <w:t>824,000</w:t>
            </w:r>
          </w:p>
        </w:tc>
      </w:tr>
      <w:tr>
        <w:trPr>
          <w:trHeight w:val="233"/>
        </w:trPr>
        <w:tc>
          <w:tcPr>
            <w:tcW w:w="254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266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500" w:type="dxa"/>
            <w:vAlign w:val="bottom"/>
          </w:tcPr>
          <w:p>
            <w:pPr>
              <w:ind w:lef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721,000</w:t>
            </w:r>
          </w:p>
        </w:tc>
        <w:tc>
          <w:tcPr>
            <w:tcW w:w="1320" w:type="dxa"/>
            <w:vAlign w:val="bottom"/>
          </w:tcPr>
          <w:p>
            <w:pPr>
              <w:jc w:val="right"/>
              <w:ind w:right="241"/>
              <w:spacing w:after="0"/>
              <w:rPr>
                <w:sz w:val="20"/>
                <w:szCs w:val="20"/>
                <w:color w:val="auto"/>
              </w:rPr>
            </w:pPr>
            <w:r>
              <w:rPr>
                <w:rFonts w:ascii="Arial" w:cs="Arial" w:eastAsia="Arial" w:hAnsi="Arial"/>
                <w:sz w:val="16"/>
                <w:szCs w:val="16"/>
                <w:color w:val="auto"/>
              </w:rPr>
              <w:t>100%</w:t>
            </w:r>
          </w:p>
        </w:tc>
        <w:tc>
          <w:tcPr>
            <w:tcW w:w="440" w:type="dxa"/>
            <w:vAlign w:val="bottom"/>
          </w:tcPr>
          <w:p>
            <w:pPr>
              <w:ind w:left="3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81"/>
              <w:spacing w:after="0"/>
              <w:rPr>
                <w:sz w:val="20"/>
                <w:szCs w:val="20"/>
                <w:color w:val="auto"/>
              </w:rPr>
            </w:pPr>
            <w:r>
              <w:rPr>
                <w:rFonts w:ascii="Arial" w:cs="Arial" w:eastAsia="Arial" w:hAnsi="Arial"/>
                <w:sz w:val="16"/>
                <w:szCs w:val="16"/>
                <w:color w:val="auto"/>
              </w:rPr>
              <w:t>721,000</w:t>
            </w:r>
          </w:p>
        </w:tc>
      </w:tr>
      <w:tr>
        <w:trPr>
          <w:trHeight w:val="253"/>
        </w:trPr>
        <w:tc>
          <w:tcPr>
            <w:tcW w:w="254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266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80%</w:t>
            </w:r>
          </w:p>
        </w:tc>
        <w:tc>
          <w:tcPr>
            <w:tcW w:w="50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239"/>
              <w:spacing w:after="0"/>
              <w:rPr>
                <w:sz w:val="20"/>
                <w:szCs w:val="20"/>
                <w:color w:val="auto"/>
              </w:rPr>
            </w:pPr>
            <w:r>
              <w:rPr>
                <w:rFonts w:ascii="Arial" w:cs="Arial" w:eastAsia="Arial" w:hAnsi="Arial"/>
                <w:sz w:val="16"/>
                <w:szCs w:val="16"/>
                <w:color w:val="auto"/>
              </w:rPr>
              <w:t>560,000</w:t>
            </w:r>
          </w:p>
        </w:tc>
        <w:tc>
          <w:tcPr>
            <w:tcW w:w="1320" w:type="dxa"/>
            <w:vAlign w:val="bottom"/>
            <w:shd w:val="clear" w:color="auto" w:fill="FCE9E8"/>
          </w:tcPr>
          <w:p>
            <w:pPr>
              <w:jc w:val="right"/>
              <w:ind w:right="241"/>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FCE9E8"/>
          </w:tcPr>
          <w:p>
            <w:pPr>
              <w:jc w:val="right"/>
              <w:ind w:right="281"/>
              <w:spacing w:after="0"/>
              <w:rPr>
                <w:sz w:val="20"/>
                <w:szCs w:val="20"/>
                <w:color w:val="auto"/>
              </w:rPr>
            </w:pPr>
            <w:r>
              <w:rPr>
                <w:rFonts w:ascii="Arial" w:cs="Arial" w:eastAsia="Arial" w:hAnsi="Arial"/>
                <w:sz w:val="16"/>
                <w:szCs w:val="16"/>
                <w:color w:val="auto"/>
              </w:rPr>
              <w:t>560,000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960" w:hanging="293"/>
        <w:spacing w:after="0" w:line="180" w:lineRule="auto"/>
        <w:tabs>
          <w:tab w:leader="none" w:pos="960" w:val="left"/>
        </w:tabs>
        <w:numPr>
          <w:ilvl w:val="0"/>
          <w:numId w:val="82"/>
        </w:numPr>
        <w:rPr>
          <w:rFonts w:ascii="Arial" w:cs="Arial" w:eastAsia="Arial" w:hAnsi="Arial"/>
          <w:sz w:val="22"/>
          <w:szCs w:val="22"/>
          <w:color w:val="auto"/>
          <w:vertAlign w:val="superscript"/>
        </w:rPr>
      </w:pPr>
      <w:r>
        <w:rPr>
          <w:rFonts w:ascii="Arial" w:cs="Arial" w:eastAsia="Arial" w:hAnsi="Arial"/>
          <w:sz w:val="13"/>
          <w:szCs w:val="13"/>
          <w:color w:val="auto"/>
        </w:rPr>
        <w:t>Reflects target opportunity as a percentage of full 2021 base salary.</w:t>
      </w:r>
    </w:p>
    <w:p>
      <w:pPr>
        <w:spacing w:after="0" w:line="112" w:lineRule="exact"/>
        <w:rPr>
          <w:rFonts w:ascii="Arial" w:cs="Arial" w:eastAsia="Arial" w:hAnsi="Arial"/>
          <w:sz w:val="22"/>
          <w:szCs w:val="22"/>
          <w:color w:val="auto"/>
          <w:vertAlign w:val="superscript"/>
        </w:rPr>
      </w:pPr>
    </w:p>
    <w:p>
      <w:pPr>
        <w:ind w:left="960" w:right="320" w:hanging="293"/>
        <w:spacing w:after="0" w:line="183" w:lineRule="auto"/>
        <w:tabs>
          <w:tab w:leader="none" w:pos="96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2021 Incentive amount represents the amount actually earned, which is calculated as the Target Amount multiplied by the Actual Performance (100%).</w:t>
      </w:r>
    </w:p>
    <w:p>
      <w:pPr>
        <w:spacing w:after="0" w:line="260" w:lineRule="exact"/>
        <w:rPr>
          <w:sz w:val="20"/>
          <w:szCs w:val="20"/>
          <w:color w:val="auto"/>
        </w:rPr>
      </w:pPr>
    </w:p>
    <w:p>
      <w:pPr>
        <w:ind w:left="780" w:hanging="393"/>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for 2022 Annual Incentive Plan</w:t>
      </w:r>
    </w:p>
    <w:p>
      <w:pPr>
        <w:sectPr>
          <w:pgSz w:w="11900" w:h="16838" w:orient="portrait"/>
          <w:cols w:equalWidth="0" w:num="1">
            <w:col w:w="10860"/>
          </w:cols>
          <w:pgMar w:left="320" w:top="459" w:right="719" w:bottom="1440" w:gutter="0" w:footer="0" w:header="0"/>
        </w:sectPr>
      </w:pPr>
    </w:p>
    <w:p>
      <w:pPr>
        <w:spacing w:after="0" w:line="192" w:lineRule="exact"/>
        <w:rPr>
          <w:sz w:val="20"/>
          <w:szCs w:val="20"/>
          <w:color w:val="auto"/>
        </w:rPr>
      </w:pPr>
    </w:p>
    <w:p>
      <w:pPr>
        <w:jc w:val="both"/>
        <w:ind w:left="660" w:right="240"/>
        <w:spacing w:after="0" w:line="253" w:lineRule="auto"/>
        <w:rPr>
          <w:sz w:val="20"/>
          <w:szCs w:val="20"/>
          <w:color w:val="auto"/>
        </w:rPr>
      </w:pPr>
      <w:r>
        <w:rPr>
          <w:rFonts w:ascii="Arial" w:cs="Arial" w:eastAsia="Arial" w:hAnsi="Arial"/>
          <w:sz w:val="16"/>
          <w:szCs w:val="16"/>
          <w:color w:val="auto"/>
        </w:rPr>
        <w:t>In late 2021, the P&amp;C Committee determined to reallocate the weighting of its performance metrics for the 2022 AIP. Adjusted Operating Income makes up 80% of the 2022 AIP</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Incentives</w:t>
      </w:r>
    </w:p>
    <w:p>
      <w:pPr>
        <w:spacing w:after="0" w:line="192"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8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i w:val="1"/>
          <w:iCs w:val="1"/>
          <w:color w:val="auto"/>
        </w:rPr>
        <w:t xml:space="preserve">2021 Awards. </w:t>
      </w:r>
      <w:r>
        <w:rPr>
          <w:rFonts w:ascii="Arial" w:cs="Arial" w:eastAsia="Arial" w:hAnsi="Arial"/>
          <w:sz w:val="16"/>
          <w:szCs w:val="16"/>
          <w:color w:val="auto"/>
        </w:rPr>
        <w:t>In November 2020, the P&amp;C Committee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changes to the long-term equity incentive compensation program for the January 2021 awards. The Performance Shares granted in 2021 are earned based on two performance measures, the three-year average of Annual Adjusted Pretax Income (two-thirds of the award), in lieu of Cumulative Adjusted Pretax Income (which had been used in prior years), and three-year results for Relative TSR (one-third of the award). Annual Adjusted Pretax Income goals and performance will be set and measured annually, with final award payouts being determined based on the three-year average results. In addition, the P&amp;C Committee granted stock options as part of the January 2021 award opportunity, resulting in a grant mix of approximately 60% Performance Shares, 20% time-based RSUs, and 20% non-qualified stock options. The use of Annual Adjusted Pretax Income goals set at the start of each year, instead of a cumulative goal with each annual component set at the start of each of the three</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Relative TSR peer group for these awards is as follows: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(up from 50% in the 2021 AIP), while Free Cash Flow makes up 20% of the 2022 AIP (down from 50% in the 2021 AIP). The 2022 AIP bonus will be paid in early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years in the performance period, was implemented due to the ongoing uncertainty of the pandemic and persisting supply chain impairments that have created extreme volatility in pricing, availability and logistics for key components in our products and the production schedules of our customers. The long-term nature of the award opportunity is maintained with three-year cliff vesting for the majority of the award.</w:t>
      </w:r>
    </w:p>
    <w:p>
      <w:pPr>
        <w:spacing w:after="0" w:line="100"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Effective as of January 1, 2021, the target value of the 2021 long-term incentive opportunities for Mr. Cardew was increased from 270% to 300% of his annual base salary.</w:t>
      </w:r>
    </w:p>
    <w:p>
      <w:pPr>
        <w:spacing w:after="0" w:line="93"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The specific amounts and terms of the 2021 long-term incentive awards are shown in and following the “2021 Grants of Plan-Based Awards” table below. The target levels of Annual Adjusted Pretax Income and Relative TSR performance for the Performance Shares were set by reference to the Board-approved budget in November 2020 based on the forecast for the period reflecting a level of performance which at the time was anticipated to be challenging, but achievable. The threshold level was set to be reflective of performance at which the P&amp;C Committee believed a portion of the award opportunity should be earned. The maximum level was set significantly above the target, requiring significant achievements and reflecting performance at which the P&amp;C Committee believed a 200% target award was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733425</wp:posOffset>
            </wp:positionV>
            <wp:extent cx="629221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87"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FFFFFF"/>
        </w:rPr>
        <w:t>2021-2023 Performance Shares – Relative TSR Peer Group</w:t>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Adient plc</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Cooper-Standard Holdings Inc.</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Goodyear Tire &amp; Rubber Co.</w:t>
            </w:r>
          </w:p>
        </w:tc>
        <w:tc>
          <w:tcPr>
            <w:tcW w:w="2640" w:type="dxa"/>
            <w:vAlign w:val="bottom"/>
            <w:shd w:val="clear" w:color="auto" w:fill="FCE9E8"/>
          </w:tcPr>
          <w:p>
            <w:pPr>
              <w:ind w:left="240"/>
              <w:spacing w:after="0"/>
              <w:rPr>
                <w:sz w:val="20"/>
                <w:szCs w:val="20"/>
                <w:color w:val="auto"/>
              </w:rPr>
            </w:pPr>
            <w:r>
              <w:rPr>
                <w:rFonts w:ascii="Arial" w:cs="Arial" w:eastAsia="Arial" w:hAnsi="Arial"/>
                <w:sz w:val="14"/>
                <w:szCs w:val="14"/>
                <w:color w:val="auto"/>
              </w:rPr>
              <w:t>Valeo SA</w:t>
            </w:r>
          </w:p>
        </w:tc>
        <w:tc>
          <w:tcPr>
            <w:tcW w:w="280" w:type="dxa"/>
            <w:vAlign w:val="bottom"/>
          </w:tcPr>
          <w:p>
            <w:pPr>
              <w:spacing w:after="0"/>
              <w:rPr>
                <w:sz w:val="18"/>
                <w:szCs w:val="18"/>
                <w:color w:val="auto"/>
              </w:rPr>
            </w:pPr>
          </w:p>
        </w:tc>
      </w:tr>
      <w:tr>
        <w:trPr>
          <w:trHeight w:val="210"/>
        </w:trPr>
        <w:tc>
          <w:tcPr>
            <w:tcW w:w="2480" w:type="dxa"/>
            <w:vAlign w:val="bottom"/>
          </w:tcPr>
          <w:p>
            <w:pPr>
              <w:ind w:left="80"/>
              <w:spacing w:after="0"/>
              <w:rPr>
                <w:sz w:val="20"/>
                <w:szCs w:val="20"/>
                <w:color w:val="auto"/>
              </w:rPr>
            </w:pPr>
            <w:r>
              <w:rPr>
                <w:rFonts w:ascii="Arial" w:cs="Arial" w:eastAsia="Arial" w:hAnsi="Arial"/>
                <w:sz w:val="14"/>
                <w:szCs w:val="14"/>
                <w:color w:val="auto"/>
              </w:rPr>
              <w:t>Allison Transmission Holdings, Inc.</w:t>
            </w:r>
          </w:p>
        </w:tc>
        <w:tc>
          <w:tcPr>
            <w:tcW w:w="2300" w:type="dxa"/>
            <w:vAlign w:val="bottom"/>
          </w:tcPr>
          <w:p>
            <w:pPr>
              <w:ind w:left="120"/>
              <w:spacing w:after="0"/>
              <w:rPr>
                <w:sz w:val="20"/>
                <w:szCs w:val="20"/>
                <w:color w:val="auto"/>
              </w:rPr>
            </w:pPr>
            <w:r>
              <w:rPr>
                <w:rFonts w:ascii="Arial" w:cs="Arial" w:eastAsia="Arial" w:hAnsi="Arial"/>
                <w:sz w:val="14"/>
                <w:szCs w:val="14"/>
                <w:color w:val="auto"/>
              </w:rPr>
              <w:t>Cummings Inc.</w:t>
            </w:r>
          </w:p>
        </w:tc>
        <w:tc>
          <w:tcPr>
            <w:tcW w:w="2500" w:type="dxa"/>
            <w:vAlign w:val="bottom"/>
          </w:tcPr>
          <w:p>
            <w:pPr>
              <w:ind w:left="200"/>
              <w:spacing w:after="0"/>
              <w:rPr>
                <w:sz w:val="20"/>
                <w:szCs w:val="20"/>
                <w:color w:val="auto"/>
              </w:rPr>
            </w:pPr>
            <w:r>
              <w:rPr>
                <w:rFonts w:ascii="Arial" w:cs="Arial" w:eastAsia="Arial" w:hAnsi="Arial"/>
                <w:sz w:val="14"/>
                <w:szCs w:val="14"/>
                <w:color w:val="auto"/>
              </w:rPr>
              <w:t>LCI Industries</w:t>
            </w:r>
          </w:p>
        </w:tc>
        <w:tc>
          <w:tcPr>
            <w:tcW w:w="2920" w:type="dxa"/>
            <w:vAlign w:val="bottom"/>
            <w:gridSpan w:val="2"/>
          </w:tcPr>
          <w:p>
            <w:pPr>
              <w:ind w:left="240"/>
              <w:spacing w:after="0"/>
              <w:rPr>
                <w:sz w:val="20"/>
                <w:szCs w:val="20"/>
                <w:color w:val="auto"/>
              </w:rPr>
            </w:pPr>
            <w:r>
              <w:rPr>
                <w:rFonts w:ascii="Arial" w:cs="Arial" w:eastAsia="Arial" w:hAnsi="Arial"/>
                <w:sz w:val="14"/>
                <w:szCs w:val="14"/>
                <w:color w:val="auto"/>
              </w:rPr>
              <w:t>Visteon Corporation</w:t>
            </w:r>
          </w:p>
        </w:tc>
      </w:tr>
      <w:tr>
        <w:trPr>
          <w:trHeight w:val="222"/>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American Axle &amp; Mfg. Holdings, Inc.</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Dana Incorporated</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Magna International Inc.</w:t>
            </w:r>
          </w:p>
        </w:tc>
        <w:tc>
          <w:tcPr>
            <w:tcW w:w="2640" w:type="dxa"/>
            <w:vAlign w:val="bottom"/>
            <w:shd w:val="clear" w:color="auto" w:fill="FCE9E8"/>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2480" w:type="dxa"/>
            <w:vAlign w:val="bottom"/>
          </w:tcPr>
          <w:p>
            <w:pPr>
              <w:ind w:left="80"/>
              <w:spacing w:after="0"/>
              <w:rPr>
                <w:sz w:val="20"/>
                <w:szCs w:val="20"/>
                <w:color w:val="auto"/>
              </w:rPr>
            </w:pPr>
            <w:r>
              <w:rPr>
                <w:rFonts w:ascii="Arial" w:cs="Arial" w:eastAsia="Arial" w:hAnsi="Arial"/>
                <w:sz w:val="14"/>
                <w:szCs w:val="14"/>
                <w:color w:val="auto"/>
              </w:rPr>
              <w:t>Aptiv PLC</w:t>
            </w:r>
          </w:p>
        </w:tc>
        <w:tc>
          <w:tcPr>
            <w:tcW w:w="2300" w:type="dxa"/>
            <w:vAlign w:val="bottom"/>
          </w:tcPr>
          <w:p>
            <w:pPr>
              <w:ind w:left="120"/>
              <w:spacing w:after="0"/>
              <w:rPr>
                <w:sz w:val="20"/>
                <w:szCs w:val="20"/>
                <w:color w:val="auto"/>
              </w:rPr>
            </w:pPr>
            <w:r>
              <w:rPr>
                <w:rFonts w:ascii="Arial" w:cs="Arial" w:eastAsia="Arial" w:hAnsi="Arial"/>
                <w:sz w:val="14"/>
                <w:szCs w:val="14"/>
                <w:color w:val="auto"/>
              </w:rPr>
              <w:t>Dorman Products, Inc.</w:t>
            </w:r>
          </w:p>
        </w:tc>
        <w:tc>
          <w:tcPr>
            <w:tcW w:w="2500" w:type="dxa"/>
            <w:vAlign w:val="bottom"/>
          </w:tcPr>
          <w:p>
            <w:pPr>
              <w:ind w:left="200"/>
              <w:spacing w:after="0"/>
              <w:rPr>
                <w:sz w:val="20"/>
                <w:szCs w:val="20"/>
                <w:color w:val="auto"/>
              </w:rPr>
            </w:pPr>
            <w:r>
              <w:rPr>
                <w:rFonts w:ascii="Arial" w:cs="Arial" w:eastAsia="Arial" w:hAnsi="Arial"/>
                <w:sz w:val="14"/>
                <w:szCs w:val="14"/>
                <w:color w:val="auto"/>
              </w:rPr>
              <w:t>Meritor, Inc.</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Autoliv, Inc.</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Eaton Corporation plc</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Modine Manufacturing Company</w:t>
            </w:r>
          </w:p>
        </w:tc>
        <w:tc>
          <w:tcPr>
            <w:tcW w:w="2640" w:type="dxa"/>
            <w:vAlign w:val="bottom"/>
            <w:shd w:val="clear" w:color="auto" w:fill="FCE9E8"/>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2480" w:type="dxa"/>
            <w:vAlign w:val="bottom"/>
          </w:tcPr>
          <w:p>
            <w:pPr>
              <w:ind w:left="80"/>
              <w:spacing w:after="0"/>
              <w:rPr>
                <w:sz w:val="20"/>
                <w:szCs w:val="20"/>
                <w:color w:val="auto"/>
              </w:rPr>
            </w:pPr>
            <w:r>
              <w:rPr>
                <w:rFonts w:ascii="Arial" w:cs="Arial" w:eastAsia="Arial" w:hAnsi="Arial"/>
                <w:sz w:val="14"/>
                <w:szCs w:val="14"/>
                <w:color w:val="auto"/>
              </w:rPr>
              <w:t>BorgWarner Inc.</w:t>
            </w:r>
          </w:p>
        </w:tc>
        <w:tc>
          <w:tcPr>
            <w:tcW w:w="2300" w:type="dxa"/>
            <w:vAlign w:val="bottom"/>
          </w:tcPr>
          <w:p>
            <w:pPr>
              <w:ind w:left="120"/>
              <w:spacing w:after="0"/>
              <w:rPr>
                <w:sz w:val="20"/>
                <w:szCs w:val="20"/>
                <w:color w:val="auto"/>
              </w:rPr>
            </w:pPr>
            <w:r>
              <w:rPr>
                <w:rFonts w:ascii="Arial" w:cs="Arial" w:eastAsia="Arial" w:hAnsi="Arial"/>
                <w:sz w:val="14"/>
                <w:szCs w:val="14"/>
                <w:color w:val="auto"/>
              </w:rPr>
              <w:t>Faurecia S.A.</w:t>
            </w:r>
          </w:p>
        </w:tc>
        <w:tc>
          <w:tcPr>
            <w:tcW w:w="2500" w:type="dxa"/>
            <w:vAlign w:val="bottom"/>
          </w:tcPr>
          <w:p>
            <w:pPr>
              <w:ind w:left="200"/>
              <w:spacing w:after="0"/>
              <w:rPr>
                <w:sz w:val="20"/>
                <w:szCs w:val="20"/>
                <w:color w:val="auto"/>
              </w:rPr>
            </w:pPr>
            <w:r>
              <w:rPr>
                <w:rFonts w:ascii="Arial" w:cs="Arial" w:eastAsia="Arial" w:hAnsi="Arial"/>
                <w:sz w:val="14"/>
                <w:szCs w:val="14"/>
                <w:color w:val="auto"/>
              </w:rPr>
              <w:t>PACCAR Inc.</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Continental Aktiengesellschaft</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Gentex Corporation</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Standard Motor Products, Inc.</w:t>
            </w:r>
          </w:p>
        </w:tc>
        <w:tc>
          <w:tcPr>
            <w:tcW w:w="2640" w:type="dxa"/>
            <w:vAlign w:val="bottom"/>
            <w:shd w:val="clear" w:color="auto" w:fill="FCE9E8"/>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Cooper Tire &amp; Rubber Co.</w:t>
            </w:r>
          </w:p>
        </w:tc>
        <w:tc>
          <w:tcPr>
            <w:tcW w:w="2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Gentherm Incorporated</w:t>
            </w:r>
          </w:p>
        </w:tc>
        <w:tc>
          <w:tcPr>
            <w:tcW w:w="25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Tenneco Inc.</w:t>
            </w:r>
          </w:p>
        </w:tc>
        <w:tc>
          <w:tcPr>
            <w:tcW w:w="26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499"/>
        </w:trPr>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b w:val="1"/>
                <w:bCs w:val="1"/>
                <w:color w:val="E2231A"/>
              </w:rPr>
              <w:t xml:space="preserve">2022 Proxy Statement  </w:t>
            </w:r>
            <w:r>
              <w:rPr>
                <w:rFonts w:ascii="Arial" w:cs="Arial" w:eastAsia="Arial" w:hAnsi="Arial"/>
                <w:sz w:val="17"/>
                <w:szCs w:val="17"/>
                <w:b w:val="1"/>
                <w:bCs w:val="1"/>
                <w:color w:val="E2231A"/>
              </w:rPr>
              <w:t>|</w:t>
            </w:r>
            <w:r>
              <w:rPr>
                <w:rFonts w:ascii="Arial" w:cs="Arial" w:eastAsia="Arial" w:hAnsi="Arial"/>
                <w:sz w:val="15"/>
                <w:szCs w:val="15"/>
                <w:b w:val="1"/>
                <w:bCs w:val="1"/>
                <w:color w:val="E2231A"/>
              </w:rPr>
              <w:t xml:space="preserve">  </w:t>
            </w:r>
            <w:r>
              <w:rPr>
                <w:rFonts w:ascii="Arial" w:cs="Arial" w:eastAsia="Arial" w:hAnsi="Arial"/>
                <w:sz w:val="17"/>
                <w:szCs w:val="17"/>
                <w:color w:val="000000"/>
              </w:rPr>
              <w:t>43</w:t>
            </w:r>
          </w:p>
        </w:tc>
      </w:tr>
    </w:tbl>
    <w:p>
      <w:pPr>
        <w:sectPr>
          <w:pgSz w:w="11900" w:h="16838" w:orient="portrait"/>
          <w:cols w:equalWidth="0" w:num="1">
            <w:col w:w="10860"/>
          </w:cols>
          <w:pgMar w:left="320" w:top="459" w:right="7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5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820"/>
        <w:spacing w:after="0" w:line="251" w:lineRule="auto"/>
        <w:rPr>
          <w:sz w:val="20"/>
          <w:szCs w:val="20"/>
          <w:color w:val="auto"/>
        </w:rPr>
      </w:pPr>
      <w:r>
        <w:rPr>
          <w:rFonts w:ascii="Arial" w:cs="Arial" w:eastAsia="Arial" w:hAnsi="Arial"/>
          <w:sz w:val="16"/>
          <w:szCs w:val="16"/>
          <w:i w:val="1"/>
          <w:iCs w:val="1"/>
          <w:color w:val="auto"/>
        </w:rPr>
        <w:t>Vesting of 2019 Performance Share Awards</w:t>
      </w:r>
      <w:r>
        <w:rPr>
          <w:rFonts w:ascii="Arial" w:cs="Arial" w:eastAsia="Arial" w:hAnsi="Arial"/>
          <w:sz w:val="16"/>
          <w:szCs w:val="16"/>
          <w:color w:val="auto"/>
        </w:rPr>
        <w:t>. In 2019,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received grants of Performance Shares for the 2019-2021 performance period, with performance vesting terms based on Adjusted ROIC and Cumulative Adjusted Pretax Income, which are assessed separately, subject to a Relative TSR Modifier. The RSUs that were granted at the same time as the 2019 Performance Shares (which represented 25% of the total equity award value at target) vested in January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The threshold, target, maximum and actual Adjusted ROIC and Cumulative Adjusted Pretax Income levels for the 2019-2021 performance period, as well as the results and impact of the Relative TSR Modifier, are shown above under the heading “Compensation Discussion and Analysis — Executive Summary</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 2019-2021 Performance Shares.” If the threshold, target or maximum goals for these measures were attained during the performance period, 50%, 100% or 200% of the target performance shares for each executive, respectively, would be earned.</w:t>
      </w:r>
    </w:p>
    <w:p>
      <w:pPr>
        <w:spacing w:after="0" w:line="200" w:lineRule="exact"/>
        <w:rPr>
          <w:sz w:val="20"/>
          <w:szCs w:val="20"/>
          <w:color w:val="auto"/>
        </w:rPr>
      </w:pPr>
    </w:p>
    <w:p>
      <w:pPr>
        <w:sectPr>
          <w:pgSz w:w="11900" w:h="16838" w:orient="portrait"/>
          <w:cols w:equalWidth="0" w:num="2">
            <w:col w:w="5420" w:space="300"/>
            <w:col w:w="4700"/>
          </w:cols>
          <w:pgMar w:left="320" w:top="459" w:right="1159" w:bottom="1440" w:gutter="0" w:footer="0" w:header="0"/>
          <w:type w:val="continuous"/>
        </w:sectPr>
      </w:pPr>
    </w:p>
    <w:p>
      <w:pPr>
        <w:spacing w:after="0" w:line="57" w:lineRule="exact"/>
        <w:rPr>
          <w:sz w:val="20"/>
          <w:szCs w:val="20"/>
          <w:color w:val="auto"/>
        </w:rPr>
      </w:pPr>
    </w:p>
    <w:p>
      <w:pPr>
        <w:ind w:left="820" w:right="20"/>
        <w:spacing w:after="0" w:line="247" w:lineRule="auto"/>
        <w:rPr>
          <w:sz w:val="20"/>
          <w:szCs w:val="20"/>
          <w:color w:val="auto"/>
        </w:rPr>
      </w:pPr>
      <w:r>
        <w:rPr>
          <w:rFonts w:ascii="Arial" w:cs="Arial" w:eastAsia="Arial" w:hAnsi="Arial"/>
          <w:sz w:val="16"/>
          <w:szCs w:val="16"/>
          <w:color w:val="auto"/>
        </w:rPr>
        <w:t>In determining the payouts of the 2019 Performance Shares, consistent with our pay-for-performance philosophy of providing incentive payouts for delivering operating results relative to the three-year goals that were established in early 2019, the P&amp;C Committee deemed it appropriate to exclude a portion of the estimated impact of the COVID-19 pandemic, including industry-wide component shortages (which severely impacted the last two years of the three-year assessment period), from our financial performance results as a significant unplanned, unbudgeted item. Similarly, the P&amp;C Committee excluded the impact of acquisitions made during the three-year period, which would have increased financial performance results and corresponding payouts, as significant unplanned, unbudgeted items. Factoring in such exclusions, Adjusted ROIC was achieved at 74% of target and Cumulative Adjusted Pre-tax Income was achieved at 76% of target. Based on the overall weighting of the performance metrics and the Relative TSR Modifier achieved at 1.0 times, the overall award was earned at 74% of target (see the charts above under the heading “Executive Summary — Executive Compensation Highlights — 2019-2021 Performance Shares” for our Adjusted ROIC and Cumulative Adjusted Pre-tax Income results). Even though adjusted results for the 2019-2021 period increased relative to adjusted results for the 2018-2020 period, payouts were below target; Adjusted ROIC increased to 16.5% for 2019-2021 (from 13.0% for 2018-2020) and Cumulative Adjusted Pre-tax Income increased to $4.454 million (from $4,254 million for 2018-2020). The resulting share amounts earned by the participating NEOs are shown in the table below:</w:t>
      </w:r>
    </w:p>
    <w:p>
      <w:pPr>
        <w:spacing w:after="0" w:line="231"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FFFFFF"/>
        </w:rPr>
        <w:t>2019-2021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-156210</wp:posOffset>
            </wp:positionV>
            <wp:extent cx="610362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03620" cy="188595"/>
                    </a:xfrm>
                    <a:prstGeom prst="rect">
                      <a:avLst/>
                    </a:prstGeom>
                    <a:noFill/>
                  </pic:spPr>
                </pic:pic>
              </a:graphicData>
            </a:graphic>
          </wp:anchor>
        </w:drawing>
      </w:r>
    </w:p>
    <w:p>
      <w:pPr>
        <w:spacing w:after="0" w:line="1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center"/>
              <w:ind w:right="162"/>
              <w:spacing w:after="0"/>
              <w:rPr>
                <w:sz w:val="20"/>
                <w:szCs w:val="20"/>
                <w:color w:val="auto"/>
              </w:rPr>
            </w:pPr>
            <w:r>
              <w:rPr>
                <w:rFonts w:ascii="Arial" w:cs="Arial" w:eastAsia="Arial" w:hAnsi="Arial"/>
                <w:sz w:val="14"/>
                <w:szCs w:val="14"/>
                <w:b w:val="1"/>
                <w:bCs w:val="1"/>
                <w:color w:val="E2231A"/>
              </w:rPr>
              <w:t>Actual</w:t>
            </w:r>
          </w:p>
        </w:tc>
      </w:tr>
      <w:tr>
        <w:trPr>
          <w:trHeight w:val="162"/>
        </w:trPr>
        <w:tc>
          <w:tcPr>
            <w:tcW w:w="3740" w:type="dxa"/>
            <w:vAlign w:val="bottom"/>
          </w:tcPr>
          <w:p>
            <w:pPr>
              <w:spacing w:after="0"/>
              <w:rPr>
                <w:sz w:val="14"/>
                <w:szCs w:val="14"/>
                <w:color w:val="auto"/>
              </w:rPr>
            </w:pPr>
          </w:p>
        </w:tc>
        <w:tc>
          <w:tcPr>
            <w:tcW w:w="3160" w:type="dxa"/>
            <w:vAlign w:val="bottom"/>
          </w:tcPr>
          <w:p>
            <w:pPr>
              <w:jc w:val="right"/>
              <w:ind w:right="362"/>
              <w:spacing w:after="0"/>
              <w:rPr>
                <w:sz w:val="20"/>
                <w:szCs w:val="20"/>
                <w:color w:val="auto"/>
              </w:rPr>
            </w:pPr>
            <w:r>
              <w:rPr>
                <w:rFonts w:ascii="Arial" w:cs="Arial" w:eastAsia="Arial" w:hAnsi="Arial"/>
                <w:sz w:val="14"/>
                <w:szCs w:val="14"/>
                <w:b w:val="1"/>
                <w:bCs w:val="1"/>
                <w:color w:val="E2231A"/>
              </w:rPr>
              <w:t>Target</w:t>
            </w:r>
          </w:p>
        </w:tc>
        <w:tc>
          <w:tcPr>
            <w:tcW w:w="1180" w:type="dxa"/>
            <w:vAlign w:val="bottom"/>
          </w:tcPr>
          <w:p>
            <w:pPr>
              <w:spacing w:after="0"/>
              <w:rPr>
                <w:sz w:val="14"/>
                <w:szCs w:val="14"/>
                <w:color w:val="auto"/>
              </w:rPr>
            </w:pPr>
          </w:p>
        </w:tc>
        <w:tc>
          <w:tcPr>
            <w:tcW w:w="1520" w:type="dxa"/>
            <w:vAlign w:val="bottom"/>
          </w:tcPr>
          <w:p>
            <w:pPr>
              <w:jc w:val="center"/>
              <w:ind w:right="162"/>
              <w:spacing w:after="0"/>
              <w:rPr>
                <w:sz w:val="20"/>
                <w:szCs w:val="20"/>
                <w:color w:val="auto"/>
              </w:rPr>
            </w:pPr>
            <w:r>
              <w:rPr>
                <w:rFonts w:ascii="Arial" w:cs="Arial" w:eastAsia="Arial" w:hAnsi="Arial"/>
                <w:sz w:val="14"/>
                <w:szCs w:val="14"/>
                <w:b w:val="1"/>
                <w:bCs w:val="1"/>
                <w:color w:val="E2231A"/>
              </w:rPr>
              <w:t>Shares</w:t>
            </w:r>
          </w:p>
        </w:tc>
      </w:tr>
      <w:tr>
        <w:trPr>
          <w:trHeight w:val="175"/>
        </w:trPr>
        <w:tc>
          <w:tcPr>
            <w:tcW w:w="37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E2231A"/>
              </w:rPr>
              <w:t>Shares (#)</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E2231A"/>
              </w:rPr>
              <w:t>Result</w:t>
            </w:r>
          </w:p>
        </w:tc>
        <w:tc>
          <w:tcPr>
            <w:tcW w:w="15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E2231A"/>
              </w:rPr>
              <w:t>Earned (#)</w:t>
            </w:r>
          </w:p>
        </w:tc>
      </w:tr>
      <w:tr>
        <w:trPr>
          <w:trHeight w:val="223"/>
        </w:trPr>
        <w:tc>
          <w:tcPr>
            <w:tcW w:w="3740" w:type="dxa"/>
            <w:vAlign w:val="bottom"/>
            <w:shd w:val="clear" w:color="auto" w:fill="FCE9E8"/>
          </w:tcPr>
          <w:p>
            <w:pPr>
              <w:ind w:left="60"/>
              <w:spacing w:after="0"/>
              <w:rPr>
                <w:sz w:val="20"/>
                <w:szCs w:val="20"/>
                <w:color w:val="auto"/>
              </w:rPr>
            </w:pPr>
            <w:r>
              <w:rPr>
                <w:rFonts w:ascii="Arial" w:cs="Arial" w:eastAsia="Arial" w:hAnsi="Arial"/>
                <w:sz w:val="16"/>
                <w:szCs w:val="16"/>
                <w:color w:val="auto"/>
              </w:rPr>
              <w:t>Raymond E. Scott</w:t>
            </w:r>
          </w:p>
        </w:tc>
        <w:tc>
          <w:tcPr>
            <w:tcW w:w="3160" w:type="dxa"/>
            <w:vAlign w:val="bottom"/>
            <w:shd w:val="clear" w:color="auto" w:fill="FCE9E8"/>
          </w:tcPr>
          <w:p>
            <w:pPr>
              <w:jc w:val="right"/>
              <w:ind w:right="222"/>
              <w:spacing w:after="0"/>
              <w:rPr>
                <w:sz w:val="20"/>
                <w:szCs w:val="20"/>
                <w:color w:val="auto"/>
              </w:rPr>
            </w:pPr>
            <w:r>
              <w:rPr>
                <w:rFonts w:ascii="Arial" w:cs="Arial" w:eastAsia="Arial" w:hAnsi="Arial"/>
                <w:sz w:val="16"/>
                <w:szCs w:val="16"/>
                <w:color w:val="auto"/>
              </w:rPr>
              <w:t>49,370</w:t>
            </w:r>
          </w:p>
        </w:tc>
        <w:tc>
          <w:tcPr>
            <w:tcW w:w="118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74%</w:t>
            </w:r>
          </w:p>
        </w:tc>
        <w:tc>
          <w:tcPr>
            <w:tcW w:w="1520" w:type="dxa"/>
            <w:vAlign w:val="bottom"/>
            <w:shd w:val="clear" w:color="auto" w:fill="FCE9E8"/>
          </w:tcPr>
          <w:p>
            <w:pPr>
              <w:jc w:val="right"/>
              <w:ind w:right="242"/>
              <w:spacing w:after="0"/>
              <w:rPr>
                <w:sz w:val="20"/>
                <w:szCs w:val="20"/>
                <w:color w:val="auto"/>
              </w:rPr>
            </w:pPr>
            <w:r>
              <w:rPr>
                <w:rFonts w:ascii="Arial" w:cs="Arial" w:eastAsia="Arial" w:hAnsi="Arial"/>
                <w:sz w:val="16"/>
                <w:szCs w:val="16"/>
                <w:color w:val="auto"/>
              </w:rPr>
              <w:t>36,533</w:t>
            </w:r>
          </w:p>
        </w:tc>
      </w:tr>
      <w:tr>
        <w:trPr>
          <w:trHeight w:val="220"/>
        </w:trPr>
        <w:tc>
          <w:tcPr>
            <w:tcW w:w="3740" w:type="dxa"/>
            <w:vAlign w:val="bottom"/>
          </w:tcPr>
          <w:p>
            <w:pPr>
              <w:ind w:left="60"/>
              <w:spacing w:after="0"/>
              <w:rPr>
                <w:sz w:val="20"/>
                <w:szCs w:val="20"/>
                <w:color w:val="auto"/>
              </w:rPr>
            </w:pPr>
            <w:r>
              <w:rPr>
                <w:rFonts w:ascii="Arial" w:cs="Arial" w:eastAsia="Arial" w:hAnsi="Arial"/>
                <w:sz w:val="16"/>
                <w:szCs w:val="16"/>
                <w:color w:val="auto"/>
              </w:rPr>
              <w:t>Jason M. Cardew</w:t>
            </w:r>
          </w:p>
        </w:tc>
        <w:tc>
          <w:tcPr>
            <w:tcW w:w="3160" w:type="dxa"/>
            <w:vAlign w:val="bottom"/>
          </w:tcPr>
          <w:p>
            <w:pPr>
              <w:jc w:val="right"/>
              <w:ind w:right="222"/>
              <w:spacing w:after="0"/>
              <w:rPr>
                <w:sz w:val="20"/>
                <w:szCs w:val="20"/>
                <w:color w:val="auto"/>
              </w:rPr>
            </w:pPr>
            <w:r>
              <w:rPr>
                <w:rFonts w:ascii="Arial" w:cs="Arial" w:eastAsia="Arial" w:hAnsi="Arial"/>
                <w:sz w:val="16"/>
                <w:szCs w:val="16"/>
                <w:color w:val="auto"/>
              </w:rPr>
              <w:t>6,655</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74%</w:t>
            </w:r>
          </w:p>
        </w:tc>
        <w:tc>
          <w:tcPr>
            <w:tcW w:w="1520" w:type="dxa"/>
            <w:vAlign w:val="bottom"/>
          </w:tcPr>
          <w:p>
            <w:pPr>
              <w:jc w:val="right"/>
              <w:ind w:right="242"/>
              <w:spacing w:after="0"/>
              <w:rPr>
                <w:sz w:val="20"/>
                <w:szCs w:val="20"/>
                <w:color w:val="auto"/>
              </w:rPr>
            </w:pPr>
            <w:r>
              <w:rPr>
                <w:rFonts w:ascii="Arial" w:cs="Arial" w:eastAsia="Arial" w:hAnsi="Arial"/>
                <w:sz w:val="16"/>
                <w:szCs w:val="16"/>
                <w:color w:val="auto"/>
              </w:rPr>
              <w:t>4,924</w:t>
            </w:r>
          </w:p>
        </w:tc>
      </w:tr>
      <w:tr>
        <w:trPr>
          <w:trHeight w:val="239"/>
        </w:trPr>
        <w:tc>
          <w:tcPr>
            <w:tcW w:w="3740" w:type="dxa"/>
            <w:vAlign w:val="bottom"/>
            <w:shd w:val="clear" w:color="auto" w:fill="FCE9E8"/>
          </w:tcPr>
          <w:p>
            <w:pPr>
              <w:ind w:left="60"/>
              <w:spacing w:after="0"/>
              <w:rPr>
                <w:sz w:val="20"/>
                <w:szCs w:val="20"/>
                <w:color w:val="auto"/>
              </w:rPr>
            </w:pPr>
            <w:r>
              <w:rPr>
                <w:rFonts w:ascii="Arial" w:cs="Arial" w:eastAsia="Arial" w:hAnsi="Arial"/>
                <w:sz w:val="16"/>
                <w:szCs w:val="16"/>
                <w:color w:val="auto"/>
              </w:rPr>
              <w:t>Frank C. Orsini</w:t>
            </w:r>
          </w:p>
        </w:tc>
        <w:tc>
          <w:tcPr>
            <w:tcW w:w="3160" w:type="dxa"/>
            <w:vAlign w:val="bottom"/>
            <w:shd w:val="clear" w:color="auto" w:fill="FCE9E8"/>
          </w:tcPr>
          <w:p>
            <w:pPr>
              <w:jc w:val="right"/>
              <w:ind w:right="222"/>
              <w:spacing w:after="0"/>
              <w:rPr>
                <w:sz w:val="20"/>
                <w:szCs w:val="20"/>
                <w:color w:val="auto"/>
              </w:rPr>
            </w:pPr>
            <w:r>
              <w:rPr>
                <w:rFonts w:ascii="Arial" w:cs="Arial" w:eastAsia="Arial" w:hAnsi="Arial"/>
                <w:sz w:val="16"/>
                <w:szCs w:val="16"/>
                <w:color w:val="auto"/>
              </w:rPr>
              <w:t>14,520</w:t>
            </w:r>
          </w:p>
        </w:tc>
        <w:tc>
          <w:tcPr>
            <w:tcW w:w="118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74%</w:t>
            </w:r>
          </w:p>
        </w:tc>
        <w:tc>
          <w:tcPr>
            <w:tcW w:w="1520" w:type="dxa"/>
            <w:vAlign w:val="bottom"/>
            <w:shd w:val="clear" w:color="auto" w:fill="FCE9E8"/>
          </w:tcPr>
          <w:p>
            <w:pPr>
              <w:jc w:val="right"/>
              <w:ind w:right="242"/>
              <w:spacing w:after="0"/>
              <w:rPr>
                <w:sz w:val="20"/>
                <w:szCs w:val="20"/>
                <w:color w:val="auto"/>
              </w:rPr>
            </w:pPr>
            <w:r>
              <w:rPr>
                <w:rFonts w:ascii="Arial" w:cs="Arial" w:eastAsia="Arial" w:hAnsi="Arial"/>
                <w:sz w:val="16"/>
                <w:szCs w:val="16"/>
                <w:color w:val="auto"/>
              </w:rPr>
              <w:t>10,744</w:t>
            </w:r>
          </w:p>
        </w:tc>
      </w:tr>
      <w:tr>
        <w:trPr>
          <w:trHeight w:val="220"/>
        </w:trPr>
        <w:tc>
          <w:tcPr>
            <w:tcW w:w="3740" w:type="dxa"/>
            <w:vAlign w:val="bottom"/>
          </w:tcPr>
          <w:p>
            <w:pPr>
              <w:ind w:left="60"/>
              <w:spacing w:after="0"/>
              <w:rPr>
                <w:sz w:val="20"/>
                <w:szCs w:val="20"/>
                <w:color w:val="auto"/>
              </w:rPr>
            </w:pPr>
            <w:r>
              <w:rPr>
                <w:rFonts w:ascii="Arial" w:cs="Arial" w:eastAsia="Arial" w:hAnsi="Arial"/>
                <w:sz w:val="16"/>
                <w:szCs w:val="16"/>
                <w:color w:val="auto"/>
              </w:rPr>
              <w:t>Thomas A. DiDonato</w:t>
            </w:r>
          </w:p>
        </w:tc>
        <w:tc>
          <w:tcPr>
            <w:tcW w:w="3160" w:type="dxa"/>
            <w:vAlign w:val="bottom"/>
          </w:tcPr>
          <w:p>
            <w:pPr>
              <w:jc w:val="right"/>
              <w:ind w:right="222"/>
              <w:spacing w:after="0"/>
              <w:rPr>
                <w:sz w:val="20"/>
                <w:szCs w:val="20"/>
                <w:color w:val="auto"/>
              </w:rPr>
            </w:pPr>
            <w:r>
              <w:rPr>
                <w:rFonts w:ascii="Arial" w:cs="Arial" w:eastAsia="Arial" w:hAnsi="Arial"/>
                <w:sz w:val="16"/>
                <w:szCs w:val="16"/>
                <w:color w:val="auto"/>
              </w:rPr>
              <w:t>12,070</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74%</w:t>
            </w:r>
          </w:p>
        </w:tc>
        <w:tc>
          <w:tcPr>
            <w:tcW w:w="1520" w:type="dxa"/>
            <w:vAlign w:val="bottom"/>
          </w:tcPr>
          <w:p>
            <w:pPr>
              <w:jc w:val="right"/>
              <w:ind w:right="242"/>
              <w:spacing w:after="0"/>
              <w:rPr>
                <w:sz w:val="20"/>
                <w:szCs w:val="20"/>
                <w:color w:val="auto"/>
              </w:rPr>
            </w:pPr>
            <w:r>
              <w:rPr>
                <w:rFonts w:ascii="Arial" w:cs="Arial" w:eastAsia="Arial" w:hAnsi="Arial"/>
                <w:sz w:val="16"/>
                <w:szCs w:val="16"/>
                <w:color w:val="auto"/>
              </w:rPr>
              <w:t>8,931</w:t>
            </w:r>
          </w:p>
        </w:tc>
      </w:tr>
      <w:tr>
        <w:trPr>
          <w:trHeight w:val="239"/>
        </w:trPr>
        <w:tc>
          <w:tcPr>
            <w:tcW w:w="3740" w:type="dxa"/>
            <w:vAlign w:val="bottom"/>
            <w:shd w:val="clear" w:color="auto" w:fill="FCE9E8"/>
          </w:tcPr>
          <w:p>
            <w:pPr>
              <w:ind w:left="60"/>
              <w:spacing w:after="0" w:line="239" w:lineRule="exact"/>
              <w:rPr>
                <w:sz w:val="20"/>
                <w:szCs w:val="20"/>
                <w:color w:val="auto"/>
              </w:rPr>
            </w:pPr>
            <w:r>
              <w:rPr>
                <w:rFonts w:ascii="Arial" w:cs="Arial" w:eastAsia="Arial" w:hAnsi="Arial"/>
                <w:sz w:val="16"/>
                <w:szCs w:val="16"/>
                <w:color w:val="auto"/>
              </w:rPr>
              <w:t>Carl A. Esposito</w:t>
            </w:r>
            <w:r>
              <w:rPr>
                <w:rFonts w:ascii="Arial" w:cs="Arial" w:eastAsia="Arial" w:hAnsi="Arial"/>
                <w:sz w:val="27"/>
                <w:szCs w:val="27"/>
                <w:color w:val="auto"/>
                <w:vertAlign w:val="superscript"/>
              </w:rPr>
              <w:t>(1)</w:t>
            </w:r>
          </w:p>
        </w:tc>
        <w:tc>
          <w:tcPr>
            <w:tcW w:w="3160" w:type="dxa"/>
            <w:vAlign w:val="bottom"/>
            <w:shd w:val="clear" w:color="auto" w:fill="FCE9E8"/>
          </w:tcPr>
          <w:p>
            <w:pPr>
              <w:jc w:val="right"/>
              <w:ind w:right="2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242"/>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1036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ind w:left="1100" w:hanging="285"/>
        <w:spacing w:after="0" w:line="180" w:lineRule="auto"/>
        <w:tabs>
          <w:tab w:leader="none" w:pos="1100" w:val="left"/>
        </w:tabs>
        <w:numPr>
          <w:ilvl w:val="0"/>
          <w:numId w:val="85"/>
        </w:numPr>
        <w:rPr>
          <w:rFonts w:ascii="Arial" w:cs="Arial" w:eastAsia="Arial" w:hAnsi="Arial"/>
          <w:sz w:val="22"/>
          <w:szCs w:val="22"/>
          <w:color w:val="auto"/>
          <w:vertAlign w:val="superscript"/>
        </w:rPr>
      </w:pPr>
      <w:r>
        <w:rPr>
          <w:rFonts w:ascii="Arial" w:cs="Arial" w:eastAsia="Arial" w:hAnsi="Arial"/>
          <w:sz w:val="13"/>
          <w:szCs w:val="13"/>
          <w:color w:val="auto"/>
        </w:rPr>
        <w:t>Mr. Esposito did not receive a 2019 performance share award.</w:t>
      </w:r>
    </w:p>
    <w:p>
      <w:pPr>
        <w:sectPr>
          <w:pgSz w:w="11900" w:h="16838" w:orient="portrait"/>
          <w:cols w:equalWidth="0" w:num="1">
            <w:col w:w="10420"/>
          </w:cols>
          <w:pgMar w:left="320" w:top="459" w:right="1159" w:bottom="1440" w:gutter="0" w:footer="0" w:header="0"/>
          <w:type w:val="continuous"/>
        </w:sectPr>
      </w:pPr>
    </w:p>
    <w:p>
      <w:pPr>
        <w:spacing w:after="0" w:line="147"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i w:val="1"/>
          <w:iCs w:val="1"/>
          <w:color w:val="auto"/>
        </w:rPr>
        <w:t xml:space="preserve">Changes for 2022 Equity Awards. </w:t>
      </w:r>
      <w:r>
        <w:rPr>
          <w:rFonts w:ascii="Arial" w:cs="Arial" w:eastAsia="Arial" w:hAnsi="Arial"/>
          <w:sz w:val="16"/>
          <w:szCs w:val="16"/>
          <w:color w:val="auto"/>
        </w:rPr>
        <w:t>In November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P&amp;C Committee determined to reallocate the target long-term equity incentive value awarded to our Named Executive Officers in the form of stock options equally between performance shares and time-vested restricted stock units, resulting in a 2022 equity grant mix, at target, of approximately 70% performance shares and 30% time-vested restricted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stock units. This change was made to focus the management team on the Company’s next era of profitable growth by increasing the weighting of performance-based awards (via performance shares) which can be earned for financial and TSR results over three years. Our Named Executive Officers received these awards in January 2022 for the three-year performance cycle 2022-2024.</w:t>
      </w:r>
    </w:p>
    <w:p>
      <w:pPr>
        <w:spacing w:after="0" w:line="205" w:lineRule="exact"/>
        <w:rPr>
          <w:sz w:val="20"/>
          <w:szCs w:val="20"/>
          <w:color w:val="auto"/>
        </w:rPr>
      </w:pPr>
    </w:p>
    <w:p>
      <w:pPr>
        <w:sectPr>
          <w:pgSz w:w="11900" w:h="16838" w:orient="portrait"/>
          <w:cols w:equalWidth="0" w:num="2">
            <w:col w:w="5400" w:space="320"/>
            <w:col w:w="4700"/>
          </w:cols>
          <w:pgMar w:left="320" w:top="459" w:right="115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780" w:hanging="393"/>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20"/>
          </w:cols>
          <w:pgMar w:left="320" w:top="459" w:right="11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Retirement Benefits</w:t>
      </w:r>
    </w:p>
    <w:p>
      <w:pPr>
        <w:spacing w:after="0" w:line="124" w:lineRule="exact"/>
        <w:rPr>
          <w:sz w:val="20"/>
          <w:szCs w:val="20"/>
          <w:color w:val="auto"/>
        </w:rPr>
      </w:pPr>
    </w:p>
    <w:p>
      <w:pPr>
        <w:ind w:left="660" w:right="380"/>
        <w:spacing w:after="0" w:line="249" w:lineRule="auto"/>
        <w:rPr>
          <w:sz w:val="20"/>
          <w:szCs w:val="20"/>
          <w:color w:val="auto"/>
        </w:rPr>
      </w:pPr>
      <w:r>
        <w:rPr>
          <w:rFonts w:ascii="Arial" w:cs="Arial" w:eastAsia="Arial" w:hAnsi="Arial"/>
          <w:sz w:val="16"/>
          <w:szCs w:val="16"/>
          <w:color w:val="auto"/>
        </w:rPr>
        <w:t>Our NEOs participate in our retirement savings plan, qualified pension plan, pension equalization plan and supplemental savings plan, as eligible.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 The general terms of these plans and formulas for calculating benefits are summarized following the 2021 Summary Compensation Table, 2021 Pension Benefits table and 2021 Nonqualified Deferred Compensation table, respectively, in “Executive Compensation.”</w:t>
      </w:r>
    </w:p>
    <w:p>
      <w:pPr>
        <w:spacing w:after="0" w:line="224"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FFFFFF"/>
        </w:rPr>
        <w:t>Summary of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-156210</wp:posOffset>
            </wp:positionV>
            <wp:extent cx="6301105" cy="2940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01105" cy="2940050"/>
                    </a:xfrm>
                    <a:prstGeom prst="rect">
                      <a:avLst/>
                    </a:prstGeom>
                    <a:noFill/>
                  </pic:spPr>
                </pic:pic>
              </a:graphicData>
            </a:graphic>
          </wp:anchor>
        </w:drawing>
      </w: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6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E2231A"/>
              </w:rPr>
              <w:t>Pages for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E2231A"/>
              </w:rPr>
              <w:t>Further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E2231A"/>
              </w:rPr>
              <w:t>Type</w:t>
            </w:r>
          </w:p>
        </w:tc>
        <w:tc>
          <w:tcPr>
            <w:tcW w:w="8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4"/>
                <w:szCs w:val="14"/>
                <w:b w:val="1"/>
                <w:bCs w:val="1"/>
                <w:color w:val="E2231A"/>
              </w:rPr>
              <w:t>Plan/Program</w:t>
            </w:r>
          </w:p>
        </w:tc>
        <w:tc>
          <w:tcPr>
            <w:tcW w:w="60" w:type="dxa"/>
            <w:vAlign w:val="bottom"/>
            <w:tcBorders>
              <w:bottom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E2231A"/>
              </w:rPr>
              <w:t>Component/Feature</w:t>
            </w: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w w:val="99"/>
              </w:rPr>
              <w:t>Purpose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Details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600" w:type="dxa"/>
            <w:vAlign w:val="bottom"/>
            <w:tcBorders>
              <w:bottom w:val="single" w:sz="8" w:color="FCE9E8"/>
              <w:right w:val="single" w:sz="8" w:color="auto"/>
            </w:tcBorders>
            <w:shd w:val="clear" w:color="auto" w:fill="FCE9E8"/>
          </w:tcPr>
          <w:p>
            <w:pPr>
              <w:ind w:left="240"/>
              <w:spacing w:after="0"/>
              <w:rPr>
                <w:sz w:val="20"/>
                <w:szCs w:val="20"/>
                <w:color w:val="auto"/>
              </w:rPr>
            </w:pPr>
            <w:r>
              <w:rPr>
                <w:rFonts w:ascii="Arial" w:cs="Arial" w:eastAsia="Arial" w:hAnsi="Arial"/>
                <w:sz w:val="16"/>
                <w:szCs w:val="16"/>
                <w:b w:val="1"/>
                <w:bCs w:val="1"/>
                <w:color w:val="auto"/>
              </w:rPr>
              <w:t>Defined</w:t>
            </w:r>
          </w:p>
        </w:tc>
        <w:tc>
          <w:tcPr>
            <w:tcW w:w="80" w:type="dxa"/>
            <w:vAlign w:val="bottom"/>
            <w:tcBorders>
              <w:bottom w:val="single" w:sz="8" w:color="FCE9E8"/>
            </w:tcBorders>
            <w:shd w:val="clear" w:color="auto" w:fill="FCE9E8"/>
          </w:tcPr>
          <w:p>
            <w:pPr>
              <w:spacing w:after="0"/>
              <w:rPr>
                <w:sz w:val="24"/>
                <w:szCs w:val="24"/>
                <w:color w:val="auto"/>
              </w:rPr>
            </w:pPr>
          </w:p>
        </w:tc>
        <w:tc>
          <w:tcPr>
            <w:tcW w:w="30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Salaried Retirement</w:t>
            </w:r>
          </w:p>
        </w:tc>
        <w:tc>
          <w:tcPr>
            <w:tcW w:w="60" w:type="dxa"/>
            <w:vAlign w:val="bottom"/>
            <w:tcBorders>
              <w:bottom w:val="single" w:sz="8" w:color="FCE9E8"/>
            </w:tcBorders>
            <w:shd w:val="clear" w:color="auto" w:fill="FCE9E8"/>
          </w:tcPr>
          <w:p>
            <w:pPr>
              <w:spacing w:after="0"/>
              <w:rPr>
                <w:sz w:val="24"/>
                <w:szCs w:val="24"/>
                <w:color w:val="auto"/>
              </w:rPr>
            </w:pPr>
          </w:p>
        </w:tc>
        <w:tc>
          <w:tcPr>
            <w:tcW w:w="19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24"/>
                <w:szCs w:val="24"/>
                <w:color w:val="auto"/>
              </w:rPr>
            </w:pPr>
          </w:p>
        </w:tc>
        <w:tc>
          <w:tcPr>
            <w:tcW w:w="238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Standard 401(k) plan and</w:t>
            </w:r>
          </w:p>
        </w:tc>
        <w:tc>
          <w:tcPr>
            <w:tcW w:w="800" w:type="dxa"/>
            <w:vAlign w:val="bottom"/>
            <w:tcBorders>
              <w:bottom w:val="single" w:sz="8" w:color="FCE9E8"/>
            </w:tcBorders>
            <w:shd w:val="clear" w:color="auto" w:fill="FCE9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600" w:type="dxa"/>
            <w:vAlign w:val="bottom"/>
            <w:tcBorders>
              <w:top w:val="single" w:sz="8" w:color="FCE9E8"/>
              <w:right w:val="single" w:sz="8" w:color="auto"/>
            </w:tcBorders>
            <w:shd w:val="clear" w:color="auto" w:fill="FCE9E8"/>
          </w:tcPr>
          <w:p>
            <w:pPr>
              <w:ind w:left="240"/>
              <w:spacing w:after="0" w:line="136" w:lineRule="exact"/>
              <w:rPr>
                <w:sz w:val="20"/>
                <w:szCs w:val="20"/>
                <w:color w:val="auto"/>
              </w:rPr>
            </w:pPr>
            <w:r>
              <w:rPr>
                <w:rFonts w:ascii="Arial" w:cs="Arial" w:eastAsia="Arial" w:hAnsi="Arial"/>
                <w:sz w:val="15"/>
                <w:szCs w:val="15"/>
                <w:b w:val="1"/>
                <w:bCs w:val="1"/>
                <w:color w:val="auto"/>
              </w:rPr>
              <w:t>Contribution</w:t>
            </w:r>
          </w:p>
        </w:tc>
        <w:tc>
          <w:tcPr>
            <w:tcW w:w="80" w:type="dxa"/>
            <w:vAlign w:val="bottom"/>
            <w:tcBorders>
              <w:top w:val="single" w:sz="8" w:color="FCE9E8"/>
            </w:tcBorders>
            <w:shd w:val="clear" w:color="auto" w:fill="FCE9E8"/>
          </w:tcPr>
          <w:p>
            <w:pPr>
              <w:spacing w:after="0"/>
              <w:rPr>
                <w:sz w:val="11"/>
                <w:szCs w:val="11"/>
                <w:color w:val="auto"/>
              </w:rPr>
            </w:pPr>
          </w:p>
        </w:tc>
        <w:tc>
          <w:tcPr>
            <w:tcW w:w="3000" w:type="dxa"/>
            <w:vAlign w:val="bottom"/>
            <w:tcBorders>
              <w:top w:val="single" w:sz="8" w:color="FCE9E8"/>
              <w:right w:val="single" w:sz="8" w:color="auto"/>
            </w:tcBorders>
            <w:shd w:val="clear" w:color="auto" w:fill="FCE9E8"/>
          </w:tcPr>
          <w:p>
            <w:pPr>
              <w:spacing w:after="0" w:line="136" w:lineRule="exact"/>
              <w:rPr>
                <w:sz w:val="20"/>
                <w:szCs w:val="20"/>
                <w:color w:val="auto"/>
              </w:rPr>
            </w:pPr>
            <w:r>
              <w:rPr>
                <w:rFonts w:ascii="Arial" w:cs="Arial" w:eastAsia="Arial" w:hAnsi="Arial"/>
                <w:sz w:val="15"/>
                <w:szCs w:val="15"/>
                <w:color w:val="auto"/>
              </w:rPr>
              <w:t>Program (Qualified)</w:t>
            </w:r>
          </w:p>
        </w:tc>
        <w:tc>
          <w:tcPr>
            <w:tcW w:w="60" w:type="dxa"/>
            <w:vAlign w:val="bottom"/>
            <w:tcBorders>
              <w:top w:val="single" w:sz="8" w:color="auto"/>
            </w:tcBorders>
            <w:shd w:val="clear" w:color="auto" w:fill="FCE9E8"/>
          </w:tcPr>
          <w:p>
            <w:pPr>
              <w:spacing w:after="0"/>
              <w:rPr>
                <w:sz w:val="11"/>
                <w:szCs w:val="11"/>
                <w:color w:val="auto"/>
              </w:rPr>
            </w:pPr>
          </w:p>
        </w:tc>
        <w:tc>
          <w:tcPr>
            <w:tcW w:w="1900" w:type="dxa"/>
            <w:vAlign w:val="bottom"/>
            <w:tcBorders>
              <w:top w:val="single" w:sz="8" w:color="auto"/>
              <w:right w:val="single" w:sz="8" w:color="auto"/>
            </w:tcBorders>
            <w:vMerge w:val="restart"/>
            <w:shd w:val="clear" w:color="auto" w:fill="FCE9E8"/>
          </w:tcPr>
          <w:p>
            <w:pPr>
              <w:spacing w:after="0"/>
              <w:rPr>
                <w:sz w:val="20"/>
                <w:szCs w:val="20"/>
                <w:color w:val="auto"/>
              </w:rPr>
            </w:pPr>
            <w:r>
              <w:rPr>
                <w:rFonts w:ascii="Arial" w:cs="Arial" w:eastAsia="Arial" w:hAnsi="Arial"/>
                <w:sz w:val="16"/>
                <w:szCs w:val="16"/>
                <w:color w:val="auto"/>
              </w:rPr>
              <w:t>Company Match</w:t>
            </w:r>
          </w:p>
        </w:tc>
        <w:tc>
          <w:tcPr>
            <w:tcW w:w="100" w:type="dxa"/>
            <w:vAlign w:val="bottom"/>
            <w:tcBorders>
              <w:top w:val="single" w:sz="8" w:color="FCE9E8"/>
            </w:tcBorders>
            <w:shd w:val="clear" w:color="auto" w:fill="FCE9E8"/>
          </w:tcPr>
          <w:p>
            <w:pPr>
              <w:spacing w:after="0"/>
              <w:rPr>
                <w:sz w:val="11"/>
                <w:szCs w:val="11"/>
                <w:color w:val="auto"/>
              </w:rPr>
            </w:pPr>
          </w:p>
        </w:tc>
        <w:tc>
          <w:tcPr>
            <w:tcW w:w="2380" w:type="dxa"/>
            <w:vAlign w:val="bottom"/>
            <w:tcBorders>
              <w:top w:val="single" w:sz="8" w:color="FCE9E8"/>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w w:val="99"/>
              </w:rPr>
              <w:t>matching contribution</w:t>
            </w:r>
          </w:p>
        </w:tc>
        <w:tc>
          <w:tcPr>
            <w:tcW w:w="800" w:type="dxa"/>
            <w:vAlign w:val="bottom"/>
            <w:tcBorders>
              <w:top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00" w:type="dxa"/>
            <w:vAlign w:val="bottom"/>
            <w:tcBorders>
              <w:bottom w:val="single" w:sz="8" w:color="FCE9E8"/>
              <w:right w:val="single" w:sz="8" w:color="auto"/>
            </w:tcBorders>
            <w:shd w:val="clear" w:color="auto" w:fill="FCE9E8"/>
          </w:tcPr>
          <w:p>
            <w:pPr>
              <w:spacing w:after="0"/>
              <w:rPr>
                <w:sz w:val="7"/>
                <w:szCs w:val="7"/>
                <w:color w:val="auto"/>
              </w:rPr>
            </w:pPr>
          </w:p>
        </w:tc>
        <w:tc>
          <w:tcPr>
            <w:tcW w:w="80" w:type="dxa"/>
            <w:vAlign w:val="bottom"/>
            <w:tcBorders>
              <w:bottom w:val="single" w:sz="8" w:color="FCE9E8"/>
            </w:tcBorders>
            <w:shd w:val="clear" w:color="auto" w:fill="FCE9E8"/>
          </w:tcPr>
          <w:p>
            <w:pPr>
              <w:spacing w:after="0"/>
              <w:rPr>
                <w:sz w:val="7"/>
                <w:szCs w:val="7"/>
                <w:color w:val="auto"/>
              </w:rPr>
            </w:pPr>
          </w:p>
        </w:tc>
        <w:tc>
          <w:tcPr>
            <w:tcW w:w="3000" w:type="dxa"/>
            <w:vAlign w:val="bottom"/>
            <w:tcBorders>
              <w:bottom w:val="single" w:sz="8" w:color="FCE9E8"/>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100" w:type="dxa"/>
            <w:vAlign w:val="bottom"/>
            <w:tcBorders>
              <w:bottom w:val="single" w:sz="8" w:color="auto"/>
            </w:tcBorders>
            <w:shd w:val="clear" w:color="auto" w:fill="FCE9E8"/>
          </w:tcPr>
          <w:p>
            <w:pPr>
              <w:spacing w:after="0"/>
              <w:rPr>
                <w:sz w:val="7"/>
                <w:szCs w:val="7"/>
                <w:color w:val="auto"/>
              </w:rPr>
            </w:pPr>
          </w:p>
        </w:tc>
        <w:tc>
          <w:tcPr>
            <w:tcW w:w="238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800" w:type="dxa"/>
            <w:vAlign w:val="bottom"/>
            <w:tcBorders>
              <w:bottom w:val="single" w:sz="8" w:color="FCE9E8"/>
            </w:tcBorders>
            <w:vMerge w:val="continue"/>
            <w:shd w:val="clear" w:color="auto" w:fill="FCE9E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600" w:type="dxa"/>
            <w:vAlign w:val="bottom"/>
            <w:tcBorders>
              <w:bottom w:val="single" w:sz="8" w:color="FCE9E8"/>
              <w:right w:val="single" w:sz="8" w:color="auto"/>
            </w:tcBorders>
            <w:shd w:val="clear" w:color="auto" w:fill="FCE9E8"/>
          </w:tcPr>
          <w:p>
            <w:pPr>
              <w:spacing w:after="0"/>
              <w:rPr>
                <w:sz w:val="19"/>
                <w:szCs w:val="19"/>
                <w:color w:val="auto"/>
              </w:rPr>
            </w:pPr>
          </w:p>
        </w:tc>
        <w:tc>
          <w:tcPr>
            <w:tcW w:w="80" w:type="dxa"/>
            <w:vAlign w:val="bottom"/>
            <w:tcBorders>
              <w:bottom w:val="single" w:sz="8" w:color="auto"/>
            </w:tcBorders>
            <w:shd w:val="clear" w:color="auto" w:fill="FCE9E8"/>
          </w:tcPr>
          <w:p>
            <w:pPr>
              <w:spacing w:after="0"/>
              <w:rPr>
                <w:sz w:val="19"/>
                <w:szCs w:val="19"/>
                <w:color w:val="auto"/>
              </w:rPr>
            </w:pPr>
          </w:p>
        </w:tc>
        <w:tc>
          <w:tcPr>
            <w:tcW w:w="3000" w:type="dxa"/>
            <w:vAlign w:val="bottom"/>
            <w:tcBorders>
              <w:bottom w:val="single" w:sz="8" w:color="auto"/>
              <w:right w:val="single" w:sz="8" w:color="auto"/>
            </w:tcBorders>
            <w:shd w:val="clear" w:color="auto" w:fill="FCE9E8"/>
          </w:tcPr>
          <w:p>
            <w:pPr>
              <w:spacing w:after="0"/>
              <w:rPr>
                <w:sz w:val="19"/>
                <w:szCs w:val="19"/>
                <w:color w:val="auto"/>
              </w:rPr>
            </w:pPr>
          </w:p>
        </w:tc>
        <w:tc>
          <w:tcPr>
            <w:tcW w:w="60" w:type="dxa"/>
            <w:vAlign w:val="bottom"/>
            <w:tcBorders>
              <w:bottom w:val="single" w:sz="8" w:color="auto"/>
            </w:tcBorders>
            <w:shd w:val="clear" w:color="auto" w:fill="FCE9E8"/>
          </w:tcPr>
          <w:p>
            <w:pPr>
              <w:spacing w:after="0"/>
              <w:rPr>
                <w:sz w:val="19"/>
                <w:szCs w:val="19"/>
                <w:color w:val="auto"/>
              </w:rPr>
            </w:pPr>
          </w:p>
        </w:tc>
        <w:tc>
          <w:tcPr>
            <w:tcW w:w="1900" w:type="dxa"/>
            <w:vAlign w:val="bottom"/>
            <w:tcBorders>
              <w:bottom w:val="single" w:sz="8" w:color="auto"/>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Pension Savings Plan</w:t>
            </w:r>
          </w:p>
        </w:tc>
        <w:tc>
          <w:tcPr>
            <w:tcW w:w="100" w:type="dxa"/>
            <w:vAlign w:val="bottom"/>
            <w:tcBorders>
              <w:bottom w:val="single" w:sz="8" w:color="auto"/>
            </w:tcBorders>
            <w:shd w:val="clear" w:color="auto" w:fill="FCE9E8"/>
          </w:tcPr>
          <w:p>
            <w:pPr>
              <w:spacing w:after="0"/>
              <w:rPr>
                <w:sz w:val="19"/>
                <w:szCs w:val="19"/>
                <w:color w:val="auto"/>
              </w:rPr>
            </w:pPr>
          </w:p>
        </w:tc>
        <w:tc>
          <w:tcPr>
            <w:tcW w:w="2380" w:type="dxa"/>
            <w:vAlign w:val="bottom"/>
            <w:tcBorders>
              <w:bottom w:val="single" w:sz="8" w:color="auto"/>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Company contribution</w:t>
            </w:r>
          </w:p>
        </w:tc>
        <w:tc>
          <w:tcPr>
            <w:tcW w:w="800" w:type="dxa"/>
            <w:vAlign w:val="bottom"/>
            <w:tcBorders>
              <w:bottom w:val="single" w:sz="8" w:color="auto"/>
            </w:tcBorders>
            <w:shd w:val="clear" w:color="auto" w:fill="FCE9E8"/>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600" w:type="dxa"/>
            <w:vAlign w:val="bottom"/>
            <w:tcBorders>
              <w:bottom w:val="single" w:sz="8" w:color="FCE9E8"/>
              <w:right w:val="single" w:sz="8" w:color="auto"/>
            </w:tcBorders>
            <w:shd w:val="clear" w:color="auto" w:fill="FCE9E8"/>
          </w:tcPr>
          <w:p>
            <w:pPr>
              <w:spacing w:after="0"/>
              <w:rPr>
                <w:sz w:val="24"/>
                <w:szCs w:val="24"/>
                <w:color w:val="auto"/>
              </w:rPr>
            </w:pPr>
          </w:p>
        </w:tc>
        <w:tc>
          <w:tcPr>
            <w:tcW w:w="80" w:type="dxa"/>
            <w:vAlign w:val="bottom"/>
            <w:tcBorders>
              <w:bottom w:val="single" w:sz="8" w:color="FCE9E8"/>
            </w:tcBorders>
            <w:shd w:val="clear" w:color="auto" w:fill="FCE9E8"/>
          </w:tcPr>
          <w:p>
            <w:pPr>
              <w:spacing w:after="0"/>
              <w:rPr>
                <w:sz w:val="24"/>
                <w:szCs w:val="24"/>
                <w:color w:val="auto"/>
              </w:rPr>
            </w:pPr>
          </w:p>
        </w:tc>
        <w:tc>
          <w:tcPr>
            <w:tcW w:w="30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Salaried Retirement Restoration</w:t>
            </w:r>
          </w:p>
        </w:tc>
        <w:tc>
          <w:tcPr>
            <w:tcW w:w="60" w:type="dxa"/>
            <w:vAlign w:val="bottom"/>
            <w:tcBorders>
              <w:bottom w:val="single" w:sz="8" w:color="FCE9E8"/>
            </w:tcBorders>
            <w:shd w:val="clear" w:color="auto" w:fill="FCE9E8"/>
          </w:tcPr>
          <w:p>
            <w:pPr>
              <w:spacing w:after="0"/>
              <w:rPr>
                <w:sz w:val="24"/>
                <w:szCs w:val="24"/>
                <w:color w:val="auto"/>
              </w:rPr>
            </w:pPr>
          </w:p>
        </w:tc>
        <w:tc>
          <w:tcPr>
            <w:tcW w:w="19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24"/>
                <w:szCs w:val="24"/>
                <w:color w:val="auto"/>
              </w:rPr>
            </w:pPr>
          </w:p>
        </w:tc>
        <w:tc>
          <w:tcPr>
            <w:tcW w:w="238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Excess programs for</w:t>
            </w:r>
          </w:p>
        </w:tc>
        <w:tc>
          <w:tcPr>
            <w:tcW w:w="800" w:type="dxa"/>
            <w:vAlign w:val="bottom"/>
            <w:tcBorders>
              <w:bottom w:val="single" w:sz="8" w:color="FCE9E8"/>
            </w:tcBorders>
            <w:shd w:val="clear" w:color="auto" w:fill="FCE9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600" w:type="dxa"/>
            <w:vAlign w:val="bottom"/>
            <w:tcBorders>
              <w:top w:val="single" w:sz="8" w:color="FCE9E8"/>
              <w:right w:val="single" w:sz="8" w:color="auto"/>
            </w:tcBorders>
            <w:shd w:val="clear" w:color="auto" w:fill="FCE9E8"/>
          </w:tcPr>
          <w:p>
            <w:pPr>
              <w:spacing w:after="0"/>
              <w:rPr>
                <w:sz w:val="11"/>
                <w:szCs w:val="11"/>
                <w:color w:val="auto"/>
              </w:rPr>
            </w:pPr>
          </w:p>
        </w:tc>
        <w:tc>
          <w:tcPr>
            <w:tcW w:w="80" w:type="dxa"/>
            <w:vAlign w:val="bottom"/>
            <w:tcBorders>
              <w:top w:val="single" w:sz="8" w:color="FCE9E8"/>
            </w:tcBorders>
            <w:shd w:val="clear" w:color="auto" w:fill="FCE9E8"/>
          </w:tcPr>
          <w:p>
            <w:pPr>
              <w:spacing w:after="0"/>
              <w:rPr>
                <w:sz w:val="11"/>
                <w:szCs w:val="11"/>
                <w:color w:val="auto"/>
              </w:rPr>
            </w:pPr>
          </w:p>
        </w:tc>
        <w:tc>
          <w:tcPr>
            <w:tcW w:w="3000" w:type="dxa"/>
            <w:vAlign w:val="bottom"/>
            <w:tcBorders>
              <w:top w:val="single" w:sz="8" w:color="FCE9E8"/>
              <w:right w:val="single" w:sz="8" w:color="auto"/>
            </w:tcBorders>
            <w:shd w:val="clear" w:color="auto" w:fill="FCE9E8"/>
          </w:tcPr>
          <w:p>
            <w:pPr>
              <w:spacing w:after="0" w:line="136" w:lineRule="exact"/>
              <w:rPr>
                <w:sz w:val="20"/>
                <w:szCs w:val="20"/>
                <w:color w:val="auto"/>
              </w:rPr>
            </w:pPr>
            <w:r>
              <w:rPr>
                <w:rFonts w:ascii="Arial" w:cs="Arial" w:eastAsia="Arial" w:hAnsi="Arial"/>
                <w:sz w:val="15"/>
                <w:szCs w:val="15"/>
                <w:color w:val="auto"/>
              </w:rPr>
              <w:t>Program (Non-Qualified)</w:t>
            </w:r>
          </w:p>
        </w:tc>
        <w:tc>
          <w:tcPr>
            <w:tcW w:w="60" w:type="dxa"/>
            <w:vAlign w:val="bottom"/>
            <w:tcBorders>
              <w:top w:val="single" w:sz="8" w:color="auto"/>
            </w:tcBorders>
            <w:shd w:val="clear" w:color="auto" w:fill="FCE9E8"/>
          </w:tcPr>
          <w:p>
            <w:pPr>
              <w:spacing w:after="0"/>
              <w:rPr>
                <w:sz w:val="11"/>
                <w:szCs w:val="11"/>
                <w:color w:val="auto"/>
              </w:rPr>
            </w:pPr>
          </w:p>
        </w:tc>
        <w:tc>
          <w:tcPr>
            <w:tcW w:w="1900" w:type="dxa"/>
            <w:vAlign w:val="bottom"/>
            <w:tcBorders>
              <w:top w:val="single" w:sz="8" w:color="auto"/>
              <w:right w:val="single" w:sz="8" w:color="auto"/>
            </w:tcBorders>
            <w:vMerge w:val="restart"/>
            <w:shd w:val="clear" w:color="auto" w:fill="FCE9E8"/>
          </w:tcPr>
          <w:p>
            <w:pPr>
              <w:spacing w:after="0"/>
              <w:rPr>
                <w:sz w:val="20"/>
                <w:szCs w:val="20"/>
                <w:color w:val="auto"/>
              </w:rPr>
            </w:pPr>
            <w:r>
              <w:rPr>
                <w:rFonts w:ascii="Arial" w:cs="Arial" w:eastAsia="Arial" w:hAnsi="Arial"/>
                <w:sz w:val="16"/>
                <w:szCs w:val="16"/>
                <w:color w:val="auto"/>
              </w:rPr>
              <w:t>Company Match</w:t>
            </w:r>
          </w:p>
        </w:tc>
        <w:tc>
          <w:tcPr>
            <w:tcW w:w="100" w:type="dxa"/>
            <w:vAlign w:val="bottom"/>
            <w:tcBorders>
              <w:top w:val="single" w:sz="8" w:color="FCE9E8"/>
            </w:tcBorders>
            <w:shd w:val="clear" w:color="auto" w:fill="FCE9E8"/>
          </w:tcPr>
          <w:p>
            <w:pPr>
              <w:spacing w:after="0"/>
              <w:rPr>
                <w:sz w:val="11"/>
                <w:szCs w:val="11"/>
                <w:color w:val="auto"/>
              </w:rPr>
            </w:pPr>
          </w:p>
        </w:tc>
        <w:tc>
          <w:tcPr>
            <w:tcW w:w="2380" w:type="dxa"/>
            <w:vAlign w:val="bottom"/>
            <w:tcBorders>
              <w:top w:val="single" w:sz="8" w:color="FCE9E8"/>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amounts above</w:t>
            </w:r>
          </w:p>
        </w:tc>
        <w:tc>
          <w:tcPr>
            <w:tcW w:w="800" w:type="dxa"/>
            <w:vAlign w:val="bottom"/>
            <w:tcBorders>
              <w:top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56-59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00" w:type="dxa"/>
            <w:vAlign w:val="bottom"/>
            <w:tcBorders>
              <w:bottom w:val="single" w:sz="8" w:color="FCE9E8"/>
              <w:right w:val="single" w:sz="8" w:color="auto"/>
            </w:tcBorders>
            <w:shd w:val="clear" w:color="auto" w:fill="FCE9E8"/>
          </w:tcPr>
          <w:p>
            <w:pPr>
              <w:spacing w:after="0"/>
              <w:rPr>
                <w:sz w:val="7"/>
                <w:szCs w:val="7"/>
                <w:color w:val="auto"/>
              </w:rPr>
            </w:pPr>
          </w:p>
        </w:tc>
        <w:tc>
          <w:tcPr>
            <w:tcW w:w="80" w:type="dxa"/>
            <w:vAlign w:val="bottom"/>
            <w:tcBorders>
              <w:bottom w:val="single" w:sz="8" w:color="FCE9E8"/>
            </w:tcBorders>
            <w:shd w:val="clear" w:color="auto" w:fill="FCE9E8"/>
          </w:tcPr>
          <w:p>
            <w:pPr>
              <w:spacing w:after="0"/>
              <w:rPr>
                <w:sz w:val="7"/>
                <w:szCs w:val="7"/>
                <w:color w:val="auto"/>
              </w:rPr>
            </w:pPr>
          </w:p>
        </w:tc>
        <w:tc>
          <w:tcPr>
            <w:tcW w:w="3000" w:type="dxa"/>
            <w:vAlign w:val="bottom"/>
            <w:tcBorders>
              <w:bottom w:val="single" w:sz="8" w:color="FCE9E8"/>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100" w:type="dxa"/>
            <w:vAlign w:val="bottom"/>
            <w:tcBorders>
              <w:bottom w:val="single" w:sz="8" w:color="FCE9E8"/>
            </w:tcBorders>
            <w:shd w:val="clear" w:color="auto" w:fill="FCE9E8"/>
          </w:tcPr>
          <w:p>
            <w:pPr>
              <w:spacing w:after="0"/>
              <w:rPr>
                <w:sz w:val="7"/>
                <w:szCs w:val="7"/>
                <w:color w:val="auto"/>
              </w:rPr>
            </w:pPr>
          </w:p>
        </w:tc>
        <w:tc>
          <w:tcPr>
            <w:tcW w:w="2380" w:type="dxa"/>
            <w:vAlign w:val="bottom"/>
            <w:tcBorders>
              <w:bottom w:val="single" w:sz="8" w:color="FCE9E8"/>
              <w:right w:val="single" w:sz="8" w:color="auto"/>
            </w:tcBorders>
            <w:vMerge w:val="continue"/>
            <w:shd w:val="clear" w:color="auto" w:fill="FCE9E8"/>
          </w:tcPr>
          <w:p>
            <w:pPr>
              <w:spacing w:after="0"/>
              <w:rPr>
                <w:sz w:val="7"/>
                <w:szCs w:val="7"/>
                <w:color w:val="auto"/>
              </w:rPr>
            </w:pPr>
          </w:p>
        </w:tc>
        <w:tc>
          <w:tcPr>
            <w:tcW w:w="800" w:type="dxa"/>
            <w:vAlign w:val="bottom"/>
            <w:tcBorders>
              <w:bottom w:val="single" w:sz="8" w:color="FCE9E8"/>
            </w:tcBorders>
            <w:vMerge w:val="continue"/>
            <w:shd w:val="clear" w:color="auto" w:fill="FCE9E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00" w:type="dxa"/>
            <w:vAlign w:val="bottom"/>
            <w:tcBorders>
              <w:right w:val="single" w:sz="8" w:color="auto"/>
            </w:tcBorders>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3000" w:type="dxa"/>
            <w:vAlign w:val="bottom"/>
            <w:tcBorders>
              <w:right w:val="single" w:sz="8" w:color="auto"/>
            </w:tcBorders>
            <w:shd w:val="clear" w:color="auto" w:fill="FCE9E8"/>
          </w:tcPr>
          <w:p>
            <w:pPr>
              <w:spacing w:after="0"/>
              <w:rPr>
                <w:sz w:val="17"/>
                <w:szCs w:val="17"/>
                <w:color w:val="auto"/>
              </w:rPr>
            </w:pPr>
          </w:p>
        </w:tc>
        <w:tc>
          <w:tcPr>
            <w:tcW w:w="60" w:type="dxa"/>
            <w:vAlign w:val="bottom"/>
            <w:shd w:val="clear" w:color="auto" w:fill="FCE9E8"/>
          </w:tcPr>
          <w:p>
            <w:pPr>
              <w:spacing w:after="0"/>
              <w:rPr>
                <w:sz w:val="17"/>
                <w:szCs w:val="17"/>
                <w:color w:val="auto"/>
              </w:rPr>
            </w:pPr>
          </w:p>
        </w:tc>
        <w:tc>
          <w:tcPr>
            <w:tcW w:w="1900" w:type="dxa"/>
            <w:vAlign w:val="bottom"/>
            <w:tcBorders>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Pension Savings Plan</w:t>
            </w:r>
          </w:p>
        </w:tc>
        <w:tc>
          <w:tcPr>
            <w:tcW w:w="100" w:type="dxa"/>
            <w:vAlign w:val="bottom"/>
            <w:shd w:val="clear" w:color="auto" w:fill="FCE9E8"/>
          </w:tcPr>
          <w:p>
            <w:pPr>
              <w:spacing w:after="0"/>
              <w:rPr>
                <w:sz w:val="17"/>
                <w:szCs w:val="17"/>
                <w:color w:val="auto"/>
              </w:rPr>
            </w:pPr>
          </w:p>
        </w:tc>
        <w:tc>
          <w:tcPr>
            <w:tcW w:w="2380" w:type="dxa"/>
            <w:vAlign w:val="bottom"/>
            <w:tcBorders>
              <w:right w:val="single" w:sz="8" w:color="auto"/>
            </w:tcBorders>
            <w:shd w:val="clear" w:color="auto" w:fill="FCE9E8"/>
          </w:tcPr>
          <w:p>
            <w:pPr>
              <w:jc w:val="center"/>
              <w:spacing w:after="0" w:line="177" w:lineRule="exact"/>
              <w:rPr>
                <w:sz w:val="20"/>
                <w:szCs w:val="20"/>
                <w:color w:val="auto"/>
              </w:rPr>
            </w:pPr>
            <w:r>
              <w:rPr>
                <w:rFonts w:ascii="Arial" w:cs="Arial" w:eastAsia="Arial" w:hAnsi="Arial"/>
                <w:sz w:val="16"/>
                <w:szCs w:val="16"/>
                <w:color w:val="auto"/>
              </w:rPr>
              <w:t>qualified plan limits</w:t>
            </w:r>
          </w:p>
        </w:tc>
        <w:tc>
          <w:tcPr>
            <w:tcW w:w="800" w:type="dxa"/>
            <w:vAlign w:val="bottom"/>
            <w:shd w:val="clear" w:color="auto" w:fill="FCE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right w:val="single" w:sz="8" w:color="auto"/>
            </w:tcBorders>
            <w:shd w:val="clear" w:color="auto" w:fill="FCE9E8"/>
          </w:tcPr>
          <w:p>
            <w:pPr>
              <w:spacing w:after="0"/>
              <w:rPr>
                <w:sz w:val="7"/>
                <w:szCs w:val="7"/>
                <w:color w:val="auto"/>
              </w:rPr>
            </w:pPr>
          </w:p>
        </w:tc>
        <w:tc>
          <w:tcPr>
            <w:tcW w:w="80" w:type="dxa"/>
            <w:vAlign w:val="bottom"/>
            <w:tcBorders>
              <w:bottom w:val="single" w:sz="8" w:color="auto"/>
            </w:tcBorders>
            <w:shd w:val="clear" w:color="auto" w:fill="FCE9E8"/>
          </w:tcPr>
          <w:p>
            <w:pPr>
              <w:spacing w:after="0"/>
              <w:rPr>
                <w:sz w:val="7"/>
                <w:szCs w:val="7"/>
                <w:color w:val="auto"/>
              </w:rPr>
            </w:pPr>
          </w:p>
        </w:tc>
        <w:tc>
          <w:tcPr>
            <w:tcW w:w="3000" w:type="dxa"/>
            <w:vAlign w:val="bottom"/>
            <w:tcBorders>
              <w:bottom w:val="single" w:sz="8" w:color="auto"/>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shd w:val="clear" w:color="auto" w:fill="FCE9E8"/>
          </w:tcPr>
          <w:p>
            <w:pPr>
              <w:spacing w:after="0"/>
              <w:rPr>
                <w:sz w:val="7"/>
                <w:szCs w:val="7"/>
                <w:color w:val="auto"/>
              </w:rPr>
            </w:pPr>
          </w:p>
        </w:tc>
        <w:tc>
          <w:tcPr>
            <w:tcW w:w="100" w:type="dxa"/>
            <w:vAlign w:val="bottom"/>
            <w:tcBorders>
              <w:bottom w:val="single" w:sz="8" w:color="auto"/>
            </w:tcBorders>
            <w:shd w:val="clear" w:color="auto" w:fill="FCE9E8"/>
          </w:tcPr>
          <w:p>
            <w:pPr>
              <w:spacing w:after="0"/>
              <w:rPr>
                <w:sz w:val="7"/>
                <w:szCs w:val="7"/>
                <w:color w:val="auto"/>
              </w:rPr>
            </w:pPr>
          </w:p>
        </w:tc>
        <w:tc>
          <w:tcPr>
            <w:tcW w:w="2380" w:type="dxa"/>
            <w:vAlign w:val="bottom"/>
            <w:tcBorders>
              <w:bottom w:val="single" w:sz="8" w:color="auto"/>
              <w:right w:val="single" w:sz="8" w:color="auto"/>
            </w:tcBorders>
            <w:shd w:val="clear" w:color="auto" w:fill="FCE9E8"/>
          </w:tcPr>
          <w:p>
            <w:pPr>
              <w:spacing w:after="0"/>
              <w:rPr>
                <w:sz w:val="7"/>
                <w:szCs w:val="7"/>
                <w:color w:val="auto"/>
              </w:rPr>
            </w:pPr>
          </w:p>
        </w:tc>
        <w:tc>
          <w:tcPr>
            <w:tcW w:w="800" w:type="dxa"/>
            <w:vAlign w:val="bottom"/>
            <w:tcBorders>
              <w:bottom w:val="single" w:sz="8" w:color="auto"/>
            </w:tcBorders>
            <w:shd w:val="clear" w:color="auto" w:fill="FCE9E8"/>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60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color w:val="auto"/>
              </w:rPr>
              <w:t>Defined Benefit</w:t>
            </w:r>
          </w:p>
        </w:tc>
        <w:tc>
          <w:tcPr>
            <w:tcW w:w="30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Lear Corporation Pension Plan</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Qualified Pension Plan</w:t>
            </w:r>
          </w:p>
        </w:tc>
        <w:tc>
          <w:tcPr>
            <w:tcW w:w="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56-57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0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i w:val="1"/>
                <w:iCs w:val="1"/>
                <w:color w:val="auto"/>
              </w:rPr>
              <w:t>(frozen as</w:t>
            </w:r>
          </w:p>
        </w:tc>
        <w:tc>
          <w:tcPr>
            <w:tcW w:w="80" w:type="dxa"/>
            <w:vAlign w:val="bottom"/>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i w:val="1"/>
                <w:iCs w:val="1"/>
                <w:color w:val="auto"/>
              </w:rPr>
              <w:t>(frozen)</w:t>
            </w:r>
          </w:p>
        </w:tc>
        <w:tc>
          <w:tcPr>
            <w:tcW w:w="100" w:type="dxa"/>
            <w:vAlign w:val="bottom"/>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600" w:type="dxa"/>
            <w:vAlign w:val="bottom"/>
            <w:tcBorders>
              <w:right w:val="single" w:sz="8" w:color="auto"/>
            </w:tcBorders>
            <w:vMerge w:val="restart"/>
          </w:tcPr>
          <w:p>
            <w:pPr>
              <w:ind w:left="240"/>
              <w:spacing w:after="0" w:line="147" w:lineRule="exact"/>
              <w:rPr>
                <w:sz w:val="20"/>
                <w:szCs w:val="20"/>
                <w:color w:val="auto"/>
              </w:rPr>
            </w:pPr>
            <w:r>
              <w:rPr>
                <w:rFonts w:ascii="Arial" w:cs="Arial" w:eastAsia="Arial" w:hAnsi="Arial"/>
                <w:sz w:val="16"/>
                <w:szCs w:val="16"/>
                <w:b w:val="1"/>
                <w:bCs w:val="1"/>
                <w:i w:val="1"/>
                <w:iCs w:val="1"/>
                <w:color w:val="auto"/>
              </w:rPr>
              <w:t>of 12/31/06)</w:t>
            </w:r>
          </w:p>
        </w:tc>
        <w:tc>
          <w:tcPr>
            <w:tcW w:w="80" w:type="dxa"/>
            <w:vAlign w:val="bottom"/>
          </w:tcPr>
          <w:p>
            <w:pPr>
              <w:spacing w:after="0"/>
              <w:rPr>
                <w:sz w:val="6"/>
                <w:szCs w:val="6"/>
                <w:color w:val="auto"/>
              </w:rPr>
            </w:pPr>
          </w:p>
        </w:tc>
        <w:tc>
          <w:tcPr>
            <w:tcW w:w="300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600" w:type="dxa"/>
            <w:vAlign w:val="bottom"/>
            <w:tcBorders>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n/a</w:t>
            </w: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Pension Equalization Program</w:t>
            </w:r>
          </w:p>
        </w:tc>
        <w:tc>
          <w:tcPr>
            <w:tcW w:w="19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380" w:type="dxa"/>
            <w:vAlign w:val="bottom"/>
            <w:tcBorders>
              <w:right w:val="single" w:sz="8" w:color="auto"/>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Salaried Retirement Restoration</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57 to 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60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Program (Pension Makeup)</w:t>
            </w:r>
          </w:p>
        </w:tc>
        <w:tc>
          <w:tcPr>
            <w:tcW w:w="60" w:type="dxa"/>
            <w:vAlign w:val="bottom"/>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00" w:type="dxa"/>
            <w:vAlign w:val="bottom"/>
            <w:tcBorders>
              <w:right w:val="single" w:sz="8" w:color="auto"/>
            </w:tcBorders>
            <w:shd w:val="clear" w:color="auto" w:fill="FCE9E8"/>
          </w:tcPr>
          <w:p>
            <w:pPr>
              <w:ind w:left="240"/>
              <w:spacing w:after="0"/>
              <w:rPr>
                <w:sz w:val="20"/>
                <w:szCs w:val="20"/>
                <w:color w:val="auto"/>
              </w:rPr>
            </w:pPr>
            <w:r>
              <w:rPr>
                <w:rFonts w:ascii="Arial" w:cs="Arial" w:eastAsia="Arial" w:hAnsi="Arial"/>
                <w:sz w:val="16"/>
                <w:szCs w:val="16"/>
                <w:b w:val="1"/>
                <w:bCs w:val="1"/>
                <w:color w:val="auto"/>
              </w:rPr>
              <w:t>Additional</w:t>
            </w:r>
          </w:p>
        </w:tc>
        <w:tc>
          <w:tcPr>
            <w:tcW w:w="3080" w:type="dxa"/>
            <w:vAlign w:val="bottom"/>
            <w:tcBorders>
              <w:right w:val="single" w:sz="8" w:color="auto"/>
            </w:tcBorders>
            <w:gridSpan w:val="2"/>
            <w:shd w:val="clear" w:color="auto" w:fill="FCE9E8"/>
          </w:tcPr>
          <w:p>
            <w:pPr>
              <w:ind w:left="80"/>
              <w:spacing w:after="0"/>
              <w:rPr>
                <w:sz w:val="20"/>
                <w:szCs w:val="20"/>
                <w:color w:val="auto"/>
              </w:rPr>
            </w:pPr>
            <w:r>
              <w:rPr>
                <w:rFonts w:ascii="Arial" w:cs="Arial" w:eastAsia="Arial" w:hAnsi="Arial"/>
                <w:sz w:val="16"/>
                <w:szCs w:val="16"/>
                <w:color w:val="auto"/>
              </w:rPr>
              <w:t>Time-Based Career Shares (described</w:t>
            </w: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Shares not distributed</w:t>
            </w:r>
          </w:p>
        </w:tc>
        <w:tc>
          <w:tcPr>
            <w:tcW w:w="100" w:type="dxa"/>
            <w:vAlign w:val="bottom"/>
            <w:shd w:val="clear" w:color="auto" w:fill="FCE9E8"/>
          </w:tcPr>
          <w:p>
            <w:pPr>
              <w:spacing w:after="0"/>
              <w:rPr>
                <w:sz w:val="20"/>
                <w:szCs w:val="20"/>
                <w:color w:val="auto"/>
              </w:rPr>
            </w:pPr>
          </w:p>
        </w:tc>
        <w:tc>
          <w:tcPr>
            <w:tcW w:w="238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Intended to facilitate a very long-</w:t>
            </w:r>
          </w:p>
        </w:tc>
        <w:tc>
          <w:tcPr>
            <w:tcW w:w="8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51 to 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00" w:type="dxa"/>
            <w:vAlign w:val="bottom"/>
            <w:tcBorders>
              <w:right w:val="single" w:sz="8" w:color="auto"/>
            </w:tcBorders>
            <w:shd w:val="clear" w:color="auto" w:fill="FCE9E8"/>
          </w:tcPr>
          <w:p>
            <w:pPr>
              <w:spacing w:after="0"/>
              <w:rPr>
                <w:sz w:val="16"/>
                <w:szCs w:val="16"/>
                <w:color w:val="auto"/>
              </w:rPr>
            </w:pPr>
          </w:p>
        </w:tc>
        <w:tc>
          <w:tcPr>
            <w:tcW w:w="3080" w:type="dxa"/>
            <w:vAlign w:val="bottom"/>
            <w:tcBorders>
              <w:right w:val="single" w:sz="8" w:color="auto"/>
            </w:tcBorders>
            <w:gridSpan w:val="2"/>
            <w:shd w:val="clear" w:color="auto" w:fill="FCE9E8"/>
          </w:tcPr>
          <w:p>
            <w:pPr>
              <w:ind w:left="80"/>
              <w:spacing w:after="0"/>
              <w:rPr>
                <w:sz w:val="20"/>
                <w:szCs w:val="20"/>
                <w:color w:val="auto"/>
              </w:rPr>
            </w:pPr>
            <w:r>
              <w:rPr>
                <w:rFonts w:ascii="Arial" w:cs="Arial" w:eastAsia="Arial" w:hAnsi="Arial"/>
                <w:sz w:val="16"/>
                <w:szCs w:val="16"/>
                <w:color w:val="auto"/>
              </w:rPr>
              <w:t>below)</w:t>
            </w: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until earlier of age 62 or 3</w:t>
            </w:r>
          </w:p>
        </w:tc>
        <w:tc>
          <w:tcPr>
            <w:tcW w:w="100" w:type="dxa"/>
            <w:vAlign w:val="bottom"/>
            <w:shd w:val="clear" w:color="auto" w:fill="FCE9E8"/>
          </w:tcPr>
          <w:p>
            <w:pPr>
              <w:spacing w:after="0"/>
              <w:rPr>
                <w:sz w:val="16"/>
                <w:szCs w:val="16"/>
                <w:color w:val="auto"/>
              </w:rPr>
            </w:pPr>
          </w:p>
        </w:tc>
        <w:tc>
          <w:tcPr>
            <w:tcW w:w="238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term shareholder perspective by</w:t>
            </w:r>
          </w:p>
        </w:tc>
        <w:tc>
          <w:tcPr>
            <w:tcW w:w="8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59; 62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000" w:type="dxa"/>
            <w:vAlign w:val="bottom"/>
            <w:tcBorders>
              <w:right w:val="single" w:sz="8" w:color="auto"/>
            </w:tcBorders>
            <w:shd w:val="clear" w:color="auto" w:fill="FCE9E8"/>
          </w:tcPr>
          <w:p>
            <w:pPr>
              <w:spacing w:after="0"/>
              <w:rPr>
                <w:sz w:val="16"/>
                <w:szCs w:val="16"/>
                <w:color w:val="auto"/>
              </w:rPr>
            </w:pP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years after retirement.</w:t>
            </w:r>
          </w:p>
        </w:tc>
        <w:tc>
          <w:tcPr>
            <w:tcW w:w="100" w:type="dxa"/>
            <w:vAlign w:val="bottom"/>
            <w:shd w:val="clear" w:color="auto" w:fill="FCE9E8"/>
          </w:tcPr>
          <w:p>
            <w:pPr>
              <w:spacing w:after="0"/>
              <w:rPr>
                <w:sz w:val="16"/>
                <w:szCs w:val="16"/>
                <w:color w:val="auto"/>
              </w:rPr>
            </w:pPr>
          </w:p>
        </w:tc>
        <w:tc>
          <w:tcPr>
            <w:tcW w:w="238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the NEOs and other senior</w:t>
            </w:r>
          </w:p>
        </w:tc>
        <w:tc>
          <w:tcPr>
            <w:tcW w:w="800" w:type="dxa"/>
            <w:vAlign w:val="bottom"/>
            <w:vMerge w:val="restart"/>
            <w:shd w:val="clear" w:color="auto" w:fill="FCE9E8"/>
          </w:tcPr>
          <w:p>
            <w:pPr>
              <w:jc w:val="center"/>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60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000" w:type="dxa"/>
            <w:vAlign w:val="bottom"/>
            <w:tcBorders>
              <w:right w:val="single" w:sz="8" w:color="auto"/>
            </w:tcBorders>
            <w:shd w:val="clear" w:color="auto" w:fill="FCE9E8"/>
          </w:tcPr>
          <w:p>
            <w:pPr>
              <w:spacing w:after="0"/>
              <w:rPr>
                <w:sz w:val="8"/>
                <w:szCs w:val="8"/>
                <w:color w:val="auto"/>
              </w:rPr>
            </w:pPr>
          </w:p>
        </w:tc>
        <w:tc>
          <w:tcPr>
            <w:tcW w:w="60" w:type="dxa"/>
            <w:vAlign w:val="bottom"/>
            <w:shd w:val="clear" w:color="auto" w:fill="FCE9E8"/>
          </w:tcPr>
          <w:p>
            <w:pPr>
              <w:spacing w:after="0"/>
              <w:rPr>
                <w:sz w:val="8"/>
                <w:szCs w:val="8"/>
                <w:color w:val="auto"/>
              </w:rPr>
            </w:pPr>
          </w:p>
        </w:tc>
        <w:tc>
          <w:tcPr>
            <w:tcW w:w="1900" w:type="dxa"/>
            <w:vAlign w:val="bottom"/>
            <w:tcBorders>
              <w:right w:val="single" w:sz="8" w:color="auto"/>
            </w:tcBorders>
            <w:shd w:val="clear" w:color="auto" w:fill="FCE9E8"/>
          </w:tcPr>
          <w:p>
            <w:pPr>
              <w:spacing w:after="0"/>
              <w:rPr>
                <w:sz w:val="8"/>
                <w:szCs w:val="8"/>
                <w:color w:val="auto"/>
              </w:rPr>
            </w:pPr>
          </w:p>
        </w:tc>
        <w:tc>
          <w:tcPr>
            <w:tcW w:w="100" w:type="dxa"/>
            <w:vAlign w:val="bottom"/>
            <w:shd w:val="clear" w:color="auto" w:fill="FCE9E8"/>
          </w:tcPr>
          <w:p>
            <w:pPr>
              <w:spacing w:after="0"/>
              <w:rPr>
                <w:sz w:val="8"/>
                <w:szCs w:val="8"/>
                <w:color w:val="auto"/>
              </w:rPr>
            </w:pPr>
          </w:p>
        </w:tc>
        <w:tc>
          <w:tcPr>
            <w:tcW w:w="238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w w:val="99"/>
              </w:rPr>
              <w:t>executives.</w:t>
            </w:r>
          </w:p>
        </w:tc>
        <w:tc>
          <w:tcPr>
            <w:tcW w:w="800" w:type="dxa"/>
            <w:vAlign w:val="bottom"/>
            <w:vMerge w:val="continue"/>
            <w:shd w:val="clear" w:color="auto" w:fill="FCE9E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00" w:type="dxa"/>
            <w:vAlign w:val="bottom"/>
            <w:tcBorders>
              <w:bottom w:val="single" w:sz="8" w:color="FCE9E8"/>
              <w:right w:val="single" w:sz="8" w:color="auto"/>
            </w:tcBorders>
            <w:shd w:val="clear" w:color="auto" w:fill="FCE9E8"/>
          </w:tcPr>
          <w:p>
            <w:pPr>
              <w:spacing w:after="0"/>
              <w:rPr>
                <w:sz w:val="11"/>
                <w:szCs w:val="11"/>
                <w:color w:val="auto"/>
              </w:rPr>
            </w:pPr>
          </w:p>
        </w:tc>
        <w:tc>
          <w:tcPr>
            <w:tcW w:w="80" w:type="dxa"/>
            <w:vAlign w:val="bottom"/>
            <w:tcBorders>
              <w:bottom w:val="single" w:sz="8" w:color="FCE9E8"/>
            </w:tcBorders>
            <w:shd w:val="clear" w:color="auto" w:fill="FCE9E8"/>
          </w:tcPr>
          <w:p>
            <w:pPr>
              <w:spacing w:after="0"/>
              <w:rPr>
                <w:sz w:val="11"/>
                <w:szCs w:val="11"/>
                <w:color w:val="auto"/>
              </w:rPr>
            </w:pPr>
          </w:p>
        </w:tc>
        <w:tc>
          <w:tcPr>
            <w:tcW w:w="3000" w:type="dxa"/>
            <w:vAlign w:val="bottom"/>
            <w:tcBorders>
              <w:bottom w:val="single" w:sz="8" w:color="FCE9E8"/>
              <w:right w:val="single" w:sz="8" w:color="auto"/>
            </w:tcBorders>
            <w:shd w:val="clear" w:color="auto" w:fill="FCE9E8"/>
          </w:tcPr>
          <w:p>
            <w:pPr>
              <w:spacing w:after="0"/>
              <w:rPr>
                <w:sz w:val="11"/>
                <w:szCs w:val="11"/>
                <w:color w:val="auto"/>
              </w:rPr>
            </w:pPr>
          </w:p>
        </w:tc>
        <w:tc>
          <w:tcPr>
            <w:tcW w:w="60" w:type="dxa"/>
            <w:vAlign w:val="bottom"/>
            <w:tcBorders>
              <w:bottom w:val="single" w:sz="8" w:color="FCE9E8"/>
            </w:tcBorders>
            <w:shd w:val="clear" w:color="auto" w:fill="FCE9E8"/>
          </w:tcPr>
          <w:p>
            <w:pPr>
              <w:spacing w:after="0"/>
              <w:rPr>
                <w:sz w:val="11"/>
                <w:szCs w:val="11"/>
                <w:color w:val="auto"/>
              </w:rPr>
            </w:pPr>
          </w:p>
        </w:tc>
        <w:tc>
          <w:tcPr>
            <w:tcW w:w="1900" w:type="dxa"/>
            <w:vAlign w:val="bottom"/>
            <w:tcBorders>
              <w:bottom w:val="single" w:sz="8" w:color="FCE9E8"/>
              <w:right w:val="single" w:sz="8" w:color="auto"/>
            </w:tcBorders>
            <w:shd w:val="clear" w:color="auto" w:fill="FCE9E8"/>
          </w:tcPr>
          <w:p>
            <w:pPr>
              <w:spacing w:after="0"/>
              <w:rPr>
                <w:sz w:val="11"/>
                <w:szCs w:val="11"/>
                <w:color w:val="auto"/>
              </w:rPr>
            </w:pPr>
          </w:p>
        </w:tc>
        <w:tc>
          <w:tcPr>
            <w:tcW w:w="100" w:type="dxa"/>
            <w:vAlign w:val="bottom"/>
            <w:tcBorders>
              <w:bottom w:val="single" w:sz="8" w:color="FCE9E8"/>
            </w:tcBorders>
            <w:shd w:val="clear" w:color="auto" w:fill="FCE9E8"/>
          </w:tcPr>
          <w:p>
            <w:pPr>
              <w:spacing w:after="0"/>
              <w:rPr>
                <w:sz w:val="11"/>
                <w:szCs w:val="11"/>
                <w:color w:val="auto"/>
              </w:rPr>
            </w:pPr>
          </w:p>
        </w:tc>
        <w:tc>
          <w:tcPr>
            <w:tcW w:w="2380" w:type="dxa"/>
            <w:vAlign w:val="bottom"/>
            <w:tcBorders>
              <w:bottom w:val="single" w:sz="8" w:color="FCE9E8"/>
              <w:right w:val="single" w:sz="8" w:color="auto"/>
            </w:tcBorders>
            <w:vMerge w:val="continue"/>
            <w:shd w:val="clear" w:color="auto" w:fill="FCE9E8"/>
          </w:tcPr>
          <w:p>
            <w:pPr>
              <w:spacing w:after="0"/>
              <w:rPr>
                <w:sz w:val="11"/>
                <w:szCs w:val="11"/>
                <w:color w:val="auto"/>
              </w:rPr>
            </w:pPr>
          </w:p>
        </w:tc>
        <w:tc>
          <w:tcPr>
            <w:tcW w:w="800" w:type="dxa"/>
            <w:vAlign w:val="bottom"/>
            <w:tcBorders>
              <w:bottom w:val="single" w:sz="8" w:color="FCE9E8"/>
            </w:tcBorders>
            <w:shd w:val="clear" w:color="auto" w:fill="FCE9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0860"/>
          </w:cols>
          <w:pgMar w:left="320" w:top="459" w:right="719" w:bottom="1440" w:gutter="0" w:footer="0" w:header="0"/>
        </w:sectPr>
      </w:pPr>
    </w:p>
    <w:p>
      <w:pPr>
        <w:ind w:left="660"/>
        <w:spacing w:after="0"/>
        <w:rPr>
          <w:sz w:val="20"/>
          <w:szCs w:val="20"/>
          <w:color w:val="auto"/>
        </w:rPr>
      </w:pPr>
      <w:r>
        <w:rPr>
          <w:rFonts w:ascii="Arial" w:cs="Arial" w:eastAsia="Arial" w:hAnsi="Arial"/>
          <w:sz w:val="18"/>
          <w:szCs w:val="18"/>
          <w:i w:val="1"/>
          <w:iCs w:val="1"/>
          <w:color w:val="auto"/>
        </w:rPr>
        <w:t>Career Shares</w:t>
      </w:r>
    </w:p>
    <w:p>
      <w:pPr>
        <w:spacing w:after="0" w:line="19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Since 2012, each November, the P&amp;C Committee grants awards of Career Shares, which are RSUs that generally must be held until after retirement. The annual granting of Career Shares, which is approaching 10 years of use by the Company, is an integral component of the Company’s strategy to facilitate a very long-term shareholder perspective by the Named Executive Officers and other senior executives. The grants are also intended to motivate and retain key talent during industry cycles and support long-term talent initiatives and succession planning. Individual awards are differentiated by position level, performance and other factors.</w:t>
      </w:r>
    </w:p>
    <w:p>
      <w:pPr>
        <w:spacing w:after="0" w:line="286" w:lineRule="exact"/>
        <w:rPr>
          <w:sz w:val="20"/>
          <w:szCs w:val="20"/>
          <w:color w:val="auto"/>
        </w:rPr>
      </w:pPr>
    </w:p>
    <w:p>
      <w:pPr>
        <w:ind w:left="660" w:right="160"/>
        <w:spacing w:after="0" w:line="260" w:lineRule="auto"/>
        <w:rPr>
          <w:sz w:val="20"/>
          <w:szCs w:val="20"/>
          <w:color w:val="auto"/>
        </w:rPr>
      </w:pPr>
      <w:r>
        <w:rPr>
          <w:rFonts w:ascii="Arial" w:cs="Arial" w:eastAsia="Arial" w:hAnsi="Arial"/>
          <w:sz w:val="16"/>
          <w:szCs w:val="16"/>
          <w:color w:val="auto"/>
        </w:rPr>
        <w:t>On November 17, 2021, the P&amp;C Committee approved grants of Career Shares pursuant to the LTSIP for the Named</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right="280"/>
        <w:spacing w:after="0" w:line="247" w:lineRule="auto"/>
        <w:rPr>
          <w:sz w:val="20"/>
          <w:szCs w:val="20"/>
          <w:color w:val="auto"/>
        </w:rPr>
      </w:pPr>
      <w:r>
        <w:rPr>
          <w:rFonts w:ascii="Arial" w:cs="Arial" w:eastAsia="Arial" w:hAnsi="Arial"/>
          <w:sz w:val="16"/>
          <w:szCs w:val="16"/>
          <w:color w:val="auto"/>
        </w:rPr>
        <w:t>Executive Officers, in the amounts reported in “Executive Compensation — Summary Compensation Table” and “— Grants of Plan-Based Awards Table” below (the “Time-Based Career Shares”), and other senior leaders. Career Shares are generally required to be held until retirement, since they are not distributed until the later of age 62 or the vesting date. For purposes of illustration, our Named Executive Officers are required to hold the earned Time-Based Career Shares for an average of at least seven years from the grant date (based on number of years until the earliest distribution opportunity), during which time the Time-Based Career Shares will remain subject to forfeiture in the event of a voluntary resignation before retirement eligibility has been achieved.</w:t>
      </w:r>
    </w:p>
    <w:p>
      <w:pPr>
        <w:spacing w:after="0" w:line="513"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200"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45</w:t>
      </w:r>
    </w:p>
    <w:p>
      <w:pPr>
        <w:sectPr>
          <w:pgSz w:w="11900" w:h="16838" w:orient="portrait"/>
          <w:cols w:equalWidth="0" w:num="1">
            <w:col w:w="10860"/>
          </w:cols>
          <w:pgMar w:left="320" w:top="459" w:right="71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2" w:lineRule="exact"/>
        <w:rPr>
          <w:sz w:val="20"/>
          <w:szCs w:val="20"/>
          <w:color w:val="auto"/>
        </w:rPr>
      </w:pPr>
    </w:p>
    <w:p>
      <w:pPr>
        <w:jc w:val="right"/>
        <w:ind w:right="4180"/>
        <w:spacing w:after="0"/>
        <w:rPr>
          <w:sz w:val="20"/>
          <w:szCs w:val="20"/>
          <w:color w:val="auto"/>
        </w:rPr>
      </w:pPr>
      <w:r>
        <w:rPr>
          <w:rFonts w:ascii="Arial" w:cs="Arial" w:eastAsia="Arial" w:hAnsi="Arial"/>
          <w:sz w:val="18"/>
          <w:szCs w:val="18"/>
          <w:i w:val="1"/>
          <w:iCs w:val="1"/>
          <w:color w:val="auto"/>
        </w:rPr>
        <w:t>Achievement of Performance Component of 2020 Career Share Awards</w:t>
      </w:r>
    </w:p>
    <w:p>
      <w:pPr>
        <w:sectPr>
          <w:pgSz w:w="11900" w:h="16838" w:orient="portrait"/>
          <w:cols w:equalWidth="0" w:num="1">
            <w:col w:w="10580"/>
          </w:cols>
          <w:pgMar w:left="320" w:top="459" w:right="999" w:bottom="1440" w:gutter="0" w:footer="0" w:header="0"/>
        </w:sectPr>
      </w:pPr>
    </w:p>
    <w:p>
      <w:pPr>
        <w:spacing w:after="0" w:line="192" w:lineRule="exact"/>
        <w:rPr>
          <w:sz w:val="20"/>
          <w:szCs w:val="20"/>
          <w:color w:val="auto"/>
        </w:rPr>
      </w:pPr>
    </w:p>
    <w:p>
      <w:pPr>
        <w:ind w:left="660"/>
        <w:spacing w:after="0" w:line="246" w:lineRule="auto"/>
        <w:rPr>
          <w:sz w:val="20"/>
          <w:szCs w:val="20"/>
          <w:color w:val="auto"/>
        </w:rPr>
      </w:pPr>
      <w:r>
        <w:rPr>
          <w:rFonts w:ascii="Arial" w:cs="Arial" w:eastAsia="Arial" w:hAnsi="Arial"/>
          <w:sz w:val="16"/>
          <w:szCs w:val="16"/>
          <w:color w:val="auto"/>
        </w:rPr>
        <w:t>In 2020, each of our Named Executive Officers received grants of performance-based Career Shares that would only be earned if specific performance goals were achieved between November 1, 2020 and December 31, 2021, with earned shares continuing to be subject to the three-year time-vesting requirement (and delayed settlement, on average, of at least seven years thereafter). The performance vesting terms were based on (i) total liquidity (weighted 1/3), (ii) sales backlog (weighted 1/3), and</w:t>
      </w:r>
    </w:p>
    <w:p>
      <w:pPr>
        <w:spacing w:after="0" w:line="3" w:lineRule="exact"/>
        <w:rPr>
          <w:sz w:val="20"/>
          <w:szCs w:val="20"/>
          <w:color w:val="auto"/>
        </w:rPr>
      </w:pPr>
    </w:p>
    <w:p>
      <w:pPr>
        <w:ind w:left="660" w:right="60" w:firstLine="7"/>
        <w:spacing w:after="0" w:line="260" w:lineRule="auto"/>
        <w:tabs>
          <w:tab w:leader="none" w:pos="921"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relative TSR (weighted 1/3) at the median or higher relative to a group of auto suppliers and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industrial companies (below median relative TSR performance would result in the forfeiture of this portion of the award opportunity).</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target and actual total liquidity, sales backlog and relative TSR levels for the performance period are shown above under the heading “Compensation Discussion and Analysis — Executive Summary — 2020 Performance-Based Career Shares.” Payouts for the awards cannot exceed the target number of shares.</w:t>
      </w:r>
    </w:p>
    <w:p>
      <w:pPr>
        <w:spacing w:after="0" w:line="369" w:lineRule="exact"/>
        <w:rPr>
          <w:sz w:val="20"/>
          <w:szCs w:val="20"/>
          <w:color w:val="auto"/>
        </w:rPr>
      </w:pPr>
    </w:p>
    <w:p>
      <w:pPr>
        <w:sectPr>
          <w:pgSz w:w="11900" w:h="16838" w:orient="portrait"/>
          <w:cols w:equalWidth="0" w:num="2">
            <w:col w:w="5400" w:space="320"/>
            <w:col w:w="4860"/>
          </w:cols>
          <w:pgMar w:left="320" w:top="459" w:right="999" w:bottom="1440" w:gutter="0" w:footer="0" w:header="0"/>
          <w:type w:val="continuous"/>
        </w:sectPr>
      </w:pPr>
    </w:p>
    <w:p>
      <w:pPr>
        <w:spacing w:after="0" w:line="14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Management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4" w:lineRule="exact"/>
        <w:rPr>
          <w:sz w:val="20"/>
          <w:szCs w:val="20"/>
          <w:color w:val="auto"/>
        </w:rPr>
      </w:pPr>
    </w:p>
    <w:p>
      <w:pPr>
        <w:ind w:left="660" w:right="100"/>
        <w:spacing w:after="0" w:line="248" w:lineRule="auto"/>
        <w:rPr>
          <w:sz w:val="20"/>
          <w:szCs w:val="20"/>
          <w:color w:val="auto"/>
        </w:rPr>
      </w:pPr>
      <w:r>
        <w:rPr>
          <w:rFonts w:ascii="Arial" w:cs="Arial" w:eastAsia="Arial" w:hAnsi="Arial"/>
          <w:sz w:val="16"/>
          <w:szCs w:val="16"/>
          <w:color w:val="auto"/>
        </w:rPr>
        <w:t>The management stock ownership guidelines create a strong link between our long-term success and the ultimate pay of our executive officers through specified stock ownership levels based on a multiple of base salary, as shown in the table below. Under the guidelines, unvested awards generally do not count towards the ownership goal; however, once they are within 24 months of vesting, (i) for all executive officers, 60% of RSUs awarded count towards the goal, and (ii) for retirement-eligible executive officers only, 60% of Career Shares awarded count towards the goal. Until an executive meets the goal, he or she must hold 50% of the net shares acquired upon the vesting of equity awards. Share ownership targets for executives reaching age 60 are reduced by 10% annually up to a maximum reduction of 50%.</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5740" w:type="dxa"/>
            <w:vAlign w:val="bottom"/>
          </w:tcPr>
          <w:p>
            <w:pPr>
              <w:jc w:val="right"/>
              <w:ind w:right="1162"/>
              <w:spacing w:after="0"/>
              <w:rPr>
                <w:sz w:val="20"/>
                <w:szCs w:val="20"/>
                <w:color w:val="auto"/>
              </w:rPr>
            </w:pPr>
            <w:r>
              <w:rPr>
                <w:rFonts w:ascii="Arial" w:cs="Arial" w:eastAsia="Arial" w:hAnsi="Arial"/>
                <w:sz w:val="14"/>
                <w:szCs w:val="14"/>
                <w:b w:val="1"/>
                <w:bCs w:val="1"/>
                <w:color w:val="E2231A"/>
              </w:rPr>
              <w:t>Required Share Ownership Level</w:t>
            </w:r>
          </w:p>
        </w:tc>
      </w:tr>
      <w:tr>
        <w:trPr>
          <w:trHeight w:val="175"/>
        </w:trPr>
        <w:tc>
          <w:tcPr>
            <w:tcW w:w="4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Position</w:t>
            </w:r>
          </w:p>
        </w:tc>
        <w:tc>
          <w:tcPr>
            <w:tcW w:w="5740" w:type="dxa"/>
            <w:vAlign w:val="bottom"/>
            <w:tcBorders>
              <w:bottom w:val="single" w:sz="8" w:color="auto"/>
            </w:tcBorders>
          </w:tcPr>
          <w:p>
            <w:pPr>
              <w:jc w:val="right"/>
              <w:ind w:right="1462"/>
              <w:spacing w:after="0"/>
              <w:rPr>
                <w:sz w:val="20"/>
                <w:szCs w:val="20"/>
                <w:color w:val="auto"/>
              </w:rPr>
            </w:pPr>
            <w:r>
              <w:rPr>
                <w:rFonts w:ascii="Arial" w:cs="Arial" w:eastAsia="Arial" w:hAnsi="Arial"/>
                <w:sz w:val="14"/>
                <w:szCs w:val="14"/>
                <w:b w:val="1"/>
                <w:bCs w:val="1"/>
                <w:color w:val="E2231A"/>
              </w:rPr>
              <w:t>(multiple of base salary)</w:t>
            </w:r>
          </w:p>
        </w:tc>
      </w:tr>
      <w:tr>
        <w:trPr>
          <w:trHeight w:val="223"/>
        </w:trPr>
        <w:tc>
          <w:tcPr>
            <w:tcW w:w="4180" w:type="dxa"/>
            <w:vAlign w:val="bottom"/>
            <w:shd w:val="clear" w:color="auto" w:fill="FCE9E8"/>
          </w:tcPr>
          <w:p>
            <w:pPr>
              <w:ind w:left="80"/>
              <w:spacing w:after="0"/>
              <w:rPr>
                <w:sz w:val="20"/>
                <w:szCs w:val="20"/>
                <w:color w:val="auto"/>
              </w:rPr>
            </w:pPr>
            <w:r>
              <w:rPr>
                <w:rFonts w:ascii="Arial" w:cs="Arial" w:eastAsia="Arial" w:hAnsi="Arial"/>
                <w:sz w:val="16"/>
                <w:szCs w:val="16"/>
                <w:color w:val="auto"/>
              </w:rPr>
              <w:t>CEO</w:t>
            </w:r>
          </w:p>
        </w:tc>
        <w:tc>
          <w:tcPr>
            <w:tcW w:w="5740" w:type="dxa"/>
            <w:vAlign w:val="bottom"/>
            <w:shd w:val="clear" w:color="auto" w:fill="FCE9E8"/>
          </w:tcPr>
          <w:p>
            <w:pPr>
              <w:jc w:val="right"/>
              <w:ind w:right="962"/>
              <w:spacing w:after="0"/>
              <w:rPr>
                <w:sz w:val="20"/>
                <w:szCs w:val="20"/>
                <w:color w:val="auto"/>
              </w:rPr>
            </w:pPr>
            <w:r>
              <w:rPr>
                <w:rFonts w:ascii="Arial" w:cs="Arial" w:eastAsia="Arial" w:hAnsi="Arial"/>
                <w:sz w:val="16"/>
                <w:szCs w:val="16"/>
                <w:color w:val="auto"/>
              </w:rPr>
              <w:t>6X</w:t>
            </w:r>
          </w:p>
        </w:tc>
      </w:tr>
      <w:tr>
        <w:trPr>
          <w:trHeight w:val="220"/>
        </w:trPr>
        <w:tc>
          <w:tcPr>
            <w:tcW w:w="4180" w:type="dxa"/>
            <w:vAlign w:val="bottom"/>
          </w:tcPr>
          <w:p>
            <w:pPr>
              <w:ind w:left="80"/>
              <w:spacing w:after="0"/>
              <w:rPr>
                <w:sz w:val="20"/>
                <w:szCs w:val="20"/>
                <w:color w:val="auto"/>
              </w:rPr>
            </w:pPr>
            <w:r>
              <w:rPr>
                <w:rFonts w:ascii="Arial" w:cs="Arial" w:eastAsia="Arial" w:hAnsi="Arial"/>
                <w:sz w:val="16"/>
                <w:szCs w:val="16"/>
                <w:color w:val="auto"/>
              </w:rPr>
              <w:t>Executive Vice Presidents</w:t>
            </w:r>
          </w:p>
        </w:tc>
        <w:tc>
          <w:tcPr>
            <w:tcW w:w="5740" w:type="dxa"/>
            <w:vAlign w:val="bottom"/>
          </w:tcPr>
          <w:p>
            <w:pPr>
              <w:jc w:val="right"/>
              <w:ind w:right="962"/>
              <w:spacing w:after="0"/>
              <w:rPr>
                <w:sz w:val="20"/>
                <w:szCs w:val="20"/>
                <w:color w:val="auto"/>
              </w:rPr>
            </w:pPr>
            <w:r>
              <w:rPr>
                <w:rFonts w:ascii="Arial" w:cs="Arial" w:eastAsia="Arial" w:hAnsi="Arial"/>
                <w:sz w:val="16"/>
                <w:szCs w:val="16"/>
                <w:color w:val="auto"/>
              </w:rPr>
              <w:t>3X</w:t>
            </w:r>
          </w:p>
        </w:tc>
      </w:tr>
      <w:tr>
        <w:trPr>
          <w:trHeight w:val="239"/>
        </w:trPr>
        <w:tc>
          <w:tcPr>
            <w:tcW w:w="4180" w:type="dxa"/>
            <w:vAlign w:val="bottom"/>
            <w:shd w:val="clear" w:color="auto" w:fill="FCE9E8"/>
          </w:tcPr>
          <w:p>
            <w:pPr>
              <w:ind w:left="80"/>
              <w:spacing w:after="0"/>
              <w:rPr>
                <w:sz w:val="20"/>
                <w:szCs w:val="20"/>
                <w:color w:val="auto"/>
              </w:rPr>
            </w:pPr>
            <w:r>
              <w:rPr>
                <w:rFonts w:ascii="Arial" w:cs="Arial" w:eastAsia="Arial" w:hAnsi="Arial"/>
                <w:sz w:val="16"/>
                <w:szCs w:val="16"/>
                <w:color w:val="auto"/>
              </w:rPr>
              <w:t>Senior Vice Presidents</w:t>
            </w:r>
          </w:p>
        </w:tc>
        <w:tc>
          <w:tcPr>
            <w:tcW w:w="5740" w:type="dxa"/>
            <w:vAlign w:val="bottom"/>
            <w:shd w:val="clear" w:color="auto" w:fill="FCE9E8"/>
          </w:tcPr>
          <w:p>
            <w:pPr>
              <w:jc w:val="right"/>
              <w:ind w:right="962"/>
              <w:spacing w:after="0"/>
              <w:rPr>
                <w:sz w:val="20"/>
                <w:szCs w:val="20"/>
                <w:color w:val="auto"/>
              </w:rPr>
            </w:pPr>
            <w:r>
              <w:rPr>
                <w:rFonts w:ascii="Arial" w:cs="Arial" w:eastAsia="Arial" w:hAnsi="Arial"/>
                <w:sz w:val="16"/>
                <w:szCs w:val="16"/>
                <w:color w:val="auto"/>
              </w:rPr>
              <w:t>3X</w:t>
            </w:r>
          </w:p>
        </w:tc>
      </w:tr>
      <w:tr>
        <w:trPr>
          <w:trHeight w:val="223"/>
        </w:trPr>
        <w:tc>
          <w:tcPr>
            <w:tcW w:w="41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Executive Officers</w:t>
            </w:r>
          </w:p>
        </w:tc>
        <w:tc>
          <w:tcPr>
            <w:tcW w:w="574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color w:val="auto"/>
              </w:rPr>
              <w:t>1.5X</w:t>
            </w:r>
          </w:p>
        </w:tc>
      </w:tr>
    </w:tbl>
    <w:p>
      <w:pPr>
        <w:spacing w:after="0" w:line="177" w:lineRule="exact"/>
        <w:rPr>
          <w:sz w:val="20"/>
          <w:szCs w:val="20"/>
          <w:color w:val="auto"/>
        </w:rPr>
      </w:pPr>
    </w:p>
    <w:p>
      <w:pPr>
        <w:sectPr>
          <w:pgSz w:w="11900" w:h="16838" w:orient="portrait"/>
          <w:cols w:equalWidth="0" w:num="1">
            <w:col w:w="10580"/>
          </w:cols>
          <w:pgMar w:left="320" w:top="459" w:right="999" w:bottom="1440" w:gutter="0" w:footer="0" w:header="0"/>
          <w:type w:val="continuous"/>
        </w:sectPr>
      </w:pPr>
    </w:p>
    <w:p>
      <w:pPr>
        <w:ind w:left="660"/>
        <w:spacing w:after="0" w:line="251" w:lineRule="auto"/>
        <w:rPr>
          <w:sz w:val="20"/>
          <w:szCs w:val="20"/>
          <w:color w:val="auto"/>
        </w:rPr>
      </w:pPr>
      <w:r>
        <w:rPr>
          <w:rFonts w:ascii="Arial" w:cs="Arial" w:eastAsia="Arial" w:hAnsi="Arial"/>
          <w:sz w:val="16"/>
          <w:szCs w:val="16"/>
          <w:color w:val="auto"/>
        </w:rPr>
        <w:t>Our stock ownership guidelines are reviewed periodically to ensure ongoing market competitiveness and reasonableness. As of our latest measurement date (December 31, 2021), all of our NEOs who were subject to the guidelines have met their</w:t>
      </w:r>
    </w:p>
    <w:p>
      <w:pPr>
        <w:spacing w:after="0" w:line="20" w:lineRule="exact"/>
        <w:rPr>
          <w:sz w:val="20"/>
          <w:szCs w:val="20"/>
          <w:color w:val="auto"/>
        </w:rPr>
      </w:pPr>
      <w:r>
        <w:rPr>
          <w:sz w:val="20"/>
          <w:szCs w:val="20"/>
          <w:color w:val="auto"/>
        </w:rPr>
        <w:br w:type="column"/>
      </w:r>
    </w:p>
    <w:p>
      <w:pPr>
        <w:jc w:val="both"/>
        <w:ind w:right="160"/>
        <w:spacing w:after="0" w:line="253" w:lineRule="auto"/>
        <w:rPr>
          <w:sz w:val="20"/>
          <w:szCs w:val="20"/>
          <w:color w:val="auto"/>
        </w:rPr>
      </w:pPr>
      <w:r>
        <w:rPr>
          <w:rFonts w:ascii="Arial" w:cs="Arial" w:eastAsia="Arial" w:hAnsi="Arial"/>
          <w:sz w:val="16"/>
          <w:szCs w:val="16"/>
          <w:color w:val="auto"/>
        </w:rPr>
        <w:t>respective required ownership levels, other than Mr. Cardew, who became subject to the guidelines upon his transition to the role of Senior Vice President and CFO during 2019.</w:t>
      </w:r>
    </w:p>
    <w:p>
      <w:pPr>
        <w:spacing w:after="0" w:line="387" w:lineRule="exact"/>
        <w:rPr>
          <w:sz w:val="20"/>
          <w:szCs w:val="20"/>
          <w:color w:val="auto"/>
        </w:rPr>
      </w:pPr>
    </w:p>
    <w:p>
      <w:pPr>
        <w:sectPr>
          <w:pgSz w:w="11900" w:h="16838" w:orient="portrait"/>
          <w:cols w:equalWidth="0" w:num="2">
            <w:col w:w="5320" w:space="400"/>
            <w:col w:w="4860"/>
          </w:cols>
          <w:pgMar w:left="320" w:top="459" w:right="99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Equity Award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P&amp;C Committee meetings and are effective as of such dates or specified prospective dates. The P&amp;C Committee has approved and formalized our equity award policy. It provides that the effective grant date of equity awards must be either the date of P&amp;C Committee or other committee approval or some future date specifically identified in such approval. If such awards are granted, the exercise price of stock options and grant price of Stock Appreciation Rights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shall be the closing market price of our common stock on the grant date. The P&amp;C Committee must approve all awards to our executive officers. The policy also allows the P&amp;C Committee to delegate to the CEO the ability to grant equity awards to non-executive officer employees who are newly hired or promoted or deemed to be deserving of special retention or recognition awards. In addition, the aggregate award pool to non-executive officers must be approved by the P&amp;C Committee but may be allocated to individual employees by the CEO.</w:t>
      </w:r>
    </w:p>
    <w:p>
      <w:pPr>
        <w:spacing w:after="0" w:line="571"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203" w:lineRule="exact"/>
        <w:rPr>
          <w:sz w:val="20"/>
          <w:szCs w:val="20"/>
          <w:color w:val="auto"/>
        </w:rPr>
      </w:pPr>
    </w:p>
    <w:p>
      <w:pPr>
        <w:ind w:left="780" w:hanging="393"/>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Employment Agreements/Termination/Change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described in detail and quantified in “Executive Compensation</w:t>
      </w:r>
    </w:p>
    <w:p>
      <w:pPr>
        <w:spacing w:after="0" w:line="5"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 Potential Payments Upon Termination or Change in Control,” our NEO receive certain benefits under their employment agreements upon 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 These benefits are intended to ensure that members of senior management are not influenced by their personal situations and are able to be objective in evaluating a potential change in control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transaction. The P&amp;C Committee regularly reviews termination and change in control benefits and continues to believe that the severance benefits in connection with certain terminations of employment constitute reasonable levels of protection for our executives. The LTSIP provides all participants, including NEOs, double-trigger vesting (i.e., qualifying termination of employment following a change in control) of equity awards (that are not assumed or replaced by the successor company), which protects employees and supports and orderly transition of leadership.</w:t>
      </w:r>
    </w:p>
    <w:p>
      <w:pPr>
        <w:spacing w:after="0" w:line="9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None of the employment agreements with the Company’s executive officers contains an excise tax gross-up provision.</w:t>
      </w:r>
    </w:p>
    <w:p>
      <w:pPr>
        <w:spacing w:after="0" w:line="264"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Health, Welfare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with approval of the Chairman of the Board or Chairman of the P&amp;C Committee. The Company does not provide tax gross-up payments for the imputed income associated with personal use of corporate aircraft. There was personal use of corporate aircraft in 2021 by our CEO on a limited basis.</w:t>
      </w:r>
    </w:p>
    <w:p>
      <w:pPr>
        <w:spacing w:after="0" w:line="200" w:lineRule="exact"/>
        <w:rPr>
          <w:sz w:val="20"/>
          <w:szCs w:val="20"/>
          <w:color w:val="auto"/>
        </w:rPr>
      </w:pPr>
    </w:p>
    <w:p>
      <w:pPr>
        <w:sectPr>
          <w:pgSz w:w="11900" w:h="16838" w:orient="portrait"/>
          <w:cols w:equalWidth="0" w:num="2">
            <w:col w:w="5140" w:space="580"/>
            <w:col w:w="5140"/>
          </w:cols>
          <w:pgMar w:left="320" w:top="459" w:right="719" w:bottom="1440" w:gutter="0" w:footer="0" w:header="0"/>
          <w:type w:val="continuous"/>
        </w:sectPr>
      </w:pPr>
    </w:p>
    <w:p>
      <w:pPr>
        <w:spacing w:after="0" w:line="153"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Company maintains a formal clawback policy (the “Clawback Policy”) that applies to all incentive-based cash and equity compensation awards granted on or after February 7, 2013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during the three-year period preceding the date on which the Company is required to prepare an accounting restatement, based on the erroneous data, the amount, if any, in excess of what would have been paid to the Covered Recipient under the accounting restatement.</w:t>
      </w:r>
    </w:p>
    <w:p>
      <w:pPr>
        <w:spacing w:after="0" w:line="95"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The Clawback Policy is administered by the P&amp;C Committee, which has the sole discretion in making all determinations under the Clawback Policy. The Clawback Policy will be interpreted and administered (and, as necessary, amended to be) consistent with the applicable requirements of Section 10D of the Exchange Act, as added by Section 954 of the Dodd-Frank Wall Street Reform and Consumer Protection Act, and any official guidance issued thereunder.</w:t>
      </w:r>
    </w:p>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43"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Hedging and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The Company maintains a formal policy prohibiting officers and directors from (i) entering into hedging or monetization transactions involving our Company stock and (ii) holding our Company stock in a margin account or pledging our Company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stock as collateral for a loan. The policy was most recently revised effective September 13, 2017 to eliminate the General Counsel’s discretion to grant exceptions to the pledging prohibition.</w:t>
      </w:r>
    </w:p>
    <w:p>
      <w:pPr>
        <w:spacing w:after="0" w:line="387" w:lineRule="exact"/>
        <w:rPr>
          <w:sz w:val="20"/>
          <w:szCs w:val="20"/>
          <w:color w:val="auto"/>
        </w:rPr>
      </w:pPr>
    </w:p>
    <w:p>
      <w:pPr>
        <w:sectPr>
          <w:pgSz w:w="11900" w:h="16838" w:orient="portrait"/>
          <w:cols w:equalWidth="0" w:num="2">
            <w:col w:w="5180" w:space="540"/>
            <w:col w:w="5140"/>
          </w:cols>
          <w:pgMar w:left="320" w:top="459" w:right="719" w:bottom="1440" w:gutter="0" w:footer="0" w:header="0"/>
          <w:type w:val="continuous"/>
        </w:sectPr>
      </w:pPr>
    </w:p>
    <w:p>
      <w:pPr>
        <w:spacing w:after="0" w:line="20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47</w:t>
      </w:r>
    </w:p>
    <w:p>
      <w:pPr>
        <w:sectPr>
          <w:pgSz w:w="11900" w:h="16838" w:orient="portrait"/>
          <w:cols w:equalWidth="0" w:num="1">
            <w:col w:w="10860"/>
          </w:cols>
          <w:pgMar w:left="320" w:top="459" w:right="71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68" w:lineRule="exact"/>
        <w:rPr>
          <w:sz w:val="20"/>
          <w:szCs w:val="20"/>
          <w:color w:val="auto"/>
        </w:rPr>
      </w:pPr>
    </w:p>
    <w:p>
      <w:pPr>
        <w:jc w:val="right"/>
        <w:ind w:right="5120"/>
        <w:spacing w:after="0"/>
        <w:rPr>
          <w:sz w:val="20"/>
          <w:szCs w:val="20"/>
          <w:color w:val="auto"/>
        </w:rPr>
      </w:pPr>
      <w:r>
        <w:rPr>
          <w:rFonts w:ascii="Arial" w:cs="Arial" w:eastAsia="Arial" w:hAnsi="Arial"/>
          <w:sz w:val="23"/>
          <w:szCs w:val="23"/>
          <w:b w:val="1"/>
          <w:bCs w:val="1"/>
          <w:color w:val="auto"/>
        </w:rPr>
        <w:t>Tax Treatment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One of the factors the P&amp;C Committee considers when determining executive compensation is the anticipated tax treatment to the Company and to the executives of the various payments and benefits. Section 162(m) of the Internal Revenue Code (“Section 162(m)”) generally provides that a publicly held company may not deduct compensation paid to certain covered executive officers to the extent that such compensation exceeds $1,000,000 per executive officer in any year. While the P&amp;C Committee generally considers this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limit when determining compensation, the P&amp;C Committee has concluded, and reserves the discretion to conclude in the future, that it is appropriate to exceed the limitation on deductibility under Section 162(m) to ensure that executive officers are compensated in a manner that it believes to be consistent with the Company’s best interests and those of its stockholders. Furthermore, interpretations of and changes in the tax laws, and other factors beyond the P&amp;C Committee’s control, may also affect the deductibility of compensation.</w:t>
      </w:r>
    </w:p>
    <w:p>
      <w:pPr>
        <w:spacing w:after="0" w:line="200" w:lineRule="exact"/>
        <w:rPr>
          <w:sz w:val="20"/>
          <w:szCs w:val="20"/>
          <w:color w:val="auto"/>
        </w:rPr>
      </w:pPr>
    </w:p>
    <w:p>
      <w:pPr>
        <w:sectPr>
          <w:pgSz w:w="11900" w:h="16838" w:orient="portrait"/>
          <w:cols w:equalWidth="0" w:num="2">
            <w:col w:w="5260" w:space="460"/>
            <w:col w:w="4760"/>
          </w:cols>
          <w:pgMar w:left="320" w:top="459" w:right="109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Impact of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fixed accounting treatment, as opposed to cash-settled equity awards, which receive variable accounting treatment. We intend to continue to evaluate these factors in the future.</w:t>
      </w:r>
    </w:p>
    <w:p>
      <w:pPr>
        <w:spacing w:after="0" w:line="387" w:lineRule="exact"/>
        <w:rPr>
          <w:sz w:val="20"/>
          <w:szCs w:val="20"/>
          <w:color w:val="auto"/>
        </w:rPr>
      </w:pPr>
    </w:p>
    <w:p>
      <w:pPr>
        <w:sectPr>
          <w:pgSz w:w="11900" w:h="16838" w:orient="portrait"/>
          <w:cols w:equalWidth="0" w:num="2">
            <w:col w:w="5420" w:space="300"/>
            <w:col w:w="4760"/>
          </w:cols>
          <w:pgMar w:left="320" w:top="459" w:right="1099" w:bottom="1440" w:gutter="0" w:footer="0" w:header="0"/>
          <w:type w:val="continuous"/>
        </w:sectPr>
      </w:pPr>
    </w:p>
    <w:p>
      <w:pPr>
        <w:spacing w:after="0" w:line="194" w:lineRule="exact"/>
        <w:rPr>
          <w:sz w:val="20"/>
          <w:szCs w:val="20"/>
          <w:color w:val="auto"/>
        </w:rPr>
      </w:pPr>
    </w:p>
    <w:p>
      <w:pPr>
        <w:ind w:left="780" w:hanging="393"/>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80"/>
          </w:cols>
          <w:pgMar w:left="320" w:top="459" w:right="109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6691630</wp:posOffset>
            </wp:positionH>
            <wp:positionV relativeFrom="paragraph">
              <wp:posOffset>316865</wp:posOffset>
            </wp:positionV>
            <wp:extent cx="254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EXECUTIVE COMPENSATION</w:t>
      </w:r>
    </w:p>
    <w:p>
      <w:pPr>
        <w:spacing w:after="0" w:line="153" w:lineRule="exact"/>
        <w:rPr>
          <w:sz w:val="20"/>
          <w:szCs w:val="20"/>
          <w:color w:val="auto"/>
        </w:rPr>
      </w:pPr>
    </w:p>
    <w:p>
      <w:pPr>
        <w:ind w:left="660" w:right="940"/>
        <w:spacing w:after="0" w:line="253"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and the other Named Executive Officers during the last three completed fiscal years. The footnotes accompanying the 2021 Summary Compensation Table generally explain amounts reported for 2021,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143510</wp:posOffset>
            </wp:positionV>
            <wp:extent cx="629221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28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FFFFF"/>
        </w:rPr>
        <w:t>2021 Summary Compensation Table</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18"/>
              <w:spacing w:after="0"/>
              <w:rPr>
                <w:sz w:val="20"/>
                <w:szCs w:val="20"/>
                <w:color w:val="auto"/>
              </w:rPr>
            </w:pPr>
            <w:r>
              <w:rPr>
                <w:rFonts w:ascii="Arial" w:cs="Arial" w:eastAsia="Arial" w:hAnsi="Arial"/>
                <w:sz w:val="12"/>
                <w:szCs w:val="12"/>
                <w:b w:val="1"/>
                <w:bCs w:val="1"/>
                <w:color w:val="E2231A"/>
                <w:w w:val="96"/>
              </w:rPr>
              <w:t>Change in</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98"/>
              <w:spacing w:after="0" w:line="135" w:lineRule="exact"/>
              <w:rPr>
                <w:sz w:val="20"/>
                <w:szCs w:val="20"/>
                <w:color w:val="auto"/>
              </w:rPr>
            </w:pPr>
            <w:r>
              <w:rPr>
                <w:rFonts w:ascii="Arial" w:cs="Arial" w:eastAsia="Arial" w:hAnsi="Arial"/>
                <w:sz w:val="12"/>
                <w:szCs w:val="12"/>
                <w:b w:val="1"/>
                <w:bCs w:val="1"/>
                <w:color w:val="E2231A"/>
                <w:w w:val="98"/>
              </w:rPr>
              <w:t>Pension</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98"/>
              <w:spacing w:after="0" w:line="135" w:lineRule="exact"/>
              <w:rPr>
                <w:sz w:val="20"/>
                <w:szCs w:val="20"/>
                <w:color w:val="auto"/>
              </w:rPr>
            </w:pPr>
            <w:r>
              <w:rPr>
                <w:rFonts w:ascii="Arial" w:cs="Arial" w:eastAsia="Arial" w:hAnsi="Arial"/>
                <w:sz w:val="12"/>
                <w:szCs w:val="12"/>
                <w:b w:val="1"/>
                <w:bCs w:val="1"/>
                <w:color w:val="E2231A"/>
                <w:w w:val="96"/>
              </w:rPr>
              <w:t>Non-Equity</w:t>
            </w:r>
          </w:p>
        </w:tc>
        <w:tc>
          <w:tcPr>
            <w:tcW w:w="180" w:type="dxa"/>
            <w:vAlign w:val="bottom"/>
          </w:tcPr>
          <w:p>
            <w:pPr>
              <w:spacing w:after="0"/>
              <w:rPr>
                <w:sz w:val="11"/>
                <w:szCs w:val="11"/>
                <w:color w:val="auto"/>
              </w:rPr>
            </w:pPr>
          </w:p>
        </w:tc>
        <w:tc>
          <w:tcPr>
            <w:tcW w:w="780" w:type="dxa"/>
            <w:vAlign w:val="bottom"/>
          </w:tcPr>
          <w:p>
            <w:pPr>
              <w:jc w:val="center"/>
              <w:ind w:right="98"/>
              <w:spacing w:after="0" w:line="135" w:lineRule="exact"/>
              <w:rPr>
                <w:sz w:val="20"/>
                <w:szCs w:val="20"/>
                <w:color w:val="auto"/>
              </w:rPr>
            </w:pPr>
            <w:r>
              <w:rPr>
                <w:rFonts w:ascii="Arial" w:cs="Arial" w:eastAsia="Arial" w:hAnsi="Arial"/>
                <w:sz w:val="12"/>
                <w:szCs w:val="12"/>
                <w:b w:val="1"/>
                <w:bCs w:val="1"/>
                <w:color w:val="E2231A"/>
                <w:w w:val="95"/>
              </w:rPr>
              <w:t>Value and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98"/>
              <w:spacing w:after="0" w:line="135" w:lineRule="exact"/>
              <w:rPr>
                <w:sz w:val="20"/>
                <w:szCs w:val="20"/>
                <w:color w:val="auto"/>
              </w:rPr>
            </w:pPr>
            <w:r>
              <w:rPr>
                <w:rFonts w:ascii="Arial" w:cs="Arial" w:eastAsia="Arial" w:hAnsi="Arial"/>
                <w:sz w:val="12"/>
                <w:szCs w:val="12"/>
                <w:b w:val="1"/>
                <w:bCs w:val="1"/>
                <w:color w:val="E2231A"/>
                <w:w w:val="96"/>
              </w:rPr>
              <w:t>Incentive</w:t>
            </w:r>
          </w:p>
        </w:tc>
        <w:tc>
          <w:tcPr>
            <w:tcW w:w="9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6"/>
              </w:rPr>
              <w:t>Nonqualified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97"/>
              <w:spacing w:after="0"/>
              <w:rPr>
                <w:sz w:val="20"/>
                <w:szCs w:val="20"/>
                <w:color w:val="auto"/>
              </w:rPr>
            </w:pPr>
            <w:r>
              <w:rPr>
                <w:rFonts w:ascii="Arial" w:cs="Arial" w:eastAsia="Arial" w:hAnsi="Arial"/>
                <w:sz w:val="12"/>
                <w:szCs w:val="12"/>
                <w:b w:val="1"/>
                <w:bCs w:val="1"/>
                <w:color w:val="E2231A"/>
              </w:rPr>
              <w:t>Stock</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4"/>
              </w:rPr>
              <w:t>Plan</w:t>
            </w:r>
          </w:p>
        </w:tc>
        <w:tc>
          <w:tcPr>
            <w:tcW w:w="180" w:type="dxa"/>
            <w:vAlign w:val="bottom"/>
          </w:tcPr>
          <w:p>
            <w:pPr>
              <w:spacing w:after="0"/>
              <w:rPr>
                <w:sz w:val="11"/>
                <w:szCs w:val="11"/>
                <w:color w:val="auto"/>
              </w:rPr>
            </w:pPr>
          </w:p>
        </w:tc>
        <w:tc>
          <w:tcPr>
            <w:tcW w:w="78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7"/>
              </w:rPr>
              <w:t>Deferred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line="133" w:lineRule="exact"/>
              <w:rPr>
                <w:sz w:val="20"/>
                <w:szCs w:val="20"/>
                <w:color w:val="auto"/>
              </w:rPr>
            </w:pPr>
            <w:r>
              <w:rPr>
                <w:rFonts w:ascii="Arial" w:cs="Arial" w:eastAsia="Arial" w:hAnsi="Arial"/>
                <w:sz w:val="12"/>
                <w:szCs w:val="12"/>
                <w:b w:val="1"/>
                <w:bCs w:val="1"/>
                <w:color w:val="E2231A"/>
              </w:rPr>
              <w:t>Name and</w:t>
            </w:r>
          </w:p>
        </w:tc>
        <w:tc>
          <w:tcPr>
            <w:tcW w:w="8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E2231A"/>
              </w:rPr>
              <w:t>Year</w:t>
            </w:r>
            <w:r>
              <w:rPr>
                <w:rFonts w:ascii="Arial" w:cs="Arial" w:eastAsia="Arial" w:hAnsi="Arial"/>
                <w:sz w:val="9"/>
                <w:szCs w:val="9"/>
                <w:b w:val="1"/>
                <w:bCs w:val="1"/>
                <w:color w:val="E2231A"/>
              </w:rPr>
              <w:t>(b)</w:t>
            </w:r>
          </w:p>
        </w:tc>
        <w:tc>
          <w:tcPr>
            <w:tcW w:w="160" w:type="dxa"/>
            <w:vAlign w:val="bottom"/>
          </w:tcPr>
          <w:p>
            <w:pPr>
              <w:spacing w:after="0"/>
              <w:rPr>
                <w:sz w:val="11"/>
                <w:szCs w:val="11"/>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2"/>
                <w:szCs w:val="12"/>
                <w:b w:val="1"/>
                <w:bCs w:val="1"/>
                <w:color w:val="E2231A"/>
                <w:w w:val="97"/>
              </w:rPr>
              <w:t>Salary</w:t>
            </w:r>
            <w:r>
              <w:rPr>
                <w:rFonts w:ascii="Arial" w:cs="Arial" w:eastAsia="Arial" w:hAnsi="Arial"/>
                <w:sz w:val="9"/>
                <w:szCs w:val="9"/>
                <w:b w:val="1"/>
                <w:bCs w:val="1"/>
                <w:color w:val="E2231A"/>
                <w:w w:val="97"/>
              </w:rPr>
              <w:t>(c)</w:t>
            </w:r>
          </w:p>
        </w:tc>
        <w:tc>
          <w:tcPr>
            <w:tcW w:w="680" w:type="dxa"/>
            <w:vAlign w:val="bottom"/>
            <w:gridSpan w:val="2"/>
            <w:vMerge w:val="restart"/>
          </w:tcPr>
          <w:p>
            <w:pPr>
              <w:jc w:val="right"/>
              <w:ind w:right="37"/>
              <w:spacing w:after="0"/>
              <w:rPr>
                <w:sz w:val="20"/>
                <w:szCs w:val="20"/>
                <w:color w:val="auto"/>
              </w:rPr>
            </w:pPr>
            <w:r>
              <w:rPr>
                <w:rFonts w:ascii="Arial" w:cs="Arial" w:eastAsia="Arial" w:hAnsi="Arial"/>
                <w:sz w:val="12"/>
                <w:szCs w:val="12"/>
                <w:b w:val="1"/>
                <w:bCs w:val="1"/>
                <w:color w:val="E2231A"/>
              </w:rPr>
              <w:t>Bonus</w:t>
            </w:r>
            <w:r>
              <w:rPr>
                <w:rFonts w:ascii="Arial" w:cs="Arial" w:eastAsia="Arial" w:hAnsi="Arial"/>
                <w:sz w:val="9"/>
                <w:szCs w:val="9"/>
                <w:b w:val="1"/>
                <w:bCs w:val="1"/>
                <w:color w:val="E2231A"/>
              </w:rPr>
              <w:t>(d)</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7"/>
              <w:spacing w:after="0" w:line="133" w:lineRule="exact"/>
              <w:rPr>
                <w:sz w:val="20"/>
                <w:szCs w:val="20"/>
                <w:color w:val="auto"/>
              </w:rPr>
            </w:pPr>
            <w:r>
              <w:rPr>
                <w:rFonts w:ascii="Arial" w:cs="Arial" w:eastAsia="Arial" w:hAnsi="Arial"/>
                <w:sz w:val="12"/>
                <w:szCs w:val="12"/>
                <w:b w:val="1"/>
                <w:bCs w:val="1"/>
                <w:color w:val="E2231A"/>
              </w:rPr>
              <w:t>Option</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(3)</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E2231A"/>
              </w:rPr>
              <w:t>Compensation</w:t>
            </w:r>
          </w:p>
        </w:tc>
        <w:tc>
          <w:tcPr>
            <w:tcW w:w="240" w:type="dxa"/>
            <w:vAlign w:val="bottom"/>
          </w:tcPr>
          <w:p>
            <w:pPr>
              <w:spacing w:after="0"/>
              <w:rPr>
                <w:sz w:val="11"/>
                <w:szCs w:val="11"/>
                <w:color w:val="auto"/>
              </w:rPr>
            </w:pPr>
          </w:p>
        </w:tc>
        <w:tc>
          <w:tcPr>
            <w:tcW w:w="980" w:type="dxa"/>
            <w:vAlign w:val="bottom"/>
          </w:tcPr>
          <w:p>
            <w:pPr>
              <w:jc w:val="right"/>
              <w:ind w:right="297"/>
              <w:spacing w:after="0" w:line="133" w:lineRule="exact"/>
              <w:rPr>
                <w:sz w:val="20"/>
                <w:szCs w:val="20"/>
                <w:color w:val="auto"/>
              </w:rPr>
            </w:pPr>
            <w:r>
              <w:rPr>
                <w:rFonts w:ascii="Arial" w:cs="Arial" w:eastAsia="Arial" w:hAnsi="Arial"/>
                <w:sz w:val="12"/>
                <w:szCs w:val="12"/>
                <w:b w:val="1"/>
                <w:bCs w:val="1"/>
                <w:color w:val="E2231A"/>
              </w:rPr>
              <w:t>All Other</w:t>
            </w:r>
          </w:p>
        </w:tc>
        <w:tc>
          <w:tcPr>
            <w:tcW w:w="260" w:type="dxa"/>
            <w:vAlign w:val="bottom"/>
          </w:tcPr>
          <w:p>
            <w:pPr>
              <w:spacing w:after="0"/>
              <w:rPr>
                <w:sz w:val="11"/>
                <w:szCs w:val="11"/>
                <w:color w:val="auto"/>
              </w:rPr>
            </w:pPr>
          </w:p>
        </w:tc>
        <w:tc>
          <w:tcPr>
            <w:tcW w:w="820" w:type="dxa"/>
            <w:vAlign w:val="bottom"/>
          </w:tcPr>
          <w:p>
            <w:pPr>
              <w:jc w:val="right"/>
              <w:ind w:right="337"/>
              <w:spacing w:after="0" w:line="133" w:lineRule="exact"/>
              <w:rPr>
                <w:sz w:val="20"/>
                <w:szCs w:val="20"/>
                <w:color w:val="auto"/>
              </w:rPr>
            </w:pPr>
            <w:r>
              <w:rPr>
                <w:rFonts w:ascii="Arial" w:cs="Arial" w:eastAsia="Arial" w:hAnsi="Arial"/>
                <w:sz w:val="12"/>
                <w:szCs w:val="12"/>
                <w:b w:val="1"/>
                <w:bCs w:val="1"/>
                <w:color w:val="E2231A"/>
              </w:rPr>
              <w:t>Total</w:t>
            </w:r>
          </w:p>
        </w:tc>
        <w:tc>
          <w:tcPr>
            <w:tcW w:w="0" w:type="dxa"/>
            <w:vAlign w:val="bottom"/>
          </w:tcPr>
          <w:p>
            <w:pPr>
              <w:spacing w:after="0"/>
              <w:rPr>
                <w:sz w:val="1"/>
                <w:szCs w:val="1"/>
                <w:color w:val="auto"/>
              </w:rPr>
            </w:pPr>
          </w:p>
        </w:tc>
      </w:tr>
      <w:tr>
        <w:trPr>
          <w:trHeight w:val="149"/>
        </w:trPr>
        <w:tc>
          <w:tcPr>
            <w:tcW w:w="1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E2231A"/>
              </w:rPr>
              <w:t>Principal Position</w:t>
            </w:r>
            <w:r>
              <w:rPr>
                <w:rFonts w:ascii="Arial" w:cs="Arial" w:eastAsia="Arial" w:hAnsi="Arial"/>
                <w:sz w:val="9"/>
                <w:szCs w:val="9"/>
                <w:b w:val="1"/>
                <w:bCs w:val="1"/>
                <w:color w:val="E2231A"/>
              </w:rPr>
              <w:t>(a)</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E2231A"/>
              </w:rPr>
              <w:t xml:space="preserve">Awards </w:t>
            </w:r>
            <w:r>
              <w:rPr>
                <w:rFonts w:ascii="Arial" w:cs="Arial" w:eastAsia="Arial" w:hAnsi="Arial"/>
                <w:sz w:val="9"/>
                <w:szCs w:val="9"/>
                <w:b w:val="1"/>
                <w:bCs w:val="1"/>
                <w:color w:val="E2231A"/>
              </w:rPr>
              <w:t>(1)(e)</w:t>
            </w: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(2)(f)</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18"/>
              <w:spacing w:after="0"/>
              <w:rPr>
                <w:sz w:val="20"/>
                <w:szCs w:val="20"/>
                <w:color w:val="auto"/>
              </w:rPr>
            </w:pPr>
            <w:r>
              <w:rPr>
                <w:rFonts w:ascii="Arial" w:cs="Arial" w:eastAsia="Arial" w:hAnsi="Arial"/>
                <w:sz w:val="10"/>
                <w:szCs w:val="10"/>
                <w:b w:val="1"/>
                <w:bCs w:val="1"/>
                <w:color w:val="E2231A"/>
                <w:w w:val="93"/>
              </w:rPr>
              <w:t>(g)</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E2231A"/>
              </w:rPr>
              <w:t>Earnings</w:t>
            </w:r>
            <w:r>
              <w:rPr>
                <w:rFonts w:ascii="Arial" w:cs="Arial" w:eastAsia="Arial" w:hAnsi="Arial"/>
                <w:sz w:val="9"/>
                <w:szCs w:val="9"/>
                <w:b w:val="1"/>
                <w:bCs w:val="1"/>
                <w:color w:val="E2231A"/>
              </w:rPr>
              <w:t>(4)(h)</w:t>
            </w: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(5) (i)</w:t>
            </w: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(j)</w:t>
            </w:r>
          </w:p>
        </w:tc>
        <w:tc>
          <w:tcPr>
            <w:tcW w:w="0" w:type="dxa"/>
            <w:vAlign w:val="bottom"/>
          </w:tcPr>
          <w:p>
            <w:pPr>
              <w:spacing w:after="0"/>
              <w:rPr>
                <w:sz w:val="1"/>
                <w:szCs w:val="1"/>
                <w:color w:val="auto"/>
              </w:rPr>
            </w:pPr>
          </w:p>
        </w:tc>
      </w:tr>
      <w:tr>
        <w:trPr>
          <w:trHeight w:val="123"/>
        </w:trPr>
        <w:tc>
          <w:tcPr>
            <w:tcW w:w="196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Raymond E. Scott,</w:t>
            </w:r>
          </w:p>
        </w:tc>
        <w:tc>
          <w:tcPr>
            <w:tcW w:w="80" w:type="dxa"/>
            <w:vAlign w:val="bottom"/>
            <w:shd w:val="clear" w:color="auto" w:fill="FCE9E8"/>
          </w:tcPr>
          <w:p>
            <w:pPr>
              <w:spacing w:after="0"/>
              <w:rPr>
                <w:sz w:val="10"/>
                <w:szCs w:val="10"/>
                <w:color w:val="auto"/>
              </w:rPr>
            </w:pPr>
          </w:p>
        </w:tc>
        <w:tc>
          <w:tcPr>
            <w:tcW w:w="440" w:type="dxa"/>
            <w:vAlign w:val="bottom"/>
            <w:shd w:val="clear" w:color="auto" w:fill="FCE9E8"/>
          </w:tcPr>
          <w:p>
            <w:pPr>
              <w:jc w:val="center"/>
              <w:ind w:right="17"/>
              <w:spacing w:after="0" w:line="123" w:lineRule="exact"/>
              <w:rPr>
                <w:sz w:val="20"/>
                <w:szCs w:val="20"/>
                <w:color w:val="auto"/>
              </w:rPr>
            </w:pPr>
            <w:r>
              <w:rPr>
                <w:rFonts w:ascii="Arial" w:cs="Arial" w:eastAsia="Arial" w:hAnsi="Arial"/>
                <w:sz w:val="13"/>
                <w:szCs w:val="13"/>
                <w:color w:val="auto"/>
                <w:w w:val="96"/>
              </w:rPr>
              <w:t>2021</w:t>
            </w:r>
          </w:p>
        </w:tc>
        <w:tc>
          <w:tcPr>
            <w:tcW w:w="16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line="123" w:lineRule="exact"/>
              <w:rPr>
                <w:sz w:val="20"/>
                <w:szCs w:val="20"/>
                <w:color w:val="auto"/>
              </w:rPr>
            </w:pPr>
            <w:r>
              <w:rPr>
                <w:rFonts w:ascii="Arial" w:cs="Arial" w:eastAsia="Arial" w:hAnsi="Arial"/>
                <w:sz w:val="13"/>
                <w:szCs w:val="13"/>
                <w:color w:val="auto"/>
                <w:w w:val="93"/>
              </w:rPr>
              <w:t>1,246,667</w:t>
            </w:r>
          </w:p>
        </w:tc>
        <w:tc>
          <w:tcPr>
            <w:tcW w:w="14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140" w:type="dxa"/>
            <w:vAlign w:val="bottom"/>
            <w:shd w:val="clear" w:color="auto" w:fill="FCE9E8"/>
          </w:tcPr>
          <w:p>
            <w:pPr>
              <w:ind w:left="60"/>
              <w:spacing w:after="0" w:line="123"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8,057,060</w:t>
            </w:r>
          </w:p>
        </w:tc>
        <w:tc>
          <w:tcPr>
            <w:tcW w:w="140" w:type="dxa"/>
            <w:vAlign w:val="bottom"/>
            <w:shd w:val="clear" w:color="auto" w:fill="FCE9E8"/>
          </w:tcPr>
          <w:p>
            <w:pPr>
              <w:ind w:left="60"/>
              <w:spacing w:after="0" w:line="123"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w w:val="96"/>
              </w:rPr>
              <w:t>1,680,012</w:t>
            </w:r>
          </w:p>
        </w:tc>
        <w:tc>
          <w:tcPr>
            <w:tcW w:w="18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1,905,000</w:t>
            </w:r>
          </w:p>
        </w:tc>
        <w:tc>
          <w:tcPr>
            <w:tcW w:w="18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980" w:type="dxa"/>
            <w:vAlign w:val="bottom"/>
            <w:shd w:val="clear" w:color="auto" w:fill="FCE9E8"/>
          </w:tcPr>
          <w:p>
            <w:pPr>
              <w:jc w:val="right"/>
              <w:ind w:right="17"/>
              <w:spacing w:after="0" w:line="123" w:lineRule="exact"/>
              <w:rPr>
                <w:sz w:val="20"/>
                <w:szCs w:val="20"/>
                <w:color w:val="auto"/>
              </w:rPr>
            </w:pPr>
            <w:r>
              <w:rPr>
                <w:rFonts w:ascii="Arial" w:cs="Arial" w:eastAsia="Arial" w:hAnsi="Arial"/>
                <w:sz w:val="13"/>
                <w:szCs w:val="13"/>
                <w:color w:val="auto"/>
              </w:rPr>
              <w:t>417,636</w:t>
            </w:r>
          </w:p>
        </w:tc>
        <w:tc>
          <w:tcPr>
            <w:tcW w:w="26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7"/>
              <w:spacing w:after="0" w:line="123" w:lineRule="exact"/>
              <w:rPr>
                <w:sz w:val="20"/>
                <w:szCs w:val="20"/>
                <w:color w:val="auto"/>
              </w:rPr>
            </w:pPr>
            <w:r>
              <w:rPr>
                <w:rFonts w:ascii="Arial" w:cs="Arial" w:eastAsia="Arial" w:hAnsi="Arial"/>
                <w:sz w:val="13"/>
                <w:szCs w:val="13"/>
                <w:color w:val="auto"/>
              </w:rPr>
              <w:t>13,306,375</w:t>
            </w:r>
          </w:p>
        </w:tc>
        <w:tc>
          <w:tcPr>
            <w:tcW w:w="0" w:type="dxa"/>
            <w:vAlign w:val="bottom"/>
          </w:tcPr>
          <w:p>
            <w:pPr>
              <w:spacing w:after="0"/>
              <w:rPr>
                <w:sz w:val="1"/>
                <w:szCs w:val="1"/>
                <w:color w:val="auto"/>
              </w:rPr>
            </w:pPr>
          </w:p>
        </w:tc>
      </w:tr>
      <w:tr>
        <w:trPr>
          <w:trHeight w:val="135"/>
        </w:trPr>
        <w:tc>
          <w:tcPr>
            <w:tcW w:w="19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President and Chief</w:t>
            </w:r>
          </w:p>
        </w:tc>
        <w:tc>
          <w:tcPr>
            <w:tcW w:w="80" w:type="dxa"/>
            <w:vAlign w:val="bottom"/>
            <w:shd w:val="clear" w:color="auto" w:fill="FCE9E8"/>
          </w:tcPr>
          <w:p>
            <w:pPr>
              <w:spacing w:after="0"/>
              <w:rPr>
                <w:sz w:val="11"/>
                <w:szCs w:val="11"/>
                <w:color w:val="auto"/>
              </w:rPr>
            </w:pPr>
          </w:p>
        </w:tc>
        <w:tc>
          <w:tcPr>
            <w:tcW w:w="440" w:type="dxa"/>
            <w:vAlign w:val="bottom"/>
            <w:shd w:val="clear" w:color="auto" w:fill="FCE9E8"/>
          </w:tcPr>
          <w:p>
            <w:pPr>
              <w:jc w:val="center"/>
              <w:ind w:right="17"/>
              <w:spacing w:after="0" w:line="135" w:lineRule="exact"/>
              <w:rPr>
                <w:sz w:val="20"/>
                <w:szCs w:val="20"/>
                <w:color w:val="auto"/>
              </w:rPr>
            </w:pPr>
            <w:r>
              <w:rPr>
                <w:rFonts w:ascii="Arial" w:cs="Arial" w:eastAsia="Arial" w:hAnsi="Arial"/>
                <w:sz w:val="13"/>
                <w:szCs w:val="13"/>
                <w:color w:val="auto"/>
                <w:w w:val="96"/>
              </w:rPr>
              <w:t>2020</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w w:val="93"/>
              </w:rPr>
              <w:t>1,144,000</w:t>
            </w:r>
          </w:p>
        </w:tc>
        <w:tc>
          <w:tcPr>
            <w:tcW w:w="14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w w:val="95"/>
              </w:rPr>
              <w:t>10,020,830</w:t>
            </w:r>
          </w:p>
        </w:tc>
        <w:tc>
          <w:tcPr>
            <w:tcW w:w="14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w w:val="96"/>
              </w:rPr>
              <w:t>1,680,001</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1,080,000</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366,594</w:t>
            </w:r>
          </w:p>
        </w:tc>
        <w:tc>
          <w:tcPr>
            <w:tcW w:w="24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423,344</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14,714,769</w:t>
            </w:r>
          </w:p>
        </w:tc>
        <w:tc>
          <w:tcPr>
            <w:tcW w:w="0" w:type="dxa"/>
            <w:vAlign w:val="bottom"/>
          </w:tcPr>
          <w:p>
            <w:pPr>
              <w:spacing w:after="0"/>
              <w:rPr>
                <w:sz w:val="1"/>
                <w:szCs w:val="1"/>
                <w:color w:val="auto"/>
              </w:rPr>
            </w:pPr>
          </w:p>
        </w:tc>
      </w:tr>
      <w:tr>
        <w:trPr>
          <w:trHeight w:val="154"/>
        </w:trPr>
        <w:tc>
          <w:tcPr>
            <w:tcW w:w="19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Executive Officer</w:t>
            </w:r>
          </w:p>
        </w:tc>
        <w:tc>
          <w:tcPr>
            <w:tcW w:w="80" w:type="dxa"/>
            <w:vAlign w:val="bottom"/>
            <w:tcBorders>
              <w:bottom w:val="single" w:sz="8" w:color="auto"/>
            </w:tcBorders>
            <w:shd w:val="clear" w:color="auto" w:fill="FCE9E8"/>
          </w:tcPr>
          <w:p>
            <w:pPr>
              <w:spacing w:after="0"/>
              <w:rPr>
                <w:sz w:val="13"/>
                <w:szCs w:val="13"/>
                <w:color w:val="auto"/>
              </w:rPr>
            </w:pPr>
          </w:p>
        </w:tc>
        <w:tc>
          <w:tcPr>
            <w:tcW w:w="440" w:type="dxa"/>
            <w:vAlign w:val="bottom"/>
            <w:tcBorders>
              <w:bottom w:val="single" w:sz="8" w:color="auto"/>
            </w:tcBorders>
            <w:shd w:val="clear" w:color="auto" w:fill="FCE9E8"/>
          </w:tcPr>
          <w:p>
            <w:pPr>
              <w:jc w:val="center"/>
              <w:ind w:right="17"/>
              <w:spacing w:after="0"/>
              <w:rPr>
                <w:sz w:val="20"/>
                <w:szCs w:val="20"/>
                <w:color w:val="auto"/>
              </w:rPr>
            </w:pPr>
            <w:r>
              <w:rPr>
                <w:rFonts w:ascii="Arial" w:cs="Arial" w:eastAsia="Arial" w:hAnsi="Arial"/>
                <w:sz w:val="13"/>
                <w:szCs w:val="13"/>
                <w:color w:val="auto"/>
                <w:w w:val="96"/>
              </w:rPr>
              <w:t>2019</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w w:val="93"/>
              </w:rPr>
              <w:t>1,200,000</w:t>
            </w:r>
          </w:p>
        </w:tc>
        <w:tc>
          <w:tcPr>
            <w:tcW w:w="1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w w:val="95"/>
              </w:rPr>
              <w:t>10,596,388</w:t>
            </w:r>
          </w:p>
        </w:tc>
        <w:tc>
          <w:tcPr>
            <w:tcW w:w="14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1,098,000</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381,416</w:t>
            </w:r>
          </w:p>
        </w:tc>
        <w:tc>
          <w:tcPr>
            <w:tcW w:w="2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rPr>
              <w:t>442,453</w:t>
            </w:r>
          </w:p>
        </w:tc>
        <w:tc>
          <w:tcPr>
            <w:tcW w:w="2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rPr>
              <w:t>13,718,257</w:t>
            </w:r>
          </w:p>
        </w:tc>
        <w:tc>
          <w:tcPr>
            <w:tcW w:w="0" w:type="dxa"/>
            <w:vAlign w:val="bottom"/>
          </w:tcPr>
          <w:p>
            <w:pPr>
              <w:spacing w:after="0"/>
              <w:rPr>
                <w:sz w:val="1"/>
                <w:szCs w:val="1"/>
                <w:color w:val="auto"/>
              </w:rPr>
            </w:pPr>
          </w:p>
        </w:tc>
      </w:tr>
      <w:tr>
        <w:trPr>
          <w:trHeight w:val="167"/>
        </w:trPr>
        <w:tc>
          <w:tcPr>
            <w:tcW w:w="1960" w:type="dxa"/>
            <w:vAlign w:val="bottom"/>
          </w:tcPr>
          <w:p>
            <w:pPr>
              <w:ind w:left="80"/>
              <w:spacing w:after="0"/>
              <w:rPr>
                <w:sz w:val="20"/>
                <w:szCs w:val="20"/>
                <w:color w:val="auto"/>
              </w:rPr>
            </w:pPr>
            <w:r>
              <w:rPr>
                <w:rFonts w:ascii="Arial" w:cs="Arial" w:eastAsia="Arial" w:hAnsi="Arial"/>
                <w:sz w:val="13"/>
                <w:szCs w:val="13"/>
                <w:color w:val="auto"/>
              </w:rPr>
              <w:t>Jason M. Cardew,</w:t>
            </w:r>
          </w:p>
        </w:tc>
        <w:tc>
          <w:tcPr>
            <w:tcW w:w="520" w:type="dxa"/>
            <w:vAlign w:val="bottom"/>
            <w:gridSpan w:val="2"/>
          </w:tcPr>
          <w:p>
            <w:pPr>
              <w:jc w:val="center"/>
              <w:spacing w:after="0"/>
              <w:rPr>
                <w:sz w:val="20"/>
                <w:szCs w:val="20"/>
                <w:color w:val="auto"/>
              </w:rPr>
            </w:pPr>
            <w:r>
              <w:rPr>
                <w:rFonts w:ascii="Arial" w:cs="Arial" w:eastAsia="Arial" w:hAnsi="Arial"/>
                <w:sz w:val="13"/>
                <w:szCs w:val="13"/>
                <w:color w:val="auto"/>
                <w:w w:val="96"/>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782,667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2,076,637</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420,003</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824,000</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168,989</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4,272,296</w:t>
            </w:r>
          </w:p>
        </w:tc>
        <w:tc>
          <w:tcPr>
            <w:tcW w:w="0" w:type="dxa"/>
            <w:vAlign w:val="bottom"/>
          </w:tcPr>
          <w:p>
            <w:pPr>
              <w:spacing w:after="0"/>
              <w:rPr>
                <w:sz w:val="1"/>
                <w:szCs w:val="1"/>
                <w:color w:val="auto"/>
              </w:rPr>
            </w:pPr>
          </w:p>
        </w:tc>
      </w:tr>
      <w:tr>
        <w:trPr>
          <w:trHeight w:val="159"/>
        </w:trPr>
        <w:tc>
          <w:tcPr>
            <w:tcW w:w="1960" w:type="dxa"/>
            <w:vAlign w:val="bottom"/>
          </w:tcPr>
          <w:p>
            <w:pPr>
              <w:ind w:left="80"/>
              <w:spacing w:after="0"/>
              <w:rPr>
                <w:sz w:val="20"/>
                <w:szCs w:val="20"/>
                <w:color w:val="auto"/>
              </w:rPr>
            </w:pPr>
            <w:r>
              <w:rPr>
                <w:rFonts w:ascii="Arial" w:cs="Arial" w:eastAsia="Arial" w:hAnsi="Arial"/>
                <w:sz w:val="13"/>
                <w:szCs w:val="13"/>
                <w:color w:val="auto"/>
              </w:rPr>
              <w:t>Senior Vice President and</w:t>
            </w:r>
          </w:p>
        </w:tc>
        <w:tc>
          <w:tcPr>
            <w:tcW w:w="520" w:type="dxa"/>
            <w:vAlign w:val="bottom"/>
            <w:gridSpan w:val="2"/>
          </w:tcPr>
          <w:p>
            <w:pPr>
              <w:jc w:val="center"/>
              <w:spacing w:after="0"/>
              <w:rPr>
                <w:sz w:val="20"/>
                <w:szCs w:val="20"/>
                <w:color w:val="auto"/>
              </w:rPr>
            </w:pPr>
            <w:r>
              <w:rPr>
                <w:rFonts w:ascii="Arial" w:cs="Arial" w:eastAsia="Arial" w:hAnsi="Arial"/>
                <w:sz w:val="13"/>
                <w:szCs w:val="13"/>
                <w:color w:val="auto"/>
                <w:w w:val="96"/>
              </w:rPr>
              <w:t>2020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683,667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2,720,077</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378,030</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378,000</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97,873</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149,485</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4,407,132</w:t>
            </w:r>
          </w:p>
        </w:tc>
        <w:tc>
          <w:tcPr>
            <w:tcW w:w="0" w:type="dxa"/>
            <w:vAlign w:val="bottom"/>
          </w:tcPr>
          <w:p>
            <w:pPr>
              <w:spacing w:after="0"/>
              <w:rPr>
                <w:sz w:val="1"/>
                <w:szCs w:val="1"/>
                <w:color w:val="auto"/>
              </w:rPr>
            </w:pPr>
          </w:p>
        </w:tc>
      </w:tr>
      <w:tr>
        <w:trPr>
          <w:trHeight w:val="154"/>
        </w:trPr>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Chief Financial Officer</w:t>
            </w: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575,000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1,560,912</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313,119</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95,202</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122,650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2,666,883</w:t>
            </w:r>
          </w:p>
        </w:tc>
        <w:tc>
          <w:tcPr>
            <w:tcW w:w="0" w:type="dxa"/>
            <w:vAlign w:val="bottom"/>
          </w:tcPr>
          <w:p>
            <w:pPr>
              <w:spacing w:after="0"/>
              <w:rPr>
                <w:sz w:val="1"/>
                <w:szCs w:val="1"/>
                <w:color w:val="auto"/>
              </w:rPr>
            </w:pPr>
          </w:p>
        </w:tc>
      </w:tr>
      <w:tr>
        <w:trPr>
          <w:trHeight w:val="156"/>
        </w:trPr>
        <w:tc>
          <w:tcPr>
            <w:tcW w:w="1960" w:type="dxa"/>
            <w:vAlign w:val="bottom"/>
            <w:shd w:val="clear" w:color="auto" w:fill="FCE9E8"/>
          </w:tcPr>
          <w:p>
            <w:pPr>
              <w:ind w:left="80"/>
              <w:spacing w:after="0"/>
              <w:rPr>
                <w:sz w:val="20"/>
                <w:szCs w:val="20"/>
                <w:color w:val="auto"/>
              </w:rPr>
            </w:pPr>
            <w:r>
              <w:rPr>
                <w:rFonts w:ascii="Arial" w:cs="Arial" w:eastAsia="Arial" w:hAnsi="Arial"/>
                <w:sz w:val="13"/>
                <w:szCs w:val="13"/>
                <w:color w:val="auto"/>
              </w:rPr>
              <w:t>Frank C. Orsini,</w:t>
            </w:r>
          </w:p>
        </w:tc>
        <w:tc>
          <w:tcPr>
            <w:tcW w:w="80" w:type="dxa"/>
            <w:vAlign w:val="bottom"/>
            <w:shd w:val="clear" w:color="auto" w:fill="FCE9E8"/>
          </w:tcPr>
          <w:p>
            <w:pPr>
              <w:spacing w:after="0"/>
              <w:rPr>
                <w:sz w:val="13"/>
                <w:szCs w:val="13"/>
                <w:color w:val="auto"/>
              </w:rPr>
            </w:pPr>
          </w:p>
        </w:tc>
        <w:tc>
          <w:tcPr>
            <w:tcW w:w="440" w:type="dxa"/>
            <w:vAlign w:val="bottom"/>
            <w:shd w:val="clear" w:color="auto" w:fill="FCE9E8"/>
          </w:tcPr>
          <w:p>
            <w:pPr>
              <w:jc w:val="center"/>
              <w:ind w:right="17"/>
              <w:spacing w:after="0"/>
              <w:rPr>
                <w:sz w:val="20"/>
                <w:szCs w:val="20"/>
                <w:color w:val="auto"/>
              </w:rPr>
            </w:pPr>
            <w:r>
              <w:rPr>
                <w:rFonts w:ascii="Arial" w:cs="Arial" w:eastAsia="Arial" w:hAnsi="Arial"/>
                <w:sz w:val="13"/>
                <w:szCs w:val="13"/>
                <w:color w:val="auto"/>
                <w:w w:val="96"/>
              </w:rPr>
              <w:t>2021</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816,000</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2,337,543</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480,029</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824,000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188,767</w:t>
            </w:r>
          </w:p>
        </w:tc>
        <w:tc>
          <w:tcPr>
            <w:tcW w:w="26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4,646,339</w:t>
            </w:r>
          </w:p>
        </w:tc>
        <w:tc>
          <w:tcPr>
            <w:tcW w:w="0" w:type="dxa"/>
            <w:vAlign w:val="bottom"/>
          </w:tcPr>
          <w:p>
            <w:pPr>
              <w:spacing w:after="0"/>
              <w:rPr>
                <w:sz w:val="1"/>
                <w:szCs w:val="1"/>
                <w:color w:val="auto"/>
              </w:rPr>
            </w:pPr>
          </w:p>
        </w:tc>
      </w:tr>
      <w:tr>
        <w:trPr>
          <w:trHeight w:val="162"/>
        </w:trPr>
        <w:tc>
          <w:tcPr>
            <w:tcW w:w="1960" w:type="dxa"/>
            <w:vAlign w:val="bottom"/>
            <w:shd w:val="clear" w:color="auto" w:fill="FCE9E8"/>
          </w:tcPr>
          <w:p>
            <w:pPr>
              <w:ind w:left="80"/>
              <w:spacing w:after="0"/>
              <w:rPr>
                <w:sz w:val="20"/>
                <w:szCs w:val="20"/>
                <w:color w:val="auto"/>
              </w:rPr>
            </w:pPr>
            <w:r>
              <w:rPr>
                <w:rFonts w:ascii="Arial" w:cs="Arial" w:eastAsia="Arial" w:hAnsi="Arial"/>
                <w:sz w:val="13"/>
                <w:szCs w:val="13"/>
                <w:color w:val="auto"/>
              </w:rPr>
              <w:t>Executive Vice President, and</w:t>
            </w:r>
          </w:p>
        </w:tc>
        <w:tc>
          <w:tcPr>
            <w:tcW w:w="80" w:type="dxa"/>
            <w:vAlign w:val="bottom"/>
            <w:shd w:val="clear" w:color="auto" w:fill="FCE9E8"/>
          </w:tcPr>
          <w:p>
            <w:pPr>
              <w:spacing w:after="0"/>
              <w:rPr>
                <w:sz w:val="14"/>
                <w:szCs w:val="14"/>
                <w:color w:val="auto"/>
              </w:rPr>
            </w:pPr>
          </w:p>
        </w:tc>
        <w:tc>
          <w:tcPr>
            <w:tcW w:w="440" w:type="dxa"/>
            <w:vAlign w:val="bottom"/>
            <w:shd w:val="clear" w:color="auto" w:fill="FCE9E8"/>
          </w:tcPr>
          <w:p>
            <w:pPr>
              <w:jc w:val="center"/>
              <w:ind w:right="17"/>
              <w:spacing w:after="0"/>
              <w:rPr>
                <w:sz w:val="20"/>
                <w:szCs w:val="20"/>
                <w:color w:val="auto"/>
              </w:rPr>
            </w:pPr>
            <w:r>
              <w:rPr>
                <w:rFonts w:ascii="Arial" w:cs="Arial" w:eastAsia="Arial" w:hAnsi="Arial"/>
                <w:sz w:val="13"/>
                <w:szCs w:val="13"/>
                <w:color w:val="auto"/>
                <w:w w:val="96"/>
              </w:rPr>
              <w:t>2020</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781,333</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3,610,431</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480,026</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480,000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164,954</w:t>
            </w:r>
          </w:p>
        </w:tc>
        <w:tc>
          <w:tcPr>
            <w:tcW w:w="24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190,045</w:t>
            </w:r>
          </w:p>
        </w:tc>
        <w:tc>
          <w:tcPr>
            <w:tcW w:w="26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5,706,789</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President, Seating</w:t>
            </w:r>
          </w:p>
        </w:tc>
        <w:tc>
          <w:tcPr>
            <w:tcW w:w="80" w:type="dxa"/>
            <w:vAlign w:val="bottom"/>
            <w:tcBorders>
              <w:bottom w:val="single" w:sz="8" w:color="auto"/>
            </w:tcBorders>
            <w:shd w:val="clear" w:color="auto" w:fill="FCE9E8"/>
          </w:tcPr>
          <w:p>
            <w:pPr>
              <w:spacing w:after="0"/>
              <w:rPr>
                <w:sz w:val="14"/>
                <w:szCs w:val="14"/>
                <w:color w:val="auto"/>
              </w:rPr>
            </w:pPr>
          </w:p>
        </w:tc>
        <w:tc>
          <w:tcPr>
            <w:tcW w:w="440" w:type="dxa"/>
            <w:vAlign w:val="bottom"/>
            <w:tcBorders>
              <w:bottom w:val="single" w:sz="8" w:color="auto"/>
            </w:tcBorders>
            <w:shd w:val="clear" w:color="auto" w:fill="FCE9E8"/>
          </w:tcPr>
          <w:p>
            <w:pPr>
              <w:jc w:val="center"/>
              <w:ind w:right="17"/>
              <w:spacing w:after="0"/>
              <w:rPr>
                <w:sz w:val="20"/>
                <w:szCs w:val="20"/>
                <w:color w:val="auto"/>
              </w:rPr>
            </w:pPr>
            <w:r>
              <w:rPr>
                <w:rFonts w:ascii="Arial" w:cs="Arial" w:eastAsia="Arial" w:hAnsi="Arial"/>
                <w:sz w:val="13"/>
                <w:szCs w:val="13"/>
                <w:color w:val="auto"/>
                <w:w w:val="96"/>
              </w:rPr>
              <w:t>2019</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rPr>
              <w:t>800,000</w:t>
            </w:r>
          </w:p>
        </w:tc>
        <w:tc>
          <w:tcPr>
            <w:tcW w:w="1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3,169,401</w:t>
            </w:r>
          </w:p>
        </w:tc>
        <w:tc>
          <w:tcPr>
            <w:tcW w:w="14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488,000</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153,031</w:t>
            </w:r>
          </w:p>
        </w:tc>
        <w:tc>
          <w:tcPr>
            <w:tcW w:w="2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rPr>
              <w:t>215,730</w:t>
            </w:r>
          </w:p>
        </w:tc>
        <w:tc>
          <w:tcPr>
            <w:tcW w:w="2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3"/>
                <w:szCs w:val="13"/>
                <w:color w:val="auto"/>
              </w:rPr>
              <w:t>4,826,162</w:t>
            </w:r>
          </w:p>
        </w:tc>
        <w:tc>
          <w:tcPr>
            <w:tcW w:w="0" w:type="dxa"/>
            <w:vAlign w:val="bottom"/>
          </w:tcPr>
          <w:p>
            <w:pPr>
              <w:spacing w:after="0"/>
              <w:rPr>
                <w:sz w:val="1"/>
                <w:szCs w:val="1"/>
                <w:color w:val="auto"/>
              </w:rPr>
            </w:pPr>
          </w:p>
        </w:tc>
      </w:tr>
      <w:tr>
        <w:trPr>
          <w:trHeight w:val="167"/>
        </w:trPr>
        <w:tc>
          <w:tcPr>
            <w:tcW w:w="1960" w:type="dxa"/>
            <w:vAlign w:val="bottom"/>
          </w:tcPr>
          <w:p>
            <w:pPr>
              <w:ind w:left="80"/>
              <w:spacing w:after="0"/>
              <w:rPr>
                <w:sz w:val="20"/>
                <w:szCs w:val="20"/>
                <w:color w:val="auto"/>
              </w:rPr>
            </w:pPr>
            <w:r>
              <w:rPr>
                <w:rFonts w:ascii="Arial" w:cs="Arial" w:eastAsia="Arial" w:hAnsi="Arial"/>
                <w:sz w:val="13"/>
                <w:szCs w:val="13"/>
                <w:color w:val="auto"/>
              </w:rPr>
              <w:t>Thomas A. DiDonato,</w:t>
            </w:r>
          </w:p>
        </w:tc>
        <w:tc>
          <w:tcPr>
            <w:tcW w:w="520" w:type="dxa"/>
            <w:vAlign w:val="bottom"/>
            <w:gridSpan w:val="2"/>
          </w:tcPr>
          <w:p>
            <w:pPr>
              <w:jc w:val="center"/>
              <w:spacing w:after="0"/>
              <w:rPr>
                <w:sz w:val="20"/>
                <w:szCs w:val="20"/>
                <w:color w:val="auto"/>
              </w:rPr>
            </w:pPr>
            <w:r>
              <w:rPr>
                <w:rFonts w:ascii="Arial" w:cs="Arial" w:eastAsia="Arial" w:hAnsi="Arial"/>
                <w:sz w:val="13"/>
                <w:szCs w:val="13"/>
                <w:color w:val="auto"/>
                <w:w w:val="96"/>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714,000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1,885,109</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399,017</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721,000</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168,601</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3,887,727</w:t>
            </w:r>
          </w:p>
        </w:tc>
        <w:tc>
          <w:tcPr>
            <w:tcW w:w="0" w:type="dxa"/>
            <w:vAlign w:val="bottom"/>
          </w:tcPr>
          <w:p>
            <w:pPr>
              <w:spacing w:after="0"/>
              <w:rPr>
                <w:sz w:val="1"/>
                <w:szCs w:val="1"/>
                <w:color w:val="auto"/>
              </w:rPr>
            </w:pPr>
          </w:p>
        </w:tc>
      </w:tr>
      <w:tr>
        <w:trPr>
          <w:trHeight w:val="159"/>
        </w:trPr>
        <w:tc>
          <w:tcPr>
            <w:tcW w:w="1960" w:type="dxa"/>
            <w:vAlign w:val="bottom"/>
          </w:tcPr>
          <w:p>
            <w:pPr>
              <w:ind w:left="80"/>
              <w:spacing w:after="0"/>
              <w:rPr>
                <w:sz w:val="20"/>
                <w:szCs w:val="20"/>
                <w:color w:val="auto"/>
              </w:rPr>
            </w:pPr>
            <w:r>
              <w:rPr>
                <w:rFonts w:ascii="Arial" w:cs="Arial" w:eastAsia="Arial" w:hAnsi="Arial"/>
                <w:sz w:val="13"/>
                <w:szCs w:val="13"/>
                <w:color w:val="auto"/>
              </w:rPr>
              <w:t>Senior Vice President and</w:t>
            </w:r>
          </w:p>
        </w:tc>
        <w:tc>
          <w:tcPr>
            <w:tcW w:w="520" w:type="dxa"/>
            <w:vAlign w:val="bottom"/>
            <w:gridSpan w:val="2"/>
          </w:tcPr>
          <w:p>
            <w:pPr>
              <w:jc w:val="center"/>
              <w:spacing w:after="0"/>
              <w:rPr>
                <w:sz w:val="20"/>
                <w:szCs w:val="20"/>
                <w:color w:val="auto"/>
              </w:rPr>
            </w:pPr>
            <w:r>
              <w:rPr>
                <w:rFonts w:ascii="Arial" w:cs="Arial" w:eastAsia="Arial" w:hAnsi="Arial"/>
                <w:sz w:val="13"/>
                <w:szCs w:val="13"/>
                <w:color w:val="auto"/>
                <w:w w:val="96"/>
              </w:rPr>
              <w:t>2020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683,667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2,634,758</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399,011</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420,000</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145,316</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4,282,752</w:t>
            </w:r>
          </w:p>
        </w:tc>
        <w:tc>
          <w:tcPr>
            <w:tcW w:w="0" w:type="dxa"/>
            <w:vAlign w:val="bottom"/>
          </w:tcPr>
          <w:p>
            <w:pPr>
              <w:spacing w:after="0"/>
              <w:rPr>
                <w:sz w:val="1"/>
                <w:szCs w:val="1"/>
                <w:color w:val="auto"/>
              </w:rPr>
            </w:pPr>
          </w:p>
        </w:tc>
      </w:tr>
      <w:tr>
        <w:trPr>
          <w:trHeight w:val="154"/>
        </w:trPr>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Chief Administrative Officer</w:t>
            </w: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2,768,236</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362,950</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159,501</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3,990,687</w:t>
            </w:r>
          </w:p>
        </w:tc>
        <w:tc>
          <w:tcPr>
            <w:tcW w:w="0" w:type="dxa"/>
            <w:vAlign w:val="bottom"/>
          </w:tcPr>
          <w:p>
            <w:pPr>
              <w:spacing w:after="0"/>
              <w:rPr>
                <w:sz w:val="1"/>
                <w:szCs w:val="1"/>
                <w:color w:val="auto"/>
              </w:rPr>
            </w:pPr>
          </w:p>
        </w:tc>
      </w:tr>
      <w:tr>
        <w:trPr>
          <w:trHeight w:val="156"/>
        </w:trPr>
        <w:tc>
          <w:tcPr>
            <w:tcW w:w="1960" w:type="dxa"/>
            <w:vAlign w:val="bottom"/>
            <w:shd w:val="clear" w:color="auto" w:fill="FCE9E8"/>
          </w:tcPr>
          <w:p>
            <w:pPr>
              <w:ind w:left="80"/>
              <w:spacing w:after="0"/>
              <w:rPr>
                <w:sz w:val="20"/>
                <w:szCs w:val="20"/>
                <w:color w:val="auto"/>
              </w:rPr>
            </w:pPr>
            <w:r>
              <w:rPr>
                <w:rFonts w:ascii="Arial" w:cs="Arial" w:eastAsia="Arial" w:hAnsi="Arial"/>
                <w:sz w:val="13"/>
                <w:szCs w:val="13"/>
                <w:color w:val="auto"/>
              </w:rPr>
              <w:t>Carl A. Esposito,</w:t>
            </w:r>
          </w:p>
        </w:tc>
        <w:tc>
          <w:tcPr>
            <w:tcW w:w="80" w:type="dxa"/>
            <w:vAlign w:val="bottom"/>
            <w:shd w:val="clear" w:color="auto" w:fill="FCE9E8"/>
          </w:tcPr>
          <w:p>
            <w:pPr>
              <w:spacing w:after="0"/>
              <w:rPr>
                <w:sz w:val="13"/>
                <w:szCs w:val="13"/>
                <w:color w:val="auto"/>
              </w:rPr>
            </w:pPr>
          </w:p>
        </w:tc>
        <w:tc>
          <w:tcPr>
            <w:tcW w:w="440" w:type="dxa"/>
            <w:vAlign w:val="bottom"/>
            <w:shd w:val="clear" w:color="auto" w:fill="FCE9E8"/>
          </w:tcPr>
          <w:p>
            <w:pPr>
              <w:jc w:val="center"/>
              <w:ind w:right="17"/>
              <w:spacing w:after="0"/>
              <w:rPr>
                <w:sz w:val="20"/>
                <w:szCs w:val="20"/>
                <w:color w:val="auto"/>
              </w:rPr>
            </w:pPr>
            <w:r>
              <w:rPr>
                <w:rFonts w:ascii="Arial" w:cs="Arial" w:eastAsia="Arial" w:hAnsi="Arial"/>
                <w:sz w:val="13"/>
                <w:szCs w:val="13"/>
                <w:color w:val="auto"/>
                <w:w w:val="96"/>
              </w:rPr>
              <w:t>2021</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683,333</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1,776,488</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351,004</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560,000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116,388</w:t>
            </w:r>
          </w:p>
        </w:tc>
        <w:tc>
          <w:tcPr>
            <w:tcW w:w="26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3,487,213</w:t>
            </w:r>
          </w:p>
        </w:tc>
        <w:tc>
          <w:tcPr>
            <w:tcW w:w="0" w:type="dxa"/>
            <w:vAlign w:val="bottom"/>
          </w:tcPr>
          <w:p>
            <w:pPr>
              <w:spacing w:after="0"/>
              <w:rPr>
                <w:sz w:val="1"/>
                <w:szCs w:val="1"/>
                <w:color w:val="auto"/>
              </w:rPr>
            </w:pPr>
          </w:p>
        </w:tc>
      </w:tr>
      <w:tr>
        <w:trPr>
          <w:trHeight w:val="162"/>
        </w:trPr>
        <w:tc>
          <w:tcPr>
            <w:tcW w:w="1960" w:type="dxa"/>
            <w:vAlign w:val="bottom"/>
            <w:shd w:val="clear" w:color="auto" w:fill="FCE9E8"/>
          </w:tcPr>
          <w:p>
            <w:pPr>
              <w:ind w:left="80"/>
              <w:spacing w:after="0"/>
              <w:rPr>
                <w:sz w:val="20"/>
                <w:szCs w:val="20"/>
                <w:color w:val="auto"/>
              </w:rPr>
            </w:pPr>
            <w:r>
              <w:rPr>
                <w:rFonts w:ascii="Arial" w:cs="Arial" w:eastAsia="Arial" w:hAnsi="Arial"/>
                <w:sz w:val="13"/>
                <w:szCs w:val="13"/>
                <w:color w:val="auto"/>
              </w:rPr>
              <w:t>Senior Vice President and</w:t>
            </w:r>
          </w:p>
        </w:tc>
        <w:tc>
          <w:tcPr>
            <w:tcW w:w="80" w:type="dxa"/>
            <w:vAlign w:val="bottom"/>
            <w:shd w:val="clear" w:color="auto" w:fill="FCE9E8"/>
          </w:tcPr>
          <w:p>
            <w:pPr>
              <w:spacing w:after="0"/>
              <w:rPr>
                <w:sz w:val="14"/>
                <w:szCs w:val="14"/>
                <w:color w:val="auto"/>
              </w:rPr>
            </w:pPr>
          </w:p>
        </w:tc>
        <w:tc>
          <w:tcPr>
            <w:tcW w:w="440" w:type="dxa"/>
            <w:vAlign w:val="bottom"/>
            <w:shd w:val="clear" w:color="auto" w:fill="FCE9E8"/>
          </w:tcPr>
          <w:p>
            <w:pPr>
              <w:jc w:val="center"/>
              <w:ind w:right="17"/>
              <w:spacing w:after="0"/>
              <w:rPr>
                <w:sz w:val="20"/>
                <w:szCs w:val="20"/>
                <w:color w:val="auto"/>
              </w:rPr>
            </w:pPr>
            <w:r>
              <w:rPr>
                <w:rFonts w:ascii="Arial" w:cs="Arial" w:eastAsia="Arial" w:hAnsi="Arial"/>
                <w:sz w:val="13"/>
                <w:szCs w:val="13"/>
                <w:color w:val="auto"/>
                <w:w w:val="96"/>
              </w:rPr>
              <w:t>2020</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634,833</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2,202,704</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351,015</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312,000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134,190</w:t>
            </w:r>
          </w:p>
        </w:tc>
        <w:tc>
          <w:tcPr>
            <w:tcW w:w="26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3,634,742</w:t>
            </w:r>
          </w:p>
        </w:tc>
        <w:tc>
          <w:tcPr>
            <w:tcW w:w="0" w:type="dxa"/>
            <w:vAlign w:val="bottom"/>
          </w:tcPr>
          <w:p>
            <w:pPr>
              <w:spacing w:after="0"/>
              <w:rPr>
                <w:sz w:val="1"/>
                <w:szCs w:val="1"/>
                <w:color w:val="auto"/>
              </w:rPr>
            </w:pPr>
          </w:p>
        </w:tc>
      </w:tr>
      <w:tr>
        <w:trPr>
          <w:trHeight w:val="162"/>
        </w:trPr>
        <w:tc>
          <w:tcPr>
            <w:tcW w:w="1960" w:type="dxa"/>
            <w:vAlign w:val="bottom"/>
            <w:shd w:val="clear" w:color="auto" w:fill="FCE9E8"/>
          </w:tcPr>
          <w:p>
            <w:pPr>
              <w:ind w:left="80"/>
              <w:spacing w:after="0"/>
              <w:rPr>
                <w:sz w:val="20"/>
                <w:szCs w:val="20"/>
                <w:color w:val="auto"/>
              </w:rPr>
            </w:pPr>
            <w:r>
              <w:rPr>
                <w:rFonts w:ascii="Arial" w:cs="Arial" w:eastAsia="Arial" w:hAnsi="Arial"/>
                <w:sz w:val="13"/>
                <w:szCs w:val="13"/>
                <w:color w:val="auto"/>
              </w:rPr>
              <w:t>President, E-Systems</w:t>
            </w:r>
          </w:p>
        </w:tc>
        <w:tc>
          <w:tcPr>
            <w:tcW w:w="80" w:type="dxa"/>
            <w:vAlign w:val="bottom"/>
            <w:shd w:val="clear" w:color="auto" w:fill="FCE9E8"/>
          </w:tcPr>
          <w:p>
            <w:pPr>
              <w:spacing w:after="0"/>
              <w:rPr>
                <w:sz w:val="14"/>
                <w:szCs w:val="14"/>
                <w:color w:val="auto"/>
              </w:rPr>
            </w:pPr>
          </w:p>
        </w:tc>
        <w:tc>
          <w:tcPr>
            <w:tcW w:w="440" w:type="dxa"/>
            <w:vAlign w:val="bottom"/>
            <w:shd w:val="clear" w:color="auto" w:fill="FCE9E8"/>
          </w:tcPr>
          <w:p>
            <w:pPr>
              <w:jc w:val="center"/>
              <w:ind w:right="17"/>
              <w:spacing w:after="0"/>
              <w:rPr>
                <w:sz w:val="20"/>
                <w:szCs w:val="20"/>
                <w:color w:val="auto"/>
              </w:rPr>
            </w:pPr>
            <w:r>
              <w:rPr>
                <w:rFonts w:ascii="Arial" w:cs="Arial" w:eastAsia="Arial" w:hAnsi="Arial"/>
                <w:sz w:val="13"/>
                <w:szCs w:val="13"/>
                <w:color w:val="auto"/>
                <w:w w:val="96"/>
              </w:rPr>
              <w:t>2019</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216,667</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w w:val="93"/>
              </w:rPr>
              <w:t>400,000</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6,149,790</w:t>
            </w:r>
          </w:p>
        </w:tc>
        <w:tc>
          <w:tcPr>
            <w:tcW w:w="140" w:type="dxa"/>
            <w:vAlign w:val="bottom"/>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17,710</w:t>
            </w:r>
          </w:p>
        </w:tc>
        <w:tc>
          <w:tcPr>
            <w:tcW w:w="26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6,784,167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960" w:right="300" w:hanging="293"/>
        <w:spacing w:after="0" w:line="225" w:lineRule="auto"/>
        <w:tabs>
          <w:tab w:leader="none" w:pos="96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2021 reflect the aggregate value of Career Shares, RSUs and Performance Shares under the LTSIP awarded in the year. The 2021 values by award type are shown below. The grant date fair value of the Career Shares and RSUs has been determined in accordance with ASC 718, “Compensation – Stock Compensation.” The award date value of performance shares is based upon the probable outcome of the performance conditions and is consistent with the estimate of aggregate compensation cost to be recognized over the service period determined as of the award date, excluding the effect of estimated forfeitures. For purposes of the Summary Compensation Table, we have assumed that the probable outcome of the performance conditions would result in the award vesting at target and the best estimate available for the aggregate compensation cost to be recognized over the service period as of the award date would reflect the value of each performance share at the Company’s stock price on the award date. There can be no assurance that these values will ever be realized. See Note 13, “Stock-Based Compensation,” to the Company’s consolidated financial statements included in our 2021 Annual Report on Form 10-K for the assumptions made in determining these values.</w:t>
      </w:r>
    </w:p>
    <w:p>
      <w:pPr>
        <w:spacing w:after="0" w:line="140"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E2231A"/>
                <w:w w:val="97"/>
              </w:rPr>
              <w:t>Career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40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3"/>
              </w:rPr>
              <w:t>Share</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E2231A"/>
              </w:rPr>
              <w:t>2021 Performance</w:t>
            </w:r>
          </w:p>
        </w:tc>
        <w:tc>
          <w:tcPr>
            <w:tcW w:w="8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E2231A"/>
              </w:rPr>
              <w:t>2021 Performance</w:t>
            </w:r>
          </w:p>
        </w:tc>
      </w:tr>
      <w:tr>
        <w:trPr>
          <w:trHeight w:val="135"/>
        </w:trPr>
        <w:tc>
          <w:tcPr>
            <w:tcW w:w="40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4"/>
              </w:rPr>
              <w:t>RSU Grant</w:t>
            </w:r>
          </w:p>
        </w:tc>
        <w:tc>
          <w:tcPr>
            <w:tcW w:w="880" w:type="dxa"/>
            <w:vAlign w:val="bottom"/>
            <w:gridSpan w:val="2"/>
          </w:tcPr>
          <w:p>
            <w:pPr>
              <w:jc w:val="right"/>
              <w:ind w:right="48"/>
              <w:spacing w:after="0" w:line="135" w:lineRule="exact"/>
              <w:rPr>
                <w:sz w:val="20"/>
                <w:szCs w:val="20"/>
                <w:color w:val="auto"/>
              </w:rPr>
            </w:pPr>
            <w:r>
              <w:rPr>
                <w:rFonts w:ascii="Arial" w:cs="Arial" w:eastAsia="Arial" w:hAnsi="Arial"/>
                <w:sz w:val="13"/>
                <w:szCs w:val="13"/>
                <w:b w:val="1"/>
                <w:bCs w:val="1"/>
                <w:color w:val="E2231A"/>
              </w:rPr>
              <w:t>RSU Grant</w:t>
            </w:r>
          </w:p>
        </w:tc>
        <w:tc>
          <w:tcPr>
            <w:tcW w:w="180" w:type="dxa"/>
            <w:vAlign w:val="bottom"/>
          </w:tcPr>
          <w:p>
            <w:pPr>
              <w:spacing w:after="0"/>
              <w:rPr>
                <w:sz w:val="11"/>
                <w:szCs w:val="11"/>
                <w:color w:val="auto"/>
              </w:rPr>
            </w:pPr>
          </w:p>
        </w:tc>
        <w:tc>
          <w:tcPr>
            <w:tcW w:w="1060" w:type="dxa"/>
            <w:vAlign w:val="bottom"/>
          </w:tcPr>
          <w:p>
            <w:pPr>
              <w:jc w:val="right"/>
              <w:ind w:right="131"/>
              <w:spacing w:after="0" w:line="135" w:lineRule="exact"/>
              <w:rPr>
                <w:sz w:val="20"/>
                <w:szCs w:val="20"/>
                <w:color w:val="auto"/>
              </w:rPr>
            </w:pPr>
            <w:r>
              <w:rPr>
                <w:rFonts w:ascii="Arial" w:cs="Arial" w:eastAsia="Arial" w:hAnsi="Arial"/>
                <w:sz w:val="13"/>
                <w:szCs w:val="13"/>
                <w:b w:val="1"/>
                <w:bCs w:val="1"/>
                <w:color w:val="E2231A"/>
                <w:w w:val="96"/>
              </w:rPr>
              <w:t>Shares Award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Total Grant</w:t>
            </w:r>
          </w:p>
        </w:tc>
        <w:tc>
          <w:tcPr>
            <w:tcW w:w="260" w:type="dxa"/>
            <w:vAlign w:val="bottom"/>
          </w:tcPr>
          <w:p>
            <w:pPr>
              <w:spacing w:after="0"/>
              <w:rPr>
                <w:sz w:val="11"/>
                <w:szCs w:val="11"/>
                <w:color w:val="auto"/>
              </w:rPr>
            </w:pPr>
          </w:p>
        </w:tc>
        <w:tc>
          <w:tcPr>
            <w:tcW w:w="980" w:type="dxa"/>
            <w:vAlign w:val="bottom"/>
          </w:tcPr>
          <w:p>
            <w:pPr>
              <w:jc w:val="right"/>
              <w:ind w:right="270"/>
              <w:spacing w:after="0" w:line="135" w:lineRule="exact"/>
              <w:rPr>
                <w:sz w:val="20"/>
                <w:szCs w:val="20"/>
                <w:color w:val="auto"/>
              </w:rPr>
            </w:pPr>
            <w:r>
              <w:rPr>
                <w:rFonts w:ascii="Arial" w:cs="Arial" w:eastAsia="Arial" w:hAnsi="Arial"/>
                <w:sz w:val="13"/>
                <w:szCs w:val="13"/>
                <w:b w:val="1"/>
                <w:bCs w:val="1"/>
                <w:color w:val="E2231A"/>
              </w:rPr>
              <w:t>Shares at</w:t>
            </w:r>
          </w:p>
        </w:tc>
      </w:tr>
      <w:tr>
        <w:trPr>
          <w:trHeight w:val="157"/>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3"/>
              </w:rPr>
              <w:t>Date Value</w:t>
            </w:r>
          </w:p>
        </w:tc>
        <w:tc>
          <w:tcPr>
            <w:tcW w:w="8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E2231A"/>
              </w:rPr>
              <w:t>Date Value</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E2231A"/>
              </w:rPr>
              <w:t>Date Value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Date Value</w:t>
            </w: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E2231A"/>
              </w:rPr>
              <w:t>Maximum Value</w:t>
            </w:r>
          </w:p>
        </w:tc>
      </w:tr>
      <w:tr>
        <w:trPr>
          <w:trHeight w:val="209"/>
        </w:trPr>
        <w:tc>
          <w:tcPr>
            <w:tcW w:w="408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80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$ 749,981</w:t>
            </w:r>
          </w:p>
        </w:tc>
        <w:tc>
          <w:tcPr>
            <w:tcW w:w="1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1,679,885</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5,627,194</w:t>
            </w:r>
          </w:p>
        </w:tc>
        <w:tc>
          <w:tcPr>
            <w:tcW w:w="88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$8,057,060</w:t>
            </w:r>
          </w:p>
        </w:tc>
        <w:tc>
          <w:tcPr>
            <w:tcW w:w="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11,254,388</w:t>
            </w:r>
          </w:p>
        </w:tc>
      </w:tr>
      <w:tr>
        <w:trPr>
          <w:trHeight w:val="230"/>
        </w:trPr>
        <w:tc>
          <w:tcPr>
            <w:tcW w:w="408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800" w:type="dxa"/>
            <w:vAlign w:val="bottom"/>
          </w:tcPr>
          <w:p>
            <w:pPr>
              <w:jc w:val="center"/>
              <w:spacing w:after="0"/>
              <w:rPr>
                <w:sz w:val="20"/>
                <w:szCs w:val="20"/>
                <w:color w:val="auto"/>
              </w:rPr>
            </w:pPr>
            <w:r>
              <w:rPr>
                <w:rFonts w:ascii="Arial" w:cs="Arial" w:eastAsia="Arial" w:hAnsi="Arial"/>
                <w:sz w:val="14"/>
                <w:szCs w:val="14"/>
                <w:color w:val="auto"/>
              </w:rPr>
              <w:t>$ 249,933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419,892</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1,406,812</w:t>
            </w:r>
          </w:p>
        </w:tc>
        <w:tc>
          <w:tcPr>
            <w:tcW w:w="880" w:type="dxa"/>
            <w:vAlign w:val="bottom"/>
          </w:tcPr>
          <w:p>
            <w:pPr>
              <w:jc w:val="center"/>
              <w:spacing w:after="0"/>
              <w:rPr>
                <w:sz w:val="20"/>
                <w:szCs w:val="20"/>
                <w:color w:val="auto"/>
              </w:rPr>
            </w:pPr>
            <w:r>
              <w:rPr>
                <w:rFonts w:ascii="Arial" w:cs="Arial" w:eastAsia="Arial" w:hAnsi="Arial"/>
                <w:sz w:val="14"/>
                <w:szCs w:val="14"/>
                <w:color w:val="auto"/>
              </w:rPr>
              <w:t>$2,076,637</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2,813,624</w:t>
            </w:r>
          </w:p>
        </w:tc>
      </w:tr>
      <w:tr>
        <w:trPr>
          <w:trHeight w:val="230"/>
        </w:trPr>
        <w:tc>
          <w:tcPr>
            <w:tcW w:w="408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80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$ 249,933</w:t>
            </w:r>
          </w:p>
        </w:tc>
        <w:tc>
          <w:tcPr>
            <w:tcW w:w="1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479,877</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1,607,733</w:t>
            </w:r>
          </w:p>
        </w:tc>
        <w:tc>
          <w:tcPr>
            <w:tcW w:w="88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$2,337,543</w:t>
            </w:r>
          </w:p>
        </w:tc>
        <w:tc>
          <w:tcPr>
            <w:tcW w:w="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3,215,466</w:t>
            </w:r>
          </w:p>
        </w:tc>
      </w:tr>
      <w:tr>
        <w:trPr>
          <w:trHeight w:val="230"/>
        </w:trPr>
        <w:tc>
          <w:tcPr>
            <w:tcW w:w="408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800" w:type="dxa"/>
            <w:vAlign w:val="bottom"/>
          </w:tcPr>
          <w:p>
            <w:pPr>
              <w:jc w:val="center"/>
              <w:spacing w:after="0"/>
              <w:rPr>
                <w:sz w:val="20"/>
                <w:szCs w:val="20"/>
                <w:color w:val="auto"/>
              </w:rPr>
            </w:pPr>
            <w:r>
              <w:rPr>
                <w:rFonts w:ascii="Arial" w:cs="Arial" w:eastAsia="Arial" w:hAnsi="Arial"/>
                <w:sz w:val="14"/>
                <w:szCs w:val="14"/>
                <w:color w:val="auto"/>
              </w:rPr>
              <w:t>$ 149,851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398,953</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1,336,305</w:t>
            </w:r>
          </w:p>
        </w:tc>
        <w:tc>
          <w:tcPr>
            <w:tcW w:w="880" w:type="dxa"/>
            <w:vAlign w:val="bottom"/>
          </w:tcPr>
          <w:p>
            <w:pPr>
              <w:jc w:val="center"/>
              <w:spacing w:after="0"/>
              <w:rPr>
                <w:sz w:val="20"/>
                <w:szCs w:val="20"/>
                <w:color w:val="auto"/>
              </w:rPr>
            </w:pPr>
            <w:r>
              <w:rPr>
                <w:rFonts w:ascii="Arial" w:cs="Arial" w:eastAsia="Arial" w:hAnsi="Arial"/>
                <w:sz w:val="14"/>
                <w:szCs w:val="14"/>
                <w:color w:val="auto"/>
              </w:rPr>
              <w:t>$1,885,109</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2,672,610</w:t>
            </w:r>
          </w:p>
        </w:tc>
      </w:tr>
      <w:tr>
        <w:trPr>
          <w:trHeight w:val="229"/>
        </w:trPr>
        <w:tc>
          <w:tcPr>
            <w:tcW w:w="4080" w:type="dxa"/>
            <w:vAlign w:val="bottom"/>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80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$ 249,933</w:t>
            </w:r>
          </w:p>
        </w:tc>
        <w:tc>
          <w:tcPr>
            <w:tcW w:w="1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350,934</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1,175,621</w:t>
            </w:r>
          </w:p>
        </w:tc>
        <w:tc>
          <w:tcPr>
            <w:tcW w:w="88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$1,776,488</w:t>
            </w:r>
          </w:p>
        </w:tc>
        <w:tc>
          <w:tcPr>
            <w:tcW w:w="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2,351,242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0</wp:posOffset>
            </wp:positionV>
            <wp:extent cx="57861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ind w:left="960" w:right="480" w:hanging="293"/>
        <w:spacing w:after="0" w:line="208" w:lineRule="auto"/>
        <w:tabs>
          <w:tab w:leader="none" w:pos="96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2021 represent the grant date fair value of nonqualified stock options under the LTSIP granted in the year determined in accordance with ASC Topic 718. There can be no assurance that these values will ever be realized. See Note 13, “Stock-Based Compensation,” to the consolidated financial statements included in our 2021 Annual Report on Form 10-K for the assumptions made in determining these values.</w:t>
      </w:r>
    </w:p>
    <w:p>
      <w:pPr>
        <w:spacing w:after="0" w:line="111" w:lineRule="exact"/>
        <w:rPr>
          <w:rFonts w:ascii="Arial" w:cs="Arial" w:eastAsia="Arial" w:hAnsi="Arial"/>
          <w:sz w:val="24"/>
          <w:szCs w:val="24"/>
          <w:color w:val="auto"/>
          <w:vertAlign w:val="superscript"/>
        </w:rPr>
      </w:pPr>
    </w:p>
    <w:p>
      <w:pPr>
        <w:ind w:left="960" w:right="880" w:hanging="293"/>
        <w:spacing w:after="0" w:line="183" w:lineRule="auto"/>
        <w:tabs>
          <w:tab w:leader="none" w:pos="96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2021 represent the amounts earned under the AIP, based on achievement of the 2021 AIP targets, as described above in “Compensation Discussion and Analysis” under the heading “Annual Incentives.”</w:t>
      </w:r>
    </w:p>
    <w:p>
      <w:pPr>
        <w:spacing w:after="0" w:line="112" w:lineRule="exact"/>
        <w:rPr>
          <w:rFonts w:ascii="Arial" w:cs="Arial" w:eastAsia="Arial" w:hAnsi="Arial"/>
          <w:sz w:val="24"/>
          <w:szCs w:val="24"/>
          <w:color w:val="auto"/>
          <w:vertAlign w:val="superscript"/>
        </w:rPr>
      </w:pPr>
    </w:p>
    <w:p>
      <w:pPr>
        <w:ind w:left="960" w:right="440" w:hanging="293"/>
        <w:spacing w:after="0" w:line="208" w:lineRule="auto"/>
        <w:tabs>
          <w:tab w:leader="none" w:pos="96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annualized change in the actuarial present value of each applicable Named Executive Officer’s accumulated benefit under all defined benefit pension plans (including supplemental plans), all of which have been frozen since December 31, 2006. For 2021, there was an actuarial decrease in the present value of the benefits under these plans for Mr. Scott in the amount of ($22,860); for Mr. Cardew in the amount of ($22,860); and for Mr. Orsini in the amount of ($55,221). Because these amounts are negative, they are not reported in this column or in column (j).</w:t>
      </w:r>
    </w:p>
    <w:p>
      <w:pPr>
        <w:spacing w:after="0" w:line="260"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49</w:t>
      </w:r>
    </w:p>
    <w:p>
      <w:pPr>
        <w:sectPr>
          <w:pgSz w:w="11900" w:h="16838" w:orient="portrait"/>
          <w:cols w:equalWidth="0" w:num="1">
            <w:col w:w="10860"/>
          </w:cols>
          <w:pgMar w:left="320" w:top="459" w:right="7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92" w:lineRule="exact"/>
        <w:rPr>
          <w:sz w:val="20"/>
          <w:szCs w:val="20"/>
          <w:color w:val="auto"/>
        </w:rPr>
      </w:pPr>
    </w:p>
    <w:p>
      <w:pPr>
        <w:ind w:left="960" w:hanging="293"/>
        <w:spacing w:after="0"/>
        <w:tabs>
          <w:tab w:leader="none" w:pos="96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2021 for each Named Executive Officer include:</w:t>
      </w:r>
    </w:p>
    <w:p>
      <w:pPr>
        <w:spacing w:after="0" w:line="111" w:lineRule="exact"/>
        <w:rPr>
          <w:rFonts w:ascii="Arial" w:cs="Arial" w:eastAsia="Arial" w:hAnsi="Arial"/>
          <w:sz w:val="24"/>
          <w:szCs w:val="24"/>
          <w:color w:val="auto"/>
          <w:vertAlign w:val="superscript"/>
        </w:rPr>
      </w:pPr>
    </w:p>
    <w:p>
      <w:pPr>
        <w:ind w:left="1120" w:hanging="170"/>
        <w:spacing w:after="0" w:line="249" w:lineRule="auto"/>
        <w:tabs>
          <w:tab w:leader="none" w:pos="11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133"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E2231A"/>
              </w:rPr>
              <w:t>Pension Savings</w:t>
            </w:r>
          </w:p>
        </w:tc>
        <w:tc>
          <w:tcPr>
            <w:tcW w:w="180" w:type="dxa"/>
            <w:vAlign w:val="bottom"/>
          </w:tcPr>
          <w:p>
            <w:pPr>
              <w:spacing w:after="0"/>
              <w:rPr>
                <w:sz w:val="13"/>
                <w:szCs w:val="13"/>
                <w:color w:val="auto"/>
              </w:rPr>
            </w:pPr>
          </w:p>
        </w:tc>
        <w:tc>
          <w:tcPr>
            <w:tcW w:w="1520" w:type="dxa"/>
            <w:vAlign w:val="bottom"/>
          </w:tcPr>
          <w:p>
            <w:pPr>
              <w:jc w:val="right"/>
              <w:ind w:right="191"/>
              <w:spacing w:after="0"/>
              <w:rPr>
                <w:sz w:val="20"/>
                <w:szCs w:val="20"/>
                <w:color w:val="auto"/>
              </w:rPr>
            </w:pPr>
            <w:r>
              <w:rPr>
                <w:rFonts w:ascii="Arial" w:cs="Arial" w:eastAsia="Arial" w:hAnsi="Arial"/>
                <w:sz w:val="13"/>
                <w:szCs w:val="13"/>
                <w:b w:val="1"/>
                <w:bCs w:val="1"/>
                <w:color w:val="E2231A"/>
              </w:rPr>
              <w:t>Salaried Retirement</w:t>
            </w:r>
          </w:p>
        </w:tc>
        <w:tc>
          <w:tcPr>
            <w:tcW w:w="160" w:type="dxa"/>
            <w:vAlign w:val="bottom"/>
          </w:tcPr>
          <w:p>
            <w:pPr>
              <w:spacing w:after="0"/>
              <w:rPr>
                <w:sz w:val="13"/>
                <w:szCs w:val="13"/>
                <w:color w:val="auto"/>
              </w:rPr>
            </w:pPr>
          </w:p>
        </w:tc>
        <w:tc>
          <w:tcPr>
            <w:tcW w:w="1320" w:type="dxa"/>
            <w:vAlign w:val="bottom"/>
          </w:tcPr>
          <w:p>
            <w:pPr>
              <w:jc w:val="right"/>
              <w:ind w:right="71"/>
              <w:spacing w:after="0"/>
              <w:rPr>
                <w:sz w:val="20"/>
                <w:szCs w:val="20"/>
                <w:color w:val="auto"/>
              </w:rPr>
            </w:pPr>
            <w:r>
              <w:rPr>
                <w:rFonts w:ascii="Arial" w:cs="Arial" w:eastAsia="Arial" w:hAnsi="Arial"/>
                <w:sz w:val="13"/>
                <w:szCs w:val="13"/>
                <w:b w:val="1"/>
                <w:bCs w:val="1"/>
                <w:color w:val="E2231A"/>
                <w:w w:val="95"/>
              </w:rPr>
              <w:t>Retirement Savings</w:t>
            </w:r>
          </w:p>
        </w:tc>
        <w:tc>
          <w:tcPr>
            <w:tcW w:w="160" w:type="dxa"/>
            <w:vAlign w:val="bottom"/>
          </w:tcPr>
          <w:p>
            <w:pPr>
              <w:spacing w:after="0"/>
              <w:rPr>
                <w:sz w:val="13"/>
                <w:szCs w:val="13"/>
                <w:color w:val="auto"/>
              </w:rPr>
            </w:pPr>
          </w:p>
        </w:tc>
        <w:tc>
          <w:tcPr>
            <w:tcW w:w="1320" w:type="dxa"/>
            <w:vAlign w:val="bottom"/>
          </w:tcPr>
          <w:p>
            <w:pPr>
              <w:jc w:val="right"/>
              <w:ind w:right="71"/>
              <w:spacing w:after="0"/>
              <w:rPr>
                <w:sz w:val="20"/>
                <w:szCs w:val="20"/>
                <w:color w:val="auto"/>
              </w:rPr>
            </w:pPr>
            <w:r>
              <w:rPr>
                <w:rFonts w:ascii="Arial" w:cs="Arial" w:eastAsia="Arial" w:hAnsi="Arial"/>
                <w:sz w:val="13"/>
                <w:szCs w:val="13"/>
                <w:b w:val="1"/>
                <w:bCs w:val="1"/>
                <w:color w:val="E2231A"/>
                <w:w w:val="95"/>
              </w:rPr>
              <w:t>Retirement Savings</w:t>
            </w:r>
          </w:p>
        </w:tc>
      </w:tr>
      <w:tr>
        <w:trPr>
          <w:trHeight w:val="135"/>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91"/>
              <w:spacing w:after="0" w:line="135" w:lineRule="exact"/>
              <w:rPr>
                <w:sz w:val="20"/>
                <w:szCs w:val="20"/>
                <w:color w:val="auto"/>
              </w:rPr>
            </w:pPr>
            <w:r>
              <w:rPr>
                <w:rFonts w:ascii="Arial" w:cs="Arial" w:eastAsia="Arial" w:hAnsi="Arial"/>
                <w:sz w:val="13"/>
                <w:szCs w:val="13"/>
                <w:b w:val="1"/>
                <w:bCs w:val="1"/>
                <w:color w:val="E2231A"/>
                <w:w w:val="94"/>
              </w:rPr>
              <w:t>Plan Qualified</w:t>
            </w:r>
          </w:p>
        </w:tc>
        <w:tc>
          <w:tcPr>
            <w:tcW w:w="180" w:type="dxa"/>
            <w:vAlign w:val="bottom"/>
          </w:tcPr>
          <w:p>
            <w:pPr>
              <w:spacing w:after="0"/>
              <w:rPr>
                <w:sz w:val="11"/>
                <w:szCs w:val="11"/>
                <w:color w:val="auto"/>
              </w:rPr>
            </w:pPr>
          </w:p>
        </w:tc>
        <w:tc>
          <w:tcPr>
            <w:tcW w:w="1520" w:type="dxa"/>
            <w:vAlign w:val="bottom"/>
          </w:tcPr>
          <w:p>
            <w:pPr>
              <w:jc w:val="right"/>
              <w:ind w:right="151"/>
              <w:spacing w:after="0" w:line="135" w:lineRule="exact"/>
              <w:rPr>
                <w:sz w:val="20"/>
                <w:szCs w:val="20"/>
                <w:color w:val="auto"/>
              </w:rPr>
            </w:pPr>
            <w:r>
              <w:rPr>
                <w:rFonts w:ascii="Arial" w:cs="Arial" w:eastAsia="Arial" w:hAnsi="Arial"/>
                <w:sz w:val="13"/>
                <w:szCs w:val="13"/>
                <w:b w:val="1"/>
                <w:bCs w:val="1"/>
                <w:color w:val="E2231A"/>
                <w:w w:val="98"/>
              </w:rPr>
              <w:t>Restoration Program</w:t>
            </w:r>
          </w:p>
        </w:tc>
        <w:tc>
          <w:tcPr>
            <w:tcW w:w="160" w:type="dxa"/>
            <w:vAlign w:val="bottom"/>
          </w:tcPr>
          <w:p>
            <w:pPr>
              <w:spacing w:after="0"/>
              <w:rPr>
                <w:sz w:val="11"/>
                <w:szCs w:val="11"/>
                <w:color w:val="auto"/>
              </w:rPr>
            </w:pPr>
          </w:p>
        </w:tc>
        <w:tc>
          <w:tcPr>
            <w:tcW w:w="1320" w:type="dxa"/>
            <w:vAlign w:val="bottom"/>
          </w:tcPr>
          <w:p>
            <w:pPr>
              <w:jc w:val="right"/>
              <w:ind w:right="251"/>
              <w:spacing w:after="0" w:line="135" w:lineRule="exact"/>
              <w:rPr>
                <w:sz w:val="20"/>
                <w:szCs w:val="20"/>
                <w:color w:val="auto"/>
              </w:rPr>
            </w:pPr>
            <w:r>
              <w:rPr>
                <w:rFonts w:ascii="Arial" w:cs="Arial" w:eastAsia="Arial" w:hAnsi="Arial"/>
                <w:sz w:val="13"/>
                <w:szCs w:val="13"/>
                <w:b w:val="1"/>
                <w:bCs w:val="1"/>
                <w:color w:val="E2231A"/>
              </w:rPr>
              <w:t>Plan Qualified</w:t>
            </w:r>
          </w:p>
        </w:tc>
        <w:tc>
          <w:tcPr>
            <w:tcW w:w="160" w:type="dxa"/>
            <w:vAlign w:val="bottom"/>
          </w:tcPr>
          <w:p>
            <w:pPr>
              <w:spacing w:after="0"/>
              <w:rPr>
                <w:sz w:val="11"/>
                <w:szCs w:val="11"/>
                <w:color w:val="auto"/>
              </w:rPr>
            </w:pPr>
          </w:p>
        </w:tc>
        <w:tc>
          <w:tcPr>
            <w:tcW w:w="1320" w:type="dxa"/>
            <w:vAlign w:val="bottom"/>
          </w:tcPr>
          <w:p>
            <w:pPr>
              <w:jc w:val="right"/>
              <w:ind w:right="131"/>
              <w:spacing w:after="0" w:line="135" w:lineRule="exact"/>
              <w:rPr>
                <w:sz w:val="20"/>
                <w:szCs w:val="20"/>
                <w:color w:val="auto"/>
              </w:rPr>
            </w:pPr>
            <w:r>
              <w:rPr>
                <w:rFonts w:ascii="Arial" w:cs="Arial" w:eastAsia="Arial" w:hAnsi="Arial"/>
                <w:sz w:val="13"/>
                <w:szCs w:val="13"/>
                <w:b w:val="1"/>
                <w:bCs w:val="1"/>
                <w:color w:val="E2231A"/>
              </w:rPr>
              <w:t>Plan Nonqualified</w:t>
            </w:r>
          </w:p>
        </w:tc>
      </w:tr>
      <w:tr>
        <w:trPr>
          <w:trHeight w:val="157"/>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E2231A"/>
                <w:w w:val="99"/>
              </w:rPr>
              <w:t>Contribution</w:t>
            </w:r>
          </w:p>
        </w:tc>
        <w:tc>
          <w:tcPr>
            <w:tcW w:w="1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w w:val="99"/>
              </w:rPr>
              <w:t>Nonqualified Contribution</w:t>
            </w: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w w:val="99"/>
              </w:rPr>
              <w:t>Matching Contribution</w:t>
            </w: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w w:val="99"/>
              </w:rPr>
              <w:t>Matching Contribution</w:t>
            </w:r>
          </w:p>
        </w:tc>
      </w:tr>
      <w:tr>
        <w:trPr>
          <w:trHeight w:val="209"/>
        </w:trPr>
        <w:tc>
          <w:tcPr>
            <w:tcW w:w="330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25,450</w:t>
            </w:r>
          </w:p>
        </w:tc>
        <w:tc>
          <w:tcPr>
            <w:tcW w:w="18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241,318</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13,050</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89,130</w:t>
            </w:r>
          </w:p>
        </w:tc>
      </w:tr>
      <w:tr>
        <w:trPr>
          <w:trHeight w:val="230"/>
        </w:trPr>
        <w:tc>
          <w:tcPr>
            <w:tcW w:w="330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25,450</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89,707</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13,050</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38,445</w:t>
            </w:r>
          </w:p>
        </w:tc>
      </w:tr>
      <w:tr>
        <w:trPr>
          <w:trHeight w:val="229"/>
        </w:trPr>
        <w:tc>
          <w:tcPr>
            <w:tcW w:w="330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25,450</w:t>
            </w:r>
          </w:p>
        </w:tc>
        <w:tc>
          <w:tcPr>
            <w:tcW w:w="18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103,672</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13,050</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44,430</w:t>
            </w:r>
          </w:p>
        </w:tc>
      </w:tr>
      <w:tr>
        <w:trPr>
          <w:trHeight w:val="230"/>
        </w:trPr>
        <w:tc>
          <w:tcPr>
            <w:tcW w:w="330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25,450</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86,907</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13,050</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37,245</w:t>
            </w:r>
          </w:p>
        </w:tc>
      </w:tr>
      <w:tr>
        <w:trPr>
          <w:trHeight w:val="229"/>
        </w:trPr>
        <w:tc>
          <w:tcPr>
            <w:tcW w:w="33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1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18,180</w:t>
            </w:r>
          </w:p>
        </w:tc>
        <w:tc>
          <w:tcPr>
            <w:tcW w:w="18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51,763</w:t>
            </w:r>
          </w:p>
        </w:tc>
        <w:tc>
          <w:tcPr>
            <w:tcW w:w="1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13,050</w:t>
            </w:r>
          </w:p>
        </w:tc>
        <w:tc>
          <w:tcPr>
            <w:tcW w:w="1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31,058</w:t>
            </w:r>
          </w:p>
        </w:tc>
      </w:tr>
    </w:tbl>
    <w:p>
      <w:pPr>
        <w:spacing w:after="0" w:line="126" w:lineRule="exact"/>
        <w:rPr>
          <w:sz w:val="20"/>
          <w:szCs w:val="20"/>
          <w:color w:val="auto"/>
        </w:rPr>
      </w:pPr>
    </w:p>
    <w:p>
      <w:pPr>
        <w:ind w:left="1120" w:right="580" w:hanging="170"/>
        <w:spacing w:after="0" w:line="258" w:lineRule="auto"/>
        <w:tabs>
          <w:tab w:leader="none" w:pos="11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imputed income with respect to life insurance coverage in the following amounts: Mr. Scott, $3,612; Mr. Cardew, $1,932; Mr. Orsini, $1,260; Mr. DiDonato, $5,544; and Mr. Esposito, $1,932</w:t>
      </w:r>
    </w:p>
    <w:p>
      <w:pPr>
        <w:spacing w:after="0" w:line="99" w:lineRule="exact"/>
        <w:rPr>
          <w:rFonts w:ascii="Arial" w:cs="Arial" w:eastAsia="Arial" w:hAnsi="Arial"/>
          <w:sz w:val="14"/>
          <w:szCs w:val="14"/>
          <w:color w:val="auto"/>
        </w:rPr>
      </w:pPr>
    </w:p>
    <w:p>
      <w:pPr>
        <w:ind w:left="1120" w:hanging="170"/>
        <w:spacing w:after="0"/>
        <w:tabs>
          <w:tab w:leader="none" w:pos="11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$405 in life insurance premiums paid by the Company on behalf of each of our NEOs</w:t>
      </w:r>
    </w:p>
    <w:p>
      <w:pPr>
        <w:spacing w:after="0" w:line="122" w:lineRule="exact"/>
        <w:rPr>
          <w:rFonts w:ascii="Arial" w:cs="Arial" w:eastAsia="Arial" w:hAnsi="Arial"/>
          <w:sz w:val="14"/>
          <w:szCs w:val="14"/>
          <w:color w:val="auto"/>
        </w:rPr>
      </w:pPr>
    </w:p>
    <w:p>
      <w:pPr>
        <w:ind w:left="1120" w:hanging="170"/>
        <w:spacing w:after="0"/>
        <w:tabs>
          <w:tab w:leader="none" w:pos="11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$500 patent award for Mr. Orsini</w:t>
      </w:r>
    </w:p>
    <w:p>
      <w:pPr>
        <w:spacing w:after="0" w:line="122" w:lineRule="exact"/>
        <w:rPr>
          <w:rFonts w:ascii="Arial" w:cs="Arial" w:eastAsia="Arial" w:hAnsi="Arial"/>
          <w:sz w:val="14"/>
          <w:szCs w:val="14"/>
          <w:color w:val="auto"/>
        </w:rPr>
      </w:pPr>
    </w:p>
    <w:p>
      <w:pPr>
        <w:ind w:left="1120" w:hanging="170"/>
        <w:spacing w:after="0"/>
        <w:tabs>
          <w:tab w:leader="none" w:pos="11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aggregate incremental cost relating to Mr. Scott’s personal use of the Company’s aircraft of $44,671</w:t>
      </w:r>
    </w:p>
    <w:p>
      <w:pPr>
        <w:sectPr>
          <w:pgSz w:w="11900" w:h="16838" w:orient="portrait"/>
          <w:cols w:equalWidth="0" w:num="1">
            <w:col w:w="10540"/>
          </w:cols>
          <w:pgMar w:left="320" w:top="459" w:right="1039" w:bottom="1440" w:gutter="0" w:footer="0" w:header="0"/>
        </w:sectPr>
      </w:pP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We have entered into employment agreements with each of our Named Executive Officers. Each employment agreement specifies the annual base salary for the executive, which may be increased at the discretion of the P&amp;C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 time to time, for senior</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196"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Under the Retirement Savings Plan, each eligible employee may elect to contribute, on a pretax basis, a portion of his or her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executives of the Company generally. Under the employment agreements, if the Company reduces an executive’s base salary, adversely changes the manner of computing an executive’s incentive compensation opportunity, defers payment of his or her compensation or eliminates or substantially modifies his or her benefits, the executive would have a basis to invoke his or her rights under the agreement for termination for good reason. For a description of the severance provisions of the employment agreements, see “—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funds under the Retirement Savings Plan at any time. Company matching contributions generally become vested under the Retirement Savings Plan at a rate of 20% for each full year of service.</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w:t>
      </w:r>
    </w:p>
    <w:p>
      <w:pPr>
        <w:spacing w:after="0" w:line="2" w:lineRule="exact"/>
        <w:rPr>
          <w:sz w:val="20"/>
          <w:szCs w:val="20"/>
          <w:color w:val="auto"/>
        </w:rPr>
      </w:pPr>
    </w:p>
    <w:p>
      <w:pPr>
        <w:ind w:right="20" w:firstLine="3"/>
        <w:spacing w:after="0" w:line="250" w:lineRule="auto"/>
        <w:tabs>
          <w:tab w:leader="none" w:pos="225" w:val="left"/>
        </w:tabs>
        <w:numPr>
          <w:ilvl w:val="0"/>
          <w:numId w:val="95"/>
        </w:numPr>
        <w:rPr>
          <w:rFonts w:ascii="Arial" w:cs="Arial" w:eastAsia="Arial" w:hAnsi="Arial"/>
          <w:sz w:val="16"/>
          <w:szCs w:val="16"/>
          <w:color w:val="auto"/>
        </w:rPr>
      </w:pPr>
      <w:r>
        <w:rPr>
          <w:rFonts w:ascii="Arial" w:cs="Arial" w:eastAsia="Arial" w:hAnsi="Arial"/>
          <w:sz w:val="16"/>
          <w:szCs w:val="16"/>
          <w:color w:val="auto"/>
        </w:rPr>
        <w:t>from 4.5% to 12% of eligible compensation over the Social Security Taxable Wage Base. All Pension Savings Plan contributions are generally allocated semi-annually. Contributions generally become vested under the Pension Savings Plan at a rate of 20% for each full year of service.</w:t>
      </w:r>
    </w:p>
    <w:p>
      <w:pPr>
        <w:spacing w:after="0" w:line="200" w:lineRule="exact"/>
        <w:rPr>
          <w:sz w:val="20"/>
          <w:szCs w:val="20"/>
          <w:color w:val="auto"/>
        </w:rPr>
      </w:pPr>
    </w:p>
    <w:p>
      <w:pPr>
        <w:sectPr>
          <w:pgSz w:w="11900" w:h="16838" w:orient="portrait"/>
          <w:cols w:equalWidth="0" w:num="2">
            <w:col w:w="5420" w:space="300"/>
            <w:col w:w="4820"/>
          </w:cols>
          <w:pgMar w:left="320" w:top="459" w:right="1039" w:bottom="1440" w:gutter="0" w:footer="0" w:header="0"/>
          <w:type w:val="continuous"/>
        </w:sectPr>
      </w:pPr>
    </w:p>
    <w:p>
      <w:pPr>
        <w:spacing w:after="0" w:line="356" w:lineRule="exact"/>
        <w:rPr>
          <w:sz w:val="20"/>
          <w:szCs w:val="20"/>
          <w:color w:val="auto"/>
        </w:rPr>
      </w:pPr>
    </w:p>
    <w:p>
      <w:pPr>
        <w:ind w:left="780" w:hanging="393"/>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195580</wp:posOffset>
            </wp:positionV>
            <wp:extent cx="6292215"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FFFFFF"/>
        </w:rPr>
        <w:t>2021 Grants of Plan-Based Awards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discloses the grants of plan-based awards made to our Named Executive Officers in 2021.</w:t>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384"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E2231A"/>
                <w:w w:val="98"/>
              </w:rPr>
              <w:t>Estimated Possible Payouts</w:t>
            </w:r>
          </w:p>
        </w:tc>
        <w:tc>
          <w:tcPr>
            <w:tcW w:w="1700" w:type="dxa"/>
            <w:vAlign w:val="bottom"/>
            <w:gridSpan w:val="3"/>
          </w:tcPr>
          <w:p>
            <w:pPr>
              <w:jc w:val="center"/>
              <w:spacing w:after="0"/>
              <w:rPr>
                <w:sz w:val="20"/>
                <w:szCs w:val="20"/>
                <w:color w:val="auto"/>
              </w:rPr>
            </w:pPr>
            <w:r>
              <w:rPr>
                <w:rFonts w:ascii="Arial" w:cs="Arial" w:eastAsia="Arial" w:hAnsi="Arial"/>
                <w:sz w:val="11"/>
                <w:szCs w:val="11"/>
                <w:b w:val="1"/>
                <w:bCs w:val="1"/>
                <w:color w:val="E2231A"/>
                <w:w w:val="98"/>
              </w:rPr>
              <w:t>Estimated Future Payouts</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4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E2231A"/>
                <w:w w:val="97"/>
              </w:rPr>
              <w:t>Under Non-Equity Incentive Plan</w:t>
            </w:r>
          </w:p>
        </w:tc>
        <w:tc>
          <w:tcPr>
            <w:tcW w:w="17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E2231A"/>
                <w:w w:val="97"/>
              </w:rPr>
              <w:t>Under Equity Incentive Plan</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8"/>
              </w:rPr>
              <w:t>Awards</w:t>
            </w:r>
            <w:r>
              <w:rPr>
                <w:rFonts w:ascii="Arial" w:cs="Arial" w:eastAsia="Arial" w:hAnsi="Arial"/>
                <w:sz w:val="9"/>
                <w:szCs w:val="9"/>
                <w:b w:val="1"/>
                <w:bCs w:val="1"/>
                <w:color w:val="E2231A"/>
                <w:w w:val="98"/>
              </w:rPr>
              <w:t>(1)</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5"/>
              </w:rPr>
              <w:t>Awards</w:t>
            </w: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980" w:type="dxa"/>
            <w:vAlign w:val="bottom"/>
          </w:tcPr>
          <w:p>
            <w:pPr>
              <w:spacing w:after="0"/>
              <w:rPr>
                <w:sz w:val="24"/>
                <w:szCs w:val="24"/>
                <w:color w:val="auto"/>
              </w:rPr>
            </w:pPr>
          </w:p>
        </w:tc>
        <w:tc>
          <w:tcPr>
            <w:tcW w:w="1320" w:type="dxa"/>
            <w:vAlign w:val="bottom"/>
          </w:tcPr>
          <w:p>
            <w:pPr>
              <w:jc w:val="center"/>
              <w:ind w:left="182"/>
              <w:spacing w:after="0"/>
              <w:rPr>
                <w:sz w:val="20"/>
                <w:szCs w:val="20"/>
                <w:color w:val="auto"/>
              </w:rPr>
            </w:pPr>
            <w:r>
              <w:rPr>
                <w:rFonts w:ascii="Arial" w:cs="Arial" w:eastAsia="Arial" w:hAnsi="Arial"/>
                <w:sz w:val="12"/>
                <w:szCs w:val="12"/>
                <w:b w:val="1"/>
                <w:bCs w:val="1"/>
                <w:color w:val="E2231A"/>
                <w:w w:val="93"/>
              </w:rPr>
              <w:t>Type of</w:t>
            </w:r>
          </w:p>
        </w:tc>
        <w:tc>
          <w:tcPr>
            <w:tcW w:w="980" w:type="dxa"/>
            <w:vAlign w:val="bottom"/>
          </w:tcPr>
          <w:p>
            <w:pPr>
              <w:jc w:val="center"/>
              <w:ind w:left="82"/>
              <w:spacing w:after="0"/>
              <w:rPr>
                <w:sz w:val="20"/>
                <w:szCs w:val="20"/>
                <w:color w:val="auto"/>
              </w:rPr>
            </w:pPr>
            <w:r>
              <w:rPr>
                <w:rFonts w:ascii="Arial" w:cs="Arial" w:eastAsia="Arial" w:hAnsi="Arial"/>
                <w:sz w:val="12"/>
                <w:szCs w:val="12"/>
                <w:b w:val="1"/>
                <w:bCs w:val="1"/>
                <w:color w:val="E2231A"/>
                <w:w w:val="99"/>
              </w:rPr>
              <w:t>Grant</w:t>
            </w:r>
          </w:p>
        </w:tc>
        <w:tc>
          <w:tcPr>
            <w:tcW w:w="640" w:type="dxa"/>
            <w:vAlign w:val="bottom"/>
            <w:vMerge w:val="restart"/>
          </w:tcPr>
          <w:p>
            <w:pPr>
              <w:jc w:val="center"/>
              <w:ind w:right="24"/>
              <w:spacing w:after="0"/>
              <w:rPr>
                <w:sz w:val="20"/>
                <w:szCs w:val="20"/>
                <w:color w:val="auto"/>
              </w:rPr>
            </w:pPr>
            <w:r>
              <w:rPr>
                <w:rFonts w:ascii="Arial" w:cs="Arial" w:eastAsia="Arial" w:hAnsi="Arial"/>
                <w:sz w:val="12"/>
                <w:szCs w:val="12"/>
                <w:b w:val="1"/>
                <w:bCs w:val="1"/>
                <w:color w:val="E2231A"/>
                <w:w w:val="96"/>
              </w:rPr>
              <w:t>Threshold</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2"/>
              </w:rPr>
              <w:t>Target</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E2231A"/>
                <w:w w:val="97"/>
              </w:rPr>
              <w:t>Maximum</w:t>
            </w: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6"/>
              </w:rPr>
              <w:t>Threshold</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8"/>
              </w:rPr>
              <w:t>Target</w:t>
            </w:r>
          </w:p>
        </w:tc>
        <w:tc>
          <w:tcPr>
            <w:tcW w:w="600" w:type="dxa"/>
            <w:vAlign w:val="bottom"/>
            <w:vMerge w:val="restart"/>
          </w:tcPr>
          <w:p>
            <w:pPr>
              <w:jc w:val="center"/>
              <w:ind w:left="2"/>
              <w:spacing w:after="0"/>
              <w:rPr>
                <w:sz w:val="20"/>
                <w:szCs w:val="20"/>
                <w:color w:val="auto"/>
              </w:rPr>
            </w:pPr>
            <w:r>
              <w:rPr>
                <w:rFonts w:ascii="Arial" w:cs="Arial" w:eastAsia="Arial" w:hAnsi="Arial"/>
                <w:sz w:val="12"/>
                <w:szCs w:val="12"/>
                <w:b w:val="1"/>
                <w:bCs w:val="1"/>
                <w:color w:val="E2231A"/>
                <w:w w:val="97"/>
              </w:rPr>
              <w:t>Maximum</w:t>
            </w: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20"/>
                <w:szCs w:val="20"/>
                <w:color w:val="auto"/>
              </w:rPr>
            </w:pPr>
            <w:r>
              <w:rPr>
                <w:rFonts w:ascii="Arial" w:cs="Arial" w:eastAsia="Arial" w:hAnsi="Arial"/>
                <w:sz w:val="11"/>
                <w:szCs w:val="11"/>
                <w:b w:val="1"/>
                <w:bCs w:val="1"/>
                <w:color w:val="E2231A"/>
              </w:rPr>
              <w:t>Name</w:t>
            </w:r>
            <w:r>
              <w:rPr>
                <w:rFonts w:ascii="Arial" w:cs="Arial" w:eastAsia="Arial" w:hAnsi="Arial"/>
                <w:sz w:val="9"/>
                <w:szCs w:val="9"/>
                <w:b w:val="1"/>
                <w:bCs w:val="1"/>
                <w:color w:val="E2231A"/>
              </w:rPr>
              <w:t>(a)</w:t>
            </w:r>
          </w:p>
        </w:tc>
        <w:tc>
          <w:tcPr>
            <w:tcW w:w="1320" w:type="dxa"/>
            <w:vAlign w:val="bottom"/>
            <w:vMerge w:val="restart"/>
          </w:tcPr>
          <w:p>
            <w:pPr>
              <w:jc w:val="center"/>
              <w:ind w:left="182"/>
              <w:spacing w:after="0"/>
              <w:rPr>
                <w:sz w:val="20"/>
                <w:szCs w:val="20"/>
                <w:color w:val="auto"/>
              </w:rPr>
            </w:pPr>
            <w:r>
              <w:rPr>
                <w:rFonts w:ascii="Arial" w:cs="Arial" w:eastAsia="Arial" w:hAnsi="Arial"/>
                <w:sz w:val="12"/>
                <w:szCs w:val="12"/>
                <w:b w:val="1"/>
                <w:bCs w:val="1"/>
                <w:color w:val="E2231A"/>
                <w:w w:val="98"/>
              </w:rPr>
              <w:t>Award</w:t>
            </w:r>
          </w:p>
        </w:tc>
        <w:tc>
          <w:tcPr>
            <w:tcW w:w="980" w:type="dxa"/>
            <w:vAlign w:val="bottom"/>
            <w:vMerge w:val="restart"/>
          </w:tcPr>
          <w:p>
            <w:pPr>
              <w:jc w:val="center"/>
              <w:ind w:left="82"/>
              <w:spacing w:after="0"/>
              <w:rPr>
                <w:sz w:val="20"/>
                <w:szCs w:val="20"/>
                <w:color w:val="auto"/>
              </w:rPr>
            </w:pPr>
            <w:r>
              <w:rPr>
                <w:rFonts w:ascii="Arial" w:cs="Arial" w:eastAsia="Arial" w:hAnsi="Arial"/>
                <w:sz w:val="12"/>
                <w:szCs w:val="12"/>
                <w:b w:val="1"/>
                <w:bCs w:val="1"/>
                <w:color w:val="E2231A"/>
                <w:w w:val="98"/>
              </w:rPr>
              <w:t>Date (b)</w:t>
            </w: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9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640" w:type="dxa"/>
            <w:vAlign w:val="bottom"/>
            <w:vMerge w:val="restart"/>
          </w:tcPr>
          <w:p>
            <w:pPr>
              <w:jc w:val="center"/>
              <w:ind w:right="24"/>
              <w:spacing w:after="0"/>
              <w:rPr>
                <w:sz w:val="20"/>
                <w:szCs w:val="20"/>
                <w:color w:val="auto"/>
              </w:rPr>
            </w:pPr>
            <w:r>
              <w:rPr>
                <w:rFonts w:ascii="Arial" w:cs="Arial" w:eastAsia="Arial" w:hAnsi="Arial"/>
                <w:sz w:val="12"/>
                <w:szCs w:val="12"/>
                <w:b w:val="1"/>
                <w:bCs w:val="1"/>
                <w:color w:val="E2231A"/>
              </w:rPr>
              <w:t>(c)</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1"/>
              </w:rPr>
              <w:t>(d)</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E2231A"/>
                <w:w w:val="95"/>
              </w:rPr>
              <w:t>(e)</w:t>
            </w:r>
          </w:p>
        </w:tc>
        <w:tc>
          <w:tcPr>
            <w:tcW w:w="600" w:type="dxa"/>
            <w:vAlign w:val="bottom"/>
            <w:vMerge w:val="restart"/>
          </w:tcPr>
          <w:p>
            <w:pPr>
              <w:jc w:val="center"/>
              <w:ind w:right="4"/>
              <w:spacing w:after="0"/>
              <w:rPr>
                <w:sz w:val="20"/>
                <w:szCs w:val="20"/>
                <w:color w:val="auto"/>
              </w:rPr>
            </w:pPr>
            <w:r>
              <w:rPr>
                <w:rFonts w:ascii="Arial" w:cs="Arial" w:eastAsia="Arial" w:hAnsi="Arial"/>
                <w:sz w:val="12"/>
                <w:szCs w:val="12"/>
                <w:b w:val="1"/>
                <w:bCs w:val="1"/>
                <w:color w:val="E2231A"/>
                <w:w w:val="97"/>
              </w:rPr>
              <w:t>(f)(#)</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3"/>
              </w:rPr>
              <w:t>(g)(#)</w:t>
            </w:r>
          </w:p>
        </w:tc>
        <w:tc>
          <w:tcPr>
            <w:tcW w:w="600" w:type="dxa"/>
            <w:vAlign w:val="bottom"/>
            <w:vMerge w:val="restart"/>
          </w:tcPr>
          <w:p>
            <w:pPr>
              <w:jc w:val="center"/>
              <w:ind w:left="2"/>
              <w:spacing w:after="0"/>
              <w:rPr>
                <w:sz w:val="20"/>
                <w:szCs w:val="20"/>
                <w:color w:val="auto"/>
              </w:rPr>
            </w:pPr>
            <w:r>
              <w:rPr>
                <w:rFonts w:ascii="Arial" w:cs="Arial" w:eastAsia="Arial" w:hAnsi="Arial"/>
                <w:sz w:val="12"/>
                <w:szCs w:val="12"/>
                <w:b w:val="1"/>
                <w:bCs w:val="1"/>
                <w:color w:val="E2231A"/>
                <w:w w:val="99"/>
              </w:rPr>
              <w:t>(h)(#)</w:t>
            </w:r>
          </w:p>
        </w:tc>
        <w:tc>
          <w:tcPr>
            <w:tcW w:w="0" w:type="dxa"/>
            <w:vAlign w:val="bottom"/>
          </w:tcPr>
          <w:p>
            <w:pPr>
              <w:spacing w:after="0"/>
              <w:rPr>
                <w:sz w:val="1"/>
                <w:szCs w:val="1"/>
                <w:color w:val="auto"/>
              </w:rPr>
            </w:pPr>
          </w:p>
        </w:tc>
      </w:tr>
      <w:tr>
        <w:trPr>
          <w:trHeight w:val="74"/>
        </w:trPr>
        <w:tc>
          <w:tcPr>
            <w:tcW w:w="9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jc w:val="center"/>
              <w:ind w:right="2"/>
              <w:spacing w:after="0"/>
              <w:rPr>
                <w:sz w:val="20"/>
                <w:szCs w:val="20"/>
                <w:color w:val="auto"/>
              </w:rPr>
            </w:pPr>
            <w:r>
              <w:rPr>
                <w:rFonts w:ascii="Arial" w:cs="Arial" w:eastAsia="Arial" w:hAnsi="Arial"/>
                <w:sz w:val="12"/>
                <w:szCs w:val="12"/>
                <w:b w:val="1"/>
                <w:bCs w:val="1"/>
                <w:color w:val="E2231A"/>
                <w:w w:val="90"/>
              </w:rPr>
              <w:t>All</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5"/>
        </w:trPr>
        <w:tc>
          <w:tcPr>
            <w:tcW w:w="6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E2231A"/>
                <w:w w:val="93"/>
              </w:rPr>
              <w:t>Other</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8"/>
              </w:rPr>
              <w:t>All Other</w:t>
            </w:r>
          </w:p>
        </w:tc>
        <w:tc>
          <w:tcPr>
            <w:tcW w:w="600" w:type="dxa"/>
            <w:vAlign w:val="bottom"/>
          </w:tcPr>
          <w:p>
            <w:pPr>
              <w:spacing w:after="0"/>
              <w:rPr>
                <w:sz w:val="11"/>
                <w:szCs w:val="11"/>
                <w:color w:val="auto"/>
              </w:rPr>
            </w:pPr>
          </w:p>
        </w:tc>
        <w:tc>
          <w:tcPr>
            <w:tcW w:w="60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w w:val="93"/>
              </w:rPr>
              <w:t>Grant</w:t>
            </w:r>
          </w:p>
        </w:tc>
      </w:tr>
      <w:tr>
        <w:trPr>
          <w:trHeight w:val="135"/>
        </w:trPr>
        <w:tc>
          <w:tcPr>
            <w:tcW w:w="64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E2231A"/>
                <w:w w:val="97"/>
              </w:rPr>
              <w:t>Stock</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8"/>
              </w:rPr>
              <w:t>Option</w:t>
            </w:r>
          </w:p>
        </w:tc>
        <w:tc>
          <w:tcPr>
            <w:tcW w:w="600" w:type="dxa"/>
            <w:vAlign w:val="bottom"/>
          </w:tcPr>
          <w:p>
            <w:pPr>
              <w:spacing w:after="0"/>
              <w:rPr>
                <w:sz w:val="11"/>
                <w:szCs w:val="11"/>
                <w:color w:val="auto"/>
              </w:rPr>
            </w:pPr>
          </w:p>
        </w:tc>
        <w:tc>
          <w:tcPr>
            <w:tcW w:w="60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w w:val="99"/>
              </w:rPr>
              <w:t>Date</w:t>
            </w:r>
          </w:p>
        </w:tc>
      </w:tr>
      <w:tr>
        <w:trPr>
          <w:trHeight w:val="135"/>
        </w:trPr>
        <w:tc>
          <w:tcPr>
            <w:tcW w:w="6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E2231A"/>
                <w:w w:val="97"/>
              </w:rPr>
              <w:t>Awards:</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Awards:</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Exercise</w:t>
            </w:r>
          </w:p>
        </w:tc>
        <w:tc>
          <w:tcPr>
            <w:tcW w:w="60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w w:val="98"/>
              </w:rPr>
              <w:t>Value of</w:t>
            </w:r>
          </w:p>
        </w:tc>
      </w:tr>
      <w:tr>
        <w:trPr>
          <w:trHeight w:val="135"/>
        </w:trPr>
        <w:tc>
          <w:tcPr>
            <w:tcW w:w="6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E2231A"/>
                <w:w w:val="96"/>
              </w:rPr>
              <w:t>Number of</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Number of</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9"/>
              </w:rPr>
              <w:t>Price of</w:t>
            </w:r>
          </w:p>
        </w:tc>
        <w:tc>
          <w:tcPr>
            <w:tcW w:w="60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E2231A"/>
                <w:w w:val="97"/>
              </w:rPr>
              <w:t>Stock</w:t>
            </w:r>
          </w:p>
        </w:tc>
      </w:tr>
      <w:tr>
        <w:trPr>
          <w:trHeight w:val="135"/>
        </w:trPr>
        <w:tc>
          <w:tcPr>
            <w:tcW w:w="6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E2231A"/>
                <w:w w:val="94"/>
              </w:rPr>
              <w:t>Shares</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Securities</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8"/>
              </w:rPr>
              <w:t>Option</w:t>
            </w:r>
          </w:p>
        </w:tc>
        <w:tc>
          <w:tcPr>
            <w:tcW w:w="60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rPr>
              <w:t>and</w:t>
            </w:r>
          </w:p>
        </w:tc>
      </w:tr>
      <w:tr>
        <w:trPr>
          <w:trHeight w:val="135"/>
        </w:trPr>
        <w:tc>
          <w:tcPr>
            <w:tcW w:w="6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E2231A"/>
                <w:w w:val="97"/>
              </w:rPr>
              <w:t>of Stock</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8"/>
              </w:rPr>
              <w:t>Underlying</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Awards</w:t>
            </w:r>
          </w:p>
        </w:tc>
        <w:tc>
          <w:tcPr>
            <w:tcW w:w="60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w w:val="98"/>
              </w:rPr>
              <w:t>Option</w:t>
            </w:r>
          </w:p>
        </w:tc>
      </w:tr>
      <w:tr>
        <w:trPr>
          <w:trHeight w:val="135"/>
        </w:trPr>
        <w:tc>
          <w:tcPr>
            <w:tcW w:w="64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E2231A"/>
                <w:w w:val="96"/>
              </w:rPr>
              <w:t>or Units</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Options</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(k)($/</w:t>
            </w:r>
          </w:p>
        </w:tc>
        <w:tc>
          <w:tcPr>
            <w:tcW w:w="60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(2)</w:t>
            </w:r>
          </w:p>
        </w:tc>
      </w:tr>
      <w:tr>
        <w:trPr>
          <w:trHeight w:val="154"/>
        </w:trPr>
        <w:tc>
          <w:tcPr>
            <w:tcW w:w="640" w:type="dxa"/>
            <w:vAlign w:val="bottom"/>
          </w:tcPr>
          <w:p>
            <w:pPr>
              <w:jc w:val="center"/>
              <w:ind w:right="2"/>
              <w:spacing w:after="0"/>
              <w:rPr>
                <w:sz w:val="20"/>
                <w:szCs w:val="20"/>
                <w:color w:val="auto"/>
              </w:rPr>
            </w:pPr>
            <w:r>
              <w:rPr>
                <w:rFonts w:ascii="Arial" w:cs="Arial" w:eastAsia="Arial" w:hAnsi="Arial"/>
                <w:sz w:val="12"/>
                <w:szCs w:val="12"/>
                <w:b w:val="1"/>
                <w:bCs w:val="1"/>
                <w:color w:val="E2231A"/>
                <w:w w:val="99"/>
              </w:rPr>
              <w:t>(i)(#)</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E2231A"/>
                <w:w w:val="99"/>
              </w:rPr>
              <w:t>(j)(#)</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E2231A"/>
              </w:rPr>
              <w:t>Sh)</w:t>
            </w:r>
          </w:p>
        </w:tc>
        <w:tc>
          <w:tcPr>
            <w:tcW w:w="600" w:type="dxa"/>
            <w:vAlign w:val="bottom"/>
          </w:tcPr>
          <w:p>
            <w:pPr>
              <w:jc w:val="center"/>
              <w:ind w:left="2"/>
              <w:spacing w:after="0"/>
              <w:rPr>
                <w:sz w:val="20"/>
                <w:szCs w:val="20"/>
                <w:color w:val="auto"/>
              </w:rPr>
            </w:pPr>
            <w:r>
              <w:rPr>
                <w:rFonts w:ascii="Arial" w:cs="Arial" w:eastAsia="Arial" w:hAnsi="Arial"/>
                <w:sz w:val="12"/>
                <w:szCs w:val="12"/>
                <w:b w:val="1"/>
                <w:bCs w:val="1"/>
                <w:color w:val="E2231A"/>
                <w:w w:val="87"/>
              </w:rPr>
              <w:t>(l)</w:t>
            </w:r>
          </w:p>
        </w:tc>
      </w:tr>
    </w:tbl>
    <w:p>
      <w:pPr>
        <w:spacing w:after="0" w:line="74" w:lineRule="exact"/>
        <w:rPr>
          <w:sz w:val="20"/>
          <w:szCs w:val="20"/>
          <w:color w:val="auto"/>
        </w:rPr>
      </w:pPr>
    </w:p>
    <w:p>
      <w:pPr>
        <w:sectPr>
          <w:pgSz w:w="11900" w:h="16838" w:orient="portrait"/>
          <w:cols w:equalWidth="0" w:num="2">
            <w:col w:w="7680" w:space="100"/>
            <w:col w:w="3080"/>
          </w:cols>
          <w:pgMar w:left="320" w:top="459" w:right="719" w:bottom="1440" w:gutter="0" w:footer="0" w:header="0"/>
          <w:type w:val="continuous"/>
        </w:sectPr>
      </w:pPr>
    </w:p>
    <w:tbl>
      <w:tblPr>
        <w:tblLayout w:type="fixed"/>
        <w:tblInd w:w="660" w:type="dxa"/>
        <w:tblCellMar>
          <w:top w:w="0" w:type="dxa"/>
          <w:left w:w="0" w:type="dxa"/>
          <w:bottom w:w="0" w:type="dxa"/>
          <w:right w:w="0" w:type="dxa"/>
        </w:tblCellMar>
      </w:tblPr>
      <w:tr>
        <w:trPr>
          <w:trHeight w:val="185"/>
        </w:trPr>
        <w:tc>
          <w:tcPr>
            <w:tcW w:w="960" w:type="dxa"/>
            <w:vAlign w:val="bottom"/>
            <w:tcBorders>
              <w:top w:val="single" w:sz="8" w:color="auto"/>
            </w:tcBorders>
            <w:shd w:val="clear" w:color="auto" w:fill="FCE9E8"/>
          </w:tcPr>
          <w:p>
            <w:pPr>
              <w:ind w:left="80"/>
              <w:spacing w:after="0"/>
              <w:rPr>
                <w:sz w:val="20"/>
                <w:szCs w:val="20"/>
                <w:color w:val="auto"/>
              </w:rPr>
            </w:pPr>
            <w:r>
              <w:rPr>
                <w:rFonts w:ascii="Arial" w:cs="Arial" w:eastAsia="Arial" w:hAnsi="Arial"/>
                <w:sz w:val="12"/>
                <w:szCs w:val="12"/>
                <w:color w:val="auto"/>
              </w:rPr>
              <w:t>Raymond E.</w:t>
            </w:r>
          </w:p>
        </w:tc>
        <w:tc>
          <w:tcPr>
            <w:tcW w:w="1540" w:type="dxa"/>
            <w:vAlign w:val="bottom"/>
            <w:tcBorders>
              <w:top w:val="single" w:sz="8" w:color="auto"/>
            </w:tcBorders>
            <w:shd w:val="clear" w:color="auto" w:fill="FCE9E8"/>
          </w:tcPr>
          <w:p>
            <w:pPr>
              <w:spacing w:after="0"/>
              <w:rPr>
                <w:sz w:val="16"/>
                <w:szCs w:val="16"/>
                <w:color w:val="auto"/>
              </w:rPr>
            </w:pPr>
          </w:p>
        </w:tc>
        <w:tc>
          <w:tcPr>
            <w:tcW w:w="720" w:type="dxa"/>
            <w:vAlign w:val="bottom"/>
            <w:tcBorders>
              <w:top w:val="single" w:sz="8" w:color="auto"/>
            </w:tcBorders>
            <w:shd w:val="clear" w:color="auto" w:fill="FCE9E8"/>
          </w:tcPr>
          <w:p>
            <w:pPr>
              <w:spacing w:after="0"/>
              <w:rPr>
                <w:sz w:val="16"/>
                <w:szCs w:val="16"/>
                <w:color w:val="auto"/>
              </w:rPr>
            </w:pPr>
          </w:p>
        </w:tc>
        <w:tc>
          <w:tcPr>
            <w:tcW w:w="160" w:type="dxa"/>
            <w:vAlign w:val="bottom"/>
            <w:tcBorders>
              <w:top w:val="single" w:sz="8" w:color="auto"/>
            </w:tcBorders>
            <w:shd w:val="clear" w:color="auto" w:fill="FCE9E8"/>
          </w:tcPr>
          <w:p>
            <w:pPr>
              <w:spacing w:after="0"/>
              <w:rPr>
                <w:sz w:val="16"/>
                <w:szCs w:val="16"/>
                <w:color w:val="auto"/>
              </w:rPr>
            </w:pPr>
          </w:p>
        </w:tc>
        <w:tc>
          <w:tcPr>
            <w:tcW w:w="520" w:type="dxa"/>
            <w:vAlign w:val="bottom"/>
            <w:tcBorders>
              <w:top w:val="single" w:sz="8" w:color="auto"/>
            </w:tcBorders>
            <w:shd w:val="clear" w:color="auto" w:fill="FCE9E8"/>
          </w:tcPr>
          <w:p>
            <w:pPr>
              <w:spacing w:after="0"/>
              <w:rPr>
                <w:sz w:val="16"/>
                <w:szCs w:val="16"/>
                <w:color w:val="auto"/>
              </w:rPr>
            </w:pPr>
          </w:p>
        </w:tc>
        <w:tc>
          <w:tcPr>
            <w:tcW w:w="100" w:type="dxa"/>
            <w:vAlign w:val="bottom"/>
            <w:tcBorders>
              <w:top w:val="single" w:sz="8" w:color="auto"/>
            </w:tcBorders>
            <w:shd w:val="clear" w:color="auto" w:fill="FCE9E8"/>
          </w:tcPr>
          <w:p>
            <w:pPr>
              <w:spacing w:after="0"/>
              <w:rPr>
                <w:sz w:val="16"/>
                <w:szCs w:val="16"/>
                <w:color w:val="auto"/>
              </w:rPr>
            </w:pPr>
          </w:p>
        </w:tc>
        <w:tc>
          <w:tcPr>
            <w:tcW w:w="580" w:type="dxa"/>
            <w:vAlign w:val="bottom"/>
            <w:tcBorders>
              <w:top w:val="single" w:sz="8" w:color="auto"/>
            </w:tcBorders>
            <w:shd w:val="clear" w:color="auto" w:fill="FCE9E8"/>
          </w:tcPr>
          <w:p>
            <w:pPr>
              <w:spacing w:after="0"/>
              <w:rPr>
                <w:sz w:val="16"/>
                <w:szCs w:val="16"/>
                <w:color w:val="auto"/>
              </w:rPr>
            </w:pPr>
          </w:p>
        </w:tc>
        <w:tc>
          <w:tcPr>
            <w:tcW w:w="1380" w:type="dxa"/>
            <w:vAlign w:val="bottom"/>
            <w:tcBorders>
              <w:top w:val="single" w:sz="8" w:color="auto"/>
            </w:tcBorders>
            <w:shd w:val="clear" w:color="auto" w:fill="FCE9E8"/>
          </w:tcPr>
          <w:p>
            <w:pPr>
              <w:spacing w:after="0"/>
              <w:rPr>
                <w:sz w:val="16"/>
                <w:szCs w:val="16"/>
                <w:color w:val="auto"/>
              </w:rPr>
            </w:pPr>
          </w:p>
        </w:tc>
        <w:tc>
          <w:tcPr>
            <w:tcW w:w="560" w:type="dxa"/>
            <w:vAlign w:val="bottom"/>
            <w:tcBorders>
              <w:top w:val="single" w:sz="8" w:color="auto"/>
            </w:tcBorders>
            <w:shd w:val="clear" w:color="auto" w:fill="FCE9E8"/>
          </w:tcPr>
          <w:p>
            <w:pPr>
              <w:spacing w:after="0"/>
              <w:rPr>
                <w:sz w:val="16"/>
                <w:szCs w:val="16"/>
                <w:color w:val="auto"/>
              </w:rPr>
            </w:pPr>
          </w:p>
        </w:tc>
        <w:tc>
          <w:tcPr>
            <w:tcW w:w="1940" w:type="dxa"/>
            <w:vAlign w:val="bottom"/>
            <w:tcBorders>
              <w:top w:val="single" w:sz="8" w:color="auto"/>
            </w:tcBorders>
            <w:shd w:val="clear" w:color="auto" w:fill="FCE9E8"/>
          </w:tcPr>
          <w:p>
            <w:pPr>
              <w:spacing w:after="0"/>
              <w:rPr>
                <w:sz w:val="16"/>
                <w:szCs w:val="16"/>
                <w:color w:val="auto"/>
              </w:rPr>
            </w:pPr>
          </w:p>
        </w:tc>
        <w:tc>
          <w:tcPr>
            <w:tcW w:w="160" w:type="dxa"/>
            <w:vAlign w:val="bottom"/>
            <w:tcBorders>
              <w:top w:val="single" w:sz="8" w:color="auto"/>
            </w:tcBorders>
            <w:shd w:val="clear" w:color="auto" w:fill="FCE9E8"/>
          </w:tcPr>
          <w:p>
            <w:pPr>
              <w:spacing w:after="0"/>
              <w:rPr>
                <w:sz w:val="16"/>
                <w:szCs w:val="16"/>
                <w:color w:val="auto"/>
              </w:rPr>
            </w:pPr>
          </w:p>
        </w:tc>
        <w:tc>
          <w:tcPr>
            <w:tcW w:w="420" w:type="dxa"/>
            <w:vAlign w:val="bottom"/>
            <w:tcBorders>
              <w:top w:val="single" w:sz="8" w:color="auto"/>
            </w:tcBorders>
            <w:shd w:val="clear" w:color="auto" w:fill="FCE9E8"/>
          </w:tcPr>
          <w:p>
            <w:pPr>
              <w:spacing w:after="0"/>
              <w:rPr>
                <w:sz w:val="16"/>
                <w:szCs w:val="16"/>
                <w:color w:val="auto"/>
              </w:rPr>
            </w:pPr>
          </w:p>
        </w:tc>
        <w:tc>
          <w:tcPr>
            <w:tcW w:w="120" w:type="dxa"/>
            <w:vAlign w:val="bottom"/>
            <w:tcBorders>
              <w:top w:val="single" w:sz="8" w:color="auto"/>
            </w:tcBorders>
            <w:shd w:val="clear" w:color="auto" w:fill="FCE9E8"/>
          </w:tcPr>
          <w:p>
            <w:pPr>
              <w:spacing w:after="0"/>
              <w:rPr>
                <w:sz w:val="16"/>
                <w:szCs w:val="16"/>
                <w:color w:val="auto"/>
              </w:rPr>
            </w:pPr>
          </w:p>
        </w:tc>
        <w:tc>
          <w:tcPr>
            <w:tcW w:w="760" w:type="dxa"/>
            <w:vAlign w:val="bottom"/>
            <w:tcBorders>
              <w:top w:val="single" w:sz="8" w:color="auto"/>
            </w:tcBorders>
            <w:shd w:val="clear" w:color="auto" w:fill="FCE9E8"/>
          </w:tcPr>
          <w:p>
            <w:pPr>
              <w:spacing w:after="0"/>
              <w:rPr>
                <w:sz w:val="16"/>
                <w:szCs w:val="16"/>
                <w:color w:val="auto"/>
              </w:rPr>
            </w:pPr>
          </w:p>
        </w:tc>
      </w:tr>
      <w:tr>
        <w:trPr>
          <w:trHeight w:val="133"/>
        </w:trPr>
        <w:tc>
          <w:tcPr>
            <w:tcW w:w="960" w:type="dxa"/>
            <w:vAlign w:val="bottom"/>
            <w:shd w:val="clear" w:color="auto" w:fill="FCE9E8"/>
          </w:tcPr>
          <w:p>
            <w:pPr>
              <w:ind w:left="80"/>
              <w:spacing w:after="0" w:line="133" w:lineRule="exact"/>
              <w:rPr>
                <w:sz w:val="20"/>
                <w:szCs w:val="20"/>
                <w:color w:val="auto"/>
              </w:rPr>
            </w:pPr>
            <w:r>
              <w:rPr>
                <w:rFonts w:ascii="Arial" w:cs="Arial" w:eastAsia="Arial" w:hAnsi="Arial"/>
                <w:sz w:val="12"/>
                <w:szCs w:val="12"/>
                <w:color w:val="auto"/>
              </w:rPr>
              <w:t>Scott</w:t>
            </w:r>
          </w:p>
        </w:tc>
        <w:tc>
          <w:tcPr>
            <w:tcW w:w="154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Annual Incentive Award</w:t>
            </w:r>
          </w:p>
        </w:tc>
        <w:tc>
          <w:tcPr>
            <w:tcW w:w="72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FCE9E8"/>
          </w:tcPr>
          <w:p>
            <w:pPr>
              <w:jc w:val="right"/>
              <w:ind w:right="2"/>
              <w:spacing w:after="0" w:line="133" w:lineRule="exact"/>
              <w:rPr>
                <w:sz w:val="20"/>
                <w:szCs w:val="20"/>
                <w:color w:val="auto"/>
              </w:rPr>
            </w:pPr>
            <w:r>
              <w:rPr>
                <w:rFonts w:ascii="Arial" w:cs="Arial" w:eastAsia="Arial" w:hAnsi="Arial"/>
                <w:sz w:val="12"/>
                <w:szCs w:val="12"/>
                <w:color w:val="auto"/>
              </w:rPr>
              <w:t>952,500</w:t>
            </w:r>
          </w:p>
        </w:tc>
        <w:tc>
          <w:tcPr>
            <w:tcW w:w="10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w w:val="97"/>
              </w:rPr>
              <w:t>1,905,000</w:t>
            </w:r>
          </w:p>
        </w:tc>
        <w:tc>
          <w:tcPr>
            <w:tcW w:w="1380" w:type="dxa"/>
            <w:vAlign w:val="bottom"/>
            <w:shd w:val="clear" w:color="auto" w:fill="FCE9E8"/>
          </w:tcPr>
          <w:p>
            <w:pPr>
              <w:jc w:val="right"/>
              <w:ind w:right="682"/>
              <w:spacing w:after="0" w:line="133" w:lineRule="exact"/>
              <w:rPr>
                <w:sz w:val="20"/>
                <w:szCs w:val="20"/>
                <w:color w:val="auto"/>
              </w:rPr>
            </w:pPr>
            <w:r>
              <w:rPr>
                <w:rFonts w:ascii="Arial" w:cs="Arial" w:eastAsia="Arial" w:hAnsi="Arial"/>
                <w:sz w:val="12"/>
                <w:szCs w:val="12"/>
                <w:color w:val="auto"/>
              </w:rPr>
              <w:t>$3,810,000</w:t>
            </w:r>
          </w:p>
        </w:tc>
        <w:tc>
          <w:tcPr>
            <w:tcW w:w="560" w:type="dxa"/>
            <w:vAlign w:val="bottom"/>
            <w:shd w:val="clear" w:color="auto" w:fill="FCE9E8"/>
          </w:tcPr>
          <w:p>
            <w:pPr>
              <w:spacing w:after="0"/>
              <w:rPr>
                <w:sz w:val="11"/>
                <w:szCs w:val="11"/>
                <w:color w:val="auto"/>
              </w:rPr>
            </w:pPr>
          </w:p>
        </w:tc>
        <w:tc>
          <w:tcPr>
            <w:tcW w:w="194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4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60" w:type="dxa"/>
            <w:vAlign w:val="bottom"/>
            <w:shd w:val="clear" w:color="auto" w:fill="FCE9E8"/>
          </w:tcPr>
          <w:p>
            <w:pPr>
              <w:spacing w:after="0"/>
              <w:rPr>
                <w:sz w:val="11"/>
                <w:szCs w:val="1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1/4/2021</w:t>
            </w:r>
          </w:p>
        </w:tc>
        <w:tc>
          <w:tcPr>
            <w:tcW w:w="16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138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rPr>
              <w:t>16,006</w:t>
            </w:r>
          </w:p>
        </w:tc>
        <w:tc>
          <w:tcPr>
            <w:tcW w:w="560" w:type="dxa"/>
            <w:vAlign w:val="bottom"/>
            <w:shd w:val="clear" w:color="auto" w:fill="FCE9E8"/>
          </w:tcPr>
          <w:p>
            <w:pPr>
              <w:jc w:val="right"/>
              <w:ind w:right="82"/>
              <w:spacing w:after="0"/>
              <w:rPr>
                <w:sz w:val="20"/>
                <w:szCs w:val="20"/>
                <w:color w:val="auto"/>
              </w:rPr>
            </w:pPr>
            <w:r>
              <w:rPr>
                <w:rFonts w:ascii="Arial" w:cs="Arial" w:eastAsia="Arial" w:hAnsi="Arial"/>
                <w:sz w:val="12"/>
                <w:szCs w:val="12"/>
                <w:color w:val="auto"/>
              </w:rPr>
              <w:t>32,012</w:t>
            </w:r>
          </w:p>
        </w:tc>
        <w:tc>
          <w:tcPr>
            <w:tcW w:w="1940" w:type="dxa"/>
            <w:vAlign w:val="bottom"/>
            <w:shd w:val="clear" w:color="auto" w:fill="FCE9E8"/>
          </w:tcPr>
          <w:p>
            <w:pPr>
              <w:jc w:val="right"/>
              <w:ind w:right="1382"/>
              <w:spacing w:after="0"/>
              <w:rPr>
                <w:sz w:val="20"/>
                <w:szCs w:val="20"/>
                <w:color w:val="auto"/>
              </w:rPr>
            </w:pPr>
            <w:r>
              <w:rPr>
                <w:rFonts w:ascii="Arial" w:cs="Arial" w:eastAsia="Arial" w:hAnsi="Arial"/>
                <w:sz w:val="12"/>
                <w:szCs w:val="12"/>
                <w:color w:val="auto"/>
              </w:rPr>
              <w:t>64,024</w:t>
            </w:r>
          </w:p>
        </w:tc>
        <w:tc>
          <w:tcPr>
            <w:tcW w:w="160" w:type="dxa"/>
            <w:vAlign w:val="bottom"/>
            <w:shd w:val="clear" w:color="auto" w:fill="FCE9E8"/>
          </w:tcPr>
          <w:p>
            <w:pPr>
              <w:spacing w:after="0"/>
              <w:rPr>
                <w:sz w:val="17"/>
                <w:szCs w:val="17"/>
                <w:color w:val="auto"/>
              </w:rPr>
            </w:pPr>
          </w:p>
        </w:tc>
        <w:tc>
          <w:tcPr>
            <w:tcW w:w="420" w:type="dxa"/>
            <w:vAlign w:val="bottom"/>
            <w:shd w:val="clear" w:color="auto" w:fill="FCE9E8"/>
          </w:tcPr>
          <w:p>
            <w:pPr>
              <w:spacing w:after="0"/>
              <w:rPr>
                <w:sz w:val="17"/>
                <w:szCs w:val="17"/>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w w:val="93"/>
              </w:rPr>
              <w:t>5,627,194</w:t>
            </w: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1/4/2021</w:t>
            </w:r>
          </w:p>
        </w:tc>
        <w:tc>
          <w:tcPr>
            <w:tcW w:w="16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13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940" w:type="dxa"/>
            <w:vAlign w:val="bottom"/>
            <w:shd w:val="clear" w:color="auto" w:fill="FCE9E8"/>
          </w:tcPr>
          <w:p>
            <w:pPr>
              <w:jc w:val="right"/>
              <w:ind w:right="702"/>
              <w:spacing w:after="0"/>
              <w:rPr>
                <w:sz w:val="20"/>
                <w:szCs w:val="20"/>
                <w:color w:val="auto"/>
              </w:rPr>
            </w:pPr>
            <w:r>
              <w:rPr>
                <w:rFonts w:ascii="Arial" w:cs="Arial" w:eastAsia="Arial" w:hAnsi="Arial"/>
                <w:sz w:val="12"/>
                <w:szCs w:val="12"/>
                <w:color w:val="auto"/>
              </w:rPr>
              <w:t>10,670</w:t>
            </w:r>
          </w:p>
        </w:tc>
        <w:tc>
          <w:tcPr>
            <w:tcW w:w="160" w:type="dxa"/>
            <w:vAlign w:val="bottom"/>
            <w:shd w:val="clear" w:color="auto" w:fill="FCE9E8"/>
          </w:tcPr>
          <w:p>
            <w:pPr>
              <w:spacing w:after="0"/>
              <w:rPr>
                <w:sz w:val="17"/>
                <w:szCs w:val="17"/>
                <w:color w:val="auto"/>
              </w:rPr>
            </w:pPr>
          </w:p>
        </w:tc>
        <w:tc>
          <w:tcPr>
            <w:tcW w:w="420" w:type="dxa"/>
            <w:vAlign w:val="bottom"/>
            <w:shd w:val="clear" w:color="auto" w:fill="FCE9E8"/>
          </w:tcPr>
          <w:p>
            <w:pPr>
              <w:spacing w:after="0"/>
              <w:rPr>
                <w:sz w:val="17"/>
                <w:szCs w:val="17"/>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w w:val="93"/>
              </w:rPr>
              <w:t>1,679,885</w:t>
            </w: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1/4/2021</w:t>
            </w:r>
          </w:p>
        </w:tc>
        <w:tc>
          <w:tcPr>
            <w:tcW w:w="16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13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9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47,552</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7"/>
              </w:rPr>
              <w:t>157.44</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w w:val="93"/>
              </w:rPr>
              <w:t>1,680,012</w:t>
            </w:r>
          </w:p>
        </w:tc>
      </w:tr>
      <w:tr>
        <w:trPr>
          <w:trHeight w:val="180"/>
        </w:trPr>
        <w:tc>
          <w:tcPr>
            <w:tcW w:w="960" w:type="dxa"/>
            <w:vAlign w:val="bottom"/>
            <w:shd w:val="clear" w:color="auto" w:fill="FCE9E8"/>
          </w:tcPr>
          <w:p>
            <w:pPr>
              <w:spacing w:after="0"/>
              <w:rPr>
                <w:sz w:val="15"/>
                <w:szCs w:val="15"/>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520" w:type="dxa"/>
            <w:vAlign w:val="bottom"/>
            <w:shd w:val="clear" w:color="auto" w:fill="FCE9E8"/>
          </w:tcPr>
          <w:p>
            <w:pPr>
              <w:spacing w:after="0"/>
              <w:rPr>
                <w:sz w:val="15"/>
                <w:szCs w:val="15"/>
                <w:color w:val="auto"/>
              </w:rPr>
            </w:pPr>
          </w:p>
        </w:tc>
        <w:tc>
          <w:tcPr>
            <w:tcW w:w="100" w:type="dxa"/>
            <w:vAlign w:val="bottom"/>
            <w:shd w:val="clear" w:color="auto" w:fill="FCE9E8"/>
          </w:tcPr>
          <w:p>
            <w:pPr>
              <w:spacing w:after="0"/>
              <w:rPr>
                <w:sz w:val="15"/>
                <w:szCs w:val="15"/>
                <w:color w:val="auto"/>
              </w:rPr>
            </w:pPr>
          </w:p>
        </w:tc>
        <w:tc>
          <w:tcPr>
            <w:tcW w:w="580" w:type="dxa"/>
            <w:vAlign w:val="bottom"/>
            <w:shd w:val="clear" w:color="auto" w:fill="FCE9E8"/>
          </w:tcPr>
          <w:p>
            <w:pPr>
              <w:spacing w:after="0"/>
              <w:rPr>
                <w:sz w:val="15"/>
                <w:szCs w:val="15"/>
                <w:color w:val="auto"/>
              </w:rPr>
            </w:pPr>
          </w:p>
        </w:tc>
        <w:tc>
          <w:tcPr>
            <w:tcW w:w="1380" w:type="dxa"/>
            <w:vAlign w:val="bottom"/>
            <w:shd w:val="clear" w:color="auto" w:fill="FCE9E8"/>
          </w:tcPr>
          <w:p>
            <w:pPr>
              <w:spacing w:after="0"/>
              <w:rPr>
                <w:sz w:val="15"/>
                <w:szCs w:val="15"/>
                <w:color w:val="auto"/>
              </w:rPr>
            </w:pPr>
          </w:p>
        </w:tc>
        <w:tc>
          <w:tcPr>
            <w:tcW w:w="560" w:type="dxa"/>
            <w:vAlign w:val="bottom"/>
            <w:shd w:val="clear" w:color="auto" w:fill="FCE9E8"/>
          </w:tcPr>
          <w:p>
            <w:pPr>
              <w:spacing w:after="0"/>
              <w:rPr>
                <w:sz w:val="15"/>
                <w:szCs w:val="15"/>
                <w:color w:val="auto"/>
              </w:rPr>
            </w:pPr>
          </w:p>
        </w:tc>
        <w:tc>
          <w:tcPr>
            <w:tcW w:w="194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420" w:type="dxa"/>
            <w:vAlign w:val="bottom"/>
            <w:shd w:val="clear" w:color="auto" w:fill="FCE9E8"/>
          </w:tcPr>
          <w:p>
            <w:pPr>
              <w:spacing w:after="0"/>
              <w:rPr>
                <w:sz w:val="15"/>
                <w:szCs w:val="15"/>
                <w:color w:val="auto"/>
              </w:rPr>
            </w:pPr>
          </w:p>
        </w:tc>
        <w:tc>
          <w:tcPr>
            <w:tcW w:w="120" w:type="dxa"/>
            <w:vAlign w:val="bottom"/>
            <w:shd w:val="clear" w:color="auto" w:fill="FCE9E8"/>
          </w:tcPr>
          <w:p>
            <w:pPr>
              <w:spacing w:after="0"/>
              <w:rPr>
                <w:sz w:val="15"/>
                <w:szCs w:val="15"/>
                <w:color w:val="auto"/>
              </w:rPr>
            </w:pPr>
          </w:p>
        </w:tc>
        <w:tc>
          <w:tcPr>
            <w:tcW w:w="760" w:type="dxa"/>
            <w:vAlign w:val="bottom"/>
            <w:shd w:val="clear" w:color="auto" w:fill="FCE9E8"/>
          </w:tcPr>
          <w:p>
            <w:pPr>
              <w:spacing w:after="0"/>
              <w:rPr>
                <w:sz w:val="15"/>
                <w:szCs w:val="15"/>
                <w:color w:val="auto"/>
              </w:rPr>
            </w:pPr>
          </w:p>
        </w:tc>
      </w:tr>
      <w:tr>
        <w:trPr>
          <w:trHeight w:val="211"/>
        </w:trPr>
        <w:tc>
          <w:tcPr>
            <w:tcW w:w="960" w:type="dxa"/>
            <w:vAlign w:val="bottom"/>
            <w:tcBorders>
              <w:bottom w:val="single" w:sz="8" w:color="auto"/>
            </w:tcBorders>
            <w:shd w:val="clear" w:color="auto" w:fill="FCE9E8"/>
          </w:tcPr>
          <w:p>
            <w:pPr>
              <w:spacing w:after="0"/>
              <w:rPr>
                <w:sz w:val="18"/>
                <w:szCs w:val="18"/>
                <w:color w:val="auto"/>
              </w:rPr>
            </w:pPr>
          </w:p>
        </w:tc>
        <w:tc>
          <w:tcPr>
            <w:tcW w:w="1540" w:type="dxa"/>
            <w:vAlign w:val="bottom"/>
            <w:tcBorders>
              <w:bottom w:val="single" w:sz="8" w:color="auto"/>
            </w:tcBorders>
            <w:shd w:val="clear" w:color="auto" w:fill="FCE9E8"/>
          </w:tcPr>
          <w:p>
            <w:pPr>
              <w:jc w:val="right"/>
              <w:spacing w:after="0" w:line="212"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11/17/2021</w:t>
            </w:r>
          </w:p>
        </w:tc>
        <w:tc>
          <w:tcPr>
            <w:tcW w:w="160" w:type="dxa"/>
            <w:vAlign w:val="bottom"/>
            <w:tcBorders>
              <w:bottom w:val="single" w:sz="8" w:color="auto"/>
            </w:tcBorders>
            <w:shd w:val="clear" w:color="auto" w:fill="FCE9E8"/>
          </w:tcPr>
          <w:p>
            <w:pPr>
              <w:spacing w:after="0"/>
              <w:rPr>
                <w:sz w:val="18"/>
                <w:szCs w:val="18"/>
                <w:color w:val="auto"/>
              </w:rPr>
            </w:pPr>
          </w:p>
        </w:tc>
        <w:tc>
          <w:tcPr>
            <w:tcW w:w="520" w:type="dxa"/>
            <w:vAlign w:val="bottom"/>
            <w:tcBorders>
              <w:bottom w:val="single" w:sz="8" w:color="auto"/>
            </w:tcBorders>
            <w:shd w:val="clear" w:color="auto" w:fill="FCE9E8"/>
          </w:tcPr>
          <w:p>
            <w:pPr>
              <w:spacing w:after="0"/>
              <w:rPr>
                <w:sz w:val="18"/>
                <w:szCs w:val="18"/>
                <w:color w:val="auto"/>
              </w:rPr>
            </w:pPr>
          </w:p>
        </w:tc>
        <w:tc>
          <w:tcPr>
            <w:tcW w:w="100" w:type="dxa"/>
            <w:vAlign w:val="bottom"/>
            <w:tcBorders>
              <w:bottom w:val="single" w:sz="8" w:color="auto"/>
            </w:tcBorders>
            <w:shd w:val="clear" w:color="auto" w:fill="FCE9E8"/>
          </w:tcPr>
          <w:p>
            <w:pPr>
              <w:spacing w:after="0"/>
              <w:rPr>
                <w:sz w:val="18"/>
                <w:szCs w:val="18"/>
                <w:color w:val="auto"/>
              </w:rPr>
            </w:pPr>
          </w:p>
        </w:tc>
        <w:tc>
          <w:tcPr>
            <w:tcW w:w="580" w:type="dxa"/>
            <w:vAlign w:val="bottom"/>
            <w:tcBorders>
              <w:bottom w:val="single" w:sz="8" w:color="auto"/>
            </w:tcBorders>
            <w:shd w:val="clear" w:color="auto" w:fill="FCE9E8"/>
          </w:tcPr>
          <w:p>
            <w:pPr>
              <w:spacing w:after="0"/>
              <w:rPr>
                <w:sz w:val="18"/>
                <w:szCs w:val="18"/>
                <w:color w:val="auto"/>
              </w:rPr>
            </w:pPr>
          </w:p>
        </w:tc>
        <w:tc>
          <w:tcPr>
            <w:tcW w:w="1380" w:type="dxa"/>
            <w:vAlign w:val="bottom"/>
            <w:tcBorders>
              <w:bottom w:val="single" w:sz="8" w:color="auto"/>
            </w:tcBorders>
            <w:shd w:val="clear" w:color="auto" w:fill="FCE9E8"/>
          </w:tcPr>
          <w:p>
            <w:pPr>
              <w:spacing w:after="0"/>
              <w:rPr>
                <w:sz w:val="18"/>
                <w:szCs w:val="18"/>
                <w:color w:val="auto"/>
              </w:rPr>
            </w:pPr>
          </w:p>
        </w:tc>
        <w:tc>
          <w:tcPr>
            <w:tcW w:w="560" w:type="dxa"/>
            <w:vAlign w:val="bottom"/>
            <w:tcBorders>
              <w:bottom w:val="single" w:sz="8" w:color="auto"/>
            </w:tcBorders>
            <w:shd w:val="clear" w:color="auto" w:fill="FCE9E8"/>
          </w:tcPr>
          <w:p>
            <w:pPr>
              <w:spacing w:after="0"/>
              <w:rPr>
                <w:sz w:val="18"/>
                <w:szCs w:val="18"/>
                <w:color w:val="auto"/>
              </w:rPr>
            </w:pPr>
          </w:p>
        </w:tc>
        <w:tc>
          <w:tcPr>
            <w:tcW w:w="1940" w:type="dxa"/>
            <w:vAlign w:val="bottom"/>
            <w:tcBorders>
              <w:bottom w:val="single" w:sz="8" w:color="auto"/>
            </w:tcBorders>
            <w:shd w:val="clear" w:color="auto" w:fill="FCE9E8"/>
          </w:tcPr>
          <w:p>
            <w:pPr>
              <w:jc w:val="right"/>
              <w:ind w:right="702"/>
              <w:spacing w:after="0"/>
              <w:rPr>
                <w:sz w:val="20"/>
                <w:szCs w:val="20"/>
                <w:color w:val="auto"/>
              </w:rPr>
            </w:pPr>
            <w:r>
              <w:rPr>
                <w:rFonts w:ascii="Arial" w:cs="Arial" w:eastAsia="Arial" w:hAnsi="Arial"/>
                <w:sz w:val="12"/>
                <w:szCs w:val="12"/>
                <w:color w:val="auto"/>
              </w:rPr>
              <w:t>4,144</w:t>
            </w:r>
          </w:p>
        </w:tc>
        <w:tc>
          <w:tcPr>
            <w:tcW w:w="160" w:type="dxa"/>
            <w:vAlign w:val="bottom"/>
            <w:tcBorders>
              <w:bottom w:val="single" w:sz="8" w:color="auto"/>
            </w:tcBorders>
            <w:shd w:val="clear" w:color="auto" w:fill="FCE9E8"/>
          </w:tcPr>
          <w:p>
            <w:pPr>
              <w:spacing w:after="0"/>
              <w:rPr>
                <w:sz w:val="18"/>
                <w:szCs w:val="18"/>
                <w:color w:val="auto"/>
              </w:rPr>
            </w:pPr>
          </w:p>
        </w:tc>
        <w:tc>
          <w:tcPr>
            <w:tcW w:w="420" w:type="dxa"/>
            <w:vAlign w:val="bottom"/>
            <w:tcBorders>
              <w:bottom w:val="single" w:sz="8" w:color="auto"/>
            </w:tcBorders>
            <w:shd w:val="clear" w:color="auto" w:fill="FCE9E8"/>
          </w:tcPr>
          <w:p>
            <w:pPr>
              <w:spacing w:after="0"/>
              <w:rPr>
                <w:sz w:val="18"/>
                <w:szCs w:val="18"/>
                <w:color w:val="auto"/>
              </w:rPr>
            </w:pPr>
          </w:p>
        </w:tc>
        <w:tc>
          <w:tcPr>
            <w:tcW w:w="1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2"/>
                <w:szCs w:val="12"/>
                <w:color w:val="auto"/>
              </w:rPr>
              <w:t>749,981</w:t>
            </w:r>
          </w:p>
        </w:tc>
      </w:tr>
      <w:tr>
        <w:trPr>
          <w:trHeight w:val="185"/>
        </w:trPr>
        <w:tc>
          <w:tcPr>
            <w:tcW w:w="960" w:type="dxa"/>
            <w:vAlign w:val="bottom"/>
          </w:tcPr>
          <w:p>
            <w:pPr>
              <w:ind w:left="80"/>
              <w:spacing w:after="0"/>
              <w:rPr>
                <w:sz w:val="20"/>
                <w:szCs w:val="20"/>
                <w:color w:val="auto"/>
              </w:rPr>
            </w:pPr>
            <w:r>
              <w:rPr>
                <w:rFonts w:ascii="Arial" w:cs="Arial" w:eastAsia="Arial" w:hAnsi="Arial"/>
                <w:sz w:val="12"/>
                <w:szCs w:val="12"/>
                <w:color w:val="auto"/>
              </w:rPr>
              <w:t>Jason M.</w:t>
            </w: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40"/>
        </w:trPr>
        <w:tc>
          <w:tcPr>
            <w:tcW w:w="960" w:type="dxa"/>
            <w:vAlign w:val="bottom"/>
          </w:tcPr>
          <w:p>
            <w:pPr>
              <w:ind w:left="80"/>
              <w:spacing w:after="0"/>
              <w:rPr>
                <w:sz w:val="20"/>
                <w:szCs w:val="20"/>
                <w:color w:val="auto"/>
              </w:rPr>
            </w:pPr>
            <w:r>
              <w:rPr>
                <w:rFonts w:ascii="Arial" w:cs="Arial" w:eastAsia="Arial" w:hAnsi="Arial"/>
                <w:sz w:val="12"/>
                <w:szCs w:val="12"/>
                <w:color w:val="auto"/>
              </w:rPr>
              <w:t>Cardew</w:t>
            </w:r>
          </w:p>
        </w:tc>
        <w:tc>
          <w:tcPr>
            <w:tcW w:w="1540" w:type="dxa"/>
            <w:vAlign w:val="bottom"/>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412,000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824,000</w:t>
            </w:r>
          </w:p>
        </w:tc>
        <w:tc>
          <w:tcPr>
            <w:tcW w:w="1380" w:type="dxa"/>
            <w:vAlign w:val="bottom"/>
          </w:tcPr>
          <w:p>
            <w:pPr>
              <w:jc w:val="right"/>
              <w:ind w:right="682"/>
              <w:spacing w:after="0"/>
              <w:rPr>
                <w:sz w:val="20"/>
                <w:szCs w:val="20"/>
                <w:color w:val="auto"/>
              </w:rPr>
            </w:pPr>
            <w:r>
              <w:rPr>
                <w:rFonts w:ascii="Arial" w:cs="Arial" w:eastAsia="Arial" w:hAnsi="Arial"/>
                <w:sz w:val="12"/>
                <w:szCs w:val="12"/>
                <w:color w:val="auto"/>
              </w:rPr>
              <w:t>$1,648,000</w:t>
            </w: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Arial" w:cs="Arial" w:eastAsia="Arial" w:hAnsi="Arial"/>
                <w:sz w:val="12"/>
                <w:szCs w:val="12"/>
                <w:color w:val="auto"/>
              </w:rPr>
              <w:t>4,001</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8,003</w:t>
            </w:r>
          </w:p>
        </w:tc>
        <w:tc>
          <w:tcPr>
            <w:tcW w:w="1940" w:type="dxa"/>
            <w:vAlign w:val="bottom"/>
          </w:tcPr>
          <w:p>
            <w:pPr>
              <w:jc w:val="right"/>
              <w:ind w:right="1382"/>
              <w:spacing w:after="0"/>
              <w:rPr>
                <w:sz w:val="20"/>
                <w:szCs w:val="20"/>
                <w:color w:val="auto"/>
              </w:rPr>
            </w:pPr>
            <w:r>
              <w:rPr>
                <w:rFonts w:ascii="Arial" w:cs="Arial" w:eastAsia="Arial" w:hAnsi="Arial"/>
                <w:sz w:val="12"/>
                <w:szCs w:val="12"/>
                <w:color w:val="auto"/>
              </w:rPr>
              <w:t>16,006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2"/>
              <w:spacing w:after="0"/>
              <w:rPr>
                <w:sz w:val="20"/>
                <w:szCs w:val="20"/>
                <w:color w:val="auto"/>
              </w:rPr>
            </w:pPr>
            <w:r>
              <w:rPr>
                <w:rFonts w:ascii="Arial" w:cs="Arial" w:eastAsia="Arial" w:hAnsi="Arial"/>
                <w:sz w:val="12"/>
                <w:szCs w:val="12"/>
                <w:color w:val="auto"/>
                <w:w w:val="93"/>
              </w:rPr>
              <w:t>1,406,812</w:t>
            </w: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tcPr>
          <w:p>
            <w:pPr>
              <w:jc w:val="right"/>
              <w:ind w:right="702"/>
              <w:spacing w:after="0"/>
              <w:rPr>
                <w:sz w:val="20"/>
                <w:szCs w:val="20"/>
                <w:color w:val="auto"/>
              </w:rPr>
            </w:pPr>
            <w:r>
              <w:rPr>
                <w:rFonts w:ascii="Arial" w:cs="Arial" w:eastAsia="Arial" w:hAnsi="Arial"/>
                <w:sz w:val="12"/>
                <w:szCs w:val="12"/>
                <w:color w:val="auto"/>
              </w:rPr>
              <w:t>2,667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419,892</w:t>
            </w: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11,888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7"/>
              </w:rPr>
              <w:t>157.44</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420,003</w:t>
            </w:r>
          </w:p>
        </w:tc>
      </w:tr>
      <w:tr>
        <w:trPr>
          <w:trHeight w:val="173"/>
        </w:trPr>
        <w:tc>
          <w:tcPr>
            <w:tcW w:w="9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1"/>
        </w:trPr>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11/17/2021</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rPr>
              <w:t>1,381</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249,933</w:t>
            </w:r>
          </w:p>
        </w:tc>
      </w:tr>
      <w:tr>
        <w:trPr>
          <w:trHeight w:val="182"/>
        </w:trPr>
        <w:tc>
          <w:tcPr>
            <w:tcW w:w="960" w:type="dxa"/>
            <w:vAlign w:val="bottom"/>
            <w:shd w:val="clear" w:color="auto" w:fill="FCE9E8"/>
          </w:tcPr>
          <w:p>
            <w:pPr>
              <w:ind w:left="80"/>
              <w:spacing w:after="0"/>
              <w:rPr>
                <w:sz w:val="20"/>
                <w:szCs w:val="20"/>
                <w:color w:val="auto"/>
              </w:rPr>
            </w:pPr>
            <w:r>
              <w:rPr>
                <w:rFonts w:ascii="Arial" w:cs="Arial" w:eastAsia="Arial" w:hAnsi="Arial"/>
                <w:sz w:val="12"/>
                <w:szCs w:val="12"/>
                <w:color w:val="auto"/>
              </w:rPr>
              <w:t>Frank C. Orsini</w:t>
            </w: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412,000</w:t>
            </w:r>
          </w:p>
        </w:tc>
        <w:tc>
          <w:tcPr>
            <w:tcW w:w="1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824,000</w:t>
            </w:r>
          </w:p>
        </w:tc>
        <w:tc>
          <w:tcPr>
            <w:tcW w:w="1380" w:type="dxa"/>
            <w:vAlign w:val="bottom"/>
            <w:shd w:val="clear" w:color="auto" w:fill="FCE9E8"/>
          </w:tcPr>
          <w:p>
            <w:pPr>
              <w:jc w:val="right"/>
              <w:ind w:right="682"/>
              <w:spacing w:after="0"/>
              <w:rPr>
                <w:sz w:val="20"/>
                <w:szCs w:val="20"/>
                <w:color w:val="auto"/>
              </w:rPr>
            </w:pPr>
            <w:r>
              <w:rPr>
                <w:rFonts w:ascii="Arial" w:cs="Arial" w:eastAsia="Arial" w:hAnsi="Arial"/>
                <w:sz w:val="12"/>
                <w:szCs w:val="12"/>
                <w:color w:val="auto"/>
              </w:rPr>
              <w:t>$1,648,000</w:t>
            </w:r>
          </w:p>
        </w:tc>
        <w:tc>
          <w:tcPr>
            <w:tcW w:w="560" w:type="dxa"/>
            <w:vAlign w:val="bottom"/>
            <w:shd w:val="clear" w:color="auto" w:fill="FCE9E8"/>
          </w:tcPr>
          <w:p>
            <w:pPr>
              <w:spacing w:after="0"/>
              <w:rPr>
                <w:sz w:val="15"/>
                <w:szCs w:val="15"/>
                <w:color w:val="auto"/>
              </w:rPr>
            </w:pPr>
          </w:p>
        </w:tc>
        <w:tc>
          <w:tcPr>
            <w:tcW w:w="194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420" w:type="dxa"/>
            <w:vAlign w:val="bottom"/>
            <w:shd w:val="clear" w:color="auto" w:fill="FCE9E8"/>
          </w:tcPr>
          <w:p>
            <w:pPr>
              <w:spacing w:after="0"/>
              <w:rPr>
                <w:sz w:val="15"/>
                <w:szCs w:val="15"/>
                <w:color w:val="auto"/>
              </w:rPr>
            </w:pPr>
          </w:p>
        </w:tc>
        <w:tc>
          <w:tcPr>
            <w:tcW w:w="120" w:type="dxa"/>
            <w:vAlign w:val="bottom"/>
            <w:shd w:val="clear" w:color="auto" w:fill="FCE9E8"/>
          </w:tcPr>
          <w:p>
            <w:pPr>
              <w:spacing w:after="0"/>
              <w:rPr>
                <w:sz w:val="15"/>
                <w:szCs w:val="15"/>
                <w:color w:val="auto"/>
              </w:rPr>
            </w:pPr>
          </w:p>
        </w:tc>
        <w:tc>
          <w:tcPr>
            <w:tcW w:w="760" w:type="dxa"/>
            <w:vAlign w:val="bottom"/>
            <w:shd w:val="clear" w:color="auto" w:fill="FCE9E8"/>
          </w:tcPr>
          <w:p>
            <w:pPr>
              <w:spacing w:after="0"/>
              <w:rPr>
                <w:sz w:val="15"/>
                <w:szCs w:val="15"/>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138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rPr>
              <w:t>4,573</w:t>
            </w:r>
          </w:p>
        </w:tc>
        <w:tc>
          <w:tcPr>
            <w:tcW w:w="560" w:type="dxa"/>
            <w:vAlign w:val="bottom"/>
            <w:shd w:val="clear" w:color="auto" w:fill="FCE9E8"/>
          </w:tcPr>
          <w:p>
            <w:pPr>
              <w:jc w:val="right"/>
              <w:ind w:right="82"/>
              <w:spacing w:after="0"/>
              <w:rPr>
                <w:sz w:val="20"/>
                <w:szCs w:val="20"/>
                <w:color w:val="auto"/>
              </w:rPr>
            </w:pPr>
            <w:r>
              <w:rPr>
                <w:rFonts w:ascii="Arial" w:cs="Arial" w:eastAsia="Arial" w:hAnsi="Arial"/>
                <w:sz w:val="12"/>
                <w:szCs w:val="12"/>
                <w:color w:val="auto"/>
              </w:rPr>
              <w:t>9,146</w:t>
            </w:r>
          </w:p>
        </w:tc>
        <w:tc>
          <w:tcPr>
            <w:tcW w:w="1940" w:type="dxa"/>
            <w:vAlign w:val="bottom"/>
            <w:shd w:val="clear" w:color="auto" w:fill="FCE9E8"/>
          </w:tcPr>
          <w:p>
            <w:pPr>
              <w:jc w:val="right"/>
              <w:ind w:right="1382"/>
              <w:spacing w:after="0"/>
              <w:rPr>
                <w:sz w:val="20"/>
                <w:szCs w:val="20"/>
                <w:color w:val="auto"/>
              </w:rPr>
            </w:pPr>
            <w:r>
              <w:rPr>
                <w:rFonts w:ascii="Arial" w:cs="Arial" w:eastAsia="Arial" w:hAnsi="Arial"/>
                <w:sz w:val="12"/>
                <w:szCs w:val="12"/>
                <w:color w:val="auto"/>
              </w:rPr>
              <w:t>18,292</w:t>
            </w:r>
          </w:p>
        </w:tc>
        <w:tc>
          <w:tcPr>
            <w:tcW w:w="160" w:type="dxa"/>
            <w:vAlign w:val="bottom"/>
            <w:shd w:val="clear" w:color="auto" w:fill="FCE9E8"/>
          </w:tcPr>
          <w:p>
            <w:pPr>
              <w:spacing w:after="0"/>
              <w:rPr>
                <w:sz w:val="17"/>
                <w:szCs w:val="17"/>
                <w:color w:val="auto"/>
              </w:rPr>
            </w:pPr>
          </w:p>
        </w:tc>
        <w:tc>
          <w:tcPr>
            <w:tcW w:w="420" w:type="dxa"/>
            <w:vAlign w:val="bottom"/>
            <w:shd w:val="clear" w:color="auto" w:fill="FCE9E8"/>
          </w:tcPr>
          <w:p>
            <w:pPr>
              <w:spacing w:after="0"/>
              <w:rPr>
                <w:sz w:val="17"/>
                <w:szCs w:val="17"/>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w w:val="93"/>
              </w:rPr>
              <w:t>1,607,733</w:t>
            </w:r>
          </w:p>
        </w:tc>
      </w:tr>
      <w:tr>
        <w:trPr>
          <w:trHeight w:val="210"/>
        </w:trPr>
        <w:tc>
          <w:tcPr>
            <w:tcW w:w="960" w:type="dxa"/>
            <w:vAlign w:val="bottom"/>
            <w:shd w:val="clear" w:color="auto" w:fill="FCE9E8"/>
          </w:tcPr>
          <w:p>
            <w:pPr>
              <w:spacing w:after="0"/>
              <w:rPr>
                <w:sz w:val="18"/>
                <w:szCs w:val="18"/>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shd w:val="clear" w:color="auto" w:fill="FCE9E8"/>
          </w:tcPr>
          <w:p>
            <w:pPr>
              <w:spacing w:after="0"/>
              <w:rPr>
                <w:sz w:val="18"/>
                <w:szCs w:val="18"/>
                <w:color w:val="auto"/>
              </w:rPr>
            </w:pPr>
          </w:p>
        </w:tc>
        <w:tc>
          <w:tcPr>
            <w:tcW w:w="520" w:type="dxa"/>
            <w:vAlign w:val="bottom"/>
            <w:shd w:val="clear" w:color="auto" w:fill="FCE9E8"/>
          </w:tcPr>
          <w:p>
            <w:pPr>
              <w:spacing w:after="0"/>
              <w:rPr>
                <w:sz w:val="18"/>
                <w:szCs w:val="18"/>
                <w:color w:val="auto"/>
              </w:rPr>
            </w:pPr>
          </w:p>
        </w:tc>
        <w:tc>
          <w:tcPr>
            <w:tcW w:w="100" w:type="dxa"/>
            <w:vAlign w:val="bottom"/>
            <w:shd w:val="clear" w:color="auto" w:fill="FCE9E8"/>
          </w:tcPr>
          <w:p>
            <w:pPr>
              <w:spacing w:after="0"/>
              <w:rPr>
                <w:sz w:val="18"/>
                <w:szCs w:val="18"/>
                <w:color w:val="auto"/>
              </w:rPr>
            </w:pPr>
          </w:p>
        </w:tc>
        <w:tc>
          <w:tcPr>
            <w:tcW w:w="580" w:type="dxa"/>
            <w:vAlign w:val="bottom"/>
            <w:shd w:val="clear" w:color="auto" w:fill="FCE9E8"/>
          </w:tcPr>
          <w:p>
            <w:pPr>
              <w:spacing w:after="0"/>
              <w:rPr>
                <w:sz w:val="18"/>
                <w:szCs w:val="18"/>
                <w:color w:val="auto"/>
              </w:rPr>
            </w:pPr>
          </w:p>
        </w:tc>
        <w:tc>
          <w:tcPr>
            <w:tcW w:w="1380" w:type="dxa"/>
            <w:vAlign w:val="bottom"/>
            <w:shd w:val="clear" w:color="auto" w:fill="FCE9E8"/>
          </w:tcPr>
          <w:p>
            <w:pPr>
              <w:spacing w:after="0"/>
              <w:rPr>
                <w:sz w:val="18"/>
                <w:szCs w:val="18"/>
                <w:color w:val="auto"/>
              </w:rPr>
            </w:pPr>
          </w:p>
        </w:tc>
        <w:tc>
          <w:tcPr>
            <w:tcW w:w="560" w:type="dxa"/>
            <w:vAlign w:val="bottom"/>
            <w:shd w:val="clear" w:color="auto" w:fill="FCE9E8"/>
          </w:tcPr>
          <w:p>
            <w:pPr>
              <w:spacing w:after="0"/>
              <w:rPr>
                <w:sz w:val="18"/>
                <w:szCs w:val="18"/>
                <w:color w:val="auto"/>
              </w:rPr>
            </w:pPr>
          </w:p>
        </w:tc>
        <w:tc>
          <w:tcPr>
            <w:tcW w:w="1940" w:type="dxa"/>
            <w:vAlign w:val="bottom"/>
            <w:shd w:val="clear" w:color="auto" w:fill="FCE9E8"/>
          </w:tcPr>
          <w:p>
            <w:pPr>
              <w:jc w:val="right"/>
              <w:ind w:right="702"/>
              <w:spacing w:after="0"/>
              <w:rPr>
                <w:sz w:val="20"/>
                <w:szCs w:val="20"/>
                <w:color w:val="auto"/>
              </w:rPr>
            </w:pPr>
            <w:r>
              <w:rPr>
                <w:rFonts w:ascii="Arial" w:cs="Arial" w:eastAsia="Arial" w:hAnsi="Arial"/>
                <w:sz w:val="12"/>
                <w:szCs w:val="12"/>
                <w:color w:val="auto"/>
              </w:rPr>
              <w:t>3,048</w:t>
            </w:r>
          </w:p>
        </w:tc>
        <w:tc>
          <w:tcPr>
            <w:tcW w:w="160" w:type="dxa"/>
            <w:vAlign w:val="bottom"/>
            <w:shd w:val="clear" w:color="auto" w:fill="FCE9E8"/>
          </w:tcPr>
          <w:p>
            <w:pPr>
              <w:spacing w:after="0"/>
              <w:rPr>
                <w:sz w:val="18"/>
                <w:szCs w:val="18"/>
                <w:color w:val="auto"/>
              </w:rPr>
            </w:pPr>
          </w:p>
        </w:tc>
        <w:tc>
          <w:tcPr>
            <w:tcW w:w="420" w:type="dxa"/>
            <w:vAlign w:val="bottom"/>
            <w:shd w:val="clear" w:color="auto" w:fill="FCE9E8"/>
          </w:tcPr>
          <w:p>
            <w:pPr>
              <w:spacing w:after="0"/>
              <w:rPr>
                <w:sz w:val="18"/>
                <w:szCs w:val="18"/>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rPr>
              <w:t>479,877</w:t>
            </w:r>
          </w:p>
        </w:tc>
      </w:tr>
      <w:tr>
        <w:trPr>
          <w:trHeight w:val="216"/>
        </w:trPr>
        <w:tc>
          <w:tcPr>
            <w:tcW w:w="960" w:type="dxa"/>
            <w:vAlign w:val="bottom"/>
            <w:shd w:val="clear" w:color="auto" w:fill="FCE9E8"/>
          </w:tcPr>
          <w:p>
            <w:pPr>
              <w:spacing w:after="0"/>
              <w:rPr>
                <w:sz w:val="18"/>
                <w:szCs w:val="18"/>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shd w:val="clear" w:color="auto" w:fill="FCE9E8"/>
          </w:tcPr>
          <w:p>
            <w:pPr>
              <w:spacing w:after="0"/>
              <w:rPr>
                <w:sz w:val="18"/>
                <w:szCs w:val="18"/>
                <w:color w:val="auto"/>
              </w:rPr>
            </w:pPr>
          </w:p>
        </w:tc>
        <w:tc>
          <w:tcPr>
            <w:tcW w:w="520" w:type="dxa"/>
            <w:vAlign w:val="bottom"/>
            <w:shd w:val="clear" w:color="auto" w:fill="FCE9E8"/>
          </w:tcPr>
          <w:p>
            <w:pPr>
              <w:spacing w:after="0"/>
              <w:rPr>
                <w:sz w:val="18"/>
                <w:szCs w:val="18"/>
                <w:color w:val="auto"/>
              </w:rPr>
            </w:pPr>
          </w:p>
        </w:tc>
        <w:tc>
          <w:tcPr>
            <w:tcW w:w="100" w:type="dxa"/>
            <w:vAlign w:val="bottom"/>
            <w:shd w:val="clear" w:color="auto" w:fill="FCE9E8"/>
          </w:tcPr>
          <w:p>
            <w:pPr>
              <w:spacing w:after="0"/>
              <w:rPr>
                <w:sz w:val="18"/>
                <w:szCs w:val="18"/>
                <w:color w:val="auto"/>
              </w:rPr>
            </w:pPr>
          </w:p>
        </w:tc>
        <w:tc>
          <w:tcPr>
            <w:tcW w:w="580" w:type="dxa"/>
            <w:vAlign w:val="bottom"/>
            <w:shd w:val="clear" w:color="auto" w:fill="FCE9E8"/>
          </w:tcPr>
          <w:p>
            <w:pPr>
              <w:spacing w:after="0"/>
              <w:rPr>
                <w:sz w:val="18"/>
                <w:szCs w:val="18"/>
                <w:color w:val="auto"/>
              </w:rPr>
            </w:pPr>
          </w:p>
        </w:tc>
        <w:tc>
          <w:tcPr>
            <w:tcW w:w="1380" w:type="dxa"/>
            <w:vAlign w:val="bottom"/>
            <w:shd w:val="clear" w:color="auto" w:fill="FCE9E8"/>
          </w:tcPr>
          <w:p>
            <w:pPr>
              <w:spacing w:after="0"/>
              <w:rPr>
                <w:sz w:val="18"/>
                <w:szCs w:val="18"/>
                <w:color w:val="auto"/>
              </w:rPr>
            </w:pPr>
          </w:p>
        </w:tc>
        <w:tc>
          <w:tcPr>
            <w:tcW w:w="560" w:type="dxa"/>
            <w:vAlign w:val="bottom"/>
            <w:shd w:val="clear" w:color="auto" w:fill="FCE9E8"/>
          </w:tcPr>
          <w:p>
            <w:pPr>
              <w:spacing w:after="0"/>
              <w:rPr>
                <w:sz w:val="18"/>
                <w:szCs w:val="18"/>
                <w:color w:val="auto"/>
              </w:rPr>
            </w:pPr>
          </w:p>
        </w:tc>
        <w:tc>
          <w:tcPr>
            <w:tcW w:w="19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13,587</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7"/>
              </w:rPr>
              <w:t>157.44</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rPr>
              <w:t>480,029</w:t>
            </w:r>
          </w:p>
        </w:tc>
      </w:tr>
      <w:tr>
        <w:trPr>
          <w:trHeight w:val="187"/>
        </w:trPr>
        <w:tc>
          <w:tcPr>
            <w:tcW w:w="960" w:type="dxa"/>
            <w:vAlign w:val="bottom"/>
            <w:shd w:val="clear" w:color="auto" w:fill="FCE9E8"/>
          </w:tcPr>
          <w:p>
            <w:pPr>
              <w:spacing w:after="0"/>
              <w:rPr>
                <w:sz w:val="16"/>
                <w:szCs w:val="16"/>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1380" w:type="dxa"/>
            <w:vAlign w:val="bottom"/>
            <w:shd w:val="clear" w:color="auto" w:fill="FCE9E8"/>
          </w:tcPr>
          <w:p>
            <w:pPr>
              <w:spacing w:after="0"/>
              <w:rPr>
                <w:sz w:val="16"/>
                <w:szCs w:val="16"/>
                <w:color w:val="auto"/>
              </w:rPr>
            </w:pPr>
          </w:p>
        </w:tc>
        <w:tc>
          <w:tcPr>
            <w:tcW w:w="560" w:type="dxa"/>
            <w:vAlign w:val="bottom"/>
            <w:shd w:val="clear" w:color="auto" w:fill="FCE9E8"/>
          </w:tcPr>
          <w:p>
            <w:pPr>
              <w:spacing w:after="0"/>
              <w:rPr>
                <w:sz w:val="16"/>
                <w:szCs w:val="16"/>
                <w:color w:val="auto"/>
              </w:rPr>
            </w:pPr>
          </w:p>
        </w:tc>
        <w:tc>
          <w:tcPr>
            <w:tcW w:w="194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420" w:type="dxa"/>
            <w:vAlign w:val="bottom"/>
            <w:shd w:val="clear" w:color="auto" w:fill="FCE9E8"/>
          </w:tcPr>
          <w:p>
            <w:pPr>
              <w:spacing w:after="0"/>
              <w:rPr>
                <w:sz w:val="16"/>
                <w:szCs w:val="16"/>
                <w:color w:val="auto"/>
              </w:rPr>
            </w:pPr>
          </w:p>
        </w:tc>
        <w:tc>
          <w:tcPr>
            <w:tcW w:w="12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r>
      <w:tr>
        <w:trPr>
          <w:trHeight w:val="184"/>
        </w:trPr>
        <w:tc>
          <w:tcPr>
            <w:tcW w:w="960" w:type="dxa"/>
            <w:vAlign w:val="bottom"/>
            <w:tcBorders>
              <w:bottom w:val="single" w:sz="8" w:color="auto"/>
            </w:tcBorders>
            <w:shd w:val="clear" w:color="auto" w:fill="FCE9E8"/>
          </w:tcPr>
          <w:p>
            <w:pPr>
              <w:spacing w:after="0"/>
              <w:rPr>
                <w:sz w:val="16"/>
                <w:szCs w:val="16"/>
                <w:color w:val="auto"/>
              </w:rPr>
            </w:pPr>
          </w:p>
        </w:tc>
        <w:tc>
          <w:tcPr>
            <w:tcW w:w="1540" w:type="dxa"/>
            <w:vAlign w:val="bottom"/>
            <w:tcBorders>
              <w:bottom w:val="single" w:sz="8" w:color="auto"/>
            </w:tcBorders>
            <w:shd w:val="clear" w:color="auto" w:fill="FCE9E8"/>
          </w:tcPr>
          <w:p>
            <w:pPr>
              <w:jc w:val="right"/>
              <w:spacing w:after="0" w:line="184"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11/17/2021</w:t>
            </w:r>
          </w:p>
        </w:tc>
        <w:tc>
          <w:tcPr>
            <w:tcW w:w="160" w:type="dxa"/>
            <w:vAlign w:val="bottom"/>
            <w:tcBorders>
              <w:bottom w:val="single" w:sz="8" w:color="auto"/>
            </w:tcBorders>
            <w:shd w:val="clear" w:color="auto" w:fill="FCE9E8"/>
          </w:tcPr>
          <w:p>
            <w:pPr>
              <w:spacing w:after="0"/>
              <w:rPr>
                <w:sz w:val="16"/>
                <w:szCs w:val="16"/>
                <w:color w:val="auto"/>
              </w:rPr>
            </w:pPr>
          </w:p>
        </w:tc>
        <w:tc>
          <w:tcPr>
            <w:tcW w:w="520" w:type="dxa"/>
            <w:vAlign w:val="bottom"/>
            <w:tcBorders>
              <w:bottom w:val="single" w:sz="8" w:color="auto"/>
            </w:tcBorders>
            <w:shd w:val="clear" w:color="auto" w:fill="FCE9E8"/>
          </w:tcPr>
          <w:p>
            <w:pPr>
              <w:spacing w:after="0"/>
              <w:rPr>
                <w:sz w:val="16"/>
                <w:szCs w:val="16"/>
                <w:color w:val="auto"/>
              </w:rPr>
            </w:pPr>
          </w:p>
        </w:tc>
        <w:tc>
          <w:tcPr>
            <w:tcW w:w="100" w:type="dxa"/>
            <w:vAlign w:val="bottom"/>
            <w:tcBorders>
              <w:bottom w:val="single" w:sz="8" w:color="auto"/>
            </w:tcBorders>
            <w:shd w:val="clear" w:color="auto" w:fill="FCE9E8"/>
          </w:tcPr>
          <w:p>
            <w:pPr>
              <w:spacing w:after="0"/>
              <w:rPr>
                <w:sz w:val="16"/>
                <w:szCs w:val="16"/>
                <w:color w:val="auto"/>
              </w:rPr>
            </w:pPr>
          </w:p>
        </w:tc>
        <w:tc>
          <w:tcPr>
            <w:tcW w:w="580" w:type="dxa"/>
            <w:vAlign w:val="bottom"/>
            <w:tcBorders>
              <w:bottom w:val="single" w:sz="8" w:color="auto"/>
            </w:tcBorders>
            <w:shd w:val="clear" w:color="auto" w:fill="FCE9E8"/>
          </w:tcPr>
          <w:p>
            <w:pPr>
              <w:spacing w:after="0"/>
              <w:rPr>
                <w:sz w:val="16"/>
                <w:szCs w:val="16"/>
                <w:color w:val="auto"/>
              </w:rPr>
            </w:pPr>
          </w:p>
        </w:tc>
        <w:tc>
          <w:tcPr>
            <w:tcW w:w="1380" w:type="dxa"/>
            <w:vAlign w:val="bottom"/>
            <w:tcBorders>
              <w:bottom w:val="single" w:sz="8" w:color="auto"/>
            </w:tcBorders>
            <w:shd w:val="clear" w:color="auto" w:fill="FCE9E8"/>
          </w:tcPr>
          <w:p>
            <w:pPr>
              <w:spacing w:after="0"/>
              <w:rPr>
                <w:sz w:val="16"/>
                <w:szCs w:val="16"/>
                <w:color w:val="auto"/>
              </w:rPr>
            </w:pPr>
          </w:p>
        </w:tc>
        <w:tc>
          <w:tcPr>
            <w:tcW w:w="560" w:type="dxa"/>
            <w:vAlign w:val="bottom"/>
            <w:tcBorders>
              <w:bottom w:val="single" w:sz="8" w:color="auto"/>
            </w:tcBorders>
            <w:shd w:val="clear" w:color="auto" w:fill="FCE9E8"/>
          </w:tcPr>
          <w:p>
            <w:pPr>
              <w:spacing w:after="0"/>
              <w:rPr>
                <w:sz w:val="16"/>
                <w:szCs w:val="16"/>
                <w:color w:val="auto"/>
              </w:rPr>
            </w:pPr>
          </w:p>
        </w:tc>
        <w:tc>
          <w:tcPr>
            <w:tcW w:w="1940" w:type="dxa"/>
            <w:vAlign w:val="bottom"/>
            <w:tcBorders>
              <w:bottom w:val="single" w:sz="8" w:color="auto"/>
            </w:tcBorders>
            <w:shd w:val="clear" w:color="auto" w:fill="FCE9E8"/>
          </w:tcPr>
          <w:p>
            <w:pPr>
              <w:jc w:val="right"/>
              <w:ind w:right="702"/>
              <w:spacing w:after="0"/>
              <w:rPr>
                <w:sz w:val="20"/>
                <w:szCs w:val="20"/>
                <w:color w:val="auto"/>
              </w:rPr>
            </w:pPr>
            <w:r>
              <w:rPr>
                <w:rFonts w:ascii="Arial" w:cs="Arial" w:eastAsia="Arial" w:hAnsi="Arial"/>
                <w:sz w:val="12"/>
                <w:szCs w:val="12"/>
                <w:color w:val="auto"/>
              </w:rPr>
              <w:t>1,381</w:t>
            </w:r>
          </w:p>
        </w:tc>
        <w:tc>
          <w:tcPr>
            <w:tcW w:w="160" w:type="dxa"/>
            <w:vAlign w:val="bottom"/>
            <w:tcBorders>
              <w:bottom w:val="single" w:sz="8" w:color="auto"/>
            </w:tcBorders>
            <w:shd w:val="clear" w:color="auto" w:fill="FCE9E8"/>
          </w:tcPr>
          <w:p>
            <w:pPr>
              <w:spacing w:after="0"/>
              <w:rPr>
                <w:sz w:val="16"/>
                <w:szCs w:val="16"/>
                <w:color w:val="auto"/>
              </w:rPr>
            </w:pPr>
          </w:p>
        </w:tc>
        <w:tc>
          <w:tcPr>
            <w:tcW w:w="420" w:type="dxa"/>
            <w:vAlign w:val="bottom"/>
            <w:tcBorders>
              <w:bottom w:val="single" w:sz="8" w:color="auto"/>
            </w:tcBorders>
            <w:shd w:val="clear" w:color="auto" w:fill="FCE9E8"/>
          </w:tcPr>
          <w:p>
            <w:pPr>
              <w:spacing w:after="0"/>
              <w:rPr>
                <w:sz w:val="16"/>
                <w:szCs w:val="16"/>
                <w:color w:val="auto"/>
              </w:rPr>
            </w:pPr>
          </w:p>
        </w:tc>
        <w:tc>
          <w:tcPr>
            <w:tcW w:w="1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2"/>
                <w:szCs w:val="12"/>
                <w:color w:val="auto"/>
              </w:rPr>
              <w:t>249,933</w:t>
            </w:r>
          </w:p>
        </w:tc>
      </w:tr>
      <w:tr>
        <w:trPr>
          <w:trHeight w:val="185"/>
        </w:trPr>
        <w:tc>
          <w:tcPr>
            <w:tcW w:w="960" w:type="dxa"/>
            <w:vAlign w:val="bottom"/>
          </w:tcPr>
          <w:p>
            <w:pPr>
              <w:ind w:left="80"/>
              <w:spacing w:after="0"/>
              <w:rPr>
                <w:sz w:val="20"/>
                <w:szCs w:val="20"/>
                <w:color w:val="auto"/>
              </w:rPr>
            </w:pPr>
            <w:r>
              <w:rPr>
                <w:rFonts w:ascii="Arial" w:cs="Arial" w:eastAsia="Arial" w:hAnsi="Arial"/>
                <w:sz w:val="12"/>
                <w:szCs w:val="12"/>
                <w:color w:val="auto"/>
              </w:rPr>
              <w:t>Thomas A.</w:t>
            </w: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40"/>
        </w:trPr>
        <w:tc>
          <w:tcPr>
            <w:tcW w:w="960" w:type="dxa"/>
            <w:vAlign w:val="bottom"/>
          </w:tcPr>
          <w:p>
            <w:pPr>
              <w:ind w:left="80"/>
              <w:spacing w:after="0"/>
              <w:rPr>
                <w:sz w:val="20"/>
                <w:szCs w:val="20"/>
                <w:color w:val="auto"/>
              </w:rPr>
            </w:pPr>
            <w:r>
              <w:rPr>
                <w:rFonts w:ascii="Arial" w:cs="Arial" w:eastAsia="Arial" w:hAnsi="Arial"/>
                <w:sz w:val="12"/>
                <w:szCs w:val="12"/>
                <w:color w:val="auto"/>
              </w:rPr>
              <w:t>DiDonato</w:t>
            </w:r>
          </w:p>
        </w:tc>
        <w:tc>
          <w:tcPr>
            <w:tcW w:w="1540" w:type="dxa"/>
            <w:vAlign w:val="bottom"/>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360,500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721,000</w:t>
            </w:r>
          </w:p>
        </w:tc>
        <w:tc>
          <w:tcPr>
            <w:tcW w:w="1380" w:type="dxa"/>
            <w:vAlign w:val="bottom"/>
          </w:tcPr>
          <w:p>
            <w:pPr>
              <w:jc w:val="right"/>
              <w:ind w:right="682"/>
              <w:spacing w:after="0"/>
              <w:rPr>
                <w:sz w:val="20"/>
                <w:szCs w:val="20"/>
                <w:color w:val="auto"/>
              </w:rPr>
            </w:pPr>
            <w:r>
              <w:rPr>
                <w:rFonts w:ascii="Arial" w:cs="Arial" w:eastAsia="Arial" w:hAnsi="Arial"/>
                <w:sz w:val="12"/>
                <w:szCs w:val="12"/>
                <w:color w:val="auto"/>
              </w:rPr>
              <w:t>$1,442,000</w:t>
            </w: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2"/>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Arial" w:cs="Arial" w:eastAsia="Arial" w:hAnsi="Arial"/>
                <w:sz w:val="12"/>
                <w:szCs w:val="12"/>
                <w:color w:val="auto"/>
              </w:rPr>
              <w:t>3,801</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7,602</w:t>
            </w:r>
          </w:p>
        </w:tc>
        <w:tc>
          <w:tcPr>
            <w:tcW w:w="1940" w:type="dxa"/>
            <w:vAlign w:val="bottom"/>
          </w:tcPr>
          <w:p>
            <w:pPr>
              <w:jc w:val="right"/>
              <w:ind w:right="1382"/>
              <w:spacing w:after="0"/>
              <w:rPr>
                <w:sz w:val="20"/>
                <w:szCs w:val="20"/>
                <w:color w:val="auto"/>
              </w:rPr>
            </w:pPr>
            <w:r>
              <w:rPr>
                <w:rFonts w:ascii="Arial" w:cs="Arial" w:eastAsia="Arial" w:hAnsi="Arial"/>
                <w:sz w:val="12"/>
                <w:szCs w:val="12"/>
                <w:color w:val="auto"/>
              </w:rPr>
              <w:t>15,204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2"/>
              <w:spacing w:after="0"/>
              <w:rPr>
                <w:sz w:val="20"/>
                <w:szCs w:val="20"/>
                <w:color w:val="auto"/>
              </w:rPr>
            </w:pPr>
            <w:r>
              <w:rPr>
                <w:rFonts w:ascii="Arial" w:cs="Arial" w:eastAsia="Arial" w:hAnsi="Arial"/>
                <w:sz w:val="12"/>
                <w:szCs w:val="12"/>
                <w:color w:val="auto"/>
                <w:w w:val="93"/>
              </w:rPr>
              <w:t>1,336,305</w:t>
            </w: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tcPr>
          <w:p>
            <w:pPr>
              <w:jc w:val="right"/>
              <w:ind w:right="702"/>
              <w:spacing w:after="0"/>
              <w:rPr>
                <w:sz w:val="20"/>
                <w:szCs w:val="20"/>
                <w:color w:val="auto"/>
              </w:rPr>
            </w:pPr>
            <w:r>
              <w:rPr>
                <w:rFonts w:ascii="Arial" w:cs="Arial" w:eastAsia="Arial" w:hAnsi="Arial"/>
                <w:sz w:val="12"/>
                <w:szCs w:val="12"/>
                <w:color w:val="auto"/>
              </w:rPr>
              <w:t>2,534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398,953</w:t>
            </w: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11,294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7"/>
              </w:rPr>
              <w:t>157.44</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399,017</w:t>
            </w:r>
          </w:p>
        </w:tc>
      </w:tr>
      <w:tr>
        <w:trPr>
          <w:trHeight w:val="173"/>
        </w:trPr>
        <w:tc>
          <w:tcPr>
            <w:tcW w:w="9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4"/>
        </w:trPr>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11/17/2021</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rPr>
              <w:t>828</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149,851</w:t>
            </w:r>
          </w:p>
        </w:tc>
      </w:tr>
      <w:tr>
        <w:trPr>
          <w:trHeight w:val="183"/>
        </w:trPr>
        <w:tc>
          <w:tcPr>
            <w:tcW w:w="960" w:type="dxa"/>
            <w:vAlign w:val="bottom"/>
            <w:shd w:val="clear" w:color="auto" w:fill="FCE9E8"/>
          </w:tcPr>
          <w:p>
            <w:pPr>
              <w:ind w:left="80"/>
              <w:spacing w:after="0"/>
              <w:rPr>
                <w:sz w:val="20"/>
                <w:szCs w:val="20"/>
                <w:color w:val="auto"/>
              </w:rPr>
            </w:pPr>
            <w:r>
              <w:rPr>
                <w:rFonts w:ascii="Arial" w:cs="Arial" w:eastAsia="Arial" w:hAnsi="Arial"/>
                <w:sz w:val="12"/>
                <w:szCs w:val="12"/>
                <w:color w:val="auto"/>
                <w:w w:val="99"/>
              </w:rPr>
              <w:t>Carl A. Esposito</w:t>
            </w: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280,000</w:t>
            </w:r>
          </w:p>
        </w:tc>
        <w:tc>
          <w:tcPr>
            <w:tcW w:w="1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spacing w:after="0"/>
              <w:rPr>
                <w:sz w:val="20"/>
                <w:szCs w:val="20"/>
                <w:color w:val="auto"/>
              </w:rPr>
            </w:pPr>
            <w:r>
              <w:rPr>
                <w:rFonts w:ascii="Arial" w:cs="Arial" w:eastAsia="Arial" w:hAnsi="Arial"/>
                <w:sz w:val="12"/>
                <w:szCs w:val="12"/>
                <w:color w:val="auto"/>
              </w:rPr>
              <w:t>560,000</w:t>
            </w:r>
          </w:p>
        </w:tc>
        <w:tc>
          <w:tcPr>
            <w:tcW w:w="1380" w:type="dxa"/>
            <w:vAlign w:val="bottom"/>
            <w:shd w:val="clear" w:color="auto" w:fill="FCE9E8"/>
          </w:tcPr>
          <w:p>
            <w:pPr>
              <w:jc w:val="right"/>
              <w:ind w:right="682"/>
              <w:spacing w:after="0"/>
              <w:rPr>
                <w:sz w:val="20"/>
                <w:szCs w:val="20"/>
                <w:color w:val="auto"/>
              </w:rPr>
            </w:pPr>
            <w:r>
              <w:rPr>
                <w:rFonts w:ascii="Arial" w:cs="Arial" w:eastAsia="Arial" w:hAnsi="Arial"/>
                <w:sz w:val="12"/>
                <w:szCs w:val="12"/>
                <w:color w:val="auto"/>
              </w:rPr>
              <w:t>$1,120,000</w:t>
            </w:r>
          </w:p>
        </w:tc>
        <w:tc>
          <w:tcPr>
            <w:tcW w:w="560" w:type="dxa"/>
            <w:vAlign w:val="bottom"/>
            <w:shd w:val="clear" w:color="auto" w:fill="FCE9E8"/>
          </w:tcPr>
          <w:p>
            <w:pPr>
              <w:spacing w:after="0"/>
              <w:rPr>
                <w:sz w:val="15"/>
                <w:szCs w:val="15"/>
                <w:color w:val="auto"/>
              </w:rPr>
            </w:pPr>
          </w:p>
        </w:tc>
        <w:tc>
          <w:tcPr>
            <w:tcW w:w="194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420" w:type="dxa"/>
            <w:vAlign w:val="bottom"/>
            <w:shd w:val="clear" w:color="auto" w:fill="FCE9E8"/>
          </w:tcPr>
          <w:p>
            <w:pPr>
              <w:spacing w:after="0"/>
              <w:rPr>
                <w:sz w:val="15"/>
                <w:szCs w:val="15"/>
                <w:color w:val="auto"/>
              </w:rPr>
            </w:pPr>
          </w:p>
        </w:tc>
        <w:tc>
          <w:tcPr>
            <w:tcW w:w="120" w:type="dxa"/>
            <w:vAlign w:val="bottom"/>
            <w:shd w:val="clear" w:color="auto" w:fill="FCE9E8"/>
          </w:tcPr>
          <w:p>
            <w:pPr>
              <w:spacing w:after="0"/>
              <w:rPr>
                <w:sz w:val="15"/>
                <w:szCs w:val="15"/>
                <w:color w:val="auto"/>
              </w:rPr>
            </w:pPr>
          </w:p>
        </w:tc>
        <w:tc>
          <w:tcPr>
            <w:tcW w:w="760" w:type="dxa"/>
            <w:vAlign w:val="bottom"/>
            <w:shd w:val="clear" w:color="auto" w:fill="FCE9E8"/>
          </w:tcPr>
          <w:p>
            <w:pPr>
              <w:spacing w:after="0"/>
              <w:rPr>
                <w:sz w:val="15"/>
                <w:szCs w:val="15"/>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138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rPr>
              <w:t>3,344</w:t>
            </w:r>
          </w:p>
        </w:tc>
        <w:tc>
          <w:tcPr>
            <w:tcW w:w="560" w:type="dxa"/>
            <w:vAlign w:val="bottom"/>
            <w:shd w:val="clear" w:color="auto" w:fill="FCE9E8"/>
          </w:tcPr>
          <w:p>
            <w:pPr>
              <w:jc w:val="right"/>
              <w:ind w:right="82"/>
              <w:spacing w:after="0"/>
              <w:rPr>
                <w:sz w:val="20"/>
                <w:szCs w:val="20"/>
                <w:color w:val="auto"/>
              </w:rPr>
            </w:pPr>
            <w:r>
              <w:rPr>
                <w:rFonts w:ascii="Arial" w:cs="Arial" w:eastAsia="Arial" w:hAnsi="Arial"/>
                <w:sz w:val="12"/>
                <w:szCs w:val="12"/>
                <w:color w:val="auto"/>
              </w:rPr>
              <w:t>6,688</w:t>
            </w:r>
          </w:p>
        </w:tc>
        <w:tc>
          <w:tcPr>
            <w:tcW w:w="1940" w:type="dxa"/>
            <w:vAlign w:val="bottom"/>
            <w:shd w:val="clear" w:color="auto" w:fill="FCE9E8"/>
          </w:tcPr>
          <w:p>
            <w:pPr>
              <w:jc w:val="right"/>
              <w:ind w:right="1382"/>
              <w:spacing w:after="0"/>
              <w:rPr>
                <w:sz w:val="20"/>
                <w:szCs w:val="20"/>
                <w:color w:val="auto"/>
              </w:rPr>
            </w:pPr>
            <w:r>
              <w:rPr>
                <w:rFonts w:ascii="Arial" w:cs="Arial" w:eastAsia="Arial" w:hAnsi="Arial"/>
                <w:sz w:val="12"/>
                <w:szCs w:val="12"/>
                <w:color w:val="auto"/>
              </w:rPr>
              <w:t>13,376</w:t>
            </w:r>
          </w:p>
        </w:tc>
        <w:tc>
          <w:tcPr>
            <w:tcW w:w="160" w:type="dxa"/>
            <w:vAlign w:val="bottom"/>
            <w:shd w:val="clear" w:color="auto" w:fill="FCE9E8"/>
          </w:tcPr>
          <w:p>
            <w:pPr>
              <w:spacing w:after="0"/>
              <w:rPr>
                <w:sz w:val="17"/>
                <w:szCs w:val="17"/>
                <w:color w:val="auto"/>
              </w:rPr>
            </w:pPr>
          </w:p>
        </w:tc>
        <w:tc>
          <w:tcPr>
            <w:tcW w:w="420" w:type="dxa"/>
            <w:vAlign w:val="bottom"/>
            <w:shd w:val="clear" w:color="auto" w:fill="FCE9E8"/>
          </w:tcPr>
          <w:p>
            <w:pPr>
              <w:spacing w:after="0"/>
              <w:rPr>
                <w:sz w:val="17"/>
                <w:szCs w:val="17"/>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w w:val="93"/>
              </w:rPr>
              <w:t>1,175,621</w:t>
            </w: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13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940" w:type="dxa"/>
            <w:vAlign w:val="bottom"/>
            <w:shd w:val="clear" w:color="auto" w:fill="FCE9E8"/>
          </w:tcPr>
          <w:p>
            <w:pPr>
              <w:jc w:val="right"/>
              <w:ind w:right="702"/>
              <w:spacing w:after="0"/>
              <w:rPr>
                <w:sz w:val="20"/>
                <w:szCs w:val="20"/>
                <w:color w:val="auto"/>
              </w:rPr>
            </w:pPr>
            <w:r>
              <w:rPr>
                <w:rFonts w:ascii="Arial" w:cs="Arial" w:eastAsia="Arial" w:hAnsi="Arial"/>
                <w:sz w:val="12"/>
                <w:szCs w:val="12"/>
                <w:color w:val="auto"/>
              </w:rPr>
              <w:t>2,229</w:t>
            </w:r>
          </w:p>
        </w:tc>
        <w:tc>
          <w:tcPr>
            <w:tcW w:w="160" w:type="dxa"/>
            <w:vAlign w:val="bottom"/>
            <w:shd w:val="clear" w:color="auto" w:fill="FCE9E8"/>
          </w:tcPr>
          <w:p>
            <w:pPr>
              <w:spacing w:after="0"/>
              <w:rPr>
                <w:sz w:val="17"/>
                <w:szCs w:val="17"/>
                <w:color w:val="auto"/>
              </w:rPr>
            </w:pPr>
          </w:p>
        </w:tc>
        <w:tc>
          <w:tcPr>
            <w:tcW w:w="420" w:type="dxa"/>
            <w:vAlign w:val="bottom"/>
            <w:shd w:val="clear" w:color="auto" w:fill="FCE9E8"/>
          </w:tcPr>
          <w:p>
            <w:pPr>
              <w:spacing w:after="0"/>
              <w:rPr>
                <w:sz w:val="17"/>
                <w:szCs w:val="17"/>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rPr>
              <w:t>350,934</w:t>
            </w: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1/2/2021</w:t>
            </w:r>
          </w:p>
        </w:tc>
        <w:tc>
          <w:tcPr>
            <w:tcW w:w="16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13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9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9,935</w:t>
            </w:r>
          </w:p>
        </w:tc>
        <w:tc>
          <w:tcPr>
            <w:tcW w:w="16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7"/>
              </w:rPr>
              <w:t>157.44</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rPr>
              <w:t>351,004</w:t>
            </w:r>
          </w:p>
        </w:tc>
      </w:tr>
      <w:tr>
        <w:trPr>
          <w:trHeight w:val="180"/>
        </w:trPr>
        <w:tc>
          <w:tcPr>
            <w:tcW w:w="960" w:type="dxa"/>
            <w:vAlign w:val="bottom"/>
            <w:shd w:val="clear" w:color="auto" w:fill="FCE9E8"/>
          </w:tcPr>
          <w:p>
            <w:pPr>
              <w:spacing w:after="0"/>
              <w:rPr>
                <w:sz w:val="15"/>
                <w:szCs w:val="15"/>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520" w:type="dxa"/>
            <w:vAlign w:val="bottom"/>
            <w:shd w:val="clear" w:color="auto" w:fill="FCE9E8"/>
          </w:tcPr>
          <w:p>
            <w:pPr>
              <w:spacing w:after="0"/>
              <w:rPr>
                <w:sz w:val="15"/>
                <w:szCs w:val="15"/>
                <w:color w:val="auto"/>
              </w:rPr>
            </w:pPr>
          </w:p>
        </w:tc>
        <w:tc>
          <w:tcPr>
            <w:tcW w:w="100" w:type="dxa"/>
            <w:vAlign w:val="bottom"/>
            <w:shd w:val="clear" w:color="auto" w:fill="FCE9E8"/>
          </w:tcPr>
          <w:p>
            <w:pPr>
              <w:spacing w:after="0"/>
              <w:rPr>
                <w:sz w:val="15"/>
                <w:szCs w:val="15"/>
                <w:color w:val="auto"/>
              </w:rPr>
            </w:pPr>
          </w:p>
        </w:tc>
        <w:tc>
          <w:tcPr>
            <w:tcW w:w="580" w:type="dxa"/>
            <w:vAlign w:val="bottom"/>
            <w:shd w:val="clear" w:color="auto" w:fill="FCE9E8"/>
          </w:tcPr>
          <w:p>
            <w:pPr>
              <w:spacing w:after="0"/>
              <w:rPr>
                <w:sz w:val="15"/>
                <w:szCs w:val="15"/>
                <w:color w:val="auto"/>
              </w:rPr>
            </w:pPr>
          </w:p>
        </w:tc>
        <w:tc>
          <w:tcPr>
            <w:tcW w:w="1380" w:type="dxa"/>
            <w:vAlign w:val="bottom"/>
            <w:shd w:val="clear" w:color="auto" w:fill="FCE9E8"/>
          </w:tcPr>
          <w:p>
            <w:pPr>
              <w:spacing w:after="0"/>
              <w:rPr>
                <w:sz w:val="15"/>
                <w:szCs w:val="15"/>
                <w:color w:val="auto"/>
              </w:rPr>
            </w:pPr>
          </w:p>
        </w:tc>
        <w:tc>
          <w:tcPr>
            <w:tcW w:w="560" w:type="dxa"/>
            <w:vAlign w:val="bottom"/>
            <w:shd w:val="clear" w:color="auto" w:fill="FCE9E8"/>
          </w:tcPr>
          <w:p>
            <w:pPr>
              <w:spacing w:after="0"/>
              <w:rPr>
                <w:sz w:val="15"/>
                <w:szCs w:val="15"/>
                <w:color w:val="auto"/>
              </w:rPr>
            </w:pPr>
          </w:p>
        </w:tc>
        <w:tc>
          <w:tcPr>
            <w:tcW w:w="194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420" w:type="dxa"/>
            <w:vAlign w:val="bottom"/>
            <w:shd w:val="clear" w:color="auto" w:fill="FCE9E8"/>
          </w:tcPr>
          <w:p>
            <w:pPr>
              <w:spacing w:after="0"/>
              <w:rPr>
                <w:sz w:val="15"/>
                <w:szCs w:val="15"/>
                <w:color w:val="auto"/>
              </w:rPr>
            </w:pPr>
          </w:p>
        </w:tc>
        <w:tc>
          <w:tcPr>
            <w:tcW w:w="120" w:type="dxa"/>
            <w:vAlign w:val="bottom"/>
            <w:shd w:val="clear" w:color="auto" w:fill="FCE9E8"/>
          </w:tcPr>
          <w:p>
            <w:pPr>
              <w:spacing w:after="0"/>
              <w:rPr>
                <w:sz w:val="15"/>
                <w:szCs w:val="15"/>
                <w:color w:val="auto"/>
              </w:rPr>
            </w:pPr>
          </w:p>
        </w:tc>
        <w:tc>
          <w:tcPr>
            <w:tcW w:w="760" w:type="dxa"/>
            <w:vAlign w:val="bottom"/>
            <w:shd w:val="clear" w:color="auto" w:fill="FCE9E8"/>
          </w:tcPr>
          <w:p>
            <w:pPr>
              <w:spacing w:after="0"/>
              <w:rPr>
                <w:sz w:val="15"/>
                <w:szCs w:val="15"/>
                <w:color w:val="auto"/>
              </w:rPr>
            </w:pPr>
          </w:p>
        </w:tc>
      </w:tr>
      <w:tr>
        <w:trPr>
          <w:trHeight w:val="211"/>
        </w:trPr>
        <w:tc>
          <w:tcPr>
            <w:tcW w:w="960" w:type="dxa"/>
            <w:vAlign w:val="bottom"/>
            <w:shd w:val="clear" w:color="auto" w:fill="FCE9E8"/>
          </w:tcPr>
          <w:p>
            <w:pPr>
              <w:spacing w:after="0"/>
              <w:rPr>
                <w:sz w:val="18"/>
                <w:szCs w:val="18"/>
                <w:color w:val="auto"/>
              </w:rPr>
            </w:pPr>
          </w:p>
        </w:tc>
        <w:tc>
          <w:tcPr>
            <w:tcW w:w="1540" w:type="dxa"/>
            <w:vAlign w:val="bottom"/>
            <w:shd w:val="clear" w:color="auto" w:fill="FCE9E8"/>
          </w:tcPr>
          <w:p>
            <w:pPr>
              <w:jc w:val="right"/>
              <w:spacing w:after="0" w:line="212"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11/17/2021</w:t>
            </w:r>
          </w:p>
        </w:tc>
        <w:tc>
          <w:tcPr>
            <w:tcW w:w="160" w:type="dxa"/>
            <w:vAlign w:val="bottom"/>
            <w:shd w:val="clear" w:color="auto" w:fill="FCE9E8"/>
          </w:tcPr>
          <w:p>
            <w:pPr>
              <w:spacing w:after="0"/>
              <w:rPr>
                <w:sz w:val="18"/>
                <w:szCs w:val="18"/>
                <w:color w:val="auto"/>
              </w:rPr>
            </w:pPr>
          </w:p>
        </w:tc>
        <w:tc>
          <w:tcPr>
            <w:tcW w:w="520" w:type="dxa"/>
            <w:vAlign w:val="bottom"/>
            <w:shd w:val="clear" w:color="auto" w:fill="FCE9E8"/>
          </w:tcPr>
          <w:p>
            <w:pPr>
              <w:spacing w:after="0"/>
              <w:rPr>
                <w:sz w:val="18"/>
                <w:szCs w:val="18"/>
                <w:color w:val="auto"/>
              </w:rPr>
            </w:pPr>
          </w:p>
        </w:tc>
        <w:tc>
          <w:tcPr>
            <w:tcW w:w="100" w:type="dxa"/>
            <w:vAlign w:val="bottom"/>
            <w:shd w:val="clear" w:color="auto" w:fill="FCE9E8"/>
          </w:tcPr>
          <w:p>
            <w:pPr>
              <w:spacing w:after="0"/>
              <w:rPr>
                <w:sz w:val="18"/>
                <w:szCs w:val="18"/>
                <w:color w:val="auto"/>
              </w:rPr>
            </w:pPr>
          </w:p>
        </w:tc>
        <w:tc>
          <w:tcPr>
            <w:tcW w:w="580" w:type="dxa"/>
            <w:vAlign w:val="bottom"/>
            <w:shd w:val="clear" w:color="auto" w:fill="FCE9E8"/>
          </w:tcPr>
          <w:p>
            <w:pPr>
              <w:spacing w:after="0"/>
              <w:rPr>
                <w:sz w:val="18"/>
                <w:szCs w:val="18"/>
                <w:color w:val="auto"/>
              </w:rPr>
            </w:pPr>
          </w:p>
        </w:tc>
        <w:tc>
          <w:tcPr>
            <w:tcW w:w="1380" w:type="dxa"/>
            <w:vAlign w:val="bottom"/>
            <w:shd w:val="clear" w:color="auto" w:fill="FCE9E8"/>
          </w:tcPr>
          <w:p>
            <w:pPr>
              <w:spacing w:after="0"/>
              <w:rPr>
                <w:sz w:val="18"/>
                <w:szCs w:val="18"/>
                <w:color w:val="auto"/>
              </w:rPr>
            </w:pPr>
          </w:p>
        </w:tc>
        <w:tc>
          <w:tcPr>
            <w:tcW w:w="560" w:type="dxa"/>
            <w:vAlign w:val="bottom"/>
            <w:shd w:val="clear" w:color="auto" w:fill="FCE9E8"/>
          </w:tcPr>
          <w:p>
            <w:pPr>
              <w:spacing w:after="0"/>
              <w:rPr>
                <w:sz w:val="18"/>
                <w:szCs w:val="18"/>
                <w:color w:val="auto"/>
              </w:rPr>
            </w:pPr>
          </w:p>
        </w:tc>
        <w:tc>
          <w:tcPr>
            <w:tcW w:w="1940" w:type="dxa"/>
            <w:vAlign w:val="bottom"/>
            <w:shd w:val="clear" w:color="auto" w:fill="FCE9E8"/>
          </w:tcPr>
          <w:p>
            <w:pPr>
              <w:jc w:val="right"/>
              <w:ind w:right="702"/>
              <w:spacing w:after="0"/>
              <w:rPr>
                <w:sz w:val="20"/>
                <w:szCs w:val="20"/>
                <w:color w:val="auto"/>
              </w:rPr>
            </w:pPr>
            <w:r>
              <w:rPr>
                <w:rFonts w:ascii="Arial" w:cs="Arial" w:eastAsia="Arial" w:hAnsi="Arial"/>
                <w:sz w:val="12"/>
                <w:szCs w:val="12"/>
                <w:color w:val="auto"/>
              </w:rPr>
              <w:t>1,381</w:t>
            </w:r>
          </w:p>
        </w:tc>
        <w:tc>
          <w:tcPr>
            <w:tcW w:w="160" w:type="dxa"/>
            <w:vAlign w:val="bottom"/>
            <w:shd w:val="clear" w:color="auto" w:fill="FCE9E8"/>
          </w:tcPr>
          <w:p>
            <w:pPr>
              <w:spacing w:after="0"/>
              <w:rPr>
                <w:sz w:val="18"/>
                <w:szCs w:val="18"/>
                <w:color w:val="auto"/>
              </w:rPr>
            </w:pPr>
          </w:p>
        </w:tc>
        <w:tc>
          <w:tcPr>
            <w:tcW w:w="420" w:type="dxa"/>
            <w:vAlign w:val="bottom"/>
            <w:shd w:val="clear" w:color="auto" w:fill="FCE9E8"/>
          </w:tcPr>
          <w:p>
            <w:pPr>
              <w:spacing w:after="0"/>
              <w:rPr>
                <w:sz w:val="18"/>
                <w:szCs w:val="18"/>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FCE9E8"/>
          </w:tcPr>
          <w:p>
            <w:pPr>
              <w:jc w:val="right"/>
              <w:ind w:right="182"/>
              <w:spacing w:after="0"/>
              <w:rPr>
                <w:sz w:val="20"/>
                <w:szCs w:val="20"/>
                <w:color w:val="auto"/>
              </w:rPr>
            </w:pPr>
            <w:r>
              <w:rPr>
                <w:rFonts w:ascii="Arial" w:cs="Arial" w:eastAsia="Arial" w:hAnsi="Arial"/>
                <w:sz w:val="12"/>
                <w:szCs w:val="12"/>
                <w:color w:val="auto"/>
              </w:rPr>
              <w:t>249,933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960" w:right="340" w:hanging="293"/>
        <w:spacing w:after="0" w:line="213" w:lineRule="auto"/>
        <w:tabs>
          <w:tab w:leader="none" w:pos="96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For the Annual Incentive Award, the threshold, target and maximum amounts represent 50%, 100% and 200%, respectively, of the total bonus opportunity for each Named Executive Officer. If actual performance falls between threshold and target or between target and maximum, the award would be calculated using linear interpolation. For the Annual Incentive Award, the target bonus opportunity for the Named Executive Officers was also based on a percentage of base salary, which is 150% for Mr. Scott, 100% for Messrs. Cardew, Orsini and DiDonato, and 80% for Mr. Esposito. The Target Amount is generally the Named Executive Officer’s base salary multiplied by his respective Target Opportunity.</w:t>
      </w:r>
    </w:p>
    <w:p>
      <w:pPr>
        <w:spacing w:after="0" w:line="115" w:lineRule="exact"/>
        <w:rPr>
          <w:rFonts w:ascii="Arial" w:cs="Arial" w:eastAsia="Arial" w:hAnsi="Arial"/>
          <w:sz w:val="24"/>
          <w:szCs w:val="24"/>
          <w:color w:val="auto"/>
          <w:vertAlign w:val="superscript"/>
        </w:rPr>
      </w:pPr>
    </w:p>
    <w:p>
      <w:pPr>
        <w:ind w:left="960" w:right="400" w:hanging="293"/>
        <w:spacing w:after="0" w:line="199" w:lineRule="auto"/>
        <w:tabs>
          <w:tab w:leader="none" w:pos="96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2021 reflect the aggregate value of Performance Shares, RSUs, Stock Options and Career Shares under the LTSIP awarded in the year. There can be no assurance that these values will ever be realized. See Note 13, “Stock-Based Compensation,” to the Company’s consolidated financial statements included in our 2021 Annual Report on Form 10-K for the assumptions made in determining values.</w:t>
      </w:r>
    </w:p>
    <w:p>
      <w:pPr>
        <w:spacing w:after="0" w:line="7" w:lineRule="exact"/>
        <w:rPr>
          <w:rFonts w:ascii="Arial" w:cs="Arial" w:eastAsia="Arial" w:hAnsi="Arial"/>
          <w:sz w:val="24"/>
          <w:szCs w:val="24"/>
          <w:color w:val="auto"/>
          <w:vertAlign w:val="superscript"/>
        </w:rPr>
      </w:pPr>
    </w:p>
    <w:p>
      <w:pPr>
        <w:ind w:left="960" w:hanging="293"/>
        <w:spacing w:after="0"/>
        <w:tabs>
          <w:tab w:leader="none" w:pos="96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See “— Performance Shares” below for an explanation regarding the vesting and distribution of the Performance Shares.</w:t>
      </w:r>
    </w:p>
    <w:p>
      <w:pPr>
        <w:spacing w:after="0" w:line="111" w:lineRule="exact"/>
        <w:rPr>
          <w:rFonts w:ascii="Arial" w:cs="Arial" w:eastAsia="Arial" w:hAnsi="Arial"/>
          <w:sz w:val="24"/>
          <w:szCs w:val="24"/>
          <w:color w:val="auto"/>
          <w:vertAlign w:val="superscript"/>
        </w:rPr>
      </w:pPr>
    </w:p>
    <w:p>
      <w:pPr>
        <w:ind w:left="960" w:hanging="293"/>
        <w:spacing w:after="0" w:line="189" w:lineRule="auto"/>
        <w:tabs>
          <w:tab w:leader="none" w:pos="96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The RSUs generally vest and are paid in shares of Lear common stock on the third anniversary of the grant date.</w:t>
      </w:r>
    </w:p>
    <w:p>
      <w:pPr>
        <w:spacing w:after="0" w:line="111" w:lineRule="exact"/>
        <w:rPr>
          <w:rFonts w:ascii="Arial" w:cs="Arial" w:eastAsia="Arial" w:hAnsi="Arial"/>
          <w:sz w:val="19"/>
          <w:szCs w:val="19"/>
          <w:color w:val="auto"/>
          <w:vertAlign w:val="superscript"/>
        </w:rPr>
      </w:pPr>
    </w:p>
    <w:p>
      <w:pPr>
        <w:ind w:left="960" w:hanging="293"/>
        <w:spacing w:after="0" w:line="189" w:lineRule="auto"/>
        <w:tabs>
          <w:tab w:leader="none" w:pos="96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The stock options vest ratably over three years, starting on the first anniversary of the grant date.</w:t>
      </w:r>
    </w:p>
    <w:p>
      <w:pPr>
        <w:spacing w:after="0" w:line="111" w:lineRule="exact"/>
        <w:rPr>
          <w:rFonts w:ascii="Arial" w:cs="Arial" w:eastAsia="Arial" w:hAnsi="Arial"/>
          <w:sz w:val="19"/>
          <w:szCs w:val="19"/>
          <w:color w:val="auto"/>
          <w:vertAlign w:val="superscript"/>
        </w:rPr>
      </w:pPr>
    </w:p>
    <w:p>
      <w:pPr>
        <w:ind w:left="960" w:hanging="293"/>
        <w:spacing w:after="0" w:line="189" w:lineRule="auto"/>
        <w:tabs>
          <w:tab w:leader="none" w:pos="96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See “— Career Shares” below for an explanation regarding the vesting and distribution of the Career Shares.</w:t>
      </w:r>
    </w:p>
    <w:p>
      <w:pPr>
        <w:spacing w:after="0" w:line="259"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51</w:t>
      </w:r>
    </w:p>
    <w:p>
      <w:pPr>
        <w:sectPr>
          <w:pgSz w:w="11900" w:h="16838" w:orient="portrait"/>
          <w:cols w:equalWidth="0" w:num="1">
            <w:col w:w="10860"/>
          </w:cols>
          <w:pgMar w:left="320" w:top="459" w:right="71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28" w:lineRule="exact"/>
        <w:rPr>
          <w:sz w:val="20"/>
          <w:szCs w:val="20"/>
          <w:color w:val="auto"/>
        </w:rPr>
      </w:pPr>
    </w:p>
    <w:p>
      <w:pPr>
        <w:ind w:left="660" w:right="120"/>
        <w:spacing w:after="0" w:line="260" w:lineRule="auto"/>
        <w:rPr>
          <w:sz w:val="20"/>
          <w:szCs w:val="20"/>
          <w:color w:val="auto"/>
        </w:rPr>
      </w:pPr>
      <w:r>
        <w:rPr>
          <w:rFonts w:ascii="Arial" w:cs="Arial" w:eastAsia="Arial" w:hAnsi="Arial"/>
          <w:sz w:val="16"/>
          <w:szCs w:val="16"/>
          <w:color w:val="auto"/>
        </w:rPr>
        <w:t>A summary description of the Company’s AIP is included above under the heading “Compensation Discussion and Analysis — Elements of Compensation — Annual Incentives.”</w:t>
      </w:r>
    </w:p>
    <w:p>
      <w:pPr>
        <w:sectPr>
          <w:pgSz w:w="11900" w:h="16838" w:orient="portrait"/>
          <w:cols w:equalWidth="0" w:num="1">
            <w:col w:w="10560"/>
          </w:cols>
          <w:pgMar w:left="320" w:top="459" w:right="101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96" w:lineRule="exact"/>
        <w:rPr>
          <w:sz w:val="20"/>
          <w:szCs w:val="20"/>
          <w:color w:val="auto"/>
        </w:rPr>
      </w:pPr>
    </w:p>
    <w:p>
      <w:pPr>
        <w:ind w:left="660"/>
        <w:spacing w:after="0" w:line="246" w:lineRule="auto"/>
        <w:rPr>
          <w:sz w:val="20"/>
          <w:szCs w:val="20"/>
          <w:color w:val="auto"/>
        </w:rPr>
      </w:pPr>
      <w:r>
        <w:rPr>
          <w:rFonts w:ascii="Arial" w:cs="Arial" w:eastAsia="Arial" w:hAnsi="Arial"/>
          <w:sz w:val="16"/>
          <w:szCs w:val="16"/>
          <w:color w:val="auto"/>
        </w:rPr>
        <w:t>The Performance Shares, RSUs, stock options, and Performance-Based Career Shares were all granted pursuant to the LTSIP,</w:t>
      </w:r>
    </w:p>
    <w:p>
      <w:pPr>
        <w:spacing w:after="0" w:line="1" w:lineRule="exact"/>
        <w:rPr>
          <w:sz w:val="20"/>
          <w:szCs w:val="20"/>
          <w:color w:val="auto"/>
        </w:rPr>
      </w:pPr>
    </w:p>
    <w:p>
      <w:pPr>
        <w:ind w:left="660" w:right="140"/>
        <w:spacing w:after="0" w:line="253" w:lineRule="auto"/>
        <w:rPr>
          <w:sz w:val="20"/>
          <w:szCs w:val="20"/>
          <w:color w:val="auto"/>
        </w:rPr>
      </w:pPr>
      <w:r>
        <w:rPr>
          <w:rFonts w:ascii="Arial" w:cs="Arial" w:eastAsia="Arial" w:hAnsi="Arial"/>
          <w:sz w:val="16"/>
          <w:szCs w:val="16"/>
          <w:color w:val="auto"/>
        </w:rPr>
        <w:t>a summary description of which is included above under the heading “Compensation Discussion and Analysis — Elements of Compensation — Long-Term Incentives.”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Shares</w:t>
      </w:r>
    </w:p>
    <w:p>
      <w:pPr>
        <w:spacing w:after="0" w:line="124"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Payment of each Performance Share award is contingent on the Company attaining certain levels of Annual Adjusted Pretax Income and Relative TSR in the 2021-2023 performance period. Two-thirds of each Performance Share award can be earned based on Annual Adjusted Pretax Income performance and one-third can be earned based on Relative TSR performance. Annual Adjusted Pretax Income goals and performance will be set and measured annually, with final award payouts being determined based on the three-year average results. If threshold, target or maximum performance goals are attained in a performance period, 50%, 100% or 200% of the target amount, respectively, may be earned. If actual performance falls between threshold and maximum, the award would be calculated using linear interpolation. For a description of the effect of a termination of employment or a change in control on the vesting of Performance Shares, please see “Executive Compensation — Potential Payments Upon Termination or Change in Control.”</w:t>
      </w:r>
    </w:p>
    <w:p>
      <w:pPr>
        <w:spacing w:after="0" w:line="210" w:lineRule="exact"/>
        <w:rPr>
          <w:sz w:val="20"/>
          <w:szCs w:val="20"/>
          <w:color w:val="auto"/>
        </w:rPr>
      </w:pPr>
    </w:p>
    <w:p>
      <w:pPr>
        <w:ind w:left="660" w:right="300"/>
        <w:spacing w:after="0" w:line="260" w:lineRule="auto"/>
        <w:rPr>
          <w:sz w:val="20"/>
          <w:szCs w:val="20"/>
          <w:color w:val="auto"/>
        </w:rPr>
      </w:pPr>
      <w:r>
        <w:rPr>
          <w:rFonts w:ascii="Arial" w:cs="Arial" w:eastAsia="Arial" w:hAnsi="Arial"/>
          <w:sz w:val="16"/>
          <w:szCs w:val="16"/>
          <w:color w:val="auto"/>
        </w:rPr>
        <w:t>Dividend equivalents are credited with respect to Performance Shares at the same time as dividends are paid on the</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Career Shares</w:t>
      </w:r>
    </w:p>
    <w:p>
      <w:pPr>
        <w:spacing w:after="0" w:line="124" w:lineRule="exact"/>
        <w:rPr>
          <w:sz w:val="20"/>
          <w:szCs w:val="20"/>
          <w:color w:val="auto"/>
        </w:rPr>
      </w:pPr>
    </w:p>
    <w:p>
      <w:pPr>
        <w:ind w:left="660" w:right="100"/>
        <w:spacing w:after="0" w:line="246"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w:t>
      </w:r>
    </w:p>
    <w:p>
      <w:pPr>
        <w:spacing w:after="0" w:line="1" w:lineRule="exact"/>
        <w:rPr>
          <w:sz w:val="20"/>
          <w:szCs w:val="20"/>
          <w:color w:val="auto"/>
        </w:rPr>
      </w:pPr>
    </w:p>
    <w:p>
      <w:pPr>
        <w:ind w:left="660" w:right="60" w:firstLine="7"/>
        <w:spacing w:after="0" w:line="248" w:lineRule="auto"/>
        <w:tabs>
          <w:tab w:leader="none" w:pos="88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vesting date. If the executive terminates due to a Career Share “qualifying retirement” (i.e., voluntary termination at or after age 62 or the date that the executive attains a combined number of age and years of service of 65, with a minimum age of 55 and minimum service of five years), the underlying shares of common stock for the vested Career Shares are not distributed until the earlier of (i) age 62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Company’s common stock; however, the dollar amount of these dividend equivalents is not paid unless and until the performance goals are met with respect to the underlying Performance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2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general, the RSUs vest and settle in shares of common stock on the third anniversary of the grant date, generally subject to the executive’s continued employment. For a description of the effect of a termination of employment or a change in control on the vesting of RSUs, please see “Executive Compensation — Potential Payments Upon Termination or Change in Control.”</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In general, the stock options vest over three years on each anniversary of the grant date, generally subject to the executive’s continued employment. For a description of the effect of a termination of employment or a change in control on the vesting of stock options, please see “Executive Compensation —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such later vesting date) or (ii) three years after the executive’s qualifying retirement. If the executive has attained a combined number of age and years of service of at least 65, with a minimum age of 55 and minimum service of five years, or the executive is terminated without “cause” or resigns for “good reason,” in each case after the first anniversary of the grant date, the underlying shares of common stock for the vested Career Shares are not distributed until the later of (i) age 62 (or such later vesting date) or (ii) three years after the executive’s termination of employment.</w:t>
      </w:r>
    </w:p>
    <w:p>
      <w:pPr>
        <w:spacing w:after="0" w:line="508" w:lineRule="exact"/>
        <w:rPr>
          <w:sz w:val="20"/>
          <w:szCs w:val="20"/>
          <w:color w:val="auto"/>
        </w:rPr>
      </w:pPr>
    </w:p>
    <w:p>
      <w:pPr>
        <w:sectPr>
          <w:pgSz w:w="11900" w:h="16838" w:orient="portrait"/>
          <w:cols w:equalWidth="0" w:num="2">
            <w:col w:w="5420" w:space="300"/>
            <w:col w:w="4840"/>
          </w:cols>
          <w:pgMar w:left="320" w:top="459" w:right="1019" w:bottom="1440" w:gutter="0" w:footer="0" w:header="0"/>
          <w:type w:val="continuous"/>
        </w:sectPr>
      </w:pPr>
    </w:p>
    <w:p>
      <w:pPr>
        <w:spacing w:after="0" w:line="199" w:lineRule="exact"/>
        <w:rPr>
          <w:sz w:val="20"/>
          <w:szCs w:val="20"/>
          <w:color w:val="auto"/>
        </w:rPr>
      </w:pPr>
    </w:p>
    <w:p>
      <w:pPr>
        <w:ind w:left="780" w:hanging="393"/>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195580</wp:posOffset>
            </wp:positionV>
            <wp:extent cx="6292215"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3"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FFFFFF"/>
        </w:rPr>
        <w:t>2021 Outstanding Equity Awards At Fiscal Year-End</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outstanding equity awards as of December 31, 2021, for each Named Executive Officer.</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2"/>
        </w:trPr>
        <w:tc>
          <w:tcPr>
            <w:tcW w:w="1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E2231A"/>
              </w:rPr>
              <w:t>Option Awards</w:t>
            </w: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2"/>
            <w:vMerge w:val="restart"/>
          </w:tcPr>
          <w:p>
            <w:pPr>
              <w:jc w:val="right"/>
              <w:ind w:right="592"/>
              <w:spacing w:after="0"/>
              <w:rPr>
                <w:sz w:val="20"/>
                <w:szCs w:val="20"/>
                <w:color w:val="auto"/>
              </w:rPr>
            </w:pPr>
            <w:r>
              <w:rPr>
                <w:rFonts w:ascii="Arial" w:cs="Arial" w:eastAsia="Arial" w:hAnsi="Arial"/>
                <w:sz w:val="13"/>
                <w:szCs w:val="13"/>
                <w:b w:val="1"/>
                <w:bCs w:val="1"/>
                <w:color w:val="E2231A"/>
              </w:rPr>
              <w:t>Stock Awards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vMerge w:val="continue"/>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E2231A"/>
              </w:rPr>
              <w:t>Equity Incentive</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Equity Incentive</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4"/>
              </w:rPr>
              <w:t>Plan Awards:</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Number of</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Number of</w:t>
            </w:r>
          </w:p>
        </w:tc>
        <w:tc>
          <w:tcPr>
            <w:tcW w:w="7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Plan Awards:</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9"/>
              </w:rPr>
              <w:t>Market or</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w:t>
            </w:r>
          </w:p>
        </w:tc>
        <w:tc>
          <w:tcPr>
            <w:tcW w:w="7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7"/>
              </w:rPr>
              <w:t>Market Value</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Number of</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5"/>
              </w:rPr>
              <w:t>Payout Value</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Underlying</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Underlying</w:t>
            </w:r>
          </w:p>
        </w:tc>
        <w:tc>
          <w:tcPr>
            <w:tcW w:w="7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Number of</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7"/>
              </w:rPr>
              <w:t>of Shares or</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Unearned Shares,</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7"/>
              </w:rPr>
              <w:t>of Unearned</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Unexercised</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Unexercised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rPr>
              <w:t>Option</w:t>
            </w:r>
          </w:p>
        </w:tc>
        <w:tc>
          <w:tcPr>
            <w:tcW w:w="94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 or</w:t>
            </w:r>
          </w:p>
        </w:tc>
        <w:tc>
          <w:tcPr>
            <w:tcW w:w="10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E2231A"/>
              </w:rPr>
              <w:t>Units of Stock</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Units or Other</w:t>
            </w:r>
          </w:p>
        </w:tc>
        <w:tc>
          <w:tcPr>
            <w:tcW w:w="11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E2231A"/>
              </w:rPr>
              <w:t>Shares, Units or</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9"/>
              </w:rPr>
              <w:t>Options (#)</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Options (#)</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Exercise</w:t>
            </w:r>
          </w:p>
        </w:tc>
        <w:tc>
          <w:tcPr>
            <w:tcW w:w="940" w:type="dxa"/>
            <w:vAlign w:val="bottom"/>
            <w:tcBorders>
              <w:right w:val="single" w:sz="8" w:color="auto"/>
            </w:tcBorders>
          </w:tcPr>
          <w:p>
            <w:pPr>
              <w:jc w:val="center"/>
              <w:ind w:right="107"/>
              <w:spacing w:after="0" w:line="135" w:lineRule="exact"/>
              <w:rPr>
                <w:sz w:val="20"/>
                <w:szCs w:val="20"/>
                <w:color w:val="auto"/>
              </w:rPr>
            </w:pPr>
            <w:r>
              <w:rPr>
                <w:rFonts w:ascii="Arial" w:cs="Arial" w:eastAsia="Arial" w:hAnsi="Arial"/>
                <w:sz w:val="13"/>
                <w:szCs w:val="13"/>
                <w:b w:val="1"/>
                <w:bCs w:val="1"/>
                <w:color w:val="E2231A"/>
                <w:w w:val="95"/>
              </w:rPr>
              <w:t>Option</w:t>
            </w:r>
          </w:p>
        </w:tc>
        <w:tc>
          <w:tcPr>
            <w:tcW w:w="1000" w:type="dxa"/>
            <w:vAlign w:val="bottom"/>
          </w:tcPr>
          <w:p>
            <w:pPr>
              <w:jc w:val="right"/>
              <w:ind w:right="10"/>
              <w:spacing w:after="0" w:line="135" w:lineRule="exact"/>
              <w:rPr>
                <w:sz w:val="20"/>
                <w:szCs w:val="20"/>
                <w:color w:val="auto"/>
              </w:rPr>
            </w:pPr>
            <w:r>
              <w:rPr>
                <w:rFonts w:ascii="Arial" w:cs="Arial" w:eastAsia="Arial" w:hAnsi="Arial"/>
                <w:sz w:val="13"/>
                <w:szCs w:val="13"/>
                <w:b w:val="1"/>
                <w:bCs w:val="1"/>
                <w:color w:val="E2231A"/>
              </w:rPr>
              <w:t>Units of Stock</w:t>
            </w:r>
          </w:p>
        </w:tc>
        <w:tc>
          <w:tcPr>
            <w:tcW w:w="10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E2231A"/>
              </w:rPr>
              <w:t>That Have Not</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Rights that</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9"/>
              </w:rPr>
              <w:t>Other Rights</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Exercisable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Unexercisable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4"/>
              </w:rPr>
              <w:t>Price</w:t>
            </w:r>
          </w:p>
        </w:tc>
        <w:tc>
          <w:tcPr>
            <w:tcW w:w="940" w:type="dxa"/>
            <w:vAlign w:val="bottom"/>
            <w:tcBorders>
              <w:right w:val="single" w:sz="8" w:color="auto"/>
            </w:tcBorders>
          </w:tcPr>
          <w:p>
            <w:pPr>
              <w:jc w:val="center"/>
              <w:ind w:right="127"/>
              <w:spacing w:after="0" w:line="135" w:lineRule="exact"/>
              <w:rPr>
                <w:sz w:val="20"/>
                <w:szCs w:val="20"/>
                <w:color w:val="auto"/>
              </w:rPr>
            </w:pPr>
            <w:r>
              <w:rPr>
                <w:rFonts w:ascii="Arial" w:cs="Arial" w:eastAsia="Arial" w:hAnsi="Arial"/>
                <w:sz w:val="13"/>
                <w:szCs w:val="13"/>
                <w:b w:val="1"/>
                <w:bCs w:val="1"/>
                <w:color w:val="E2231A"/>
                <w:w w:val="97"/>
              </w:rPr>
              <w:t>Expiration</w:t>
            </w:r>
          </w:p>
        </w:tc>
        <w:tc>
          <w:tcPr>
            <w:tcW w:w="1000" w:type="dxa"/>
            <w:vAlign w:val="bottom"/>
          </w:tcPr>
          <w:p>
            <w:pPr>
              <w:jc w:val="right"/>
              <w:ind w:right="10"/>
              <w:spacing w:after="0" w:line="135" w:lineRule="exact"/>
              <w:rPr>
                <w:sz w:val="20"/>
                <w:szCs w:val="20"/>
                <w:color w:val="auto"/>
              </w:rPr>
            </w:pPr>
            <w:r>
              <w:rPr>
                <w:rFonts w:ascii="Arial" w:cs="Arial" w:eastAsia="Arial" w:hAnsi="Arial"/>
                <w:sz w:val="13"/>
                <w:szCs w:val="13"/>
                <w:b w:val="1"/>
                <w:bCs w:val="1"/>
                <w:color w:val="E2231A"/>
              </w:rPr>
              <w:t>That Have Not</w:t>
            </w:r>
          </w:p>
        </w:tc>
        <w:tc>
          <w:tcPr>
            <w:tcW w:w="160" w:type="dxa"/>
            <w:vAlign w:val="bottom"/>
          </w:tcPr>
          <w:p>
            <w:pPr>
              <w:spacing w:after="0"/>
              <w:rPr>
                <w:sz w:val="11"/>
                <w:szCs w:val="11"/>
                <w:color w:val="auto"/>
              </w:rPr>
            </w:pPr>
          </w:p>
        </w:tc>
        <w:tc>
          <w:tcPr>
            <w:tcW w:w="86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E2231A"/>
                <w:w w:val="98"/>
              </w:rPr>
              <w:t>Vested</w:t>
            </w:r>
            <w:r>
              <w:rPr>
                <w:rFonts w:ascii="Arial" w:cs="Arial" w:eastAsia="Arial" w:hAnsi="Arial"/>
                <w:sz w:val="10"/>
                <w:szCs w:val="10"/>
                <w:b w:val="1"/>
                <w:bCs w:val="1"/>
                <w:color w:val="E2231A"/>
                <w:w w:val="98"/>
              </w:rPr>
              <w:t>(3)</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4"/>
              </w:rPr>
              <w:t>have Not</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4"/>
              </w:rPr>
              <w:t>that have</w:t>
            </w: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(b)</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87"/>
              </w:rPr>
              <w:t>(c)</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2"/>
              </w:rPr>
              <w:t>($)(d)</w:t>
            </w:r>
          </w:p>
        </w:tc>
        <w:tc>
          <w:tcPr>
            <w:tcW w:w="940" w:type="dxa"/>
            <w:vAlign w:val="bottom"/>
            <w:tcBorders>
              <w:bottom w:val="single" w:sz="8" w:color="auto"/>
              <w:right w:val="single" w:sz="8" w:color="auto"/>
            </w:tcBorders>
          </w:tcPr>
          <w:p>
            <w:pPr>
              <w:jc w:val="center"/>
              <w:ind w:right="127"/>
              <w:spacing w:after="0"/>
              <w:rPr>
                <w:sz w:val="20"/>
                <w:szCs w:val="20"/>
                <w:color w:val="auto"/>
              </w:rPr>
            </w:pPr>
            <w:r>
              <w:rPr>
                <w:rFonts w:ascii="Arial" w:cs="Arial" w:eastAsia="Arial" w:hAnsi="Arial"/>
                <w:sz w:val="13"/>
                <w:szCs w:val="13"/>
                <w:b w:val="1"/>
                <w:bCs w:val="1"/>
                <w:color w:val="E2231A"/>
                <w:w w:val="96"/>
              </w:rPr>
              <w:t>Date (e)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8"/>
              </w:rPr>
              <w:t>Vested</w:t>
            </w:r>
            <w:r>
              <w:rPr>
                <w:rFonts w:ascii="Arial" w:cs="Arial" w:eastAsia="Arial" w:hAnsi="Arial"/>
                <w:sz w:val="10"/>
                <w:szCs w:val="10"/>
                <w:b w:val="1"/>
                <w:bCs w:val="1"/>
                <w:color w:val="E2231A"/>
                <w:w w:val="98"/>
              </w:rPr>
              <w:t>(2)</w:t>
            </w:r>
            <w:r>
              <w:rPr>
                <w:rFonts w:ascii="Arial" w:cs="Arial" w:eastAsia="Arial" w:hAnsi="Arial"/>
                <w:sz w:val="13"/>
                <w:szCs w:val="13"/>
                <w:b w:val="1"/>
                <w:bCs w:val="1"/>
                <w:color w:val="E2231A"/>
                <w:w w:val="98"/>
              </w:rPr>
              <w:t xml:space="preserve"> (g)</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E2231A"/>
                <w:w w:val="96"/>
              </w:rPr>
              <w:t>(h)</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Vested</w:t>
            </w:r>
            <w:r>
              <w:rPr>
                <w:rFonts w:ascii="Arial" w:cs="Arial" w:eastAsia="Arial" w:hAnsi="Arial"/>
                <w:sz w:val="10"/>
                <w:szCs w:val="10"/>
                <w:b w:val="1"/>
                <w:bCs w:val="1"/>
                <w:color w:val="E2231A"/>
                <w:w w:val="96"/>
              </w:rPr>
              <w:t>(4)</w:t>
            </w:r>
            <w:r>
              <w:rPr>
                <w:rFonts w:ascii="Arial" w:cs="Arial" w:eastAsia="Arial" w:hAnsi="Arial"/>
                <w:sz w:val="13"/>
                <w:szCs w:val="13"/>
                <w:b w:val="1"/>
                <w:bCs w:val="1"/>
                <w:color w:val="E2231A"/>
                <w:w w:val="96"/>
              </w:rPr>
              <w:t xml:space="preserve"> (i)</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E2231A"/>
              </w:rPr>
              <w:t>Not Vested</w:t>
            </w:r>
            <w:r>
              <w:rPr>
                <w:rFonts w:ascii="Arial" w:cs="Arial" w:eastAsia="Arial" w:hAnsi="Arial"/>
                <w:sz w:val="10"/>
                <w:szCs w:val="10"/>
                <w:b w:val="1"/>
                <w:bCs w:val="1"/>
                <w:color w:val="E2231A"/>
              </w:rPr>
              <w:t>(4)</w:t>
            </w:r>
            <w:r>
              <w:rPr>
                <w:rFonts w:ascii="Arial" w:cs="Arial" w:eastAsia="Arial" w:hAnsi="Arial"/>
                <w:sz w:val="13"/>
                <w:szCs w:val="13"/>
                <w:b w:val="1"/>
                <w:bCs w:val="1"/>
                <w:color w:val="E2231A"/>
              </w:rPr>
              <w:t xml:space="preserve"> (j)</w:t>
            </w:r>
          </w:p>
        </w:tc>
        <w:tc>
          <w:tcPr>
            <w:tcW w:w="0" w:type="dxa"/>
            <w:vAlign w:val="bottom"/>
          </w:tcPr>
          <w:p>
            <w:pPr>
              <w:spacing w:after="0"/>
              <w:rPr>
                <w:sz w:val="1"/>
                <w:szCs w:val="1"/>
                <w:color w:val="auto"/>
              </w:rPr>
            </w:pPr>
          </w:p>
        </w:tc>
      </w:tr>
      <w:tr>
        <w:trPr>
          <w:trHeight w:val="244"/>
        </w:trPr>
        <w:tc>
          <w:tcPr>
            <w:tcW w:w="19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Raymond E. Scott</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47,552</w:t>
            </w:r>
          </w:p>
        </w:tc>
        <w:tc>
          <w:tcPr>
            <w:tcW w:w="7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40" w:type="dxa"/>
            <w:vAlign w:val="bottom"/>
            <w:tcBorders>
              <w:bottom w:val="single" w:sz="8" w:color="FCE9E8"/>
              <w:right w:val="single" w:sz="8" w:color="auto"/>
            </w:tcBorders>
            <w:shd w:val="clear" w:color="auto" w:fill="FCE9E8"/>
          </w:tcPr>
          <w:p>
            <w:pPr>
              <w:jc w:val="right"/>
              <w:ind w:right="7"/>
              <w:spacing w:after="0"/>
              <w:rPr>
                <w:sz w:val="20"/>
                <w:szCs w:val="20"/>
                <w:color w:val="auto"/>
              </w:rPr>
            </w:pPr>
            <w:r>
              <w:rPr>
                <w:rFonts w:ascii="Arial" w:cs="Arial" w:eastAsia="Arial" w:hAnsi="Arial"/>
                <w:sz w:val="15"/>
                <w:szCs w:val="15"/>
                <w:color w:val="auto"/>
              </w:rPr>
              <w:t>1/4/2031</w:t>
            </w:r>
            <w:r>
              <w:rPr>
                <w:rFonts w:ascii="Arial" w:cs="Arial" w:eastAsia="Arial" w:hAnsi="Arial"/>
                <w:sz w:val="13"/>
                <w:szCs w:val="13"/>
                <w:color w:val="auto"/>
              </w:rPr>
              <w:t>(1)</w:t>
            </w:r>
          </w:p>
        </w:tc>
        <w:tc>
          <w:tcPr>
            <w:tcW w:w="100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68,605</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12,767,404</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135,976</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25,197,064</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18,470</w:t>
            </w:r>
          </w:p>
        </w:tc>
        <w:tc>
          <w:tcPr>
            <w:tcW w:w="1020" w:type="dxa"/>
            <w:vAlign w:val="bottom"/>
          </w:tcPr>
          <w:p>
            <w:pPr>
              <w:jc w:val="right"/>
              <w:ind w:right="10"/>
              <w:spacing w:after="0"/>
              <w:rPr>
                <w:sz w:val="20"/>
                <w:szCs w:val="20"/>
                <w:color w:val="auto"/>
              </w:rPr>
            </w:pPr>
            <w:r>
              <w:rPr>
                <w:rFonts w:ascii="Arial" w:cs="Arial" w:eastAsia="Arial" w:hAnsi="Arial"/>
                <w:sz w:val="15"/>
                <w:szCs w:val="15"/>
                <w:color w:val="auto"/>
              </w:rPr>
              <w:t>36,939</w:t>
            </w:r>
          </w:p>
        </w:tc>
        <w:tc>
          <w:tcPr>
            <w:tcW w:w="740" w:type="dxa"/>
            <w:vAlign w:val="bottom"/>
          </w:tcPr>
          <w:p>
            <w:pPr>
              <w:jc w:val="center"/>
              <w:spacing w:after="0"/>
              <w:rPr>
                <w:sz w:val="20"/>
                <w:szCs w:val="20"/>
                <w:color w:val="auto"/>
              </w:rPr>
            </w:pPr>
            <w:r>
              <w:rPr>
                <w:rFonts w:ascii="Arial" w:cs="Arial" w:eastAsia="Arial" w:hAnsi="Arial"/>
                <w:sz w:val="15"/>
                <w:szCs w:val="15"/>
                <w:color w:val="auto"/>
              </w:rPr>
              <w:t>$140.09</w:t>
            </w:r>
          </w:p>
        </w:tc>
        <w:tc>
          <w:tcPr>
            <w:tcW w:w="940" w:type="dxa"/>
            <w:vAlign w:val="bottom"/>
            <w:tcBorders>
              <w:right w:val="single" w:sz="8" w:color="auto"/>
            </w:tcBorders>
          </w:tcPr>
          <w:p>
            <w:pPr>
              <w:jc w:val="right"/>
              <w:ind w:right="7"/>
              <w:spacing w:after="0"/>
              <w:rPr>
                <w:sz w:val="20"/>
                <w:szCs w:val="20"/>
                <w:color w:val="auto"/>
              </w:rPr>
            </w:pPr>
            <w:r>
              <w:rPr>
                <w:rFonts w:ascii="Arial" w:cs="Arial" w:eastAsia="Arial" w:hAnsi="Arial"/>
                <w:sz w:val="15"/>
                <w:szCs w:val="15"/>
                <w:color w:val="auto"/>
              </w:rPr>
              <w:t>1/2/2030</w:t>
            </w:r>
            <w:r>
              <w:rPr>
                <w:rFonts w:ascii="Arial" w:cs="Arial" w:eastAsia="Arial" w:hAnsi="Arial"/>
                <w:sz w:val="13"/>
                <w:szCs w:val="13"/>
                <w:color w:val="auto"/>
              </w:rPr>
              <w:t>(2)</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Jason M. Cardew</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11,888</w:t>
            </w:r>
          </w:p>
        </w:tc>
        <w:tc>
          <w:tcPr>
            <w:tcW w:w="7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40" w:type="dxa"/>
            <w:vAlign w:val="bottom"/>
            <w:tcBorders>
              <w:bottom w:val="single" w:sz="8" w:color="FCE9E8"/>
              <w:right w:val="single" w:sz="8" w:color="auto"/>
            </w:tcBorders>
            <w:shd w:val="clear" w:color="auto" w:fill="FCE9E8"/>
          </w:tcPr>
          <w:p>
            <w:pPr>
              <w:jc w:val="right"/>
              <w:ind w:right="7"/>
              <w:spacing w:after="0"/>
              <w:rPr>
                <w:sz w:val="20"/>
                <w:szCs w:val="20"/>
                <w:color w:val="auto"/>
              </w:rPr>
            </w:pPr>
            <w:r>
              <w:rPr>
                <w:rFonts w:ascii="Arial" w:cs="Arial" w:eastAsia="Arial" w:hAnsi="Arial"/>
                <w:sz w:val="15"/>
                <w:szCs w:val="15"/>
                <w:color w:val="auto"/>
              </w:rPr>
              <w:t>1/4/2031</w:t>
            </w:r>
            <w:r>
              <w:rPr>
                <w:rFonts w:ascii="Arial" w:cs="Arial" w:eastAsia="Arial" w:hAnsi="Arial"/>
                <w:sz w:val="13"/>
                <w:szCs w:val="13"/>
                <w:color w:val="auto"/>
              </w:rPr>
              <w:t>(1)</w:t>
            </w:r>
          </w:p>
        </w:tc>
        <w:tc>
          <w:tcPr>
            <w:tcW w:w="100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19,101</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3,545,085</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32,194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5,964,805</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4,156</w:t>
            </w:r>
          </w:p>
        </w:tc>
        <w:tc>
          <w:tcPr>
            <w:tcW w:w="1020" w:type="dxa"/>
            <w:vAlign w:val="bottom"/>
          </w:tcPr>
          <w:p>
            <w:pPr>
              <w:jc w:val="right"/>
              <w:ind w:right="10"/>
              <w:spacing w:after="0"/>
              <w:rPr>
                <w:sz w:val="20"/>
                <w:szCs w:val="20"/>
                <w:color w:val="auto"/>
              </w:rPr>
            </w:pPr>
            <w:r>
              <w:rPr>
                <w:rFonts w:ascii="Arial" w:cs="Arial" w:eastAsia="Arial" w:hAnsi="Arial"/>
                <w:sz w:val="15"/>
                <w:szCs w:val="15"/>
                <w:color w:val="auto"/>
              </w:rPr>
              <w:t>8,312</w:t>
            </w:r>
          </w:p>
        </w:tc>
        <w:tc>
          <w:tcPr>
            <w:tcW w:w="740" w:type="dxa"/>
            <w:vAlign w:val="bottom"/>
          </w:tcPr>
          <w:p>
            <w:pPr>
              <w:jc w:val="center"/>
              <w:spacing w:after="0"/>
              <w:rPr>
                <w:sz w:val="20"/>
                <w:szCs w:val="20"/>
                <w:color w:val="auto"/>
              </w:rPr>
            </w:pPr>
            <w:r>
              <w:rPr>
                <w:rFonts w:ascii="Arial" w:cs="Arial" w:eastAsia="Arial" w:hAnsi="Arial"/>
                <w:sz w:val="15"/>
                <w:szCs w:val="15"/>
                <w:color w:val="auto"/>
              </w:rPr>
              <w:t>$140.09</w:t>
            </w:r>
          </w:p>
        </w:tc>
        <w:tc>
          <w:tcPr>
            <w:tcW w:w="940" w:type="dxa"/>
            <w:vAlign w:val="bottom"/>
            <w:tcBorders>
              <w:right w:val="single" w:sz="8" w:color="auto"/>
            </w:tcBorders>
          </w:tcPr>
          <w:p>
            <w:pPr>
              <w:jc w:val="right"/>
              <w:ind w:right="7"/>
              <w:spacing w:after="0"/>
              <w:rPr>
                <w:sz w:val="20"/>
                <w:szCs w:val="20"/>
                <w:color w:val="auto"/>
              </w:rPr>
            </w:pPr>
            <w:r>
              <w:rPr>
                <w:rFonts w:ascii="Arial" w:cs="Arial" w:eastAsia="Arial" w:hAnsi="Arial"/>
                <w:sz w:val="15"/>
                <w:szCs w:val="15"/>
                <w:color w:val="auto"/>
              </w:rPr>
              <w:t>1/2/2030</w:t>
            </w:r>
            <w:r>
              <w:rPr>
                <w:rFonts w:ascii="Arial" w:cs="Arial" w:eastAsia="Arial" w:hAnsi="Arial"/>
                <w:sz w:val="13"/>
                <w:szCs w:val="13"/>
                <w:color w:val="auto"/>
              </w:rPr>
              <w:t>(2)</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Frank C. Orsini</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13,587</w:t>
            </w:r>
          </w:p>
        </w:tc>
        <w:tc>
          <w:tcPr>
            <w:tcW w:w="7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40" w:type="dxa"/>
            <w:vAlign w:val="bottom"/>
            <w:tcBorders>
              <w:bottom w:val="single" w:sz="8" w:color="FCE9E8"/>
              <w:right w:val="single" w:sz="8" w:color="auto"/>
            </w:tcBorders>
            <w:shd w:val="clear" w:color="auto" w:fill="FCE9E8"/>
          </w:tcPr>
          <w:p>
            <w:pPr>
              <w:jc w:val="right"/>
              <w:ind w:right="7"/>
              <w:spacing w:after="0"/>
              <w:rPr>
                <w:sz w:val="20"/>
                <w:szCs w:val="20"/>
                <w:color w:val="auto"/>
              </w:rPr>
            </w:pPr>
            <w:r>
              <w:rPr>
                <w:rFonts w:ascii="Arial" w:cs="Arial" w:eastAsia="Arial" w:hAnsi="Arial"/>
                <w:sz w:val="15"/>
                <w:szCs w:val="15"/>
                <w:color w:val="auto"/>
              </w:rPr>
              <w:t>1/4/2031</w:t>
            </w:r>
            <w:r>
              <w:rPr>
                <w:rFonts w:ascii="Arial" w:cs="Arial" w:eastAsia="Arial" w:hAnsi="Arial"/>
                <w:sz w:val="13"/>
                <w:szCs w:val="13"/>
                <w:color w:val="auto"/>
              </w:rPr>
              <w:t>(1)</w:t>
            </w:r>
          </w:p>
        </w:tc>
        <w:tc>
          <w:tcPr>
            <w:tcW w:w="100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26,374</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4,901,793</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38,850</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7,199,109</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5,278</w:t>
            </w:r>
          </w:p>
        </w:tc>
        <w:tc>
          <w:tcPr>
            <w:tcW w:w="1020" w:type="dxa"/>
            <w:vAlign w:val="bottom"/>
          </w:tcPr>
          <w:p>
            <w:pPr>
              <w:jc w:val="right"/>
              <w:ind w:right="10"/>
              <w:spacing w:after="0"/>
              <w:rPr>
                <w:sz w:val="20"/>
                <w:szCs w:val="20"/>
                <w:color w:val="auto"/>
              </w:rPr>
            </w:pPr>
            <w:r>
              <w:rPr>
                <w:rFonts w:ascii="Arial" w:cs="Arial" w:eastAsia="Arial" w:hAnsi="Arial"/>
                <w:sz w:val="15"/>
                <w:szCs w:val="15"/>
                <w:color w:val="auto"/>
              </w:rPr>
              <w:t>10,554</w:t>
            </w:r>
          </w:p>
        </w:tc>
        <w:tc>
          <w:tcPr>
            <w:tcW w:w="740" w:type="dxa"/>
            <w:vAlign w:val="bottom"/>
          </w:tcPr>
          <w:p>
            <w:pPr>
              <w:jc w:val="center"/>
              <w:spacing w:after="0"/>
              <w:rPr>
                <w:sz w:val="20"/>
                <w:szCs w:val="20"/>
                <w:color w:val="auto"/>
              </w:rPr>
            </w:pPr>
            <w:r>
              <w:rPr>
                <w:rFonts w:ascii="Arial" w:cs="Arial" w:eastAsia="Arial" w:hAnsi="Arial"/>
                <w:sz w:val="15"/>
                <w:szCs w:val="15"/>
                <w:color w:val="auto"/>
              </w:rPr>
              <w:t>$140.09</w:t>
            </w:r>
          </w:p>
        </w:tc>
        <w:tc>
          <w:tcPr>
            <w:tcW w:w="940" w:type="dxa"/>
            <w:vAlign w:val="bottom"/>
            <w:tcBorders>
              <w:right w:val="single" w:sz="8" w:color="auto"/>
            </w:tcBorders>
          </w:tcPr>
          <w:p>
            <w:pPr>
              <w:jc w:val="right"/>
              <w:ind w:right="7"/>
              <w:spacing w:after="0"/>
              <w:rPr>
                <w:sz w:val="20"/>
                <w:szCs w:val="20"/>
                <w:color w:val="auto"/>
              </w:rPr>
            </w:pPr>
            <w:r>
              <w:rPr>
                <w:rFonts w:ascii="Arial" w:cs="Arial" w:eastAsia="Arial" w:hAnsi="Arial"/>
                <w:sz w:val="15"/>
                <w:szCs w:val="15"/>
                <w:color w:val="auto"/>
              </w:rPr>
              <w:t>1/2/2030</w:t>
            </w:r>
            <w:r>
              <w:rPr>
                <w:rFonts w:ascii="Arial" w:cs="Arial" w:eastAsia="Arial" w:hAnsi="Arial"/>
                <w:sz w:val="13"/>
                <w:szCs w:val="13"/>
                <w:color w:val="auto"/>
              </w:rPr>
              <w:t>(2)</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Thomas A. DiDonato</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11,294</w:t>
            </w:r>
          </w:p>
        </w:tc>
        <w:tc>
          <w:tcPr>
            <w:tcW w:w="7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40" w:type="dxa"/>
            <w:vAlign w:val="bottom"/>
            <w:tcBorders>
              <w:bottom w:val="single" w:sz="8" w:color="FCE9E8"/>
              <w:right w:val="single" w:sz="8" w:color="auto"/>
            </w:tcBorders>
            <w:shd w:val="clear" w:color="auto" w:fill="FCE9E8"/>
          </w:tcPr>
          <w:p>
            <w:pPr>
              <w:jc w:val="right"/>
              <w:ind w:right="7"/>
              <w:spacing w:after="0"/>
              <w:rPr>
                <w:sz w:val="20"/>
                <w:szCs w:val="20"/>
                <w:color w:val="auto"/>
              </w:rPr>
            </w:pPr>
            <w:r>
              <w:rPr>
                <w:rFonts w:ascii="Arial" w:cs="Arial" w:eastAsia="Arial" w:hAnsi="Arial"/>
                <w:sz w:val="15"/>
                <w:szCs w:val="15"/>
                <w:color w:val="auto"/>
              </w:rPr>
              <w:t>1/4/2031</w:t>
            </w:r>
            <w:r>
              <w:rPr>
                <w:rFonts w:ascii="Arial" w:cs="Arial" w:eastAsia="Arial" w:hAnsi="Arial"/>
                <w:sz w:val="13"/>
                <w:szCs w:val="13"/>
                <w:color w:val="auto"/>
              </w:rPr>
              <w:t>(1)</w:t>
            </w:r>
          </w:p>
        </w:tc>
        <w:tc>
          <w:tcPr>
            <w:tcW w:w="100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19,771</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3,678,614</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32,292</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5,983,877</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4,387</w:t>
            </w:r>
          </w:p>
        </w:tc>
        <w:tc>
          <w:tcPr>
            <w:tcW w:w="1020" w:type="dxa"/>
            <w:vAlign w:val="bottom"/>
          </w:tcPr>
          <w:p>
            <w:pPr>
              <w:jc w:val="right"/>
              <w:ind w:right="10"/>
              <w:spacing w:after="0"/>
              <w:rPr>
                <w:sz w:val="20"/>
                <w:szCs w:val="20"/>
                <w:color w:val="auto"/>
              </w:rPr>
            </w:pPr>
            <w:r>
              <w:rPr>
                <w:rFonts w:ascii="Arial" w:cs="Arial" w:eastAsia="Arial" w:hAnsi="Arial"/>
                <w:sz w:val="15"/>
                <w:szCs w:val="15"/>
                <w:color w:val="auto"/>
              </w:rPr>
              <w:t>8,773</w:t>
            </w:r>
          </w:p>
        </w:tc>
        <w:tc>
          <w:tcPr>
            <w:tcW w:w="740" w:type="dxa"/>
            <w:vAlign w:val="bottom"/>
          </w:tcPr>
          <w:p>
            <w:pPr>
              <w:jc w:val="center"/>
              <w:spacing w:after="0"/>
              <w:rPr>
                <w:sz w:val="20"/>
                <w:szCs w:val="20"/>
                <w:color w:val="auto"/>
              </w:rPr>
            </w:pPr>
            <w:r>
              <w:rPr>
                <w:rFonts w:ascii="Arial" w:cs="Arial" w:eastAsia="Arial" w:hAnsi="Arial"/>
                <w:sz w:val="15"/>
                <w:szCs w:val="15"/>
                <w:color w:val="auto"/>
              </w:rPr>
              <w:t>$140.09</w:t>
            </w:r>
          </w:p>
        </w:tc>
        <w:tc>
          <w:tcPr>
            <w:tcW w:w="940" w:type="dxa"/>
            <w:vAlign w:val="bottom"/>
            <w:tcBorders>
              <w:right w:val="single" w:sz="8" w:color="auto"/>
            </w:tcBorders>
          </w:tcPr>
          <w:p>
            <w:pPr>
              <w:jc w:val="right"/>
              <w:ind w:right="7"/>
              <w:spacing w:after="0"/>
              <w:rPr>
                <w:sz w:val="20"/>
                <w:szCs w:val="20"/>
                <w:color w:val="auto"/>
              </w:rPr>
            </w:pPr>
            <w:r>
              <w:rPr>
                <w:rFonts w:ascii="Arial" w:cs="Arial" w:eastAsia="Arial" w:hAnsi="Arial"/>
                <w:sz w:val="15"/>
                <w:szCs w:val="15"/>
                <w:color w:val="auto"/>
              </w:rPr>
              <w:t>1/2/2030</w:t>
            </w:r>
            <w:r>
              <w:rPr>
                <w:rFonts w:ascii="Arial" w:cs="Arial" w:eastAsia="Arial" w:hAnsi="Arial"/>
                <w:sz w:val="13"/>
                <w:szCs w:val="13"/>
                <w:color w:val="auto"/>
              </w:rPr>
              <w:t>(2)</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Carl A. Esposito</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9,935</w:t>
            </w:r>
          </w:p>
        </w:tc>
        <w:tc>
          <w:tcPr>
            <w:tcW w:w="7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40" w:type="dxa"/>
            <w:vAlign w:val="bottom"/>
            <w:tcBorders>
              <w:bottom w:val="single" w:sz="8" w:color="FCE9E8"/>
              <w:right w:val="single" w:sz="8" w:color="auto"/>
            </w:tcBorders>
            <w:shd w:val="clear" w:color="auto" w:fill="FCE9E8"/>
          </w:tcPr>
          <w:p>
            <w:pPr>
              <w:jc w:val="right"/>
              <w:ind w:right="7"/>
              <w:spacing w:after="0"/>
              <w:rPr>
                <w:sz w:val="20"/>
                <w:szCs w:val="20"/>
                <w:color w:val="auto"/>
              </w:rPr>
            </w:pPr>
            <w:r>
              <w:rPr>
                <w:rFonts w:ascii="Arial" w:cs="Arial" w:eastAsia="Arial" w:hAnsi="Arial"/>
                <w:sz w:val="15"/>
                <w:szCs w:val="15"/>
                <w:color w:val="auto"/>
              </w:rPr>
              <w:t>1/4/2031</w:t>
            </w:r>
            <w:r>
              <w:rPr>
                <w:rFonts w:ascii="Arial" w:cs="Arial" w:eastAsia="Arial" w:hAnsi="Arial"/>
                <w:sz w:val="13"/>
                <w:szCs w:val="13"/>
                <w:color w:val="auto"/>
              </w:rPr>
              <w:t>(1)</w:t>
            </w:r>
          </w:p>
        </w:tc>
        <w:tc>
          <w:tcPr>
            <w:tcW w:w="1000" w:type="dxa"/>
            <w:vAlign w:val="bottom"/>
            <w:tcBorders>
              <w:bottom w:val="single" w:sz="8" w:color="FCE9E8"/>
            </w:tcBorders>
            <w:shd w:val="clear" w:color="auto" w:fill="FCE9E8"/>
          </w:tcPr>
          <w:p>
            <w:pPr>
              <w:jc w:val="right"/>
              <w:ind w:right="10"/>
              <w:spacing w:after="0"/>
              <w:rPr>
                <w:sz w:val="20"/>
                <w:szCs w:val="20"/>
                <w:color w:val="auto"/>
              </w:rPr>
            </w:pPr>
            <w:r>
              <w:rPr>
                <w:rFonts w:ascii="Arial" w:cs="Arial" w:eastAsia="Arial" w:hAnsi="Arial"/>
                <w:sz w:val="15"/>
                <w:szCs w:val="15"/>
                <w:color w:val="auto"/>
              </w:rPr>
              <w:t>49,253</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9,172,551</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28,408</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5,264,151</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3,859</w:t>
            </w:r>
          </w:p>
        </w:tc>
        <w:tc>
          <w:tcPr>
            <w:tcW w:w="1020" w:type="dxa"/>
            <w:vAlign w:val="bottom"/>
          </w:tcPr>
          <w:p>
            <w:pPr>
              <w:jc w:val="right"/>
              <w:ind w:right="10"/>
              <w:spacing w:after="0"/>
              <w:rPr>
                <w:sz w:val="20"/>
                <w:szCs w:val="20"/>
                <w:color w:val="auto"/>
              </w:rPr>
            </w:pPr>
            <w:r>
              <w:rPr>
                <w:rFonts w:ascii="Arial" w:cs="Arial" w:eastAsia="Arial" w:hAnsi="Arial"/>
                <w:sz w:val="15"/>
                <w:szCs w:val="15"/>
                <w:color w:val="auto"/>
              </w:rPr>
              <w:t>7,718</w:t>
            </w:r>
          </w:p>
        </w:tc>
        <w:tc>
          <w:tcPr>
            <w:tcW w:w="740" w:type="dxa"/>
            <w:vAlign w:val="bottom"/>
          </w:tcPr>
          <w:p>
            <w:pPr>
              <w:jc w:val="center"/>
              <w:spacing w:after="0"/>
              <w:rPr>
                <w:sz w:val="20"/>
                <w:szCs w:val="20"/>
                <w:color w:val="auto"/>
              </w:rPr>
            </w:pPr>
            <w:r>
              <w:rPr>
                <w:rFonts w:ascii="Arial" w:cs="Arial" w:eastAsia="Arial" w:hAnsi="Arial"/>
                <w:sz w:val="15"/>
                <w:szCs w:val="15"/>
                <w:color w:val="auto"/>
              </w:rPr>
              <w:t>$140.09</w:t>
            </w:r>
          </w:p>
        </w:tc>
        <w:tc>
          <w:tcPr>
            <w:tcW w:w="940" w:type="dxa"/>
            <w:vAlign w:val="bottom"/>
            <w:tcBorders>
              <w:right w:val="single" w:sz="8" w:color="auto"/>
            </w:tcBorders>
          </w:tcPr>
          <w:p>
            <w:pPr>
              <w:jc w:val="right"/>
              <w:ind w:right="7"/>
              <w:spacing w:after="0"/>
              <w:rPr>
                <w:sz w:val="20"/>
                <w:szCs w:val="20"/>
                <w:color w:val="auto"/>
              </w:rPr>
            </w:pPr>
            <w:r>
              <w:rPr>
                <w:rFonts w:ascii="Arial" w:cs="Arial" w:eastAsia="Arial" w:hAnsi="Arial"/>
                <w:sz w:val="15"/>
                <w:szCs w:val="15"/>
                <w:color w:val="auto"/>
              </w:rPr>
              <w:t>1/2/2030</w:t>
            </w:r>
            <w:r>
              <w:rPr>
                <w:rFonts w:ascii="Arial" w:cs="Arial" w:eastAsia="Arial" w:hAnsi="Arial"/>
                <w:sz w:val="13"/>
                <w:szCs w:val="13"/>
                <w:color w:val="auto"/>
              </w:rPr>
              <w:t>(2)</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60" w:hanging="293"/>
        <w:spacing w:after="0"/>
        <w:tabs>
          <w:tab w:leader="none" w:pos="96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The stock options vest ratably over three years, starting on the first anniversary of January 4, 2021.</w:t>
      </w:r>
    </w:p>
    <w:p>
      <w:pPr>
        <w:spacing w:after="0" w:line="111" w:lineRule="exact"/>
        <w:rPr>
          <w:rFonts w:ascii="Arial" w:cs="Arial" w:eastAsia="Arial" w:hAnsi="Arial"/>
          <w:sz w:val="24"/>
          <w:szCs w:val="24"/>
          <w:color w:val="auto"/>
          <w:vertAlign w:val="superscript"/>
        </w:rPr>
      </w:pPr>
    </w:p>
    <w:p>
      <w:pPr>
        <w:ind w:left="960" w:hanging="293"/>
        <w:spacing w:after="0" w:line="189" w:lineRule="auto"/>
        <w:tabs>
          <w:tab w:leader="none" w:pos="960" w:val="left"/>
        </w:tabs>
        <w:numPr>
          <w:ilvl w:val="0"/>
          <w:numId w:val="100"/>
        </w:numPr>
        <w:rPr>
          <w:rFonts w:ascii="Arial" w:cs="Arial" w:eastAsia="Arial" w:hAnsi="Arial"/>
          <w:sz w:val="19"/>
          <w:szCs w:val="19"/>
          <w:color w:val="auto"/>
          <w:vertAlign w:val="superscript"/>
        </w:rPr>
      </w:pPr>
      <w:r>
        <w:rPr>
          <w:rFonts w:ascii="Arial" w:cs="Arial" w:eastAsia="Arial" w:hAnsi="Arial"/>
          <w:sz w:val="12"/>
          <w:szCs w:val="12"/>
          <w:color w:val="auto"/>
        </w:rPr>
        <w:t>The stock options vest ratably over three years, starting on the first anniversary of January 2, 2020.</w:t>
      </w:r>
    </w:p>
    <w:p>
      <w:pPr>
        <w:spacing w:after="0" w:line="111" w:lineRule="exact"/>
        <w:rPr>
          <w:rFonts w:ascii="Arial" w:cs="Arial" w:eastAsia="Arial" w:hAnsi="Arial"/>
          <w:sz w:val="19"/>
          <w:szCs w:val="19"/>
          <w:color w:val="auto"/>
          <w:vertAlign w:val="superscript"/>
        </w:rPr>
      </w:pPr>
    </w:p>
    <w:p>
      <w:pPr>
        <w:ind w:left="960" w:right="480" w:hanging="293"/>
        <w:spacing w:after="0" w:line="183" w:lineRule="auto"/>
        <w:tabs>
          <w:tab w:leader="none" w:pos="96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The figures in column (g) represent the following RSU awards granted under the LTSIP, including the 2020 Performance-Based Career Shares since the award’s applicable performance goals were all met at target:</w:t>
      </w:r>
    </w:p>
    <w:p>
      <w:pPr>
        <w:spacing w:after="0" w:line="209"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2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E2231A"/>
                <w:w w:val="98"/>
              </w:rPr>
              <w:t>Number of</w:t>
            </w:r>
          </w:p>
        </w:tc>
        <w:tc>
          <w:tcPr>
            <w:tcW w:w="880" w:type="dxa"/>
            <w:vAlign w:val="bottom"/>
          </w:tcPr>
          <w:p>
            <w:pPr>
              <w:spacing w:after="0"/>
              <w:rPr>
                <w:sz w:val="10"/>
                <w:szCs w:val="10"/>
                <w:color w:val="auto"/>
              </w:rPr>
            </w:pPr>
          </w:p>
        </w:tc>
      </w:tr>
      <w:tr>
        <w:trPr>
          <w:trHeight w:val="122"/>
        </w:trPr>
        <w:tc>
          <w:tcPr>
            <w:tcW w:w="2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2020</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r>
      <w:tr>
        <w:trPr>
          <w:trHeight w:val="121"/>
        </w:trPr>
        <w:tc>
          <w:tcPr>
            <w:tcW w:w="26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Performance-</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2021</w:t>
            </w:r>
          </w:p>
        </w:tc>
      </w:tr>
      <w:tr>
        <w:trPr>
          <w:trHeight w:val="122"/>
        </w:trPr>
        <w:tc>
          <w:tcPr>
            <w:tcW w:w="26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2019</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2020</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2021</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2019 Career</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Based Career</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Career</w:t>
            </w:r>
          </w:p>
        </w:tc>
      </w:tr>
      <w:tr>
        <w:trPr>
          <w:trHeight w:val="122"/>
        </w:trPr>
        <w:tc>
          <w:tcPr>
            <w:tcW w:w="26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RSUs</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RSUs</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RSUs</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r>
      <w:tr>
        <w:trPr>
          <w:trHeight w:val="121"/>
        </w:trPr>
        <w:tc>
          <w:tcPr>
            <w:tcW w:w="26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4"/>
              </w:rPr>
              <w:t>Vested</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Vesting</w:t>
            </w:r>
          </w:p>
        </w:tc>
      </w:tr>
      <w:tr>
        <w:trPr>
          <w:trHeight w:val="122"/>
        </w:trPr>
        <w:tc>
          <w:tcPr>
            <w:tcW w:w="26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2,</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2,</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4,</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880" w:type="dxa"/>
            <w:vAlign w:val="bottom"/>
          </w:tcPr>
          <w:p>
            <w:pPr>
              <w:jc w:val="right"/>
              <w:ind w:right="18"/>
              <w:spacing w:after="0" w:line="122" w:lineRule="exact"/>
              <w:rPr>
                <w:sz w:val="20"/>
                <w:szCs w:val="20"/>
                <w:color w:val="auto"/>
              </w:rPr>
            </w:pPr>
            <w:r>
              <w:rPr>
                <w:rFonts w:ascii="Arial" w:cs="Arial" w:eastAsia="Arial" w:hAnsi="Arial"/>
                <w:sz w:val="11"/>
                <w:szCs w:val="11"/>
                <w:b w:val="1"/>
                <w:bCs w:val="1"/>
                <w:color w:val="E2231A"/>
              </w:rPr>
              <w:t>November 14,</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November 18,</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November 17,</w:t>
            </w:r>
          </w:p>
        </w:tc>
      </w:tr>
      <w:tr>
        <w:trPr>
          <w:trHeight w:val="137"/>
        </w:trPr>
        <w:tc>
          <w:tcPr>
            <w:tcW w:w="2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2024</w:t>
            </w:r>
          </w:p>
        </w:tc>
      </w:tr>
      <w:tr>
        <w:trPr>
          <w:trHeight w:val="243"/>
        </w:trPr>
        <w:tc>
          <w:tcPr>
            <w:tcW w:w="26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16,456</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11,992</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10,670</w:t>
            </w:r>
          </w:p>
        </w:tc>
        <w:tc>
          <w:tcPr>
            <w:tcW w:w="86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4,093</w:t>
            </w:r>
          </w:p>
        </w:tc>
        <w:tc>
          <w:tcPr>
            <w:tcW w:w="88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4"/>
                <w:szCs w:val="14"/>
                <w:color w:val="auto"/>
              </w:rPr>
              <w:t>21,250</w:t>
            </w:r>
          </w:p>
        </w:tc>
        <w:tc>
          <w:tcPr>
            <w:tcW w:w="88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4"/>
                <w:szCs w:val="14"/>
                <w:color w:val="auto"/>
              </w:rPr>
              <w:t>4,144</w:t>
            </w:r>
          </w:p>
        </w:tc>
      </w:tr>
      <w:tr>
        <w:trPr>
          <w:trHeight w:val="231"/>
        </w:trPr>
        <w:tc>
          <w:tcPr>
            <w:tcW w:w="268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700" w:type="dxa"/>
            <w:vAlign w:val="bottom"/>
          </w:tcPr>
          <w:p>
            <w:pPr>
              <w:jc w:val="right"/>
              <w:ind w:right="18"/>
              <w:spacing w:after="0"/>
              <w:rPr>
                <w:sz w:val="20"/>
                <w:szCs w:val="20"/>
                <w:color w:val="auto"/>
              </w:rPr>
            </w:pPr>
            <w:r>
              <w:rPr>
                <w:rFonts w:ascii="Arial" w:cs="Arial" w:eastAsia="Arial" w:hAnsi="Arial"/>
                <w:sz w:val="14"/>
                <w:szCs w:val="14"/>
                <w:color w:val="auto"/>
              </w:rPr>
              <w:t>2,218</w:t>
            </w:r>
          </w:p>
        </w:tc>
        <w:tc>
          <w:tcPr>
            <w:tcW w:w="700" w:type="dxa"/>
            <w:vAlign w:val="bottom"/>
          </w:tcPr>
          <w:p>
            <w:pPr>
              <w:jc w:val="right"/>
              <w:ind w:right="18"/>
              <w:spacing w:after="0"/>
              <w:rPr>
                <w:sz w:val="20"/>
                <w:szCs w:val="20"/>
                <w:color w:val="auto"/>
              </w:rPr>
            </w:pPr>
            <w:r>
              <w:rPr>
                <w:rFonts w:ascii="Arial" w:cs="Arial" w:eastAsia="Arial" w:hAnsi="Arial"/>
                <w:sz w:val="14"/>
                <w:szCs w:val="14"/>
                <w:color w:val="auto"/>
              </w:rPr>
              <w:t>2,698</w:t>
            </w:r>
          </w:p>
        </w:tc>
        <w:tc>
          <w:tcPr>
            <w:tcW w:w="700" w:type="dxa"/>
            <w:vAlign w:val="bottom"/>
          </w:tcPr>
          <w:p>
            <w:pPr>
              <w:jc w:val="right"/>
              <w:ind w:right="18"/>
              <w:spacing w:after="0"/>
              <w:rPr>
                <w:sz w:val="20"/>
                <w:szCs w:val="20"/>
                <w:color w:val="auto"/>
              </w:rPr>
            </w:pPr>
            <w:r>
              <w:rPr>
                <w:rFonts w:ascii="Arial" w:cs="Arial" w:eastAsia="Arial" w:hAnsi="Arial"/>
                <w:sz w:val="14"/>
                <w:szCs w:val="14"/>
                <w:color w:val="auto"/>
              </w:rPr>
              <w:t>2,667</w:t>
            </w:r>
          </w:p>
        </w:tc>
        <w:tc>
          <w:tcPr>
            <w:tcW w:w="86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
              <w:spacing w:after="0"/>
              <w:rPr>
                <w:sz w:val="20"/>
                <w:szCs w:val="20"/>
                <w:color w:val="auto"/>
              </w:rPr>
            </w:pPr>
            <w:r>
              <w:rPr>
                <w:rFonts w:ascii="Arial" w:cs="Arial" w:eastAsia="Arial" w:hAnsi="Arial"/>
                <w:sz w:val="14"/>
                <w:szCs w:val="14"/>
                <w:color w:val="auto"/>
              </w:rPr>
              <w:t>1,637</w:t>
            </w:r>
          </w:p>
        </w:tc>
        <w:tc>
          <w:tcPr>
            <w:tcW w:w="880" w:type="dxa"/>
            <w:vAlign w:val="bottom"/>
          </w:tcPr>
          <w:p>
            <w:pPr>
              <w:jc w:val="right"/>
              <w:ind w:right="19"/>
              <w:spacing w:after="0"/>
              <w:rPr>
                <w:sz w:val="20"/>
                <w:szCs w:val="20"/>
                <w:color w:val="auto"/>
              </w:rPr>
            </w:pPr>
            <w:r>
              <w:rPr>
                <w:rFonts w:ascii="Arial" w:cs="Arial" w:eastAsia="Arial" w:hAnsi="Arial"/>
                <w:sz w:val="14"/>
                <w:szCs w:val="14"/>
                <w:color w:val="auto"/>
              </w:rPr>
              <w:t>8,500</w:t>
            </w:r>
          </w:p>
        </w:tc>
        <w:tc>
          <w:tcPr>
            <w:tcW w:w="880" w:type="dxa"/>
            <w:vAlign w:val="bottom"/>
          </w:tcPr>
          <w:p>
            <w:pPr>
              <w:jc w:val="right"/>
              <w:ind w:right="19"/>
              <w:spacing w:after="0"/>
              <w:rPr>
                <w:sz w:val="20"/>
                <w:szCs w:val="20"/>
                <w:color w:val="auto"/>
              </w:rPr>
            </w:pPr>
            <w:r>
              <w:rPr>
                <w:rFonts w:ascii="Arial" w:cs="Arial" w:eastAsia="Arial" w:hAnsi="Arial"/>
                <w:sz w:val="14"/>
                <w:szCs w:val="14"/>
                <w:color w:val="auto"/>
              </w:rPr>
              <w:t>1,381</w:t>
            </w:r>
          </w:p>
        </w:tc>
      </w:tr>
      <w:tr>
        <w:trPr>
          <w:trHeight w:val="52"/>
        </w:trPr>
        <w:tc>
          <w:tcPr>
            <w:tcW w:w="2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64"/>
        </w:trPr>
        <w:tc>
          <w:tcPr>
            <w:tcW w:w="26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4,840</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3,426</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3,048</w:t>
            </w:r>
          </w:p>
        </w:tc>
        <w:tc>
          <w:tcPr>
            <w:tcW w:w="86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1,637</w:t>
            </w:r>
          </w:p>
        </w:tc>
        <w:tc>
          <w:tcPr>
            <w:tcW w:w="88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4"/>
                <w:szCs w:val="14"/>
                <w:color w:val="auto"/>
              </w:rPr>
              <w:t>12,042</w:t>
            </w:r>
          </w:p>
        </w:tc>
        <w:tc>
          <w:tcPr>
            <w:tcW w:w="88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4"/>
                <w:szCs w:val="14"/>
                <w:color w:val="auto"/>
              </w:rPr>
              <w:t>1,381</w:t>
            </w:r>
          </w:p>
        </w:tc>
      </w:tr>
      <w:tr>
        <w:trPr>
          <w:trHeight w:val="231"/>
        </w:trPr>
        <w:tc>
          <w:tcPr>
            <w:tcW w:w="268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700" w:type="dxa"/>
            <w:vAlign w:val="bottom"/>
          </w:tcPr>
          <w:p>
            <w:pPr>
              <w:jc w:val="right"/>
              <w:ind w:right="18"/>
              <w:spacing w:after="0"/>
              <w:rPr>
                <w:sz w:val="20"/>
                <w:szCs w:val="20"/>
                <w:color w:val="auto"/>
              </w:rPr>
            </w:pPr>
            <w:r>
              <w:rPr>
                <w:rFonts w:ascii="Arial" w:cs="Arial" w:eastAsia="Arial" w:hAnsi="Arial"/>
                <w:sz w:val="14"/>
                <w:szCs w:val="14"/>
                <w:color w:val="auto"/>
              </w:rPr>
              <w:t>4,023</w:t>
            </w:r>
          </w:p>
        </w:tc>
        <w:tc>
          <w:tcPr>
            <w:tcW w:w="700" w:type="dxa"/>
            <w:vAlign w:val="bottom"/>
          </w:tcPr>
          <w:p>
            <w:pPr>
              <w:jc w:val="right"/>
              <w:ind w:right="18"/>
              <w:spacing w:after="0"/>
              <w:rPr>
                <w:sz w:val="20"/>
                <w:szCs w:val="20"/>
                <w:color w:val="auto"/>
              </w:rPr>
            </w:pPr>
            <w:r>
              <w:rPr>
                <w:rFonts w:ascii="Arial" w:cs="Arial" w:eastAsia="Arial" w:hAnsi="Arial"/>
                <w:sz w:val="14"/>
                <w:szCs w:val="14"/>
                <w:color w:val="auto"/>
              </w:rPr>
              <w:t>2,848</w:t>
            </w:r>
          </w:p>
        </w:tc>
        <w:tc>
          <w:tcPr>
            <w:tcW w:w="700" w:type="dxa"/>
            <w:vAlign w:val="bottom"/>
          </w:tcPr>
          <w:p>
            <w:pPr>
              <w:jc w:val="right"/>
              <w:ind w:right="18"/>
              <w:spacing w:after="0"/>
              <w:rPr>
                <w:sz w:val="20"/>
                <w:szCs w:val="20"/>
                <w:color w:val="auto"/>
              </w:rPr>
            </w:pPr>
            <w:r>
              <w:rPr>
                <w:rFonts w:ascii="Arial" w:cs="Arial" w:eastAsia="Arial" w:hAnsi="Arial"/>
                <w:sz w:val="14"/>
                <w:szCs w:val="14"/>
                <w:color w:val="auto"/>
              </w:rPr>
              <w:t>2,534</w:t>
            </w:r>
          </w:p>
        </w:tc>
        <w:tc>
          <w:tcPr>
            <w:tcW w:w="86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
              <w:spacing w:after="0"/>
              <w:rPr>
                <w:sz w:val="20"/>
                <w:szCs w:val="20"/>
                <w:color w:val="auto"/>
              </w:rPr>
            </w:pPr>
            <w:r>
              <w:rPr>
                <w:rFonts w:ascii="Arial" w:cs="Arial" w:eastAsia="Arial" w:hAnsi="Arial"/>
                <w:sz w:val="14"/>
                <w:szCs w:val="14"/>
                <w:color w:val="auto"/>
              </w:rPr>
              <w:t>2,455</w:t>
            </w:r>
          </w:p>
        </w:tc>
        <w:tc>
          <w:tcPr>
            <w:tcW w:w="880" w:type="dxa"/>
            <w:vAlign w:val="bottom"/>
          </w:tcPr>
          <w:p>
            <w:pPr>
              <w:jc w:val="right"/>
              <w:ind w:right="19"/>
              <w:spacing w:after="0"/>
              <w:rPr>
                <w:sz w:val="20"/>
                <w:szCs w:val="20"/>
                <w:color w:val="auto"/>
              </w:rPr>
            </w:pPr>
            <w:r>
              <w:rPr>
                <w:rFonts w:ascii="Arial" w:cs="Arial" w:eastAsia="Arial" w:hAnsi="Arial"/>
                <w:sz w:val="14"/>
                <w:szCs w:val="14"/>
                <w:color w:val="auto"/>
              </w:rPr>
              <w:t>7,083</w:t>
            </w:r>
          </w:p>
        </w:tc>
        <w:tc>
          <w:tcPr>
            <w:tcW w:w="880" w:type="dxa"/>
            <w:vAlign w:val="bottom"/>
          </w:tcPr>
          <w:p>
            <w:pPr>
              <w:jc w:val="right"/>
              <w:ind w:right="19"/>
              <w:spacing w:after="0"/>
              <w:rPr>
                <w:sz w:val="20"/>
                <w:szCs w:val="20"/>
                <w:color w:val="auto"/>
              </w:rPr>
            </w:pPr>
            <w:r>
              <w:rPr>
                <w:rFonts w:ascii="Arial" w:cs="Arial" w:eastAsia="Arial" w:hAnsi="Arial"/>
                <w:sz w:val="14"/>
                <w:szCs w:val="14"/>
                <w:color w:val="auto"/>
              </w:rPr>
              <w:t>828</w:t>
            </w:r>
          </w:p>
        </w:tc>
      </w:tr>
      <w:tr>
        <w:trPr>
          <w:trHeight w:val="53"/>
        </w:trPr>
        <w:tc>
          <w:tcPr>
            <w:tcW w:w="2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63"/>
        </w:trPr>
        <w:tc>
          <w:tcPr>
            <w:tcW w:w="26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2,505</w:t>
            </w:r>
          </w:p>
        </w:tc>
        <w:tc>
          <w:tcPr>
            <w:tcW w:w="70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2,229</w:t>
            </w:r>
          </w:p>
        </w:tc>
        <w:tc>
          <w:tcPr>
            <w:tcW w:w="86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18,300</w:t>
            </w:r>
          </w:p>
        </w:tc>
        <w:tc>
          <w:tcPr>
            <w:tcW w:w="84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18,299</w:t>
            </w:r>
          </w:p>
        </w:tc>
        <w:tc>
          <w:tcPr>
            <w:tcW w:w="88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1,227</w:t>
            </w:r>
          </w:p>
        </w:tc>
        <w:tc>
          <w:tcPr>
            <w:tcW w:w="88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4"/>
                <w:szCs w:val="14"/>
                <w:color w:val="auto"/>
              </w:rPr>
              <w:t>5,312</w:t>
            </w:r>
          </w:p>
        </w:tc>
        <w:tc>
          <w:tcPr>
            <w:tcW w:w="880" w:type="dxa"/>
            <w:vAlign w:val="bottom"/>
            <w:tcBorders>
              <w:bottom w:val="single" w:sz="8" w:color="FCE9E8"/>
            </w:tcBorders>
            <w:shd w:val="clear" w:color="auto" w:fill="FCE9E8"/>
          </w:tcPr>
          <w:p>
            <w:pPr>
              <w:jc w:val="right"/>
              <w:ind w:right="19"/>
              <w:spacing w:after="0"/>
              <w:rPr>
                <w:sz w:val="20"/>
                <w:szCs w:val="20"/>
                <w:color w:val="auto"/>
              </w:rPr>
            </w:pPr>
            <w:r>
              <w:rPr>
                <w:rFonts w:ascii="Arial" w:cs="Arial" w:eastAsia="Arial" w:hAnsi="Arial"/>
                <w:sz w:val="14"/>
                <w:szCs w:val="14"/>
                <w:color w:val="auto"/>
              </w:rPr>
              <w:t>1,381</w:t>
            </w:r>
          </w:p>
        </w:tc>
      </w:tr>
      <w:tr>
        <w:trPr>
          <w:trHeight w:val="20"/>
        </w:trPr>
        <w:tc>
          <w:tcPr>
            <w:tcW w:w="2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7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53</w:t>
      </w:r>
    </w:p>
    <w:p>
      <w:pPr>
        <w:sectPr>
          <w:pgSz w:w="11900" w:h="16838" w:orient="portrait"/>
          <w:cols w:equalWidth="0" w:num="1">
            <w:col w:w="10860"/>
          </w:cols>
          <w:pgMar w:left="320" w:top="459" w:right="7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96" w:lineRule="exact"/>
        <w:rPr>
          <w:sz w:val="20"/>
          <w:szCs w:val="20"/>
          <w:color w:val="auto"/>
        </w:rPr>
      </w:pPr>
    </w:p>
    <w:p>
      <w:pPr>
        <w:ind w:left="960" w:hanging="293"/>
        <w:spacing w:after="0" w:line="199" w:lineRule="auto"/>
        <w:tabs>
          <w:tab w:leader="none" w:pos="96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The total values in column (h) equal the total number of RSUs held by each Named Executive Officer multiplied by the market price of Company common stock at the close of the last trading day in 2021, which was $182.95 per share, plus the following accrued dividend equivalents and interest at the prime rate (which are paid if and when the underlying RSUs vest and are paid):</w:t>
      </w:r>
    </w:p>
    <w:p>
      <w:pPr>
        <w:spacing w:after="0" w:line="21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E2231A"/>
              </w:rPr>
              <w:t>2020</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b w:val="1"/>
                <w:bCs w:val="1"/>
                <w:color w:val="E2231A"/>
              </w:rPr>
              <w:t>2019</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E2231A"/>
              </w:rPr>
              <w:t>Performance-</w:t>
            </w:r>
          </w:p>
        </w:tc>
        <w:tc>
          <w:tcPr>
            <w:tcW w:w="200" w:type="dxa"/>
            <w:vAlign w:val="bottom"/>
          </w:tcPr>
          <w:p>
            <w:pPr>
              <w:spacing w:after="0"/>
              <w:rPr>
                <w:sz w:val="14"/>
                <w:szCs w:val="14"/>
                <w:color w:val="auto"/>
              </w:rPr>
            </w:pPr>
          </w:p>
        </w:tc>
        <w:tc>
          <w:tcPr>
            <w:tcW w:w="820" w:type="dxa"/>
            <w:vAlign w:val="bottom"/>
          </w:tcPr>
          <w:p>
            <w:pPr>
              <w:jc w:val="center"/>
              <w:ind w:right="102"/>
              <w:spacing w:after="0"/>
              <w:rPr>
                <w:sz w:val="20"/>
                <w:szCs w:val="20"/>
                <w:color w:val="auto"/>
              </w:rPr>
            </w:pPr>
            <w:r>
              <w:rPr>
                <w:rFonts w:ascii="Arial" w:cs="Arial" w:eastAsia="Arial" w:hAnsi="Arial"/>
                <w:sz w:val="14"/>
                <w:szCs w:val="14"/>
                <w:b w:val="1"/>
                <w:bCs w:val="1"/>
                <w:color w:val="E2231A"/>
              </w:rPr>
              <w:t>2021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b w:val="1"/>
                <w:bCs w:val="1"/>
                <w:color w:val="E2231A"/>
                <w:w w:val="99"/>
              </w:rPr>
              <w:t>Career</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E2231A"/>
              </w:rPr>
              <w:t>Based Career</w:t>
            </w:r>
          </w:p>
        </w:tc>
        <w:tc>
          <w:tcPr>
            <w:tcW w:w="20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b w:val="1"/>
                <w:bCs w:val="1"/>
                <w:color w:val="E2231A"/>
              </w:rPr>
              <w:t>Career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E2231A"/>
              </w:rPr>
              <w:t>2019 RSU</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E2231A"/>
              </w:rPr>
              <w:t>2020 RSU</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E2231A"/>
              </w:rPr>
              <w:t>2021 RSU</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Share RSU</w:t>
            </w:r>
          </w:p>
        </w:tc>
        <w:tc>
          <w:tcPr>
            <w:tcW w:w="20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E2231A"/>
              </w:rPr>
              <w:t>Share RSU</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Share RSU</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E2231A"/>
              </w:rPr>
              <w:t>Total RSU</w:t>
            </w:r>
          </w:p>
        </w:tc>
      </w:tr>
      <w:tr>
        <w:trPr>
          <w:trHeight w:val="162"/>
        </w:trPr>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E2231A"/>
                <w:w w:val="98"/>
              </w:rPr>
              <w:t>Dividend</w:t>
            </w:r>
          </w:p>
        </w:tc>
        <w:tc>
          <w:tcPr>
            <w:tcW w:w="200" w:type="dxa"/>
            <w:vAlign w:val="bottom"/>
          </w:tcPr>
          <w:p>
            <w:pPr>
              <w:spacing w:after="0"/>
              <w:rPr>
                <w:sz w:val="14"/>
                <w:szCs w:val="14"/>
                <w:color w:val="auto"/>
              </w:rPr>
            </w:pPr>
          </w:p>
        </w:tc>
        <w:tc>
          <w:tcPr>
            <w:tcW w:w="820" w:type="dxa"/>
            <w:vAlign w:val="bottom"/>
          </w:tcPr>
          <w:p>
            <w:pPr>
              <w:jc w:val="right"/>
              <w:ind w:right="121"/>
              <w:spacing w:after="0"/>
              <w:rPr>
                <w:sz w:val="20"/>
                <w:szCs w:val="20"/>
                <w:color w:val="auto"/>
              </w:rPr>
            </w:pPr>
            <w:r>
              <w:rPr>
                <w:rFonts w:ascii="Arial" w:cs="Arial" w:eastAsia="Arial" w:hAnsi="Arial"/>
                <w:sz w:val="14"/>
                <w:szCs w:val="14"/>
                <w:b w:val="1"/>
                <w:bCs w:val="1"/>
                <w:color w:val="E2231A"/>
              </w:rPr>
              <w:t>Dividend</w:t>
            </w:r>
          </w:p>
        </w:tc>
        <w:tc>
          <w:tcPr>
            <w:tcW w:w="200" w:type="dxa"/>
            <w:vAlign w:val="bottom"/>
          </w:tcPr>
          <w:p>
            <w:pPr>
              <w:spacing w:after="0"/>
              <w:rPr>
                <w:sz w:val="14"/>
                <w:szCs w:val="14"/>
                <w:color w:val="auto"/>
              </w:rPr>
            </w:pPr>
          </w:p>
        </w:tc>
        <w:tc>
          <w:tcPr>
            <w:tcW w:w="820" w:type="dxa"/>
            <w:vAlign w:val="bottom"/>
          </w:tcPr>
          <w:p>
            <w:pPr>
              <w:jc w:val="right"/>
              <w:ind w:right="121"/>
              <w:spacing w:after="0"/>
              <w:rPr>
                <w:sz w:val="20"/>
                <w:szCs w:val="20"/>
                <w:color w:val="auto"/>
              </w:rPr>
            </w:pPr>
            <w:r>
              <w:rPr>
                <w:rFonts w:ascii="Arial" w:cs="Arial" w:eastAsia="Arial" w:hAnsi="Arial"/>
                <w:sz w:val="14"/>
                <w:szCs w:val="14"/>
                <w:b w:val="1"/>
                <w:bCs w:val="1"/>
                <w:color w:val="E2231A"/>
              </w:rPr>
              <w:t>Dividend</w:t>
            </w:r>
          </w:p>
        </w:tc>
        <w:tc>
          <w:tcPr>
            <w:tcW w:w="220" w:type="dxa"/>
            <w:vAlign w:val="bottom"/>
          </w:tcPr>
          <w:p>
            <w:pPr>
              <w:spacing w:after="0"/>
              <w:rPr>
                <w:sz w:val="14"/>
                <w:szCs w:val="14"/>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b w:val="1"/>
                <w:bCs w:val="1"/>
                <w:color w:val="E2231A"/>
              </w:rPr>
              <w:t>Dividend</w:t>
            </w:r>
          </w:p>
        </w:tc>
        <w:tc>
          <w:tcPr>
            <w:tcW w:w="20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E2231A"/>
              </w:rPr>
              <w:t>Dividend</w:t>
            </w:r>
          </w:p>
        </w:tc>
        <w:tc>
          <w:tcPr>
            <w:tcW w:w="200" w:type="dxa"/>
            <w:vAlign w:val="bottom"/>
          </w:tcPr>
          <w:p>
            <w:pPr>
              <w:spacing w:after="0"/>
              <w:rPr>
                <w:sz w:val="14"/>
                <w:szCs w:val="14"/>
                <w:color w:val="auto"/>
              </w:rPr>
            </w:pPr>
          </w:p>
        </w:tc>
        <w:tc>
          <w:tcPr>
            <w:tcW w:w="820" w:type="dxa"/>
            <w:vAlign w:val="bottom"/>
          </w:tcPr>
          <w:p>
            <w:pPr>
              <w:jc w:val="center"/>
              <w:ind w:right="102"/>
              <w:spacing w:after="0"/>
              <w:rPr>
                <w:sz w:val="20"/>
                <w:szCs w:val="20"/>
                <w:color w:val="auto"/>
              </w:rPr>
            </w:pPr>
            <w:r>
              <w:rPr>
                <w:rFonts w:ascii="Arial" w:cs="Arial" w:eastAsia="Arial" w:hAnsi="Arial"/>
                <w:sz w:val="14"/>
                <w:szCs w:val="14"/>
                <w:b w:val="1"/>
                <w:bCs w:val="1"/>
                <w:color w:val="E2231A"/>
              </w:rPr>
              <w:t>Dividend</w:t>
            </w:r>
          </w:p>
        </w:tc>
        <w:tc>
          <w:tcPr>
            <w:tcW w:w="220" w:type="dxa"/>
            <w:vAlign w:val="bottom"/>
          </w:tcPr>
          <w:p>
            <w:pPr>
              <w:spacing w:after="0"/>
              <w:rPr>
                <w:sz w:val="14"/>
                <w:szCs w:val="14"/>
                <w:color w:val="auto"/>
              </w:rPr>
            </w:pPr>
          </w:p>
        </w:tc>
        <w:tc>
          <w:tcPr>
            <w:tcW w:w="840" w:type="dxa"/>
            <w:vAlign w:val="bottom"/>
          </w:tcPr>
          <w:p>
            <w:pPr>
              <w:jc w:val="right"/>
              <w:ind w:right="161"/>
              <w:spacing w:after="0"/>
              <w:rPr>
                <w:sz w:val="20"/>
                <w:szCs w:val="20"/>
                <w:color w:val="auto"/>
              </w:rPr>
            </w:pPr>
            <w:r>
              <w:rPr>
                <w:rFonts w:ascii="Arial" w:cs="Arial" w:eastAsia="Arial" w:hAnsi="Arial"/>
                <w:sz w:val="14"/>
                <w:szCs w:val="14"/>
                <w:b w:val="1"/>
                <w:bCs w:val="1"/>
                <w:color w:val="E2231A"/>
                <w:w w:val="98"/>
              </w:rPr>
              <w:t>Dividend</w:t>
            </w:r>
          </w:p>
        </w:tc>
      </w:tr>
      <w:tr>
        <w:trPr>
          <w:trHeight w:val="175"/>
        </w:trPr>
        <w:tc>
          <w:tcPr>
            <w:tcW w:w="1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E2231A"/>
              </w:rPr>
              <w:t>Equivalents</w:t>
            </w: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E2231A"/>
              </w:rPr>
              <w:t>Equivalents</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E2231A"/>
              </w:rPr>
              <w:t>Equivalents</w:t>
            </w: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E2231A"/>
              </w:rPr>
              <w:t>Equivalents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E2231A"/>
              </w:rPr>
              <w:t>Equivalents</w:t>
            </w: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E2231A"/>
              </w:rPr>
              <w:t>Equivalents</w:t>
            </w:r>
          </w:p>
        </w:tc>
      </w:tr>
      <w:tr>
        <w:trPr>
          <w:trHeight w:val="271"/>
        </w:trPr>
        <w:tc>
          <w:tcPr>
            <w:tcW w:w="18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41"/>
              <w:spacing w:after="0"/>
              <w:rPr>
                <w:sz w:val="20"/>
                <w:szCs w:val="20"/>
                <w:color w:val="auto"/>
              </w:rPr>
            </w:pPr>
            <w:r>
              <w:rPr>
                <w:rFonts w:ascii="Arial" w:cs="Arial" w:eastAsia="Arial" w:hAnsi="Arial"/>
                <w:sz w:val="16"/>
                <w:szCs w:val="16"/>
                <w:color w:val="auto"/>
              </w:rPr>
              <w:t>101,094</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34,312</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19,062</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42"/>
              <w:spacing w:after="0"/>
              <w:rPr>
                <w:sz w:val="20"/>
                <w:szCs w:val="20"/>
                <w:color w:val="auto"/>
              </w:rPr>
            </w:pPr>
            <w:r>
              <w:rPr>
                <w:rFonts w:ascii="Arial" w:cs="Arial" w:eastAsia="Arial" w:hAnsi="Arial"/>
                <w:sz w:val="16"/>
                <w:szCs w:val="16"/>
                <w:color w:val="auto"/>
              </w:rPr>
              <w:t>15,002</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CE9E8"/>
            </w:tcBorders>
            <w:shd w:val="clear" w:color="auto" w:fill="FCE9E8"/>
          </w:tcPr>
          <w:p>
            <w:pPr>
              <w:jc w:val="right"/>
              <w:ind w:right="22"/>
              <w:spacing w:after="0"/>
              <w:rPr>
                <w:sz w:val="20"/>
                <w:szCs w:val="20"/>
                <w:color w:val="auto"/>
              </w:rPr>
            </w:pPr>
            <w:r>
              <w:rPr>
                <w:rFonts w:ascii="Arial" w:cs="Arial" w:eastAsia="Arial" w:hAnsi="Arial"/>
                <w:sz w:val="16"/>
                <w:szCs w:val="16"/>
                <w:color w:val="auto"/>
              </w:rPr>
              <w:t>43,452</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2"/>
              <w:spacing w:after="0"/>
              <w:rPr>
                <w:sz w:val="20"/>
                <w:szCs w:val="20"/>
                <w:color w:val="auto"/>
              </w:rPr>
            </w:pPr>
            <w:r>
              <w:rPr>
                <w:rFonts w:ascii="Arial" w:cs="Arial" w:eastAsia="Arial" w:hAnsi="Arial"/>
                <w:sz w:val="16"/>
                <w:szCs w:val="16"/>
                <w:color w:val="auto"/>
              </w:rPr>
              <w:t>3,197</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FCE9E8"/>
            </w:tcBorders>
            <w:shd w:val="clear" w:color="auto" w:fill="FCE9E8"/>
          </w:tcPr>
          <w:p>
            <w:pPr>
              <w:jc w:val="right"/>
              <w:ind w:right="61"/>
              <w:spacing w:after="0"/>
              <w:rPr>
                <w:sz w:val="20"/>
                <w:szCs w:val="20"/>
                <w:color w:val="auto"/>
              </w:rPr>
            </w:pPr>
            <w:r>
              <w:rPr>
                <w:rFonts w:ascii="Arial" w:cs="Arial" w:eastAsia="Arial" w:hAnsi="Arial"/>
                <w:sz w:val="16"/>
                <w:szCs w:val="16"/>
                <w:color w:val="auto"/>
              </w:rPr>
              <w:t>216,119</w:t>
            </w:r>
          </w:p>
        </w:tc>
      </w:tr>
      <w:tr>
        <w:trPr>
          <w:trHeight w:val="251"/>
        </w:trPr>
        <w:tc>
          <w:tcPr>
            <w:tcW w:w="180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13,626</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7,720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4,765</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6,000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17,381</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1,065</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50,557</w:t>
            </w:r>
          </w:p>
        </w:tc>
      </w:tr>
      <w:tr>
        <w:trPr>
          <w:trHeight w:val="60"/>
        </w:trPr>
        <w:tc>
          <w:tcPr>
            <w:tcW w:w="1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91"/>
        </w:trPr>
        <w:tc>
          <w:tcPr>
            <w:tcW w:w="18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41"/>
              <w:spacing w:after="0"/>
              <w:rPr>
                <w:sz w:val="20"/>
                <w:szCs w:val="20"/>
                <w:color w:val="auto"/>
              </w:rPr>
            </w:pPr>
            <w:r>
              <w:rPr>
                <w:rFonts w:ascii="Arial" w:cs="Arial" w:eastAsia="Arial" w:hAnsi="Arial"/>
                <w:sz w:val="16"/>
                <w:szCs w:val="16"/>
                <w:color w:val="auto"/>
              </w:rPr>
              <w:t>29,733</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9,803</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5,445</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42"/>
              <w:spacing w:after="0"/>
              <w:rPr>
                <w:sz w:val="20"/>
                <w:szCs w:val="20"/>
                <w:color w:val="auto"/>
              </w:rPr>
            </w:pPr>
            <w:r>
              <w:rPr>
                <w:rFonts w:ascii="Arial" w:cs="Arial" w:eastAsia="Arial" w:hAnsi="Arial"/>
                <w:sz w:val="16"/>
                <w:szCs w:val="16"/>
                <w:color w:val="auto"/>
              </w:rPr>
              <w:t>6,000</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CE9E8"/>
            </w:tcBorders>
            <w:shd w:val="clear" w:color="auto" w:fill="FCE9E8"/>
          </w:tcPr>
          <w:p>
            <w:pPr>
              <w:jc w:val="right"/>
              <w:ind w:right="22"/>
              <w:spacing w:after="0"/>
              <w:rPr>
                <w:sz w:val="20"/>
                <w:szCs w:val="20"/>
                <w:color w:val="auto"/>
              </w:rPr>
            </w:pPr>
            <w:r>
              <w:rPr>
                <w:rFonts w:ascii="Arial" w:cs="Arial" w:eastAsia="Arial" w:hAnsi="Arial"/>
                <w:sz w:val="16"/>
                <w:szCs w:val="16"/>
                <w:color w:val="auto"/>
              </w:rPr>
              <w:t>24,624</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2"/>
              <w:spacing w:after="0"/>
              <w:rPr>
                <w:sz w:val="20"/>
                <w:szCs w:val="20"/>
                <w:color w:val="auto"/>
              </w:rPr>
            </w:pPr>
            <w:r>
              <w:rPr>
                <w:rFonts w:ascii="Arial" w:cs="Arial" w:eastAsia="Arial" w:hAnsi="Arial"/>
                <w:sz w:val="16"/>
                <w:szCs w:val="16"/>
                <w:color w:val="auto"/>
              </w:rPr>
              <w:t>1,065</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FCE9E8"/>
            </w:tcBorders>
            <w:shd w:val="clear" w:color="auto" w:fill="FCE9E8"/>
          </w:tcPr>
          <w:p>
            <w:pPr>
              <w:jc w:val="right"/>
              <w:ind w:right="61"/>
              <w:spacing w:after="0"/>
              <w:rPr>
                <w:sz w:val="20"/>
                <w:szCs w:val="20"/>
                <w:color w:val="auto"/>
              </w:rPr>
            </w:pPr>
            <w:r>
              <w:rPr>
                <w:rFonts w:ascii="Arial" w:cs="Arial" w:eastAsia="Arial" w:hAnsi="Arial"/>
                <w:sz w:val="16"/>
                <w:szCs w:val="16"/>
                <w:color w:val="auto"/>
              </w:rPr>
              <w:t>76,670</w:t>
            </w:r>
          </w:p>
        </w:tc>
      </w:tr>
      <w:tr>
        <w:trPr>
          <w:trHeight w:val="251"/>
        </w:trPr>
        <w:tc>
          <w:tcPr>
            <w:tcW w:w="180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24,714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8,149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4,527</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8,998</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14,483</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639</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61,510</w:t>
            </w:r>
          </w:p>
        </w:tc>
      </w:tr>
      <w:tr>
        <w:trPr>
          <w:trHeight w:val="60"/>
        </w:trPr>
        <w:tc>
          <w:tcPr>
            <w:tcW w:w="1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91"/>
        </w:trPr>
        <w:tc>
          <w:tcPr>
            <w:tcW w:w="18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41"/>
              <w:spacing w:after="0"/>
              <w:rPr>
                <w:sz w:val="20"/>
                <w:szCs w:val="20"/>
                <w:color w:val="auto"/>
              </w:rPr>
            </w:pPr>
            <w:r>
              <w:rPr>
                <w:rFonts w:ascii="Arial" w:cs="Arial" w:eastAsia="Arial" w:hAnsi="Arial"/>
                <w:sz w:val="16"/>
                <w:szCs w:val="16"/>
                <w:color w:val="auto"/>
              </w:rPr>
              <w:t>134,142</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7,167</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3,982</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42"/>
              <w:spacing w:after="0"/>
              <w:rPr>
                <w:sz w:val="20"/>
                <w:szCs w:val="20"/>
                <w:color w:val="auto"/>
              </w:rPr>
            </w:pPr>
            <w:r>
              <w:rPr>
                <w:rFonts w:ascii="Arial" w:cs="Arial" w:eastAsia="Arial" w:hAnsi="Arial"/>
                <w:sz w:val="16"/>
                <w:szCs w:val="16"/>
                <w:color w:val="auto"/>
              </w:rPr>
              <w:t>4,497</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CE9E8"/>
            </w:tcBorders>
            <w:shd w:val="clear" w:color="auto" w:fill="FCE9E8"/>
          </w:tcPr>
          <w:p>
            <w:pPr>
              <w:jc w:val="right"/>
              <w:ind w:right="22"/>
              <w:spacing w:after="0"/>
              <w:rPr>
                <w:sz w:val="20"/>
                <w:szCs w:val="20"/>
                <w:color w:val="auto"/>
              </w:rPr>
            </w:pPr>
            <w:r>
              <w:rPr>
                <w:rFonts w:ascii="Arial" w:cs="Arial" w:eastAsia="Arial" w:hAnsi="Arial"/>
                <w:sz w:val="16"/>
                <w:szCs w:val="16"/>
                <w:color w:val="auto"/>
              </w:rPr>
              <w:t>10,862</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CE9E8"/>
            </w:tcBorders>
            <w:shd w:val="clear" w:color="auto" w:fill="FCE9E8"/>
          </w:tcPr>
          <w:p>
            <w:pPr>
              <w:jc w:val="right"/>
              <w:ind w:right="22"/>
              <w:spacing w:after="0"/>
              <w:rPr>
                <w:sz w:val="20"/>
                <w:szCs w:val="20"/>
                <w:color w:val="auto"/>
              </w:rPr>
            </w:pPr>
            <w:r>
              <w:rPr>
                <w:rFonts w:ascii="Arial" w:cs="Arial" w:eastAsia="Arial" w:hAnsi="Arial"/>
                <w:sz w:val="16"/>
                <w:szCs w:val="16"/>
                <w:color w:val="auto"/>
              </w:rPr>
              <w:t>1,065</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FCE9E8"/>
            </w:tcBorders>
            <w:shd w:val="clear" w:color="auto" w:fill="FCE9E8"/>
          </w:tcPr>
          <w:p>
            <w:pPr>
              <w:jc w:val="right"/>
              <w:ind w:right="61"/>
              <w:spacing w:after="0"/>
              <w:rPr>
                <w:sz w:val="20"/>
                <w:szCs w:val="20"/>
                <w:color w:val="auto"/>
              </w:rPr>
            </w:pPr>
            <w:r>
              <w:rPr>
                <w:rFonts w:ascii="Arial" w:cs="Arial" w:eastAsia="Arial" w:hAnsi="Arial"/>
                <w:sz w:val="16"/>
                <w:szCs w:val="16"/>
                <w:color w:val="auto"/>
              </w:rPr>
              <w:t>161,715</w:t>
            </w:r>
          </w:p>
        </w:tc>
      </w:tr>
      <w:tr>
        <w:trPr>
          <w:trHeight w:val="20"/>
        </w:trPr>
        <w:tc>
          <w:tcPr>
            <w:tcW w:w="1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26" w:lineRule="exact"/>
        <w:rPr>
          <w:sz w:val="20"/>
          <w:szCs w:val="20"/>
          <w:color w:val="auto"/>
        </w:rPr>
      </w:pPr>
    </w:p>
    <w:p>
      <w:pPr>
        <w:ind w:left="960" w:hanging="293"/>
        <w:spacing w:after="0"/>
        <w:tabs>
          <w:tab w:leader="none" w:pos="96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The total amounts and values in columns (i) and (j) represent the total number of Performance Shares, at the maximum level for the 2021-2023 and 2020-2022 performance periods, held by each Named Executive Officer multiplied by the market price of Company common stock at the close of the last trading day in 2021, which was $182.95 per share. These amounts exclude Performance Shares for the 2019-2021 performance period that vested based on performance through December 31, 2021, and are reported below in the “2021 Option Exercises and Stock Vested” table. These amounts also exclude the 2020 Performance-Based Career Shares that are no longer subject to performance goals, but which remain subject to the Named Executive Officer’s continued service through November 14, 2023, subject to certain exceptions described above under “Career Shares.” In calculating the number of Performance Shares and their value, we are required by SEC rules to compare our performance through 2021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Based on performance through the end of the first year of the 2021-2023 performance period and the second year of the 2020-2022 performance period, we have reported the Performance Shares at the maximum award level for each of these two performance periods. Amounts also include the following accrued dividend equivalents for the Performance Shares, at the maximum level, which are not paid unless the performance goals are met with respect to the underlying Performance Shares:</w:t>
      </w:r>
    </w:p>
    <w:p>
      <w:pPr>
        <w:spacing w:after="0" w:line="284"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E2231A"/>
              </w:rPr>
              <w:t>2020</w:t>
            </w:r>
          </w:p>
        </w:tc>
        <w:tc>
          <w:tcPr>
            <w:tcW w:w="280" w:type="dxa"/>
            <w:vAlign w:val="bottom"/>
          </w:tcPr>
          <w:p>
            <w:pPr>
              <w:spacing w:after="0"/>
              <w:rPr>
                <w:sz w:val="14"/>
                <w:szCs w:val="14"/>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E2231A"/>
              </w:rPr>
              <w:t>2021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E2231A"/>
              </w:rPr>
              <w:t>Performance</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E2231A"/>
              </w:rPr>
              <w:t>Performance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340" w:type="dxa"/>
            <w:vAlign w:val="bottom"/>
          </w:tcPr>
          <w:p>
            <w:pPr>
              <w:jc w:val="center"/>
              <w:ind w:left="24"/>
              <w:spacing w:after="0"/>
              <w:rPr>
                <w:sz w:val="20"/>
                <w:szCs w:val="20"/>
                <w:color w:val="auto"/>
              </w:rPr>
            </w:pPr>
            <w:r>
              <w:rPr>
                <w:rFonts w:ascii="Arial" w:cs="Arial" w:eastAsia="Arial" w:hAnsi="Arial"/>
                <w:sz w:val="14"/>
                <w:szCs w:val="14"/>
                <w:b w:val="1"/>
                <w:bCs w:val="1"/>
                <w:color w:val="E2231A"/>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280" w:type="dxa"/>
            <w:vAlign w:val="bottom"/>
          </w:tcPr>
          <w:p>
            <w:pPr>
              <w:spacing w:after="0"/>
              <w:rPr>
                <w:sz w:val="14"/>
                <w:szCs w:val="14"/>
                <w:color w:val="auto"/>
              </w:rPr>
            </w:pPr>
          </w:p>
        </w:tc>
        <w:tc>
          <w:tcPr>
            <w:tcW w:w="940" w:type="dxa"/>
            <w:vAlign w:val="bottom"/>
          </w:tcPr>
          <w:p>
            <w:pPr>
              <w:jc w:val="center"/>
              <w:ind w:right="183"/>
              <w:spacing w:after="0"/>
              <w:rPr>
                <w:sz w:val="20"/>
                <w:szCs w:val="20"/>
                <w:color w:val="auto"/>
              </w:rPr>
            </w:pPr>
            <w:r>
              <w:rPr>
                <w:rFonts w:ascii="Arial" w:cs="Arial" w:eastAsia="Arial" w:hAnsi="Arial"/>
                <w:sz w:val="14"/>
                <w:szCs w:val="14"/>
                <w:b w:val="1"/>
                <w:bCs w:val="1"/>
                <w:color w:val="E2231A"/>
              </w:rPr>
              <w:t>Share</w:t>
            </w:r>
          </w:p>
        </w:tc>
        <w:tc>
          <w:tcPr>
            <w:tcW w:w="280" w:type="dxa"/>
            <w:vAlign w:val="bottom"/>
          </w:tcPr>
          <w:p>
            <w:pPr>
              <w:spacing w:after="0"/>
              <w:rPr>
                <w:sz w:val="14"/>
                <w:szCs w:val="14"/>
                <w:color w:val="auto"/>
              </w:rPr>
            </w:pPr>
          </w:p>
        </w:tc>
        <w:tc>
          <w:tcPr>
            <w:tcW w:w="940" w:type="dxa"/>
            <w:vAlign w:val="bottom"/>
          </w:tcPr>
          <w:p>
            <w:pPr>
              <w:jc w:val="center"/>
              <w:ind w:right="223"/>
              <w:spacing w:after="0"/>
              <w:rPr>
                <w:sz w:val="20"/>
                <w:szCs w:val="20"/>
                <w:color w:val="auto"/>
              </w:rPr>
            </w:pPr>
            <w:r>
              <w:rPr>
                <w:rFonts w:ascii="Arial" w:cs="Arial" w:eastAsia="Arial" w:hAnsi="Arial"/>
                <w:sz w:val="14"/>
                <w:szCs w:val="14"/>
                <w:b w:val="1"/>
                <w:bCs w:val="1"/>
                <w:color w:val="E2231A"/>
              </w:rPr>
              <w:t>Share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340" w:type="dxa"/>
            <w:vAlign w:val="bottom"/>
          </w:tcPr>
          <w:p>
            <w:pPr>
              <w:jc w:val="center"/>
              <w:ind w:left="24"/>
              <w:spacing w:after="0"/>
              <w:rPr>
                <w:sz w:val="20"/>
                <w:szCs w:val="20"/>
                <w:color w:val="auto"/>
              </w:rPr>
            </w:pPr>
            <w:r>
              <w:rPr>
                <w:rFonts w:ascii="Arial" w:cs="Arial" w:eastAsia="Arial" w:hAnsi="Arial"/>
                <w:sz w:val="14"/>
                <w:szCs w:val="14"/>
                <w:b w:val="1"/>
                <w:bCs w:val="1"/>
                <w:color w:val="E2231A"/>
              </w:rPr>
              <w:t>2020</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E2231A"/>
              </w:rPr>
              <w:t>2021</w:t>
            </w:r>
          </w:p>
        </w:tc>
        <w:tc>
          <w:tcPr>
            <w:tcW w:w="280" w:type="dxa"/>
            <w:vAlign w:val="bottom"/>
          </w:tcPr>
          <w:p>
            <w:pPr>
              <w:spacing w:after="0"/>
              <w:rPr>
                <w:sz w:val="14"/>
                <w:szCs w:val="14"/>
                <w:color w:val="auto"/>
              </w:rPr>
            </w:pPr>
          </w:p>
        </w:tc>
        <w:tc>
          <w:tcPr>
            <w:tcW w:w="940" w:type="dxa"/>
            <w:vAlign w:val="bottom"/>
          </w:tcPr>
          <w:p>
            <w:pPr>
              <w:jc w:val="center"/>
              <w:ind w:right="203"/>
              <w:spacing w:after="0"/>
              <w:rPr>
                <w:sz w:val="20"/>
                <w:szCs w:val="20"/>
                <w:color w:val="auto"/>
              </w:rPr>
            </w:pPr>
            <w:r>
              <w:rPr>
                <w:rFonts w:ascii="Arial" w:cs="Arial" w:eastAsia="Arial" w:hAnsi="Arial"/>
                <w:sz w:val="14"/>
                <w:szCs w:val="14"/>
                <w:b w:val="1"/>
                <w:bCs w:val="1"/>
                <w:color w:val="E2231A"/>
              </w:rPr>
              <w:t>Dividend</w:t>
            </w:r>
          </w:p>
        </w:tc>
        <w:tc>
          <w:tcPr>
            <w:tcW w:w="280" w:type="dxa"/>
            <w:vAlign w:val="bottom"/>
          </w:tcPr>
          <w:p>
            <w:pPr>
              <w:spacing w:after="0"/>
              <w:rPr>
                <w:sz w:val="14"/>
                <w:szCs w:val="14"/>
                <w:color w:val="auto"/>
              </w:rPr>
            </w:pPr>
          </w:p>
        </w:tc>
        <w:tc>
          <w:tcPr>
            <w:tcW w:w="940" w:type="dxa"/>
            <w:vAlign w:val="bottom"/>
          </w:tcPr>
          <w:p>
            <w:pPr>
              <w:jc w:val="center"/>
              <w:ind w:right="203"/>
              <w:spacing w:after="0"/>
              <w:rPr>
                <w:sz w:val="20"/>
                <w:szCs w:val="20"/>
                <w:color w:val="auto"/>
              </w:rPr>
            </w:pPr>
            <w:r>
              <w:rPr>
                <w:rFonts w:ascii="Arial" w:cs="Arial" w:eastAsia="Arial" w:hAnsi="Arial"/>
                <w:sz w:val="14"/>
                <w:szCs w:val="14"/>
                <w:b w:val="1"/>
                <w:bCs w:val="1"/>
                <w:color w:val="E2231A"/>
              </w:rPr>
              <w:t>Dividend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340" w:type="dxa"/>
            <w:vAlign w:val="bottom"/>
          </w:tcPr>
          <w:p>
            <w:pPr>
              <w:jc w:val="right"/>
              <w:ind w:right="104"/>
              <w:spacing w:after="0"/>
              <w:rPr>
                <w:sz w:val="20"/>
                <w:szCs w:val="20"/>
                <w:color w:val="auto"/>
              </w:rPr>
            </w:pPr>
            <w:r>
              <w:rPr>
                <w:rFonts w:ascii="Arial" w:cs="Arial" w:eastAsia="Arial" w:hAnsi="Arial"/>
                <w:sz w:val="14"/>
                <w:szCs w:val="14"/>
                <w:b w:val="1"/>
                <w:bCs w:val="1"/>
                <w:color w:val="E2231A"/>
              </w:rPr>
              <w:t>Performance</w:t>
            </w:r>
          </w:p>
        </w:tc>
        <w:tc>
          <w:tcPr>
            <w:tcW w:w="1200" w:type="dxa"/>
            <w:vAlign w:val="bottom"/>
          </w:tcPr>
          <w:p>
            <w:pPr>
              <w:jc w:val="right"/>
              <w:ind w:right="84"/>
              <w:spacing w:after="0"/>
              <w:rPr>
                <w:sz w:val="20"/>
                <w:szCs w:val="20"/>
                <w:color w:val="auto"/>
              </w:rPr>
            </w:pPr>
            <w:r>
              <w:rPr>
                <w:rFonts w:ascii="Arial" w:cs="Arial" w:eastAsia="Arial" w:hAnsi="Arial"/>
                <w:sz w:val="14"/>
                <w:szCs w:val="14"/>
                <w:b w:val="1"/>
                <w:bCs w:val="1"/>
                <w:color w:val="E2231A"/>
              </w:rPr>
              <w:t>Performance</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260" w:type="dxa"/>
            <w:vAlign w:val="bottom"/>
          </w:tcPr>
          <w:p>
            <w:pPr>
              <w:spacing w:after="0"/>
              <w:rPr>
                <w:sz w:val="14"/>
                <w:szCs w:val="14"/>
                <w:color w:val="auto"/>
              </w:rPr>
            </w:pPr>
          </w:p>
        </w:tc>
        <w:tc>
          <w:tcPr>
            <w:tcW w:w="760" w:type="dxa"/>
            <w:vAlign w:val="bottom"/>
          </w:tcPr>
          <w:p>
            <w:pPr>
              <w:jc w:val="right"/>
              <w:ind w:right="222"/>
              <w:spacing w:after="0"/>
              <w:rPr>
                <w:sz w:val="20"/>
                <w:szCs w:val="20"/>
                <w:color w:val="auto"/>
              </w:rPr>
            </w:pPr>
            <w:r>
              <w:rPr>
                <w:rFonts w:ascii="Arial" w:cs="Arial" w:eastAsia="Arial" w:hAnsi="Arial"/>
                <w:sz w:val="14"/>
                <w:szCs w:val="14"/>
                <w:b w:val="1"/>
                <w:bCs w:val="1"/>
                <w:color w:val="E2231A"/>
              </w:rPr>
              <w:t>Total</w:t>
            </w:r>
          </w:p>
        </w:tc>
      </w:tr>
      <w:tr>
        <w:trPr>
          <w:trHeight w:val="162"/>
        </w:trPr>
        <w:tc>
          <w:tcPr>
            <w:tcW w:w="3120" w:type="dxa"/>
            <w:vAlign w:val="bottom"/>
          </w:tcPr>
          <w:p>
            <w:pPr>
              <w:spacing w:after="0"/>
              <w:rPr>
                <w:sz w:val="14"/>
                <w:szCs w:val="14"/>
                <w:color w:val="auto"/>
              </w:rPr>
            </w:pPr>
          </w:p>
        </w:tc>
        <w:tc>
          <w:tcPr>
            <w:tcW w:w="1340" w:type="dxa"/>
            <w:vAlign w:val="bottom"/>
          </w:tcPr>
          <w:p>
            <w:pPr>
              <w:jc w:val="center"/>
              <w:ind w:left="24"/>
              <w:spacing w:after="0"/>
              <w:rPr>
                <w:sz w:val="20"/>
                <w:szCs w:val="20"/>
                <w:color w:val="auto"/>
              </w:rPr>
            </w:pPr>
            <w:r>
              <w:rPr>
                <w:rFonts w:ascii="Arial" w:cs="Arial" w:eastAsia="Arial" w:hAnsi="Arial"/>
                <w:sz w:val="14"/>
                <w:szCs w:val="14"/>
                <w:b w:val="1"/>
                <w:bCs w:val="1"/>
                <w:color w:val="E2231A"/>
              </w:rPr>
              <w:t>Shares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22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E2231A"/>
              </w:rPr>
              <w:t>(2020-2022</w:t>
            </w:r>
          </w:p>
        </w:tc>
        <w:tc>
          <w:tcPr>
            <w:tcW w:w="122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E2231A"/>
              </w:rPr>
              <w:t>(2021-2023</w:t>
            </w:r>
          </w:p>
        </w:tc>
        <w:tc>
          <w:tcPr>
            <w:tcW w:w="260" w:type="dxa"/>
            <w:vAlign w:val="bottom"/>
          </w:tcPr>
          <w:p>
            <w:pPr>
              <w:spacing w:after="0"/>
              <w:rPr>
                <w:sz w:val="14"/>
                <w:szCs w:val="14"/>
                <w:color w:val="auto"/>
              </w:rPr>
            </w:pPr>
          </w:p>
        </w:tc>
        <w:tc>
          <w:tcPr>
            <w:tcW w:w="760" w:type="dxa"/>
            <w:vAlign w:val="bottom"/>
          </w:tcPr>
          <w:p>
            <w:pPr>
              <w:jc w:val="right"/>
              <w:ind w:right="82"/>
              <w:spacing w:after="0"/>
              <w:rPr>
                <w:sz w:val="20"/>
                <w:szCs w:val="20"/>
                <w:color w:val="auto"/>
              </w:rPr>
            </w:pPr>
            <w:r>
              <w:rPr>
                <w:rFonts w:ascii="Arial" w:cs="Arial" w:eastAsia="Arial" w:hAnsi="Arial"/>
                <w:sz w:val="14"/>
                <w:szCs w:val="14"/>
                <w:b w:val="1"/>
                <w:bCs w:val="1"/>
                <w:color w:val="E2231A"/>
                <w:w w:val="98"/>
              </w:rPr>
              <w:t>Dividend</w:t>
            </w:r>
          </w:p>
        </w:tc>
      </w:tr>
      <w:tr>
        <w:trPr>
          <w:trHeight w:val="175"/>
        </w:trPr>
        <w:tc>
          <w:tcPr>
            <w:tcW w:w="3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E2231A"/>
              </w:rPr>
              <w:t>(Maximum)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(Maximum)</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E2231A"/>
              </w:rPr>
              <w:t>Awards)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E2231A"/>
              </w:rPr>
              <w:t>Awards)</w:t>
            </w: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Equivalents</w:t>
            </w:r>
          </w:p>
        </w:tc>
      </w:tr>
      <w:tr>
        <w:trPr>
          <w:trHeight w:val="230"/>
        </w:trPr>
        <w:tc>
          <w:tcPr>
            <w:tcW w:w="312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340" w:type="dxa"/>
            <w:vAlign w:val="bottom"/>
            <w:shd w:val="clear" w:color="auto" w:fill="FCE9E8"/>
          </w:tcPr>
          <w:p>
            <w:pPr>
              <w:jc w:val="right"/>
              <w:ind w:right="104"/>
              <w:spacing w:after="0"/>
              <w:rPr>
                <w:sz w:val="20"/>
                <w:szCs w:val="20"/>
                <w:color w:val="auto"/>
              </w:rPr>
            </w:pPr>
            <w:r>
              <w:rPr>
                <w:rFonts w:ascii="Arial" w:cs="Arial" w:eastAsia="Arial" w:hAnsi="Arial"/>
                <w:sz w:val="16"/>
                <w:szCs w:val="16"/>
                <w:color w:val="auto"/>
              </w:rPr>
              <w:t>71,952</w:t>
            </w:r>
          </w:p>
        </w:tc>
        <w:tc>
          <w:tcPr>
            <w:tcW w:w="1200" w:type="dxa"/>
            <w:vAlign w:val="bottom"/>
            <w:shd w:val="clear" w:color="auto" w:fill="FCE9E8"/>
          </w:tcPr>
          <w:p>
            <w:pPr>
              <w:jc w:val="right"/>
              <w:ind w:right="84"/>
              <w:spacing w:after="0"/>
              <w:rPr>
                <w:sz w:val="20"/>
                <w:szCs w:val="20"/>
                <w:color w:val="auto"/>
              </w:rPr>
            </w:pPr>
            <w:r>
              <w:rPr>
                <w:rFonts w:ascii="Arial" w:cs="Arial" w:eastAsia="Arial" w:hAnsi="Arial"/>
                <w:sz w:val="16"/>
                <w:szCs w:val="16"/>
                <w:color w:val="auto"/>
              </w:rPr>
              <w:t>64,024</w:t>
            </w:r>
          </w:p>
        </w:tc>
        <w:tc>
          <w:tcPr>
            <w:tcW w:w="280" w:type="dxa"/>
            <w:vAlign w:val="bottom"/>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FCE9E8"/>
          </w:tcPr>
          <w:p>
            <w:pPr>
              <w:jc w:val="right"/>
              <w:ind w:right="83"/>
              <w:spacing w:after="0"/>
              <w:rPr>
                <w:sz w:val="20"/>
                <w:szCs w:val="20"/>
                <w:color w:val="auto"/>
              </w:rPr>
            </w:pPr>
            <w:r>
              <w:rPr>
                <w:rFonts w:ascii="Arial" w:cs="Arial" w:eastAsia="Arial" w:hAnsi="Arial"/>
                <w:sz w:val="16"/>
                <w:szCs w:val="16"/>
                <w:color w:val="auto"/>
              </w:rPr>
              <w:t>205,875</w:t>
            </w:r>
          </w:p>
        </w:tc>
        <w:tc>
          <w:tcPr>
            <w:tcW w:w="280" w:type="dxa"/>
            <w:vAlign w:val="bottom"/>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FCE9E8"/>
          </w:tcPr>
          <w:p>
            <w:pPr>
              <w:jc w:val="right"/>
              <w:ind w:right="83"/>
              <w:spacing w:after="0"/>
              <w:rPr>
                <w:sz w:val="20"/>
                <w:szCs w:val="20"/>
                <w:color w:val="auto"/>
              </w:rPr>
            </w:pPr>
            <w:r>
              <w:rPr>
                <w:rFonts w:ascii="Arial" w:cs="Arial" w:eastAsia="Arial" w:hAnsi="Arial"/>
                <w:sz w:val="16"/>
                <w:szCs w:val="16"/>
                <w:color w:val="auto"/>
              </w:rPr>
              <w:t>114,380</w:t>
            </w:r>
          </w:p>
        </w:tc>
        <w:tc>
          <w:tcPr>
            <w:tcW w:w="260" w:type="dxa"/>
            <w:vAlign w:val="bottom"/>
            <w:shd w:val="clear" w:color="auto" w:fill="FCE9E8"/>
          </w:tcPr>
          <w:p>
            <w:pPr>
              <w:ind w:left="1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320,255</w:t>
            </w:r>
          </w:p>
        </w:tc>
      </w:tr>
      <w:tr>
        <w:trPr>
          <w:trHeight w:val="60"/>
        </w:trPr>
        <w:tc>
          <w:tcPr>
            <w:tcW w:w="3120" w:type="dxa"/>
            <w:vAlign w:val="bottom"/>
            <w:shd w:val="clear" w:color="auto" w:fill="FCE9E8"/>
          </w:tcPr>
          <w:p>
            <w:pPr>
              <w:spacing w:after="0"/>
              <w:rPr>
                <w:sz w:val="5"/>
                <w:szCs w:val="5"/>
                <w:color w:val="auto"/>
              </w:rPr>
            </w:pPr>
          </w:p>
        </w:tc>
        <w:tc>
          <w:tcPr>
            <w:tcW w:w="1340" w:type="dxa"/>
            <w:vAlign w:val="bottom"/>
            <w:shd w:val="clear" w:color="auto" w:fill="FCE9E8"/>
          </w:tcPr>
          <w:p>
            <w:pPr>
              <w:spacing w:after="0"/>
              <w:rPr>
                <w:sz w:val="5"/>
                <w:szCs w:val="5"/>
                <w:color w:val="auto"/>
              </w:rPr>
            </w:pPr>
          </w:p>
        </w:tc>
        <w:tc>
          <w:tcPr>
            <w:tcW w:w="1200" w:type="dxa"/>
            <w:vAlign w:val="bottom"/>
            <w:shd w:val="clear" w:color="auto" w:fill="FCE9E8"/>
          </w:tcPr>
          <w:p>
            <w:pPr>
              <w:spacing w:after="0"/>
              <w:rPr>
                <w:sz w:val="5"/>
                <w:szCs w:val="5"/>
                <w:color w:val="auto"/>
              </w:rPr>
            </w:pPr>
          </w:p>
        </w:tc>
        <w:tc>
          <w:tcPr>
            <w:tcW w:w="280" w:type="dxa"/>
            <w:vAlign w:val="bottom"/>
            <w:shd w:val="clear" w:color="auto" w:fill="FCE9E8"/>
          </w:tcPr>
          <w:p>
            <w:pPr>
              <w:spacing w:after="0"/>
              <w:rPr>
                <w:sz w:val="5"/>
                <w:szCs w:val="5"/>
                <w:color w:val="auto"/>
              </w:rPr>
            </w:pPr>
          </w:p>
        </w:tc>
        <w:tc>
          <w:tcPr>
            <w:tcW w:w="940" w:type="dxa"/>
            <w:vAlign w:val="bottom"/>
            <w:shd w:val="clear" w:color="auto" w:fill="FCE9E8"/>
          </w:tcPr>
          <w:p>
            <w:pPr>
              <w:spacing w:after="0"/>
              <w:rPr>
                <w:sz w:val="5"/>
                <w:szCs w:val="5"/>
                <w:color w:val="auto"/>
              </w:rPr>
            </w:pPr>
          </w:p>
        </w:tc>
        <w:tc>
          <w:tcPr>
            <w:tcW w:w="280" w:type="dxa"/>
            <w:vAlign w:val="bottom"/>
            <w:shd w:val="clear" w:color="auto" w:fill="FCE9E8"/>
          </w:tcPr>
          <w:p>
            <w:pPr>
              <w:spacing w:after="0"/>
              <w:rPr>
                <w:sz w:val="5"/>
                <w:szCs w:val="5"/>
                <w:color w:val="auto"/>
              </w:rPr>
            </w:pPr>
          </w:p>
        </w:tc>
        <w:tc>
          <w:tcPr>
            <w:tcW w:w="940" w:type="dxa"/>
            <w:vAlign w:val="bottom"/>
            <w:shd w:val="clear" w:color="auto" w:fill="FCE9E8"/>
          </w:tcPr>
          <w:p>
            <w:pPr>
              <w:spacing w:after="0"/>
              <w:rPr>
                <w:sz w:val="5"/>
                <w:szCs w:val="5"/>
                <w:color w:val="auto"/>
              </w:rPr>
            </w:pPr>
          </w:p>
        </w:tc>
        <w:tc>
          <w:tcPr>
            <w:tcW w:w="260" w:type="dxa"/>
            <w:vAlign w:val="bottom"/>
            <w:shd w:val="clear" w:color="auto" w:fill="FCE9E8"/>
          </w:tcPr>
          <w:p>
            <w:pPr>
              <w:spacing w:after="0"/>
              <w:rPr>
                <w:sz w:val="5"/>
                <w:szCs w:val="5"/>
                <w:color w:val="auto"/>
              </w:rPr>
            </w:pPr>
          </w:p>
        </w:tc>
        <w:tc>
          <w:tcPr>
            <w:tcW w:w="760" w:type="dxa"/>
            <w:vAlign w:val="bottom"/>
            <w:shd w:val="clear" w:color="auto" w:fill="FCE9E8"/>
          </w:tcPr>
          <w:p>
            <w:pPr>
              <w:spacing w:after="0"/>
              <w:rPr>
                <w:sz w:val="5"/>
                <w:szCs w:val="5"/>
                <w:color w:val="auto"/>
              </w:rPr>
            </w:pPr>
          </w:p>
        </w:tc>
      </w:tr>
      <w:tr>
        <w:trPr>
          <w:trHeight w:val="250"/>
        </w:trPr>
        <w:tc>
          <w:tcPr>
            <w:tcW w:w="312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340" w:type="dxa"/>
            <w:vAlign w:val="bottom"/>
          </w:tcPr>
          <w:p>
            <w:pPr>
              <w:jc w:val="right"/>
              <w:ind w:right="104"/>
              <w:spacing w:after="0"/>
              <w:rPr>
                <w:sz w:val="20"/>
                <w:szCs w:val="20"/>
                <w:color w:val="auto"/>
              </w:rPr>
            </w:pPr>
            <w:r>
              <w:rPr>
                <w:rFonts w:ascii="Arial" w:cs="Arial" w:eastAsia="Arial" w:hAnsi="Arial"/>
                <w:sz w:val="16"/>
                <w:szCs w:val="16"/>
                <w:color w:val="auto"/>
              </w:rPr>
              <w:t>16,188</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16,006</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46,318</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28,595</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74,913</w:t>
            </w:r>
          </w:p>
        </w:tc>
      </w:tr>
      <w:tr>
        <w:trPr>
          <w:trHeight w:val="60"/>
        </w:trPr>
        <w:tc>
          <w:tcPr>
            <w:tcW w:w="3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90"/>
        </w:trPr>
        <w:tc>
          <w:tcPr>
            <w:tcW w:w="31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Orsini</w:t>
            </w:r>
          </w:p>
        </w:tc>
        <w:tc>
          <w:tcPr>
            <w:tcW w:w="134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20,558</w:t>
            </w:r>
          </w:p>
        </w:tc>
        <w:tc>
          <w:tcPr>
            <w:tcW w:w="1200" w:type="dxa"/>
            <w:vAlign w:val="bottom"/>
            <w:tcBorders>
              <w:bottom w:val="single" w:sz="8" w:color="FCE9E8"/>
            </w:tcBorders>
            <w:shd w:val="clear" w:color="auto" w:fill="FCE9E8"/>
          </w:tcPr>
          <w:p>
            <w:pPr>
              <w:jc w:val="right"/>
              <w:ind w:right="84"/>
              <w:spacing w:after="0"/>
              <w:rPr>
                <w:sz w:val="20"/>
                <w:szCs w:val="20"/>
                <w:color w:val="auto"/>
              </w:rPr>
            </w:pPr>
            <w:r>
              <w:rPr>
                <w:rFonts w:ascii="Arial" w:cs="Arial" w:eastAsia="Arial" w:hAnsi="Arial"/>
                <w:sz w:val="16"/>
                <w:szCs w:val="16"/>
                <w:color w:val="auto"/>
              </w:rPr>
              <w:t>18,292</w:t>
            </w:r>
          </w:p>
        </w:tc>
        <w:tc>
          <w:tcPr>
            <w:tcW w:w="28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83"/>
              <w:spacing w:after="0"/>
              <w:rPr>
                <w:sz w:val="20"/>
                <w:szCs w:val="20"/>
                <w:color w:val="auto"/>
              </w:rPr>
            </w:pPr>
            <w:r>
              <w:rPr>
                <w:rFonts w:ascii="Arial" w:cs="Arial" w:eastAsia="Arial" w:hAnsi="Arial"/>
                <w:sz w:val="16"/>
                <w:szCs w:val="16"/>
                <w:color w:val="auto"/>
              </w:rPr>
              <w:t>58,822</w:t>
            </w:r>
          </w:p>
        </w:tc>
        <w:tc>
          <w:tcPr>
            <w:tcW w:w="28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83"/>
              <w:spacing w:after="0"/>
              <w:rPr>
                <w:sz w:val="20"/>
                <w:szCs w:val="20"/>
                <w:color w:val="auto"/>
              </w:rPr>
            </w:pPr>
            <w:r>
              <w:rPr>
                <w:rFonts w:ascii="Arial" w:cs="Arial" w:eastAsia="Arial" w:hAnsi="Arial"/>
                <w:sz w:val="16"/>
                <w:szCs w:val="16"/>
                <w:color w:val="auto"/>
              </w:rPr>
              <w:t>32,679</w:t>
            </w:r>
          </w:p>
        </w:tc>
        <w:tc>
          <w:tcPr>
            <w:tcW w:w="26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91,501</w:t>
            </w:r>
          </w:p>
        </w:tc>
      </w:tr>
      <w:tr>
        <w:trPr>
          <w:trHeight w:val="250"/>
        </w:trPr>
        <w:tc>
          <w:tcPr>
            <w:tcW w:w="312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340" w:type="dxa"/>
            <w:vAlign w:val="bottom"/>
          </w:tcPr>
          <w:p>
            <w:pPr>
              <w:jc w:val="right"/>
              <w:ind w:right="104"/>
              <w:spacing w:after="0"/>
              <w:rPr>
                <w:sz w:val="20"/>
                <w:szCs w:val="20"/>
                <w:color w:val="auto"/>
              </w:rPr>
            </w:pPr>
            <w:r>
              <w:rPr>
                <w:rFonts w:ascii="Arial" w:cs="Arial" w:eastAsia="Arial" w:hAnsi="Arial"/>
                <w:sz w:val="16"/>
                <w:szCs w:val="16"/>
                <w:color w:val="auto"/>
              </w:rPr>
              <w:t>17,088</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15,204</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48,894</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27,162</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76,056</w:t>
            </w:r>
          </w:p>
        </w:tc>
      </w:tr>
      <w:tr>
        <w:trPr>
          <w:trHeight w:val="60"/>
        </w:trPr>
        <w:tc>
          <w:tcPr>
            <w:tcW w:w="3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90"/>
        </w:trPr>
        <w:tc>
          <w:tcPr>
            <w:tcW w:w="31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34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15,032</w:t>
            </w:r>
          </w:p>
        </w:tc>
        <w:tc>
          <w:tcPr>
            <w:tcW w:w="1200" w:type="dxa"/>
            <w:vAlign w:val="bottom"/>
            <w:tcBorders>
              <w:bottom w:val="single" w:sz="8" w:color="FCE9E8"/>
            </w:tcBorders>
            <w:shd w:val="clear" w:color="auto" w:fill="FCE9E8"/>
          </w:tcPr>
          <w:p>
            <w:pPr>
              <w:jc w:val="right"/>
              <w:ind w:right="84"/>
              <w:spacing w:after="0"/>
              <w:rPr>
                <w:sz w:val="20"/>
                <w:szCs w:val="20"/>
                <w:color w:val="auto"/>
              </w:rPr>
            </w:pPr>
            <w:r>
              <w:rPr>
                <w:rFonts w:ascii="Arial" w:cs="Arial" w:eastAsia="Arial" w:hAnsi="Arial"/>
                <w:sz w:val="16"/>
                <w:szCs w:val="16"/>
                <w:color w:val="auto"/>
              </w:rPr>
              <w:t>13,376</w:t>
            </w:r>
          </w:p>
        </w:tc>
        <w:tc>
          <w:tcPr>
            <w:tcW w:w="28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83"/>
              <w:spacing w:after="0"/>
              <w:rPr>
                <w:sz w:val="20"/>
                <w:szCs w:val="20"/>
                <w:color w:val="auto"/>
              </w:rPr>
            </w:pPr>
            <w:r>
              <w:rPr>
                <w:rFonts w:ascii="Arial" w:cs="Arial" w:eastAsia="Arial" w:hAnsi="Arial"/>
                <w:sz w:val="16"/>
                <w:szCs w:val="16"/>
                <w:color w:val="auto"/>
              </w:rPr>
              <w:t>43,011</w:t>
            </w:r>
          </w:p>
        </w:tc>
        <w:tc>
          <w:tcPr>
            <w:tcW w:w="28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83"/>
              <w:spacing w:after="0"/>
              <w:rPr>
                <w:sz w:val="20"/>
                <w:szCs w:val="20"/>
                <w:color w:val="auto"/>
              </w:rPr>
            </w:pPr>
            <w:r>
              <w:rPr>
                <w:rFonts w:ascii="Arial" w:cs="Arial" w:eastAsia="Arial" w:hAnsi="Arial"/>
                <w:sz w:val="16"/>
                <w:szCs w:val="16"/>
                <w:color w:val="auto"/>
              </w:rPr>
              <w:t>23,896</w:t>
            </w:r>
          </w:p>
        </w:tc>
        <w:tc>
          <w:tcPr>
            <w:tcW w:w="26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66,907</w:t>
            </w:r>
          </w:p>
        </w:tc>
      </w:tr>
      <w:tr>
        <w:trPr>
          <w:trHeight w:val="20"/>
        </w:trPr>
        <w:tc>
          <w:tcPr>
            <w:tcW w:w="3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74" w:lineRule="exact"/>
        <w:rPr>
          <w:sz w:val="20"/>
          <w:szCs w:val="20"/>
          <w:color w:val="auto"/>
        </w:rPr>
      </w:pPr>
    </w:p>
    <w:p>
      <w:pPr>
        <w:ind w:left="780" w:hanging="393"/>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195580</wp:posOffset>
            </wp:positionV>
            <wp:extent cx="6292215"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FFFFFF"/>
        </w:rPr>
        <w:t>2021 Option Exercises and Stock Vested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stock-based awards that vested during 2021 for our Named Executive Officers.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options were exercised during 2021.</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160" w:type="dxa"/>
            <w:vAlign w:val="bottom"/>
            <w:tcBorders>
              <w:bottom w:val="single" w:sz="8" w:color="auto"/>
              <w:right w:val="single" w:sz="8" w:color="auto"/>
            </w:tcBorders>
            <w:gridSpan w:val="2"/>
          </w:tcPr>
          <w:p>
            <w:pPr>
              <w:jc w:val="right"/>
              <w:ind w:right="543"/>
              <w:spacing w:after="0"/>
              <w:rPr>
                <w:sz w:val="20"/>
                <w:szCs w:val="20"/>
                <w:color w:val="auto"/>
              </w:rPr>
            </w:pPr>
            <w:r>
              <w:rPr>
                <w:rFonts w:ascii="Arial" w:cs="Arial" w:eastAsia="Arial" w:hAnsi="Arial"/>
                <w:sz w:val="14"/>
                <w:szCs w:val="14"/>
                <w:b w:val="1"/>
                <w:bCs w:val="1"/>
                <w:color w:val="E2231A"/>
              </w:rPr>
              <w:t>Option Awards</w:t>
            </w:r>
          </w:p>
        </w:tc>
        <w:tc>
          <w:tcPr>
            <w:tcW w:w="24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E2231A"/>
              </w:rPr>
              <w:t>Stock Awards</w:t>
            </w:r>
          </w:p>
        </w:tc>
      </w:tr>
      <w:tr>
        <w:trPr>
          <w:trHeight w:val="142"/>
        </w:trPr>
        <w:tc>
          <w:tcPr>
            <w:tcW w:w="53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E2231A"/>
              </w:rPr>
              <w:t>Number of</w:t>
            </w:r>
          </w:p>
        </w:tc>
        <w:tc>
          <w:tcPr>
            <w:tcW w:w="1120" w:type="dxa"/>
            <w:vAlign w:val="bottom"/>
            <w:tcBorders>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2"/>
        </w:trPr>
        <w:tc>
          <w:tcPr>
            <w:tcW w:w="5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20" w:type="dxa"/>
            <w:vAlign w:val="bottom"/>
            <w:tcBorders>
              <w:right w:val="single" w:sz="8" w:color="auto"/>
            </w:tcBorders>
          </w:tcPr>
          <w:p>
            <w:pPr>
              <w:jc w:val="center"/>
              <w:ind w:right="63"/>
              <w:spacing w:after="0"/>
              <w:rPr>
                <w:sz w:val="20"/>
                <w:szCs w:val="20"/>
                <w:color w:val="auto"/>
              </w:rPr>
            </w:pPr>
            <w:r>
              <w:rPr>
                <w:rFonts w:ascii="Arial" w:cs="Arial" w:eastAsia="Arial" w:hAnsi="Arial"/>
                <w:sz w:val="14"/>
                <w:szCs w:val="14"/>
                <w:b w:val="1"/>
                <w:bCs w:val="1"/>
                <w:color w:val="E2231A"/>
              </w:rPr>
              <w:t>Value</w:t>
            </w:r>
          </w:p>
        </w:tc>
        <w:tc>
          <w:tcPr>
            <w:tcW w:w="1440" w:type="dxa"/>
            <w:vAlign w:val="bottom"/>
          </w:tcPr>
          <w:p>
            <w:pPr>
              <w:jc w:val="center"/>
              <w:ind w:left="45"/>
              <w:spacing w:after="0"/>
              <w:rPr>
                <w:sz w:val="20"/>
                <w:szCs w:val="20"/>
                <w:color w:val="auto"/>
              </w:rPr>
            </w:pPr>
            <w:r>
              <w:rPr>
                <w:rFonts w:ascii="Arial" w:cs="Arial" w:eastAsia="Arial" w:hAnsi="Arial"/>
                <w:sz w:val="14"/>
                <w:szCs w:val="14"/>
                <w:b w:val="1"/>
                <w:bCs w:val="1"/>
                <w:color w:val="E2231A"/>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Value</w:t>
            </w:r>
          </w:p>
        </w:tc>
      </w:tr>
      <w:tr>
        <w:trPr>
          <w:trHeight w:val="162"/>
        </w:trPr>
        <w:tc>
          <w:tcPr>
            <w:tcW w:w="5360" w:type="dxa"/>
            <w:vAlign w:val="bottom"/>
          </w:tcPr>
          <w:p>
            <w:pPr>
              <w:spacing w:after="0"/>
              <w:rPr>
                <w:sz w:val="14"/>
                <w:szCs w:val="14"/>
                <w:color w:val="auto"/>
              </w:rPr>
            </w:pPr>
          </w:p>
        </w:tc>
        <w:tc>
          <w:tcPr>
            <w:tcW w:w="1040" w:type="dxa"/>
            <w:vAlign w:val="bottom"/>
          </w:tcPr>
          <w:p>
            <w:pPr>
              <w:jc w:val="right"/>
              <w:ind w:right="24"/>
              <w:spacing w:after="0"/>
              <w:rPr>
                <w:sz w:val="20"/>
                <w:szCs w:val="20"/>
                <w:color w:val="auto"/>
              </w:rPr>
            </w:pPr>
            <w:r>
              <w:rPr>
                <w:rFonts w:ascii="Arial" w:cs="Arial" w:eastAsia="Arial" w:hAnsi="Arial"/>
                <w:sz w:val="14"/>
                <w:szCs w:val="14"/>
                <w:b w:val="1"/>
                <w:bCs w:val="1"/>
                <w:color w:val="E2231A"/>
              </w:rPr>
              <w:t>Acquired on</w:t>
            </w:r>
          </w:p>
        </w:tc>
        <w:tc>
          <w:tcPr>
            <w:tcW w:w="1120" w:type="dxa"/>
            <w:vAlign w:val="bottom"/>
            <w:tcBorders>
              <w:right w:val="single" w:sz="8" w:color="auto"/>
            </w:tcBorders>
          </w:tcPr>
          <w:p>
            <w:pPr>
              <w:jc w:val="right"/>
              <w:ind w:right="143"/>
              <w:spacing w:after="0"/>
              <w:rPr>
                <w:sz w:val="20"/>
                <w:szCs w:val="20"/>
                <w:color w:val="auto"/>
              </w:rPr>
            </w:pPr>
            <w:r>
              <w:rPr>
                <w:rFonts w:ascii="Arial" w:cs="Arial" w:eastAsia="Arial" w:hAnsi="Arial"/>
                <w:sz w:val="14"/>
                <w:szCs w:val="14"/>
                <w:b w:val="1"/>
                <w:bCs w:val="1"/>
                <w:color w:val="E2231A"/>
              </w:rPr>
              <w:t>Realized on</w:t>
            </w:r>
          </w:p>
        </w:tc>
        <w:tc>
          <w:tcPr>
            <w:tcW w:w="1440" w:type="dxa"/>
            <w:vAlign w:val="bottom"/>
          </w:tcPr>
          <w:p>
            <w:pPr>
              <w:jc w:val="center"/>
              <w:ind w:left="25"/>
              <w:spacing w:after="0"/>
              <w:rPr>
                <w:sz w:val="20"/>
                <w:szCs w:val="20"/>
                <w:color w:val="auto"/>
              </w:rPr>
            </w:pPr>
            <w:r>
              <w:rPr>
                <w:rFonts w:ascii="Arial" w:cs="Arial" w:eastAsia="Arial" w:hAnsi="Arial"/>
                <w:sz w:val="14"/>
                <w:szCs w:val="14"/>
                <w:b w:val="1"/>
                <w:bCs w:val="1"/>
                <w:color w:val="E2231A"/>
              </w:rPr>
              <w:t>Shares Acquired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Realized on</w:t>
            </w:r>
          </w:p>
        </w:tc>
      </w:tr>
      <w:tr>
        <w:trPr>
          <w:trHeight w:val="159"/>
        </w:trPr>
        <w:tc>
          <w:tcPr>
            <w:tcW w:w="536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Exercise</w:t>
            </w:r>
          </w:p>
        </w:tc>
        <w:tc>
          <w:tcPr>
            <w:tcW w:w="1120" w:type="dxa"/>
            <w:vAlign w:val="bottom"/>
            <w:tcBorders>
              <w:right w:val="single" w:sz="8" w:color="auto"/>
            </w:tcBorders>
          </w:tcPr>
          <w:p>
            <w:pPr>
              <w:jc w:val="center"/>
              <w:ind w:right="43"/>
              <w:spacing w:after="0" w:line="159" w:lineRule="exact"/>
              <w:rPr>
                <w:sz w:val="20"/>
                <w:szCs w:val="20"/>
                <w:color w:val="auto"/>
              </w:rPr>
            </w:pPr>
            <w:r>
              <w:rPr>
                <w:rFonts w:ascii="Arial" w:cs="Arial" w:eastAsia="Arial" w:hAnsi="Arial"/>
                <w:sz w:val="14"/>
                <w:szCs w:val="14"/>
                <w:b w:val="1"/>
                <w:bCs w:val="1"/>
                <w:color w:val="E2231A"/>
              </w:rPr>
              <w:t>Exercise</w:t>
            </w:r>
          </w:p>
        </w:tc>
        <w:tc>
          <w:tcPr>
            <w:tcW w:w="1440" w:type="dxa"/>
            <w:vAlign w:val="bottom"/>
          </w:tcPr>
          <w:p>
            <w:pPr>
              <w:jc w:val="center"/>
              <w:ind w:left="25"/>
              <w:spacing w:after="0" w:line="159" w:lineRule="exact"/>
              <w:rPr>
                <w:sz w:val="20"/>
                <w:szCs w:val="20"/>
                <w:color w:val="auto"/>
              </w:rPr>
            </w:pPr>
            <w:r>
              <w:rPr>
                <w:rFonts w:ascii="Arial" w:cs="Arial" w:eastAsia="Arial" w:hAnsi="Arial"/>
                <w:sz w:val="14"/>
                <w:szCs w:val="14"/>
                <w:b w:val="1"/>
                <w:bCs w:val="1"/>
                <w:color w:val="E2231A"/>
              </w:rPr>
              <w:t>on Vesting</w:t>
            </w: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w w:val="98"/>
              </w:rPr>
              <w:t>Vesting</w:t>
            </w:r>
          </w:p>
        </w:tc>
      </w:tr>
      <w:tr>
        <w:trPr>
          <w:trHeight w:val="179"/>
        </w:trPr>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(#)(b)</w:t>
            </w:r>
          </w:p>
        </w:tc>
        <w:tc>
          <w:tcPr>
            <w:tcW w:w="1120" w:type="dxa"/>
            <w:vAlign w:val="bottom"/>
            <w:tcBorders>
              <w:bottom w:val="single" w:sz="8" w:color="auto"/>
              <w:right w:val="single" w:sz="8" w:color="auto"/>
            </w:tcBorders>
          </w:tcPr>
          <w:p>
            <w:pPr>
              <w:jc w:val="center"/>
              <w:ind w:right="63"/>
              <w:spacing w:after="0"/>
              <w:rPr>
                <w:sz w:val="20"/>
                <w:szCs w:val="20"/>
                <w:color w:val="auto"/>
              </w:rPr>
            </w:pPr>
            <w:r>
              <w:rPr>
                <w:rFonts w:ascii="Arial" w:cs="Arial" w:eastAsia="Arial" w:hAnsi="Arial"/>
                <w:sz w:val="14"/>
                <w:szCs w:val="14"/>
                <w:b w:val="1"/>
                <w:bCs w:val="1"/>
                <w:color w:val="E2231A"/>
                <w:w w:val="99"/>
              </w:rPr>
              <w:t>($)(c)</w:t>
            </w:r>
          </w:p>
        </w:tc>
        <w:tc>
          <w:tcPr>
            <w:tcW w:w="1440" w:type="dxa"/>
            <w:vAlign w:val="bottom"/>
            <w:tcBorders>
              <w:bottom w:val="single" w:sz="8" w:color="auto"/>
            </w:tcBorders>
          </w:tcPr>
          <w:p>
            <w:pPr>
              <w:jc w:val="center"/>
              <w:ind w:left="25"/>
              <w:spacing w:after="0" w:line="179" w:lineRule="exact"/>
              <w:rPr>
                <w:sz w:val="20"/>
                <w:szCs w:val="20"/>
                <w:color w:val="auto"/>
              </w:rPr>
            </w:pPr>
            <w:r>
              <w:rPr>
                <w:rFonts w:ascii="Arial" w:cs="Arial" w:eastAsia="Arial" w:hAnsi="Arial"/>
                <w:sz w:val="12"/>
                <w:szCs w:val="12"/>
                <w:b w:val="1"/>
                <w:bCs w:val="1"/>
                <w:color w:val="E2231A"/>
              </w:rPr>
              <w:t>(d)</w:t>
            </w:r>
            <w:r>
              <w:rPr>
                <w:rFonts w:ascii="Arial" w:cs="Arial" w:eastAsia="Arial" w:hAnsi="Arial"/>
                <w:sz w:val="20"/>
                <w:szCs w:val="20"/>
                <w:b w:val="1"/>
                <w:bCs w:val="1"/>
                <w:color w:val="E2231A"/>
                <w:vertAlign w:val="superscript"/>
              </w:rPr>
              <w:t>(1)</w:t>
            </w:r>
          </w:p>
        </w:tc>
        <w:tc>
          <w:tcPr>
            <w:tcW w:w="96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20"/>
                <w:szCs w:val="20"/>
                <w:b w:val="1"/>
                <w:bCs w:val="1"/>
                <w:color w:val="E2231A"/>
                <w:vertAlign w:val="subscript"/>
              </w:rPr>
              <w:t>(e)</w:t>
            </w:r>
            <w:r>
              <w:rPr>
                <w:rFonts w:ascii="Arial" w:cs="Arial" w:eastAsia="Arial" w:hAnsi="Arial"/>
                <w:sz w:val="10"/>
                <w:szCs w:val="10"/>
                <w:b w:val="1"/>
                <w:bCs w:val="1"/>
                <w:color w:val="E2231A"/>
              </w:rPr>
              <w:t>(1)(2)</w:t>
            </w:r>
          </w:p>
        </w:tc>
      </w:tr>
      <w:tr>
        <w:trPr>
          <w:trHeight w:val="223"/>
        </w:trPr>
        <w:tc>
          <w:tcPr>
            <w:tcW w:w="53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040" w:type="dxa"/>
            <w:vAlign w:val="bottom"/>
            <w:shd w:val="clear" w:color="auto" w:fill="FCE9E8"/>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FCE9E8"/>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25"/>
              <w:spacing w:after="0"/>
              <w:rPr>
                <w:sz w:val="20"/>
                <w:szCs w:val="20"/>
                <w:color w:val="auto"/>
              </w:rPr>
            </w:pPr>
            <w:r>
              <w:rPr>
                <w:rFonts w:ascii="Arial" w:cs="Arial" w:eastAsia="Arial" w:hAnsi="Arial"/>
                <w:sz w:val="16"/>
                <w:szCs w:val="16"/>
                <w:color w:val="auto"/>
              </w:rPr>
              <w:t>49,114</w:t>
            </w:r>
          </w:p>
        </w:tc>
        <w:tc>
          <w:tcPr>
            <w:tcW w:w="9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$8,707,110</w:t>
            </w:r>
          </w:p>
        </w:tc>
      </w:tr>
      <w:tr>
        <w:trPr>
          <w:trHeight w:val="243"/>
        </w:trPr>
        <w:tc>
          <w:tcPr>
            <w:tcW w:w="536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
              <w:spacing w:after="0"/>
              <w:rPr>
                <w:sz w:val="20"/>
                <w:szCs w:val="20"/>
                <w:color w:val="auto"/>
              </w:rPr>
            </w:pPr>
            <w:r>
              <w:rPr>
                <w:rFonts w:ascii="Arial" w:cs="Arial" w:eastAsia="Arial" w:hAnsi="Arial"/>
                <w:sz w:val="16"/>
                <w:szCs w:val="16"/>
                <w:color w:val="auto"/>
              </w:rPr>
              <w:t>6,661</w:t>
            </w:r>
          </w:p>
        </w:tc>
        <w:tc>
          <w:tcPr>
            <w:tcW w:w="960" w:type="dxa"/>
            <w:vAlign w:val="bottom"/>
          </w:tcPr>
          <w:p>
            <w:pPr>
              <w:jc w:val="center"/>
              <w:spacing w:after="0"/>
              <w:rPr>
                <w:sz w:val="20"/>
                <w:szCs w:val="20"/>
                <w:color w:val="auto"/>
              </w:rPr>
            </w:pPr>
            <w:r>
              <w:rPr>
                <w:rFonts w:ascii="Arial" w:cs="Arial" w:eastAsia="Arial" w:hAnsi="Arial"/>
                <w:sz w:val="16"/>
                <w:szCs w:val="16"/>
                <w:color w:val="auto"/>
              </w:rPr>
              <w:t>$1,190,103</w:t>
            </w:r>
          </w:p>
        </w:tc>
      </w:tr>
      <w:tr>
        <w:trPr>
          <w:trHeight w:val="243"/>
        </w:trPr>
        <w:tc>
          <w:tcPr>
            <w:tcW w:w="536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040" w:type="dxa"/>
            <w:vAlign w:val="bottom"/>
            <w:shd w:val="clear" w:color="auto" w:fill="FCE9E8"/>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FCE9E8"/>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25"/>
              <w:spacing w:after="0"/>
              <w:rPr>
                <w:sz w:val="20"/>
                <w:szCs w:val="20"/>
                <w:color w:val="auto"/>
              </w:rPr>
            </w:pPr>
            <w:r>
              <w:rPr>
                <w:rFonts w:ascii="Arial" w:cs="Arial" w:eastAsia="Arial" w:hAnsi="Arial"/>
                <w:sz w:val="16"/>
                <w:szCs w:val="16"/>
                <w:color w:val="auto"/>
              </w:rPr>
              <w:t>15,365</w:t>
            </w:r>
          </w:p>
        </w:tc>
        <w:tc>
          <w:tcPr>
            <w:tcW w:w="9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$2,722,807</w:t>
            </w:r>
          </w:p>
        </w:tc>
      </w:tr>
      <w:tr>
        <w:trPr>
          <w:trHeight w:val="243"/>
        </w:trPr>
        <w:tc>
          <w:tcPr>
            <w:tcW w:w="536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
              <w:spacing w:after="0"/>
              <w:rPr>
                <w:sz w:val="20"/>
                <w:szCs w:val="20"/>
                <w:color w:val="auto"/>
              </w:rPr>
            </w:pPr>
            <w:r>
              <w:rPr>
                <w:rFonts w:ascii="Arial" w:cs="Arial" w:eastAsia="Arial" w:hAnsi="Arial"/>
                <w:sz w:val="16"/>
                <w:szCs w:val="16"/>
                <w:color w:val="auto"/>
              </w:rPr>
              <w:t>13,634</w:t>
            </w:r>
          </w:p>
        </w:tc>
        <w:tc>
          <w:tcPr>
            <w:tcW w:w="960" w:type="dxa"/>
            <w:vAlign w:val="bottom"/>
          </w:tcPr>
          <w:p>
            <w:pPr>
              <w:jc w:val="center"/>
              <w:spacing w:after="0"/>
              <w:rPr>
                <w:sz w:val="20"/>
                <w:szCs w:val="20"/>
                <w:color w:val="auto"/>
              </w:rPr>
            </w:pPr>
            <w:r>
              <w:rPr>
                <w:rFonts w:ascii="Arial" w:cs="Arial" w:eastAsia="Arial" w:hAnsi="Arial"/>
                <w:sz w:val="16"/>
                <w:szCs w:val="16"/>
                <w:color w:val="auto"/>
              </w:rPr>
              <w:t>$2,429,223</w:t>
            </w:r>
          </w:p>
        </w:tc>
      </w:tr>
      <w:tr>
        <w:trPr>
          <w:trHeight w:val="243"/>
        </w:trPr>
        <w:tc>
          <w:tcPr>
            <w:tcW w:w="53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040" w:type="dxa"/>
            <w:vAlign w:val="bottom"/>
            <w:tcBorders>
              <w:bottom w:val="single" w:sz="8" w:color="auto"/>
            </w:tcBorders>
            <w:shd w:val="clear" w:color="auto" w:fill="FCE9E8"/>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shd w:val="clear" w:color="auto" w:fill="FCE9E8"/>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FCE9E8"/>
          </w:tcPr>
          <w:p>
            <w:pPr>
              <w:jc w:val="right"/>
              <w:ind w:right="25"/>
              <w:spacing w:after="0"/>
              <w:rPr>
                <w:sz w:val="20"/>
                <w:szCs w:val="20"/>
                <w:color w:val="auto"/>
              </w:rPr>
            </w:pPr>
            <w:r>
              <w:rPr>
                <w:rFonts w:ascii="Arial" w:cs="Arial" w:eastAsia="Arial" w:hAnsi="Arial"/>
                <w:sz w:val="16"/>
                <w:szCs w:val="16"/>
                <w:color w:val="auto"/>
              </w:rPr>
              <w:t>18,300</w:t>
            </w:r>
          </w:p>
        </w:tc>
        <w:tc>
          <w:tcPr>
            <w:tcW w:w="96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$2,969,453</w:t>
            </w:r>
          </w:p>
        </w:tc>
      </w:tr>
    </w:tbl>
    <w:p>
      <w:pPr>
        <w:spacing w:after="0" w:line="126" w:lineRule="exact"/>
        <w:rPr>
          <w:sz w:val="20"/>
          <w:szCs w:val="20"/>
          <w:color w:val="auto"/>
        </w:rPr>
      </w:pPr>
    </w:p>
    <w:p>
      <w:pPr>
        <w:ind w:left="960" w:right="420" w:hanging="293"/>
        <w:spacing w:after="0" w:line="199" w:lineRule="auto"/>
        <w:tabs>
          <w:tab w:leader="none" w:pos="9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For Messrs. Scott, Cardew, Orsini and DiDonato, consists of 2018 RSU awards that vested on January 2, 2021, 2018 Career Shares that vested on November 14, 2021, and performance shares that vested based on performance during the three-year period ended December 31, 2021 (which were paid in 2022) and for Mr. Esposito, consists of the first tranche of his 2019 RSU award that vested on September 3, 2021, in the following amounts:</w:t>
      </w:r>
    </w:p>
    <w:p>
      <w:pPr>
        <w:spacing w:after="0" w:line="211"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E2231A"/>
              </w:rPr>
              <w:t>Number of</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14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2231A"/>
              </w:rPr>
              <w:t>Number of</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E2231A"/>
              </w:rPr>
              <w:t>Number of</w:t>
            </w:r>
          </w:p>
        </w:tc>
        <w:tc>
          <w:tcPr>
            <w:tcW w:w="140" w:type="dxa"/>
            <w:vAlign w:val="bottom"/>
          </w:tcPr>
          <w:p>
            <w:pPr>
              <w:spacing w:after="0"/>
              <w:rPr>
                <w:sz w:val="12"/>
                <w:szCs w:val="12"/>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b w:val="1"/>
                <w:bCs w:val="1"/>
                <w:color w:val="E2231A"/>
              </w:rPr>
              <w:t>2018</w:t>
            </w:r>
          </w:p>
        </w:tc>
        <w:tc>
          <w:tcPr>
            <w:tcW w:w="960" w:type="dxa"/>
            <w:vAlign w:val="bottom"/>
          </w:tcPr>
          <w:p>
            <w:pPr>
              <w:jc w:val="right"/>
              <w:ind w:right="253"/>
              <w:spacing w:after="0"/>
              <w:rPr>
                <w:sz w:val="20"/>
                <w:szCs w:val="20"/>
                <w:color w:val="auto"/>
              </w:rPr>
            </w:pPr>
            <w:r>
              <w:rPr>
                <w:rFonts w:ascii="Arial" w:cs="Arial" w:eastAsia="Arial" w:hAnsi="Arial"/>
                <w:sz w:val="13"/>
                <w:szCs w:val="13"/>
                <w:b w:val="1"/>
                <w:bCs w:val="1"/>
                <w:color w:val="E2231A"/>
              </w:rPr>
              <w:t>2019</w:t>
            </w:r>
          </w:p>
        </w:tc>
        <w:tc>
          <w:tcPr>
            <w:tcW w:w="160" w:type="dxa"/>
            <w:vAlign w:val="bottom"/>
          </w:tcPr>
          <w:p>
            <w:pPr>
              <w:spacing w:after="0"/>
              <w:rPr>
                <w:sz w:val="12"/>
                <w:szCs w:val="12"/>
                <w:color w:val="auto"/>
              </w:rPr>
            </w:pPr>
          </w:p>
        </w:tc>
        <w:tc>
          <w:tcPr>
            <w:tcW w:w="820" w:type="dxa"/>
            <w:vAlign w:val="bottom"/>
          </w:tcPr>
          <w:p>
            <w:pPr>
              <w:jc w:val="center"/>
              <w:ind w:right="93"/>
              <w:spacing w:after="0"/>
              <w:rPr>
                <w:sz w:val="20"/>
                <w:szCs w:val="20"/>
                <w:color w:val="auto"/>
              </w:rPr>
            </w:pPr>
            <w:r>
              <w:rPr>
                <w:rFonts w:ascii="Arial" w:cs="Arial" w:eastAsia="Arial" w:hAnsi="Arial"/>
                <w:sz w:val="13"/>
                <w:szCs w:val="13"/>
                <w:b w:val="1"/>
                <w:bCs w:val="1"/>
                <w:color w:val="E2231A"/>
              </w:rPr>
              <w:t>2019</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Number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4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2231A"/>
              </w:rPr>
              <w:t>2018</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E2231A"/>
              </w:rPr>
              <w:t>2018</w:t>
            </w:r>
          </w:p>
        </w:tc>
        <w:tc>
          <w:tcPr>
            <w:tcW w:w="140" w:type="dxa"/>
            <w:vAlign w:val="bottom"/>
          </w:tcPr>
          <w:p>
            <w:pPr>
              <w:spacing w:after="0"/>
              <w:rPr>
                <w:sz w:val="12"/>
                <w:szCs w:val="12"/>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b w:val="1"/>
                <w:bCs w:val="1"/>
                <w:color w:val="E2231A"/>
              </w:rPr>
              <w:t>Career</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E2231A"/>
              </w:rPr>
              <w:t>Performance</w:t>
            </w: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E2231A"/>
              </w:rPr>
              <w:t>Performance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2019</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14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2231A"/>
              </w:rPr>
              <w:t>RSU</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2018 RSU</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E2231A"/>
              </w:rPr>
              <w:t>Career</w:t>
            </w: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Shares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Share Value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RSU</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2019 RSU</w:t>
            </w:r>
          </w:p>
        </w:tc>
        <w:tc>
          <w:tcPr>
            <w:tcW w:w="14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E2231A"/>
              </w:rPr>
              <w:t>Total</w:t>
            </w:r>
          </w:p>
        </w:tc>
      </w:tr>
      <w:tr>
        <w:trPr>
          <w:trHeight w:val="148"/>
        </w:trPr>
        <w:tc>
          <w:tcPr>
            <w:tcW w:w="14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160" w:type="dxa"/>
            <w:vAlign w:val="bottom"/>
          </w:tcPr>
          <w:p>
            <w:pPr>
              <w:spacing w:after="0"/>
              <w:rPr>
                <w:sz w:val="12"/>
                <w:szCs w:val="12"/>
                <w:color w:val="auto"/>
              </w:rPr>
            </w:pPr>
          </w:p>
        </w:tc>
        <w:tc>
          <w:tcPr>
            <w:tcW w:w="680" w:type="dxa"/>
            <w:vAlign w:val="bottom"/>
          </w:tcPr>
          <w:p>
            <w:pPr>
              <w:jc w:val="center"/>
              <w:ind w:right="93"/>
              <w:spacing w:after="0"/>
              <w:rPr>
                <w:sz w:val="20"/>
                <w:szCs w:val="20"/>
                <w:color w:val="auto"/>
              </w:rPr>
            </w:pPr>
            <w:r>
              <w:rPr>
                <w:rFonts w:ascii="Arial" w:cs="Arial" w:eastAsia="Arial" w:hAnsi="Arial"/>
                <w:sz w:val="13"/>
                <w:szCs w:val="13"/>
                <w:b w:val="1"/>
                <w:bCs w:val="1"/>
                <w:color w:val="E2231A"/>
              </w:rPr>
              <w:t>Value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140" w:type="dxa"/>
            <w:vAlign w:val="bottom"/>
          </w:tcPr>
          <w:p>
            <w:pPr>
              <w:spacing w:after="0"/>
              <w:rPr>
                <w:sz w:val="12"/>
                <w:szCs w:val="12"/>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b w:val="1"/>
                <w:bCs w:val="1"/>
                <w:color w:val="E2231A"/>
              </w:rPr>
              <w:t>Value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E2231A"/>
              </w:rPr>
              <w:t>Acquired</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Realized 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Value</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RSU, Career</w:t>
            </w:r>
          </w:p>
        </w:tc>
      </w:tr>
      <w:tr>
        <w:trPr>
          <w:trHeight w:val="148"/>
        </w:trPr>
        <w:tc>
          <w:tcPr>
            <w:tcW w:w="14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2231A"/>
              </w:rPr>
              <w:t>Acquired</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Realized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E2231A"/>
              </w:rPr>
              <w:t>Acquired</w:t>
            </w: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Realized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E2231A"/>
              </w:rPr>
              <w:t>On Vesting</w:t>
            </w:r>
          </w:p>
        </w:tc>
        <w:tc>
          <w:tcPr>
            <w:tcW w:w="160" w:type="dxa"/>
            <w:vAlign w:val="bottom"/>
          </w:tcPr>
          <w:p>
            <w:pPr>
              <w:spacing w:after="0"/>
              <w:rPr>
                <w:sz w:val="12"/>
                <w:szCs w:val="12"/>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b w:val="1"/>
                <w:bCs w:val="1"/>
                <w:color w:val="E2231A"/>
              </w:rPr>
              <w:t>Vesting</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Acquired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Realized</w:t>
            </w:r>
          </w:p>
        </w:tc>
        <w:tc>
          <w:tcPr>
            <w:tcW w:w="14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E2231A"/>
              </w:rPr>
              <w:t>Share and</w:t>
            </w:r>
          </w:p>
        </w:tc>
      </w:tr>
      <w:tr>
        <w:trPr>
          <w:trHeight w:val="149"/>
        </w:trPr>
        <w:tc>
          <w:tcPr>
            <w:tcW w:w="14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2231A"/>
              </w:rPr>
              <w:t>on</w:t>
            </w:r>
          </w:p>
        </w:tc>
        <w:tc>
          <w:tcPr>
            <w:tcW w:w="160" w:type="dxa"/>
            <w:vAlign w:val="bottom"/>
          </w:tcPr>
          <w:p>
            <w:pPr>
              <w:spacing w:after="0"/>
              <w:rPr>
                <w:sz w:val="12"/>
                <w:szCs w:val="12"/>
                <w:color w:val="auto"/>
              </w:rPr>
            </w:pPr>
          </w:p>
        </w:tc>
        <w:tc>
          <w:tcPr>
            <w:tcW w:w="680" w:type="dxa"/>
            <w:vAlign w:val="bottom"/>
          </w:tcPr>
          <w:p>
            <w:pPr>
              <w:jc w:val="center"/>
              <w:ind w:right="93"/>
              <w:spacing w:after="0"/>
              <w:rPr>
                <w:sz w:val="20"/>
                <w:szCs w:val="20"/>
                <w:color w:val="auto"/>
              </w:rPr>
            </w:pPr>
            <w:r>
              <w:rPr>
                <w:rFonts w:ascii="Arial" w:cs="Arial" w:eastAsia="Arial" w:hAnsi="Arial"/>
                <w:sz w:val="13"/>
                <w:szCs w:val="13"/>
                <w:b w:val="1"/>
                <w:bCs w:val="1"/>
                <w:color w:val="E2231A"/>
              </w:rPr>
              <w:t>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E2231A"/>
              </w:rPr>
              <w:t>on</w:t>
            </w:r>
          </w:p>
        </w:tc>
        <w:tc>
          <w:tcPr>
            <w:tcW w:w="140" w:type="dxa"/>
            <w:vAlign w:val="bottom"/>
          </w:tcPr>
          <w:p>
            <w:pPr>
              <w:spacing w:after="0"/>
              <w:rPr>
                <w:sz w:val="12"/>
                <w:szCs w:val="12"/>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b w:val="1"/>
                <w:bCs w:val="1"/>
                <w:color w:val="E2231A"/>
              </w:rPr>
              <w:t>on</w:t>
            </w:r>
          </w:p>
        </w:tc>
        <w:tc>
          <w:tcPr>
            <w:tcW w:w="960" w:type="dxa"/>
            <w:vAlign w:val="bottom"/>
          </w:tcPr>
          <w:p>
            <w:pPr>
              <w:jc w:val="right"/>
              <w:ind w:right="73"/>
              <w:spacing w:after="0"/>
              <w:rPr>
                <w:sz w:val="20"/>
                <w:szCs w:val="20"/>
                <w:color w:val="auto"/>
              </w:rPr>
            </w:pPr>
            <w:r>
              <w:rPr>
                <w:rFonts w:ascii="Arial" w:cs="Arial" w:eastAsia="Arial" w:hAnsi="Arial"/>
                <w:sz w:val="13"/>
                <w:szCs w:val="13"/>
                <w:b w:val="1"/>
                <w:bCs w:val="1"/>
                <w:color w:val="E2231A"/>
              </w:rPr>
              <w:t>(2019-2021</w:t>
            </w:r>
          </w:p>
        </w:tc>
        <w:tc>
          <w:tcPr>
            <w:tcW w:w="160" w:type="dxa"/>
            <w:vAlign w:val="bottom"/>
          </w:tcPr>
          <w:p>
            <w:pPr>
              <w:spacing w:after="0"/>
              <w:rPr>
                <w:sz w:val="12"/>
                <w:szCs w:val="12"/>
                <w:color w:val="auto"/>
              </w:rPr>
            </w:pPr>
          </w:p>
        </w:tc>
        <w:tc>
          <w:tcPr>
            <w:tcW w:w="820" w:type="dxa"/>
            <w:vAlign w:val="bottom"/>
          </w:tcPr>
          <w:p>
            <w:pPr>
              <w:jc w:val="center"/>
              <w:ind w:right="73"/>
              <w:spacing w:after="0"/>
              <w:rPr>
                <w:sz w:val="20"/>
                <w:szCs w:val="20"/>
                <w:color w:val="auto"/>
              </w:rPr>
            </w:pPr>
            <w:r>
              <w:rPr>
                <w:rFonts w:ascii="Arial" w:cs="Arial" w:eastAsia="Arial" w:hAnsi="Arial"/>
                <w:sz w:val="13"/>
                <w:szCs w:val="13"/>
                <w:b w:val="1"/>
                <w:bCs w:val="1"/>
                <w:color w:val="E2231A"/>
              </w:rPr>
              <w:t>(2019-2021</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E2231A"/>
              </w:rPr>
              <w:t>on</w:t>
            </w: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E2231A"/>
              </w:rPr>
              <w:t>Performance</w:t>
            </w:r>
          </w:p>
        </w:tc>
      </w:tr>
      <w:tr>
        <w:trPr>
          <w:trHeight w:val="165"/>
        </w:trPr>
        <w:tc>
          <w:tcPr>
            <w:tcW w:w="1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Vesting</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E2231A"/>
              </w:rPr>
              <w:t>Vesting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Vesting</w:t>
            </w: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rPr>
              <w:t>Vesting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Awards)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E2231A"/>
              </w:rPr>
              <w:t>Awards)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Vesting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Vesting</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rPr>
              <w:t>Share Value</w:t>
            </w:r>
          </w:p>
        </w:tc>
      </w:tr>
      <w:tr>
        <w:trPr>
          <w:trHeight w:val="230"/>
        </w:trPr>
        <w:tc>
          <w:tcPr>
            <w:tcW w:w="1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rPr>
              <w:t>Raymond E. Scott</w:t>
            </w:r>
          </w:p>
        </w:tc>
        <w:tc>
          <w:tcPr>
            <w:tcW w:w="8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8,970</w:t>
            </w:r>
          </w:p>
        </w:tc>
        <w:tc>
          <w:tcPr>
            <w:tcW w:w="1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1,426,499</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3,611</w:t>
            </w:r>
          </w:p>
        </w:tc>
        <w:tc>
          <w:tcPr>
            <w:tcW w:w="1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662,691</w:t>
            </w:r>
          </w:p>
        </w:tc>
        <w:tc>
          <w:tcPr>
            <w:tcW w:w="9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36,533</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6,304,865</w:t>
            </w:r>
          </w:p>
        </w:tc>
        <w:tc>
          <w:tcPr>
            <w:tcW w:w="8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8,394,055</w:t>
            </w:r>
          </w:p>
        </w:tc>
      </w:tr>
      <w:tr>
        <w:trPr>
          <w:trHeight w:val="215"/>
        </w:trPr>
        <w:tc>
          <w:tcPr>
            <w:tcW w:w="1400" w:type="dxa"/>
            <w:vAlign w:val="bottom"/>
          </w:tcPr>
          <w:p>
            <w:pPr>
              <w:ind w:left="80"/>
              <w:spacing w:after="0"/>
              <w:rPr>
                <w:sz w:val="20"/>
                <w:szCs w:val="20"/>
                <w:color w:val="auto"/>
              </w:rPr>
            </w:pPr>
            <w:r>
              <w:rPr>
                <w:rFonts w:ascii="Arial" w:cs="Arial" w:eastAsia="Arial" w:hAnsi="Arial"/>
                <w:sz w:val="13"/>
                <w:szCs w:val="13"/>
                <w:color w:val="auto"/>
              </w:rPr>
              <w:t>Jason M. Cardew</w:t>
            </w:r>
          </w:p>
        </w:tc>
        <w:tc>
          <w:tcPr>
            <w:tcW w:w="840" w:type="dxa"/>
            <w:vAlign w:val="bottom"/>
          </w:tcPr>
          <w:p>
            <w:pPr>
              <w:jc w:val="right"/>
              <w:spacing w:after="0"/>
              <w:rPr>
                <w:sz w:val="20"/>
                <w:szCs w:val="20"/>
                <w:color w:val="auto"/>
              </w:rPr>
            </w:pPr>
            <w:r>
              <w:rPr>
                <w:rFonts w:ascii="Arial" w:cs="Arial" w:eastAsia="Arial" w:hAnsi="Arial"/>
                <w:sz w:val="13"/>
                <w:szCs w:val="13"/>
                <w:color w:val="auto"/>
              </w:rPr>
              <w:t>835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132,790</w:t>
            </w:r>
          </w:p>
        </w:tc>
        <w:tc>
          <w:tcPr>
            <w:tcW w:w="800" w:type="dxa"/>
            <w:vAlign w:val="bottom"/>
          </w:tcPr>
          <w:p>
            <w:pPr>
              <w:jc w:val="right"/>
              <w:spacing w:after="0"/>
              <w:rPr>
                <w:sz w:val="20"/>
                <w:szCs w:val="20"/>
                <w:color w:val="auto"/>
              </w:rPr>
            </w:pPr>
            <w:r>
              <w:rPr>
                <w:rFonts w:ascii="Arial" w:cs="Arial" w:eastAsia="Arial" w:hAnsi="Arial"/>
                <w:sz w:val="13"/>
                <w:szCs w:val="13"/>
                <w:color w:val="auto"/>
              </w:rPr>
              <w:t>902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165,535</w:t>
            </w:r>
          </w:p>
        </w:tc>
        <w:tc>
          <w:tcPr>
            <w:tcW w:w="960" w:type="dxa"/>
            <w:vAlign w:val="bottom"/>
          </w:tcPr>
          <w:p>
            <w:pPr>
              <w:jc w:val="right"/>
              <w:spacing w:after="0"/>
              <w:rPr>
                <w:sz w:val="20"/>
                <w:szCs w:val="20"/>
                <w:color w:val="auto"/>
              </w:rPr>
            </w:pPr>
            <w:r>
              <w:rPr>
                <w:rFonts w:ascii="Arial" w:cs="Arial" w:eastAsia="Arial" w:hAnsi="Arial"/>
                <w:sz w:val="13"/>
                <w:szCs w:val="13"/>
                <w:color w:val="auto"/>
              </w:rPr>
              <w:t>4,924</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849,784</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1,148,109</w:t>
            </w:r>
          </w:p>
        </w:tc>
      </w:tr>
      <w:tr>
        <w:trPr>
          <w:trHeight w:val="55"/>
        </w:trPr>
        <w:tc>
          <w:tcPr>
            <w:tcW w:w="1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1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rPr>
              <w:t>Frank C. Orsini</w:t>
            </w:r>
          </w:p>
        </w:tc>
        <w:tc>
          <w:tcPr>
            <w:tcW w:w="8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3,177</w:t>
            </w:r>
          </w:p>
        </w:tc>
        <w:tc>
          <w:tcPr>
            <w:tcW w:w="1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505,238</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1,444</w:t>
            </w:r>
          </w:p>
        </w:tc>
        <w:tc>
          <w:tcPr>
            <w:tcW w:w="1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265,003</w:t>
            </w:r>
          </w:p>
        </w:tc>
        <w:tc>
          <w:tcPr>
            <w:tcW w:w="9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10,744</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1,854,200</w:t>
            </w:r>
          </w:p>
        </w:tc>
        <w:tc>
          <w:tcPr>
            <w:tcW w:w="8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2,624,441</w:t>
            </w:r>
          </w:p>
        </w:tc>
      </w:tr>
      <w:tr>
        <w:trPr>
          <w:trHeight w:val="215"/>
        </w:trPr>
        <w:tc>
          <w:tcPr>
            <w:tcW w:w="1400" w:type="dxa"/>
            <w:vAlign w:val="bottom"/>
          </w:tcPr>
          <w:p>
            <w:pPr>
              <w:ind w:left="80"/>
              <w:spacing w:after="0"/>
              <w:rPr>
                <w:sz w:val="20"/>
                <w:szCs w:val="20"/>
                <w:color w:val="auto"/>
              </w:rPr>
            </w:pPr>
            <w:r>
              <w:rPr>
                <w:rFonts w:ascii="Arial" w:cs="Arial" w:eastAsia="Arial" w:hAnsi="Arial"/>
                <w:sz w:val="13"/>
                <w:szCs w:val="13"/>
                <w:color w:val="auto"/>
              </w:rPr>
              <w:t>Thomas A. DiDonato</w:t>
            </w:r>
          </w:p>
        </w:tc>
        <w:tc>
          <w:tcPr>
            <w:tcW w:w="840" w:type="dxa"/>
            <w:vAlign w:val="bottom"/>
          </w:tcPr>
          <w:p>
            <w:pPr>
              <w:jc w:val="right"/>
              <w:spacing w:after="0"/>
              <w:rPr>
                <w:sz w:val="20"/>
                <w:szCs w:val="20"/>
                <w:color w:val="auto"/>
              </w:rPr>
            </w:pPr>
            <w:r>
              <w:rPr>
                <w:rFonts w:ascii="Arial" w:cs="Arial" w:eastAsia="Arial" w:hAnsi="Arial"/>
                <w:sz w:val="13"/>
                <w:szCs w:val="13"/>
                <w:color w:val="auto"/>
              </w:rPr>
              <w:t>2,536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403,300</w:t>
            </w:r>
          </w:p>
        </w:tc>
        <w:tc>
          <w:tcPr>
            <w:tcW w:w="800" w:type="dxa"/>
            <w:vAlign w:val="bottom"/>
          </w:tcPr>
          <w:p>
            <w:pPr>
              <w:jc w:val="right"/>
              <w:spacing w:after="0"/>
              <w:rPr>
                <w:sz w:val="20"/>
                <w:szCs w:val="20"/>
                <w:color w:val="auto"/>
              </w:rPr>
            </w:pPr>
            <w:r>
              <w:rPr>
                <w:rFonts w:ascii="Arial" w:cs="Arial" w:eastAsia="Arial" w:hAnsi="Arial"/>
                <w:sz w:val="13"/>
                <w:szCs w:val="13"/>
                <w:color w:val="auto"/>
              </w:rPr>
              <w:t>2,167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397,688</w:t>
            </w:r>
          </w:p>
        </w:tc>
        <w:tc>
          <w:tcPr>
            <w:tcW w:w="960" w:type="dxa"/>
            <w:vAlign w:val="bottom"/>
          </w:tcPr>
          <w:p>
            <w:pPr>
              <w:jc w:val="right"/>
              <w:spacing w:after="0"/>
              <w:rPr>
                <w:sz w:val="20"/>
                <w:szCs w:val="20"/>
                <w:color w:val="auto"/>
              </w:rPr>
            </w:pPr>
            <w:r>
              <w:rPr>
                <w:rFonts w:ascii="Arial" w:cs="Arial" w:eastAsia="Arial" w:hAnsi="Arial"/>
                <w:sz w:val="13"/>
                <w:szCs w:val="13"/>
                <w:color w:val="auto"/>
              </w:rPr>
              <w:t>8,931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1,541,312</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2,342,300</w:t>
            </w:r>
          </w:p>
        </w:tc>
      </w:tr>
      <w:tr>
        <w:trPr>
          <w:trHeight w:val="55"/>
        </w:trPr>
        <w:tc>
          <w:tcPr>
            <w:tcW w:w="1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1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rPr>
              <w:t>Carl A. Esposito</w:t>
            </w:r>
          </w:p>
        </w:tc>
        <w:tc>
          <w:tcPr>
            <w:tcW w:w="8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18,300</w:t>
            </w:r>
          </w:p>
        </w:tc>
        <w:tc>
          <w:tcPr>
            <w:tcW w:w="8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$2,916,471</w:t>
            </w:r>
          </w:p>
        </w:tc>
        <w:tc>
          <w:tcPr>
            <w:tcW w:w="14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2,916,471</w:t>
            </w:r>
          </w:p>
        </w:tc>
      </w:tr>
      <w:tr>
        <w:trPr>
          <w:trHeight w:val="20"/>
        </w:trPr>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3" w:lineRule="exact"/>
        <w:rPr>
          <w:sz w:val="20"/>
          <w:szCs w:val="20"/>
          <w:color w:val="auto"/>
        </w:rPr>
      </w:pPr>
    </w:p>
    <w:p>
      <w:pPr>
        <w:ind w:left="960" w:hanging="293"/>
        <w:spacing w:after="0"/>
        <w:tabs>
          <w:tab w:leader="none" w:pos="9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For all Named Executive Officers, includes dividend equivalent payments, including interest, in the following amounts:</w:t>
      </w:r>
    </w:p>
    <w:p>
      <w:pPr>
        <w:spacing w:after="0" w:line="210"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345"/>
              <w:spacing w:after="0"/>
              <w:rPr>
                <w:sz w:val="20"/>
                <w:szCs w:val="20"/>
                <w:color w:val="auto"/>
              </w:rPr>
            </w:pPr>
            <w:r>
              <w:rPr>
                <w:rFonts w:ascii="Arial" w:cs="Arial" w:eastAsia="Arial" w:hAnsi="Arial"/>
                <w:sz w:val="13"/>
                <w:szCs w:val="13"/>
                <w:b w:val="1"/>
                <w:bCs w:val="1"/>
                <w:color w:val="E2231A"/>
              </w:rPr>
              <w:t>2019</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Performance</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restart"/>
          </w:tcPr>
          <w:p>
            <w:pPr>
              <w:jc w:val="right"/>
              <w:ind w:right="321"/>
              <w:spacing w:after="0"/>
              <w:rPr>
                <w:sz w:val="20"/>
                <w:szCs w:val="20"/>
                <w:color w:val="auto"/>
              </w:rPr>
            </w:pPr>
            <w:r>
              <w:rPr>
                <w:rFonts w:ascii="Arial" w:cs="Arial" w:eastAsia="Arial" w:hAnsi="Arial"/>
                <w:sz w:val="13"/>
                <w:szCs w:val="13"/>
                <w:b w:val="1"/>
                <w:bCs w:val="1"/>
                <w:color w:val="E2231A"/>
              </w:rPr>
              <w:t>2018</w:t>
            </w:r>
          </w:p>
        </w:tc>
        <w:tc>
          <w:tcPr>
            <w:tcW w:w="200" w:type="dxa"/>
            <w:vAlign w:val="bottom"/>
          </w:tcPr>
          <w:p>
            <w:pPr>
              <w:spacing w:after="0"/>
              <w:rPr>
                <w:sz w:val="12"/>
                <w:szCs w:val="12"/>
                <w:color w:val="auto"/>
              </w:rPr>
            </w:pPr>
          </w:p>
        </w:tc>
        <w:tc>
          <w:tcPr>
            <w:tcW w:w="840" w:type="dxa"/>
            <w:vAlign w:val="bottom"/>
          </w:tcPr>
          <w:p>
            <w:pPr>
              <w:jc w:val="center"/>
              <w:ind w:right="143"/>
              <w:spacing w:after="0"/>
              <w:rPr>
                <w:sz w:val="20"/>
                <w:szCs w:val="20"/>
                <w:color w:val="auto"/>
              </w:rPr>
            </w:pPr>
            <w:r>
              <w:rPr>
                <w:rFonts w:ascii="Arial" w:cs="Arial" w:eastAsia="Arial" w:hAnsi="Arial"/>
                <w:sz w:val="13"/>
                <w:szCs w:val="13"/>
                <w:b w:val="1"/>
                <w:bCs w:val="1"/>
                <w:color w:val="E2231A"/>
              </w:rPr>
              <w:t>2018</w:t>
            </w:r>
          </w:p>
        </w:tc>
        <w:tc>
          <w:tcPr>
            <w:tcW w:w="1160" w:type="dxa"/>
            <w:vAlign w:val="bottom"/>
            <w:gridSpan w:val="2"/>
          </w:tcPr>
          <w:p>
            <w:pPr>
              <w:ind w:left="100"/>
              <w:spacing w:after="0"/>
              <w:rPr>
                <w:sz w:val="20"/>
                <w:szCs w:val="20"/>
                <w:color w:val="auto"/>
              </w:rPr>
            </w:pPr>
            <w:r>
              <w:rPr>
                <w:rFonts w:ascii="Arial" w:cs="Arial" w:eastAsia="Arial" w:hAnsi="Arial"/>
                <w:sz w:val="13"/>
                <w:szCs w:val="13"/>
                <w:b w:val="1"/>
                <w:bCs w:val="1"/>
                <w:color w:val="E2231A"/>
              </w:rPr>
              <w:t>Share Dividend</w:t>
            </w:r>
          </w:p>
        </w:tc>
        <w:tc>
          <w:tcPr>
            <w:tcW w:w="300" w:type="dxa"/>
            <w:vAlign w:val="bottom"/>
          </w:tcPr>
          <w:p>
            <w:pPr>
              <w:spacing w:after="0"/>
              <w:rPr>
                <w:sz w:val="12"/>
                <w:szCs w:val="12"/>
                <w:color w:val="auto"/>
              </w:rPr>
            </w:pPr>
          </w:p>
        </w:tc>
        <w:tc>
          <w:tcPr>
            <w:tcW w:w="800" w:type="dxa"/>
            <w:vAlign w:val="bottom"/>
            <w:vMerge w:val="restart"/>
          </w:tcPr>
          <w:p>
            <w:pPr>
              <w:jc w:val="center"/>
              <w:ind w:right="221"/>
              <w:spacing w:after="0"/>
              <w:rPr>
                <w:sz w:val="20"/>
                <w:szCs w:val="20"/>
                <w:color w:val="auto"/>
              </w:rPr>
            </w:pPr>
            <w:r>
              <w:rPr>
                <w:rFonts w:ascii="Arial" w:cs="Arial" w:eastAsia="Arial" w:hAnsi="Arial"/>
                <w:sz w:val="13"/>
                <w:szCs w:val="13"/>
                <w:b w:val="1"/>
                <w:bCs w:val="1"/>
                <w:color w:val="E2231A"/>
              </w:rPr>
              <w:t>2019</w:t>
            </w:r>
          </w:p>
        </w:tc>
        <w:tc>
          <w:tcPr>
            <w:tcW w:w="200" w:type="dxa"/>
            <w:vAlign w:val="bottom"/>
          </w:tcPr>
          <w:p>
            <w:pPr>
              <w:spacing w:after="0"/>
              <w:rPr>
                <w:sz w:val="12"/>
                <w:szCs w:val="12"/>
                <w:color w:val="auto"/>
              </w:rPr>
            </w:pPr>
          </w:p>
        </w:tc>
        <w:tc>
          <w:tcPr>
            <w:tcW w:w="640" w:type="dxa"/>
            <w:vAlign w:val="bottom"/>
          </w:tcPr>
          <w:p>
            <w:pPr>
              <w:jc w:val="right"/>
              <w:ind w:right="161"/>
              <w:spacing w:after="0"/>
              <w:rPr>
                <w:sz w:val="20"/>
                <w:szCs w:val="20"/>
                <w:color w:val="auto"/>
              </w:rPr>
            </w:pPr>
            <w:r>
              <w:rPr>
                <w:rFonts w:ascii="Arial" w:cs="Arial" w:eastAsia="Arial" w:hAnsi="Arial"/>
                <w:sz w:val="13"/>
                <w:szCs w:val="13"/>
                <w:b w:val="1"/>
                <w:bCs w:val="1"/>
                <w:color w:val="E2231A"/>
              </w:rPr>
              <w:t>Total</w:t>
            </w:r>
          </w:p>
        </w:tc>
        <w:tc>
          <w:tcPr>
            <w:tcW w:w="0" w:type="dxa"/>
            <w:vAlign w:val="bottom"/>
          </w:tcPr>
          <w:p>
            <w:pPr>
              <w:spacing w:after="0"/>
              <w:rPr>
                <w:sz w:val="1"/>
                <w:szCs w:val="1"/>
                <w:color w:val="auto"/>
              </w:rPr>
            </w:pPr>
          </w:p>
        </w:tc>
      </w:tr>
      <w:tr>
        <w:trPr>
          <w:trHeight w:val="138"/>
        </w:trPr>
        <w:tc>
          <w:tcPr>
            <w:tcW w:w="3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40" w:type="dxa"/>
            <w:vAlign w:val="bottom"/>
            <w:gridSpan w:val="2"/>
          </w:tcPr>
          <w:p>
            <w:pPr>
              <w:ind w:left="100"/>
              <w:spacing w:after="0" w:line="138" w:lineRule="exact"/>
              <w:rPr>
                <w:sz w:val="20"/>
                <w:szCs w:val="20"/>
                <w:color w:val="auto"/>
              </w:rPr>
            </w:pPr>
            <w:r>
              <w:rPr>
                <w:rFonts w:ascii="Arial" w:cs="Arial" w:eastAsia="Arial" w:hAnsi="Arial"/>
                <w:sz w:val="13"/>
                <w:szCs w:val="13"/>
                <w:b w:val="1"/>
                <w:bCs w:val="1"/>
                <w:color w:val="E2231A"/>
              </w:rPr>
              <w:t>Career Share</w:t>
            </w:r>
          </w:p>
        </w:tc>
        <w:tc>
          <w:tcPr>
            <w:tcW w:w="200" w:type="dxa"/>
            <w:vAlign w:val="bottom"/>
          </w:tcPr>
          <w:p>
            <w:pPr>
              <w:spacing w:after="0"/>
              <w:rPr>
                <w:sz w:val="12"/>
                <w:szCs w:val="12"/>
                <w:color w:val="auto"/>
              </w:rPr>
            </w:pPr>
          </w:p>
        </w:tc>
        <w:tc>
          <w:tcPr>
            <w:tcW w:w="960" w:type="dxa"/>
            <w:vAlign w:val="bottom"/>
          </w:tcPr>
          <w:p>
            <w:pPr>
              <w:jc w:val="center"/>
              <w:ind w:right="125"/>
              <w:spacing w:after="0" w:line="138" w:lineRule="exact"/>
              <w:rPr>
                <w:sz w:val="20"/>
                <w:szCs w:val="20"/>
                <w:color w:val="auto"/>
              </w:rPr>
            </w:pPr>
            <w:r>
              <w:rPr>
                <w:rFonts w:ascii="Arial" w:cs="Arial" w:eastAsia="Arial" w:hAnsi="Arial"/>
                <w:sz w:val="13"/>
                <w:szCs w:val="13"/>
                <w:b w:val="1"/>
                <w:bCs w:val="1"/>
                <w:color w:val="E2231A"/>
              </w:rPr>
              <w:t>Equivalents</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gridSpan w:val="2"/>
          </w:tcPr>
          <w:p>
            <w:pPr>
              <w:ind w:left="160"/>
              <w:spacing w:after="0" w:line="138" w:lineRule="exact"/>
              <w:rPr>
                <w:sz w:val="20"/>
                <w:szCs w:val="20"/>
                <w:color w:val="auto"/>
              </w:rPr>
            </w:pPr>
            <w:r>
              <w:rPr>
                <w:rFonts w:ascii="Arial" w:cs="Arial" w:eastAsia="Arial" w:hAnsi="Arial"/>
                <w:sz w:val="13"/>
                <w:szCs w:val="13"/>
                <w:b w:val="1"/>
                <w:bCs w:val="1"/>
                <w:color w:val="E2231A"/>
              </w:rPr>
              <w:t>Dividend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E2231A"/>
              </w:rPr>
              <w:t>RSU Dividend</w:t>
            </w:r>
          </w:p>
        </w:tc>
        <w:tc>
          <w:tcPr>
            <w:tcW w:w="200" w:type="dxa"/>
            <w:vAlign w:val="bottom"/>
          </w:tcPr>
          <w:p>
            <w:pPr>
              <w:spacing w:after="0"/>
              <w:rPr>
                <w:sz w:val="12"/>
                <w:szCs w:val="12"/>
                <w:color w:val="auto"/>
              </w:rPr>
            </w:pPr>
          </w:p>
        </w:tc>
        <w:tc>
          <w:tcPr>
            <w:tcW w:w="840" w:type="dxa"/>
            <w:vAlign w:val="bottom"/>
          </w:tcPr>
          <w:p>
            <w:pPr>
              <w:jc w:val="center"/>
              <w:ind w:right="123"/>
              <w:spacing w:after="0"/>
              <w:rPr>
                <w:sz w:val="20"/>
                <w:szCs w:val="20"/>
                <w:color w:val="auto"/>
              </w:rPr>
            </w:pPr>
            <w:r>
              <w:rPr>
                <w:rFonts w:ascii="Arial" w:cs="Arial" w:eastAsia="Arial" w:hAnsi="Arial"/>
                <w:sz w:val="13"/>
                <w:szCs w:val="13"/>
                <w:b w:val="1"/>
                <w:bCs w:val="1"/>
                <w:color w:val="E2231A"/>
              </w:rPr>
              <w:t>Dividend</w:t>
            </w:r>
          </w:p>
        </w:tc>
        <w:tc>
          <w:tcPr>
            <w:tcW w:w="200" w:type="dxa"/>
            <w:vAlign w:val="bottom"/>
          </w:tcPr>
          <w:p>
            <w:pPr>
              <w:spacing w:after="0"/>
              <w:rPr>
                <w:sz w:val="12"/>
                <w:szCs w:val="12"/>
                <w:color w:val="auto"/>
              </w:rPr>
            </w:pPr>
          </w:p>
        </w:tc>
        <w:tc>
          <w:tcPr>
            <w:tcW w:w="960" w:type="dxa"/>
            <w:vAlign w:val="bottom"/>
          </w:tcPr>
          <w:p>
            <w:pPr>
              <w:jc w:val="right"/>
              <w:ind w:right="165"/>
              <w:spacing w:after="0"/>
              <w:rPr>
                <w:sz w:val="20"/>
                <w:szCs w:val="20"/>
                <w:color w:val="auto"/>
              </w:rPr>
            </w:pPr>
            <w:r>
              <w:rPr>
                <w:rFonts w:ascii="Arial" w:cs="Arial" w:eastAsia="Arial" w:hAnsi="Arial"/>
                <w:sz w:val="13"/>
                <w:szCs w:val="13"/>
                <w:b w:val="1"/>
                <w:bCs w:val="1"/>
                <w:color w:val="E2231A"/>
              </w:rPr>
              <w:t>(2019-2021</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RSU Dividend</w:t>
            </w: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E2231A"/>
              </w:rPr>
              <w:t>Equivalent</w:t>
            </w:r>
          </w:p>
        </w:tc>
        <w:tc>
          <w:tcPr>
            <w:tcW w:w="0" w:type="dxa"/>
            <w:vAlign w:val="bottom"/>
          </w:tcPr>
          <w:p>
            <w:pPr>
              <w:spacing w:after="0"/>
              <w:rPr>
                <w:sz w:val="1"/>
                <w:szCs w:val="1"/>
                <w:color w:val="auto"/>
              </w:rPr>
            </w:pPr>
          </w:p>
        </w:tc>
      </w:tr>
      <w:tr>
        <w:trPr>
          <w:trHeight w:val="175"/>
        </w:trPr>
        <w:tc>
          <w:tcPr>
            <w:tcW w:w="38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E2231A"/>
              </w:rPr>
              <w:t>Equivalents</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rPr>
              <w:t>Equivalents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E2231A"/>
              </w:rPr>
              <w:t>Awards)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rPr>
              <w:t>Equivalents</w:t>
            </w:r>
          </w:p>
        </w:tc>
        <w:tc>
          <w:tcPr>
            <w:tcW w:w="8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E2231A"/>
              </w:rPr>
              <w:t>Payments</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40" w:type="dxa"/>
            <w:vAlign w:val="bottom"/>
            <w:tcBorders>
              <w:bottom w:val="single" w:sz="8" w:color="FCE9E8"/>
            </w:tcBorders>
            <w:shd w:val="clear" w:color="auto" w:fill="FCE9E8"/>
          </w:tcPr>
          <w:p>
            <w:pPr>
              <w:ind w:lef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65,868</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ind w:right="23"/>
              <w:spacing w:after="0"/>
              <w:rPr>
                <w:sz w:val="20"/>
                <w:szCs w:val="20"/>
                <w:color w:val="auto"/>
              </w:rPr>
            </w:pPr>
            <w:r>
              <w:rPr>
                <w:rFonts w:ascii="Arial" w:cs="Arial" w:eastAsia="Arial" w:hAnsi="Arial"/>
                <w:sz w:val="16"/>
                <w:szCs w:val="16"/>
                <w:color w:val="auto"/>
              </w:rPr>
              <w:t>22,136</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CE9E8"/>
            </w:tcBorders>
            <w:shd w:val="clear" w:color="auto" w:fill="FCE9E8"/>
          </w:tcPr>
          <w:p>
            <w:pPr>
              <w:jc w:val="right"/>
              <w:ind w:right="5"/>
              <w:spacing w:after="0"/>
              <w:rPr>
                <w:sz w:val="20"/>
                <w:szCs w:val="20"/>
                <w:color w:val="auto"/>
              </w:rPr>
            </w:pPr>
            <w:r>
              <w:rPr>
                <w:rFonts w:ascii="Arial" w:cs="Arial" w:eastAsia="Arial" w:hAnsi="Arial"/>
                <w:sz w:val="16"/>
                <w:szCs w:val="16"/>
                <w:color w:val="auto"/>
              </w:rPr>
              <w:t>225,051</w:t>
            </w:r>
          </w:p>
        </w:tc>
        <w:tc>
          <w:tcPr>
            <w:tcW w:w="300" w:type="dxa"/>
            <w:vAlign w:val="bottom"/>
            <w:tcBorders>
              <w:bottom w:val="single" w:sz="8" w:color="FCE9E8"/>
            </w:tcBorders>
            <w:shd w:val="clear" w:color="auto" w:fill="FCE9E8"/>
          </w:tcPr>
          <w:p>
            <w:pPr>
              <w:spacing w:after="0"/>
              <w:rPr>
                <w:sz w:val="23"/>
                <w:szCs w:val="23"/>
                <w:color w:val="auto"/>
              </w:rPr>
            </w:pPr>
          </w:p>
        </w:tc>
        <w:tc>
          <w:tcPr>
            <w:tcW w:w="80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6"/>
              </w:rPr>
              <w:t>313,055</w:t>
            </w:r>
          </w:p>
        </w:tc>
        <w:tc>
          <w:tcPr>
            <w:tcW w:w="0" w:type="dxa"/>
            <w:vAlign w:val="bottom"/>
          </w:tcPr>
          <w:p>
            <w:pPr>
              <w:spacing w:after="0"/>
              <w:rPr>
                <w:sz w:val="1"/>
                <w:szCs w:val="1"/>
                <w:color w:val="auto"/>
              </w:rPr>
            </w:pPr>
          </w:p>
        </w:tc>
      </w:tr>
      <w:tr>
        <w:trPr>
          <w:trHeight w:val="250"/>
        </w:trPr>
        <w:tc>
          <w:tcPr>
            <w:tcW w:w="384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6,132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5,529</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30,333</w:t>
            </w:r>
          </w:p>
        </w:tc>
        <w:tc>
          <w:tcPr>
            <w:tcW w:w="300" w:type="dxa"/>
            <w:vAlign w:val="bottom"/>
          </w:tcPr>
          <w:p>
            <w:pPr>
              <w:spacing w:after="0"/>
              <w:rPr>
                <w:sz w:val="21"/>
                <w:szCs w:val="21"/>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41,994</w:t>
            </w:r>
          </w:p>
        </w:tc>
        <w:tc>
          <w:tcPr>
            <w:tcW w:w="0" w:type="dxa"/>
            <w:vAlign w:val="bottom"/>
          </w:tcPr>
          <w:p>
            <w:pPr>
              <w:spacing w:after="0"/>
              <w:rPr>
                <w:sz w:val="1"/>
                <w:szCs w:val="1"/>
                <w:color w:val="auto"/>
              </w:rPr>
            </w:pPr>
          </w:p>
        </w:tc>
      </w:tr>
      <w:tr>
        <w:trPr>
          <w:trHeight w:val="60"/>
        </w:trPr>
        <w:tc>
          <w:tcPr>
            <w:tcW w:w="3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8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40" w:type="dxa"/>
            <w:vAlign w:val="bottom"/>
            <w:tcBorders>
              <w:bottom w:val="single" w:sz="8" w:color="FCE9E8"/>
            </w:tcBorders>
            <w:shd w:val="clear" w:color="auto" w:fill="FCE9E8"/>
          </w:tcPr>
          <w:p>
            <w:pPr>
              <w:ind w:lef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23,329</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ind w:right="23"/>
              <w:spacing w:after="0"/>
              <w:rPr>
                <w:sz w:val="20"/>
                <w:szCs w:val="20"/>
                <w:color w:val="auto"/>
              </w:rPr>
            </w:pPr>
            <w:r>
              <w:rPr>
                <w:rFonts w:ascii="Arial" w:cs="Arial" w:eastAsia="Arial" w:hAnsi="Arial"/>
                <w:sz w:val="16"/>
                <w:szCs w:val="16"/>
                <w:color w:val="auto"/>
              </w:rPr>
              <w:t>8, 852</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CE9E8"/>
            </w:tcBorders>
            <w:shd w:val="clear" w:color="auto" w:fill="FCE9E8"/>
          </w:tcPr>
          <w:p>
            <w:pPr>
              <w:jc w:val="right"/>
              <w:ind w:right="5"/>
              <w:spacing w:after="0"/>
              <w:rPr>
                <w:sz w:val="20"/>
                <w:szCs w:val="20"/>
                <w:color w:val="auto"/>
              </w:rPr>
            </w:pPr>
            <w:r>
              <w:rPr>
                <w:rFonts w:ascii="Arial" w:cs="Arial" w:eastAsia="Arial" w:hAnsi="Arial"/>
                <w:sz w:val="16"/>
                <w:szCs w:val="16"/>
                <w:color w:val="auto"/>
              </w:rPr>
              <w:t>66,185</w:t>
            </w:r>
          </w:p>
        </w:tc>
        <w:tc>
          <w:tcPr>
            <w:tcW w:w="300" w:type="dxa"/>
            <w:vAlign w:val="bottom"/>
            <w:tcBorders>
              <w:bottom w:val="single" w:sz="8" w:color="FCE9E8"/>
            </w:tcBorders>
            <w:shd w:val="clear" w:color="auto" w:fill="FCE9E8"/>
          </w:tcPr>
          <w:p>
            <w:pPr>
              <w:spacing w:after="0"/>
              <w:rPr>
                <w:sz w:val="24"/>
                <w:szCs w:val="24"/>
                <w:color w:val="auto"/>
              </w:rPr>
            </w:pPr>
          </w:p>
        </w:tc>
        <w:tc>
          <w:tcPr>
            <w:tcW w:w="80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98,366</w:t>
            </w:r>
          </w:p>
        </w:tc>
        <w:tc>
          <w:tcPr>
            <w:tcW w:w="0" w:type="dxa"/>
            <w:vAlign w:val="bottom"/>
          </w:tcPr>
          <w:p>
            <w:pPr>
              <w:spacing w:after="0"/>
              <w:rPr>
                <w:sz w:val="1"/>
                <w:szCs w:val="1"/>
                <w:color w:val="auto"/>
              </w:rPr>
            </w:pPr>
          </w:p>
        </w:tc>
      </w:tr>
      <w:tr>
        <w:trPr>
          <w:trHeight w:val="250"/>
        </w:trPr>
        <w:tc>
          <w:tcPr>
            <w:tcW w:w="384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18,622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13,284</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55,017</w:t>
            </w:r>
          </w:p>
        </w:tc>
        <w:tc>
          <w:tcPr>
            <w:tcW w:w="300" w:type="dxa"/>
            <w:vAlign w:val="bottom"/>
          </w:tcPr>
          <w:p>
            <w:pPr>
              <w:spacing w:after="0"/>
              <w:rPr>
                <w:sz w:val="21"/>
                <w:szCs w:val="21"/>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86,923</w:t>
            </w:r>
          </w:p>
        </w:tc>
        <w:tc>
          <w:tcPr>
            <w:tcW w:w="0" w:type="dxa"/>
            <w:vAlign w:val="bottom"/>
          </w:tcPr>
          <w:p>
            <w:pPr>
              <w:spacing w:after="0"/>
              <w:rPr>
                <w:sz w:val="1"/>
                <w:szCs w:val="1"/>
                <w:color w:val="auto"/>
              </w:rPr>
            </w:pPr>
          </w:p>
        </w:tc>
      </w:tr>
      <w:tr>
        <w:trPr>
          <w:trHeight w:val="60"/>
        </w:trPr>
        <w:tc>
          <w:tcPr>
            <w:tcW w:w="3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8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340" w:type="dxa"/>
            <w:vAlign w:val="bottom"/>
            <w:tcBorders>
              <w:bottom w:val="single" w:sz="8" w:color="FCE9E8"/>
            </w:tcBorders>
            <w:shd w:val="clear" w:color="auto" w:fill="FCE9E8"/>
          </w:tcPr>
          <w:p>
            <w:pPr>
              <w:ind w:lef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CE9E8"/>
            </w:tcBorders>
            <w:shd w:val="clear" w:color="auto" w:fill="FCE9E8"/>
          </w:tcPr>
          <w:p>
            <w:pPr>
              <w:jc w:val="right"/>
              <w:ind w:right="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CE9E8"/>
            </w:tcBorders>
            <w:shd w:val="clear" w:color="auto" w:fill="FCE9E8"/>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52,982</w:t>
            </w:r>
          </w:p>
        </w:tc>
        <w:tc>
          <w:tcPr>
            <w:tcW w:w="20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52,982</w:t>
            </w:r>
          </w:p>
        </w:tc>
        <w:tc>
          <w:tcPr>
            <w:tcW w:w="0" w:type="dxa"/>
            <w:vAlign w:val="bottom"/>
          </w:tcPr>
          <w:p>
            <w:pPr>
              <w:spacing w:after="0"/>
              <w:rPr>
                <w:sz w:val="1"/>
                <w:szCs w:val="1"/>
                <w:color w:val="auto"/>
              </w:rPr>
            </w:pPr>
          </w:p>
        </w:tc>
      </w:tr>
      <w:tr>
        <w:trPr>
          <w:trHeight w:val="20"/>
        </w:trPr>
        <w:tc>
          <w:tcPr>
            <w:tcW w:w="3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55</w:t>
      </w:r>
    </w:p>
    <w:p>
      <w:pPr>
        <w:sectPr>
          <w:pgSz w:w="11900" w:h="16838" w:orient="portrait"/>
          <w:cols w:equalWidth="0" w:num="1">
            <w:col w:w="10860"/>
          </w:cols>
          <w:pgMar w:left="320" w:top="459" w:right="7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197485</wp:posOffset>
            </wp:positionV>
            <wp:extent cx="6292215" cy="2311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326"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FFFFFF"/>
        </w:rPr>
        <w:t>2021 Pension Benefits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center"/>
              <w:ind w:left="82"/>
              <w:spacing w:after="0"/>
              <w:rPr>
                <w:sz w:val="20"/>
                <w:szCs w:val="20"/>
                <w:color w:val="auto"/>
              </w:rPr>
            </w:pPr>
            <w:r>
              <w:rPr>
                <w:rFonts w:ascii="Arial" w:cs="Arial" w:eastAsia="Arial" w:hAnsi="Arial"/>
                <w:sz w:val="14"/>
                <w:szCs w:val="14"/>
                <w:b w:val="1"/>
                <w:bCs w:val="1"/>
                <w:color w:val="E2231A"/>
              </w:rPr>
              <w:t>Number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center"/>
              <w:ind w:left="62"/>
              <w:spacing w:after="0"/>
              <w:rPr>
                <w:sz w:val="20"/>
                <w:szCs w:val="20"/>
                <w:color w:val="auto"/>
              </w:rPr>
            </w:pPr>
            <w:r>
              <w:rPr>
                <w:rFonts w:ascii="Arial" w:cs="Arial" w:eastAsia="Arial" w:hAnsi="Arial"/>
                <w:sz w:val="14"/>
                <w:szCs w:val="14"/>
                <w:b w:val="1"/>
                <w:bCs w:val="1"/>
                <w:color w:val="E2231A"/>
              </w:rPr>
              <w:t>of Years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E2231A"/>
                <w:w w:val="97"/>
              </w:rPr>
              <w:t>of Years</w:t>
            </w:r>
          </w:p>
        </w:tc>
        <w:tc>
          <w:tcPr>
            <w:tcW w:w="340" w:type="dxa"/>
            <w:vAlign w:val="bottom"/>
          </w:tcPr>
          <w:p>
            <w:pPr>
              <w:spacing w:after="0"/>
              <w:rPr>
                <w:sz w:val="14"/>
                <w:szCs w:val="14"/>
                <w:color w:val="auto"/>
              </w:rPr>
            </w:pPr>
          </w:p>
        </w:tc>
        <w:tc>
          <w:tcPr>
            <w:tcW w:w="1000" w:type="dxa"/>
            <w:vAlign w:val="bottom"/>
          </w:tcPr>
          <w:p>
            <w:pPr>
              <w:jc w:val="center"/>
              <w:ind w:right="281"/>
              <w:spacing w:after="0"/>
              <w:rPr>
                <w:sz w:val="20"/>
                <w:szCs w:val="20"/>
                <w:color w:val="auto"/>
              </w:rPr>
            </w:pPr>
            <w:r>
              <w:rPr>
                <w:rFonts w:ascii="Arial" w:cs="Arial" w:eastAsia="Arial" w:hAnsi="Arial"/>
                <w:sz w:val="14"/>
                <w:szCs w:val="14"/>
                <w:b w:val="1"/>
                <w:bCs w:val="1"/>
                <w:color w:val="E2231A"/>
              </w:rPr>
              <w:t>Present</w:t>
            </w:r>
          </w:p>
        </w:tc>
        <w:tc>
          <w:tcPr>
            <w:tcW w:w="1020" w:type="dxa"/>
            <w:vAlign w:val="bottom"/>
          </w:tcPr>
          <w:p>
            <w:pPr>
              <w:jc w:val="center"/>
              <w:ind w:left="62"/>
              <w:spacing w:after="0"/>
              <w:rPr>
                <w:sz w:val="20"/>
                <w:szCs w:val="20"/>
                <w:color w:val="auto"/>
              </w:rPr>
            </w:pPr>
            <w:r>
              <w:rPr>
                <w:rFonts w:ascii="Arial" w:cs="Arial" w:eastAsia="Arial" w:hAnsi="Arial"/>
                <w:sz w:val="14"/>
                <w:szCs w:val="14"/>
                <w:b w:val="1"/>
                <w:bCs w:val="1"/>
                <w:color w:val="E2231A"/>
              </w:rPr>
              <w:t>Payments</w:t>
            </w:r>
          </w:p>
        </w:tc>
      </w:tr>
      <w:tr>
        <w:trPr>
          <w:trHeight w:val="162"/>
        </w:trPr>
        <w:tc>
          <w:tcPr>
            <w:tcW w:w="1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142"/>
              <w:spacing w:after="0"/>
              <w:rPr>
                <w:sz w:val="20"/>
                <w:szCs w:val="20"/>
                <w:color w:val="auto"/>
              </w:rPr>
            </w:pPr>
            <w:r>
              <w:rPr>
                <w:rFonts w:ascii="Arial" w:cs="Arial" w:eastAsia="Arial" w:hAnsi="Arial"/>
                <w:sz w:val="14"/>
                <w:szCs w:val="14"/>
                <w:b w:val="1"/>
                <w:bCs w:val="1"/>
                <w:color w:val="E2231A"/>
              </w:rPr>
              <w:t>Credited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E2231A"/>
              </w:rPr>
              <w:t>of</w:t>
            </w:r>
          </w:p>
        </w:tc>
        <w:tc>
          <w:tcPr>
            <w:tcW w:w="340" w:type="dxa"/>
            <w:vAlign w:val="bottom"/>
          </w:tcPr>
          <w:p>
            <w:pPr>
              <w:spacing w:after="0"/>
              <w:rPr>
                <w:sz w:val="14"/>
                <w:szCs w:val="14"/>
                <w:color w:val="auto"/>
              </w:rPr>
            </w:pPr>
          </w:p>
        </w:tc>
        <w:tc>
          <w:tcPr>
            <w:tcW w:w="1000" w:type="dxa"/>
            <w:vAlign w:val="bottom"/>
          </w:tcPr>
          <w:p>
            <w:pPr>
              <w:jc w:val="center"/>
              <w:ind w:right="281"/>
              <w:spacing w:after="0"/>
              <w:rPr>
                <w:sz w:val="20"/>
                <w:szCs w:val="20"/>
                <w:color w:val="auto"/>
              </w:rPr>
            </w:pPr>
            <w:r>
              <w:rPr>
                <w:rFonts w:ascii="Arial" w:cs="Arial" w:eastAsia="Arial" w:hAnsi="Arial"/>
                <w:sz w:val="14"/>
                <w:szCs w:val="14"/>
                <w:b w:val="1"/>
                <w:bCs w:val="1"/>
                <w:color w:val="E2231A"/>
              </w:rPr>
              <w:t>Value of</w:t>
            </w:r>
          </w:p>
        </w:tc>
        <w:tc>
          <w:tcPr>
            <w:tcW w:w="1020" w:type="dxa"/>
            <w:vAlign w:val="bottom"/>
          </w:tcPr>
          <w:p>
            <w:pPr>
              <w:jc w:val="center"/>
              <w:ind w:left="82"/>
              <w:spacing w:after="0"/>
              <w:rPr>
                <w:sz w:val="20"/>
                <w:szCs w:val="20"/>
                <w:color w:val="auto"/>
              </w:rPr>
            </w:pPr>
            <w:r>
              <w:rPr>
                <w:rFonts w:ascii="Arial" w:cs="Arial" w:eastAsia="Arial" w:hAnsi="Arial"/>
                <w:sz w:val="14"/>
                <w:szCs w:val="14"/>
                <w:b w:val="1"/>
                <w:bCs w:val="1"/>
                <w:color w:val="E2231A"/>
              </w:rPr>
              <w:t>During</w:t>
            </w:r>
          </w:p>
        </w:tc>
      </w:tr>
      <w:tr>
        <w:trPr>
          <w:trHeight w:val="159"/>
        </w:trPr>
        <w:tc>
          <w:tcPr>
            <w:tcW w:w="19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80" w:type="dxa"/>
            <w:vAlign w:val="bottom"/>
          </w:tcPr>
          <w:p>
            <w:pPr>
              <w:jc w:val="center"/>
              <w:ind w:left="82"/>
              <w:spacing w:after="0" w:line="159" w:lineRule="exact"/>
              <w:rPr>
                <w:sz w:val="20"/>
                <w:szCs w:val="20"/>
                <w:color w:val="auto"/>
              </w:rPr>
            </w:pPr>
            <w:r>
              <w:rPr>
                <w:rFonts w:ascii="Arial" w:cs="Arial" w:eastAsia="Arial" w:hAnsi="Arial"/>
                <w:sz w:val="14"/>
                <w:szCs w:val="14"/>
                <w:b w:val="1"/>
                <w:bCs w:val="1"/>
                <w:color w:val="E2231A"/>
              </w:rPr>
              <w:t>Service</w:t>
            </w:r>
          </w:p>
        </w:tc>
        <w:tc>
          <w:tcPr>
            <w:tcW w:w="110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w w:val="98"/>
              </w:rPr>
              <w:t>Vesting</w:t>
            </w:r>
          </w:p>
        </w:tc>
        <w:tc>
          <w:tcPr>
            <w:tcW w:w="1340" w:type="dxa"/>
            <w:vAlign w:val="bottom"/>
            <w:gridSpan w:val="2"/>
          </w:tcPr>
          <w:p>
            <w:pPr>
              <w:ind w:left="220"/>
              <w:spacing w:after="0" w:line="159" w:lineRule="exact"/>
              <w:rPr>
                <w:sz w:val="20"/>
                <w:szCs w:val="20"/>
                <w:color w:val="auto"/>
              </w:rPr>
            </w:pPr>
            <w:r>
              <w:rPr>
                <w:rFonts w:ascii="Arial" w:cs="Arial" w:eastAsia="Arial" w:hAnsi="Arial"/>
                <w:sz w:val="14"/>
                <w:szCs w:val="14"/>
                <w:b w:val="1"/>
                <w:bCs w:val="1"/>
                <w:color w:val="E2231A"/>
              </w:rPr>
              <w:t>Accumulated</w:t>
            </w:r>
          </w:p>
        </w:tc>
        <w:tc>
          <w:tcPr>
            <w:tcW w:w="1020" w:type="dxa"/>
            <w:vAlign w:val="bottom"/>
          </w:tcPr>
          <w:p>
            <w:pPr>
              <w:jc w:val="right"/>
              <w:spacing w:after="0" w:line="159" w:lineRule="exact"/>
              <w:rPr>
                <w:sz w:val="20"/>
                <w:szCs w:val="20"/>
                <w:color w:val="auto"/>
              </w:rPr>
            </w:pPr>
            <w:r>
              <w:rPr>
                <w:rFonts w:ascii="Arial" w:cs="Arial" w:eastAsia="Arial" w:hAnsi="Arial"/>
                <w:sz w:val="14"/>
                <w:szCs w:val="14"/>
                <w:b w:val="1"/>
                <w:bCs w:val="1"/>
                <w:color w:val="E2231A"/>
              </w:rPr>
              <w:t>Last Fiscal</w:t>
            </w:r>
          </w:p>
        </w:tc>
      </w:tr>
      <w:tr>
        <w:trPr>
          <w:trHeight w:val="206"/>
        </w:trPr>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332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b w:val="1"/>
                <w:bCs w:val="1"/>
                <w:color w:val="E2231A"/>
              </w:rPr>
              <w:t>Plan Name(s)(b)</w:t>
            </w:r>
          </w:p>
        </w:tc>
        <w:tc>
          <w:tcPr>
            <w:tcW w:w="11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E2231A"/>
              </w:rPr>
              <w:t>(c)</w:t>
            </w:r>
          </w:p>
        </w:tc>
        <w:tc>
          <w:tcPr>
            <w:tcW w:w="1100" w:type="dxa"/>
            <w:vAlign w:val="bottom"/>
            <w:tcBorders>
              <w:bottom w:val="single" w:sz="8" w:color="auto"/>
            </w:tcBorders>
          </w:tcPr>
          <w:p>
            <w:pPr>
              <w:jc w:val="right"/>
              <w:ind w:right="142"/>
              <w:spacing w:after="0" w:line="205" w:lineRule="exact"/>
              <w:rPr>
                <w:sz w:val="20"/>
                <w:szCs w:val="20"/>
                <w:color w:val="auto"/>
              </w:rPr>
            </w:pPr>
            <w:r>
              <w:rPr>
                <w:rFonts w:ascii="Arial" w:cs="Arial" w:eastAsia="Arial" w:hAnsi="Arial"/>
                <w:sz w:val="14"/>
                <w:szCs w:val="14"/>
                <w:b w:val="1"/>
                <w:bCs w:val="1"/>
                <w:color w:val="E2231A"/>
              </w:rPr>
              <w:t>Service</w:t>
            </w:r>
            <w:r>
              <w:rPr>
                <w:rFonts w:ascii="Arial" w:cs="Arial" w:eastAsia="Arial" w:hAnsi="Arial"/>
                <w:sz w:val="23"/>
                <w:szCs w:val="23"/>
                <w:b w:val="1"/>
                <w:bCs w:val="1"/>
                <w:color w:val="E2231A"/>
                <w:vertAlign w:val="superscript"/>
              </w:rPr>
              <w:t>(1)</w:t>
            </w:r>
          </w:p>
        </w:tc>
        <w:tc>
          <w:tcPr>
            <w:tcW w:w="1340" w:type="dxa"/>
            <w:vAlign w:val="bottom"/>
            <w:tcBorders>
              <w:bottom w:val="single" w:sz="8" w:color="auto"/>
            </w:tcBorders>
            <w:gridSpan w:val="2"/>
          </w:tcPr>
          <w:p>
            <w:pPr>
              <w:jc w:val="center"/>
              <w:spacing w:after="0" w:line="205" w:lineRule="exact"/>
              <w:rPr>
                <w:sz w:val="20"/>
                <w:szCs w:val="20"/>
                <w:color w:val="auto"/>
              </w:rPr>
            </w:pPr>
            <w:r>
              <w:rPr>
                <w:rFonts w:ascii="Arial" w:cs="Arial" w:eastAsia="Arial" w:hAnsi="Arial"/>
                <w:sz w:val="14"/>
                <w:szCs w:val="14"/>
                <w:b w:val="1"/>
                <w:bCs w:val="1"/>
                <w:color w:val="E2231A"/>
                <w:w w:val="97"/>
              </w:rPr>
              <w:t>Benefit</w:t>
            </w:r>
            <w:r>
              <w:rPr>
                <w:rFonts w:ascii="Arial" w:cs="Arial" w:eastAsia="Arial" w:hAnsi="Arial"/>
                <w:sz w:val="23"/>
                <w:szCs w:val="23"/>
                <w:b w:val="1"/>
                <w:bCs w:val="1"/>
                <w:color w:val="E2231A"/>
                <w:w w:val="97"/>
                <w:vertAlign w:val="superscript"/>
              </w:rPr>
              <w:t>(2)</w:t>
            </w:r>
            <w:r>
              <w:rPr>
                <w:rFonts w:ascii="Arial" w:cs="Arial" w:eastAsia="Arial" w:hAnsi="Arial"/>
                <w:sz w:val="14"/>
                <w:szCs w:val="14"/>
                <w:b w:val="1"/>
                <w:bCs w:val="1"/>
                <w:color w:val="E2231A"/>
                <w:w w:val="97"/>
              </w:rPr>
              <w:t>(d)</w:t>
            </w:r>
          </w:p>
        </w:tc>
        <w:tc>
          <w:tcPr>
            <w:tcW w:w="102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E2231A"/>
              </w:rPr>
              <w:t>Year(e)</w:t>
            </w:r>
          </w:p>
        </w:tc>
      </w:tr>
      <w:tr>
        <w:trPr>
          <w:trHeight w:val="231"/>
        </w:trPr>
        <w:tc>
          <w:tcPr>
            <w:tcW w:w="19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3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Plan (tax-qualified plan)</w:t>
            </w:r>
          </w:p>
        </w:tc>
        <w:tc>
          <w:tcPr>
            <w:tcW w:w="118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18.4</w:t>
            </w:r>
          </w:p>
        </w:tc>
        <w:tc>
          <w:tcPr>
            <w:tcW w:w="110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33.4</w:t>
            </w:r>
          </w:p>
        </w:tc>
        <w:tc>
          <w:tcPr>
            <w:tcW w:w="34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141"/>
              <w:spacing w:after="0"/>
              <w:rPr>
                <w:sz w:val="20"/>
                <w:szCs w:val="20"/>
                <w:color w:val="auto"/>
              </w:rPr>
            </w:pPr>
            <w:r>
              <w:rPr>
                <w:rFonts w:ascii="Arial" w:cs="Arial" w:eastAsia="Arial" w:hAnsi="Arial"/>
                <w:sz w:val="16"/>
                <w:szCs w:val="16"/>
                <w:color w:val="auto"/>
              </w:rPr>
              <w:t>656,987</w:t>
            </w:r>
          </w:p>
        </w:tc>
        <w:tc>
          <w:tcPr>
            <w:tcW w:w="10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N/A</w:t>
            </w:r>
          </w:p>
        </w:tc>
      </w:tr>
      <w:tr>
        <w:trPr>
          <w:trHeight w:val="270"/>
        </w:trPr>
        <w:tc>
          <w:tcPr>
            <w:tcW w:w="1960" w:type="dxa"/>
            <w:vAlign w:val="bottom"/>
            <w:shd w:val="clear" w:color="auto" w:fill="FCE9E8"/>
          </w:tcPr>
          <w:p>
            <w:pPr>
              <w:spacing w:after="0"/>
              <w:rPr>
                <w:sz w:val="23"/>
                <w:szCs w:val="23"/>
                <w:color w:val="auto"/>
              </w:rPr>
            </w:pPr>
          </w:p>
        </w:tc>
        <w:tc>
          <w:tcPr>
            <w:tcW w:w="33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Equalization Program</w:t>
            </w:r>
          </w:p>
        </w:tc>
        <w:tc>
          <w:tcPr>
            <w:tcW w:w="118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18.4</w:t>
            </w:r>
          </w:p>
        </w:tc>
        <w:tc>
          <w:tcPr>
            <w:tcW w:w="110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33.4</w:t>
            </w:r>
          </w:p>
        </w:tc>
        <w:tc>
          <w:tcPr>
            <w:tcW w:w="34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141"/>
              <w:spacing w:after="0"/>
              <w:rPr>
                <w:sz w:val="20"/>
                <w:szCs w:val="20"/>
                <w:color w:val="auto"/>
              </w:rPr>
            </w:pPr>
            <w:r>
              <w:rPr>
                <w:rFonts w:ascii="Arial" w:cs="Arial" w:eastAsia="Arial" w:hAnsi="Arial"/>
                <w:sz w:val="16"/>
                <w:szCs w:val="16"/>
                <w:color w:val="auto"/>
              </w:rPr>
              <w:t>795,003</w:t>
            </w:r>
          </w:p>
        </w:tc>
        <w:tc>
          <w:tcPr>
            <w:tcW w:w="10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N/A</w:t>
            </w:r>
          </w:p>
        </w:tc>
      </w:tr>
      <w:tr>
        <w:trPr>
          <w:trHeight w:val="264"/>
        </w:trPr>
        <w:tc>
          <w:tcPr>
            <w:tcW w:w="1960" w:type="dxa"/>
            <w:vAlign w:val="bottom"/>
            <w:shd w:val="clear" w:color="auto" w:fill="FCE9E8"/>
          </w:tcPr>
          <w:p>
            <w:pPr>
              <w:spacing w:after="0"/>
              <w:rPr>
                <w:sz w:val="22"/>
                <w:szCs w:val="22"/>
                <w:color w:val="auto"/>
              </w:rPr>
            </w:pPr>
          </w:p>
        </w:tc>
        <w:tc>
          <w:tcPr>
            <w:tcW w:w="33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Salaried Retirement Restoration</w:t>
            </w:r>
          </w:p>
        </w:tc>
        <w:tc>
          <w:tcPr>
            <w:tcW w:w="1180" w:type="dxa"/>
            <w:vAlign w:val="bottom"/>
            <w:shd w:val="clear" w:color="auto" w:fill="FCE9E8"/>
          </w:tcPr>
          <w:p>
            <w:pPr>
              <w:spacing w:after="0"/>
              <w:rPr>
                <w:sz w:val="22"/>
                <w:szCs w:val="22"/>
                <w:color w:val="auto"/>
              </w:rPr>
            </w:pPr>
          </w:p>
        </w:tc>
        <w:tc>
          <w:tcPr>
            <w:tcW w:w="1100" w:type="dxa"/>
            <w:vAlign w:val="bottom"/>
            <w:shd w:val="clear" w:color="auto" w:fill="FCE9E8"/>
          </w:tcPr>
          <w:p>
            <w:pPr>
              <w:spacing w:after="0"/>
              <w:rPr>
                <w:sz w:val="22"/>
                <w:szCs w:val="22"/>
                <w:color w:val="auto"/>
              </w:rPr>
            </w:pPr>
          </w:p>
        </w:tc>
        <w:tc>
          <w:tcPr>
            <w:tcW w:w="340" w:type="dxa"/>
            <w:vAlign w:val="bottom"/>
            <w:shd w:val="clear" w:color="auto" w:fill="FCE9E8"/>
          </w:tcPr>
          <w:p>
            <w:pPr>
              <w:spacing w:after="0"/>
              <w:rPr>
                <w:sz w:val="22"/>
                <w:szCs w:val="22"/>
                <w:color w:val="auto"/>
              </w:rPr>
            </w:pPr>
          </w:p>
        </w:tc>
        <w:tc>
          <w:tcPr>
            <w:tcW w:w="1000" w:type="dxa"/>
            <w:vAlign w:val="bottom"/>
            <w:shd w:val="clear" w:color="auto" w:fill="FCE9E8"/>
          </w:tcPr>
          <w:p>
            <w:pPr>
              <w:spacing w:after="0"/>
              <w:rPr>
                <w:sz w:val="22"/>
                <w:szCs w:val="22"/>
                <w:color w:val="auto"/>
              </w:rPr>
            </w:pPr>
          </w:p>
        </w:tc>
        <w:tc>
          <w:tcPr>
            <w:tcW w:w="1020" w:type="dxa"/>
            <w:vAlign w:val="bottom"/>
            <w:shd w:val="clear" w:color="auto" w:fill="FCE9E8"/>
          </w:tcPr>
          <w:p>
            <w:pPr>
              <w:spacing w:after="0"/>
              <w:rPr>
                <w:sz w:val="22"/>
                <w:szCs w:val="22"/>
                <w:color w:val="auto"/>
              </w:rPr>
            </w:pPr>
          </w:p>
        </w:tc>
      </w:tr>
      <w:tr>
        <w:trPr>
          <w:trHeight w:val="208"/>
        </w:trPr>
        <w:tc>
          <w:tcPr>
            <w:tcW w:w="1960" w:type="dxa"/>
            <w:vAlign w:val="bottom"/>
            <w:tcBorders>
              <w:bottom w:val="single" w:sz="8" w:color="auto"/>
            </w:tcBorders>
            <w:shd w:val="clear" w:color="auto" w:fill="FCE9E8"/>
          </w:tcPr>
          <w:p>
            <w:pPr>
              <w:spacing w:after="0"/>
              <w:rPr>
                <w:sz w:val="18"/>
                <w:szCs w:val="18"/>
                <w:color w:val="auto"/>
              </w:rPr>
            </w:pPr>
          </w:p>
        </w:tc>
        <w:tc>
          <w:tcPr>
            <w:tcW w:w="33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Program</w:t>
            </w:r>
          </w:p>
        </w:tc>
        <w:tc>
          <w:tcPr>
            <w:tcW w:w="1180" w:type="dxa"/>
            <w:vAlign w:val="bottom"/>
            <w:tcBorders>
              <w:bottom w:val="single" w:sz="8" w:color="auto"/>
            </w:tcBorders>
            <w:shd w:val="clear" w:color="auto" w:fill="FCE9E8"/>
          </w:tcPr>
          <w:p>
            <w:pPr>
              <w:jc w:val="right"/>
              <w:ind w:right="142"/>
              <w:spacing w:after="0"/>
              <w:rPr>
                <w:sz w:val="20"/>
                <w:szCs w:val="20"/>
                <w:color w:val="auto"/>
              </w:rPr>
            </w:pPr>
            <w:r>
              <w:rPr>
                <w:rFonts w:ascii="Arial" w:cs="Arial" w:eastAsia="Arial" w:hAnsi="Arial"/>
                <w:sz w:val="16"/>
                <w:szCs w:val="16"/>
                <w:color w:val="auto"/>
              </w:rPr>
              <w:t>18.4</w:t>
            </w:r>
          </w:p>
        </w:tc>
        <w:tc>
          <w:tcPr>
            <w:tcW w:w="1100" w:type="dxa"/>
            <w:vAlign w:val="bottom"/>
            <w:tcBorders>
              <w:bottom w:val="single" w:sz="8" w:color="auto"/>
            </w:tcBorders>
            <w:shd w:val="clear" w:color="auto" w:fill="FCE9E8"/>
          </w:tcPr>
          <w:p>
            <w:pPr>
              <w:jc w:val="right"/>
              <w:ind w:right="142"/>
              <w:spacing w:after="0"/>
              <w:rPr>
                <w:sz w:val="20"/>
                <w:szCs w:val="20"/>
                <w:color w:val="auto"/>
              </w:rPr>
            </w:pPr>
            <w:r>
              <w:rPr>
                <w:rFonts w:ascii="Arial" w:cs="Arial" w:eastAsia="Arial" w:hAnsi="Arial"/>
                <w:sz w:val="16"/>
                <w:szCs w:val="16"/>
                <w:color w:val="auto"/>
              </w:rPr>
              <w:t>33.4</w:t>
            </w:r>
          </w:p>
        </w:tc>
        <w:tc>
          <w:tcPr>
            <w:tcW w:w="340" w:type="dxa"/>
            <w:vAlign w:val="bottom"/>
            <w:tcBorders>
              <w:bottom w:val="single" w:sz="8" w:color="auto"/>
            </w:tcBorders>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FCE9E8"/>
          </w:tcPr>
          <w:p>
            <w:pPr>
              <w:jc w:val="right"/>
              <w:ind w:right="141"/>
              <w:spacing w:after="0"/>
              <w:rPr>
                <w:sz w:val="20"/>
                <w:szCs w:val="20"/>
                <w:color w:val="auto"/>
              </w:rPr>
            </w:pPr>
            <w:r>
              <w:rPr>
                <w:rFonts w:ascii="Arial" w:cs="Arial" w:eastAsia="Arial" w:hAnsi="Arial"/>
                <w:sz w:val="16"/>
                <w:szCs w:val="16"/>
                <w:color w:val="auto"/>
              </w:rPr>
              <w:t>515,506</w:t>
            </w:r>
          </w:p>
        </w:tc>
        <w:tc>
          <w:tcPr>
            <w:tcW w:w="10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N/A</w:t>
            </w:r>
          </w:p>
        </w:tc>
      </w:tr>
      <w:tr>
        <w:trPr>
          <w:trHeight w:val="239"/>
        </w:trPr>
        <w:tc>
          <w:tcPr>
            <w:tcW w:w="1960" w:type="dxa"/>
            <w:vAlign w:val="bottom"/>
          </w:tcPr>
          <w:p>
            <w:pPr>
              <w:ind w:left="80"/>
              <w:spacing w:after="0"/>
              <w:rPr>
                <w:sz w:val="20"/>
                <w:szCs w:val="20"/>
                <w:color w:val="auto"/>
              </w:rPr>
            </w:pPr>
            <w:r>
              <w:rPr>
                <w:rFonts w:ascii="Arial" w:cs="Arial" w:eastAsia="Arial" w:hAnsi="Arial"/>
                <w:sz w:val="17"/>
                <w:szCs w:val="17"/>
                <w:color w:val="auto"/>
              </w:rPr>
              <w:t>Jason M. Cardew</w:t>
            </w:r>
            <w:r>
              <w:rPr>
                <w:rFonts w:ascii="Arial" w:cs="Arial" w:eastAsia="Arial" w:hAnsi="Arial"/>
                <w:sz w:val="14"/>
                <w:szCs w:val="14"/>
                <w:color w:val="auto"/>
              </w:rPr>
              <w:t>(3)</w:t>
            </w:r>
          </w:p>
        </w:tc>
        <w:tc>
          <w:tcPr>
            <w:tcW w:w="3320" w:type="dxa"/>
            <w:vAlign w:val="bottom"/>
          </w:tcPr>
          <w:p>
            <w:pPr>
              <w:jc w:val="right"/>
              <w:spacing w:after="0"/>
              <w:rPr>
                <w:sz w:val="20"/>
                <w:szCs w:val="20"/>
                <w:color w:val="auto"/>
              </w:rPr>
            </w:pPr>
            <w:r>
              <w:rPr>
                <w:rFonts w:ascii="Arial" w:cs="Arial" w:eastAsia="Arial" w:hAnsi="Arial"/>
                <w:sz w:val="16"/>
                <w:szCs w:val="16"/>
                <w:color w:val="auto"/>
              </w:rPr>
              <w:t>Pension Plan (tax-qualified plan)</w:t>
            </w:r>
          </w:p>
        </w:tc>
        <w:tc>
          <w:tcPr>
            <w:tcW w:w="1180" w:type="dxa"/>
            <w:vAlign w:val="bottom"/>
          </w:tcPr>
          <w:p>
            <w:pPr>
              <w:jc w:val="right"/>
              <w:ind w:right="142"/>
              <w:spacing w:after="0"/>
              <w:rPr>
                <w:sz w:val="20"/>
                <w:szCs w:val="20"/>
                <w:color w:val="auto"/>
              </w:rPr>
            </w:pPr>
            <w:r>
              <w:rPr>
                <w:rFonts w:ascii="Arial" w:cs="Arial" w:eastAsia="Arial" w:hAnsi="Arial"/>
                <w:sz w:val="16"/>
                <w:szCs w:val="16"/>
                <w:color w:val="auto"/>
              </w:rPr>
              <w:t>14.5</w:t>
            </w: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29.5</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411,053</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196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6"/>
                <w:szCs w:val="16"/>
                <w:color w:val="auto"/>
              </w:rPr>
              <w:t>Pension Equalization Program</w:t>
            </w:r>
          </w:p>
        </w:tc>
        <w:tc>
          <w:tcPr>
            <w:tcW w:w="1180" w:type="dxa"/>
            <w:vAlign w:val="bottom"/>
          </w:tcPr>
          <w:p>
            <w:pPr>
              <w:jc w:val="right"/>
              <w:ind w:right="142"/>
              <w:spacing w:after="0"/>
              <w:rPr>
                <w:sz w:val="20"/>
                <w:szCs w:val="20"/>
                <w:color w:val="auto"/>
              </w:rPr>
            </w:pPr>
            <w:r>
              <w:rPr>
                <w:rFonts w:ascii="Arial" w:cs="Arial" w:eastAsia="Arial" w:hAnsi="Arial"/>
                <w:sz w:val="16"/>
                <w:szCs w:val="16"/>
                <w:color w:val="auto"/>
              </w:rPr>
              <w:t>14.5</w:t>
            </w: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29.5</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9,120</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37"/>
        </w:trPr>
        <w:tc>
          <w:tcPr>
            <w:tcW w:w="1960" w:type="dxa"/>
            <w:vAlign w:val="bottom"/>
          </w:tcPr>
          <w:p>
            <w:pPr>
              <w:spacing w:after="0"/>
              <w:rPr>
                <w:sz w:val="20"/>
                <w:szCs w:val="20"/>
                <w:color w:val="auto"/>
              </w:rPr>
            </w:pPr>
          </w:p>
        </w:tc>
        <w:tc>
          <w:tcPr>
            <w:tcW w:w="3320" w:type="dxa"/>
            <w:vAlign w:val="bottom"/>
          </w:tcPr>
          <w:p>
            <w:pPr>
              <w:jc w:val="right"/>
              <w:spacing w:after="0"/>
              <w:rPr>
                <w:sz w:val="20"/>
                <w:szCs w:val="20"/>
                <w:color w:val="auto"/>
              </w:rPr>
            </w:pPr>
            <w:r>
              <w:rPr>
                <w:rFonts w:ascii="Arial" w:cs="Arial" w:eastAsia="Arial" w:hAnsi="Arial"/>
                <w:sz w:val="16"/>
                <w:szCs w:val="16"/>
                <w:color w:val="auto"/>
              </w:rPr>
              <w:t>Salaried Retirement Restoration</w:t>
            </w: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8"/>
        </w:trPr>
        <w:tc>
          <w:tcPr>
            <w:tcW w:w="19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Program</w:t>
            </w: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14.5</w:t>
            </w: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29.5</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30,650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237"/>
        </w:trPr>
        <w:tc>
          <w:tcPr>
            <w:tcW w:w="196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3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Plan (tax-qualified plan)</w:t>
            </w:r>
          </w:p>
        </w:tc>
        <w:tc>
          <w:tcPr>
            <w:tcW w:w="118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12.7</w:t>
            </w:r>
          </w:p>
        </w:tc>
        <w:tc>
          <w:tcPr>
            <w:tcW w:w="110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27.7</w:t>
            </w:r>
          </w:p>
        </w:tc>
        <w:tc>
          <w:tcPr>
            <w:tcW w:w="34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141"/>
              <w:spacing w:after="0"/>
              <w:rPr>
                <w:sz w:val="20"/>
                <w:szCs w:val="20"/>
                <w:color w:val="auto"/>
              </w:rPr>
            </w:pPr>
            <w:r>
              <w:rPr>
                <w:rFonts w:ascii="Arial" w:cs="Arial" w:eastAsia="Arial" w:hAnsi="Arial"/>
                <w:sz w:val="16"/>
                <w:szCs w:val="16"/>
                <w:color w:val="auto"/>
              </w:rPr>
              <w:t>366,549</w:t>
            </w:r>
          </w:p>
        </w:tc>
        <w:tc>
          <w:tcPr>
            <w:tcW w:w="10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N/A</w:t>
            </w:r>
          </w:p>
        </w:tc>
      </w:tr>
      <w:tr>
        <w:trPr>
          <w:trHeight w:val="270"/>
        </w:trPr>
        <w:tc>
          <w:tcPr>
            <w:tcW w:w="1960" w:type="dxa"/>
            <w:vAlign w:val="bottom"/>
            <w:shd w:val="clear" w:color="auto" w:fill="FCE9E8"/>
          </w:tcPr>
          <w:p>
            <w:pPr>
              <w:spacing w:after="0"/>
              <w:rPr>
                <w:sz w:val="23"/>
                <w:szCs w:val="23"/>
                <w:color w:val="auto"/>
              </w:rPr>
            </w:pPr>
          </w:p>
        </w:tc>
        <w:tc>
          <w:tcPr>
            <w:tcW w:w="33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Equalization Program</w:t>
            </w:r>
          </w:p>
        </w:tc>
        <w:tc>
          <w:tcPr>
            <w:tcW w:w="118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12.7</w:t>
            </w:r>
          </w:p>
        </w:tc>
        <w:tc>
          <w:tcPr>
            <w:tcW w:w="1100" w:type="dxa"/>
            <w:vAlign w:val="bottom"/>
            <w:shd w:val="clear" w:color="auto" w:fill="FCE9E8"/>
          </w:tcPr>
          <w:p>
            <w:pPr>
              <w:jc w:val="right"/>
              <w:ind w:right="142"/>
              <w:spacing w:after="0"/>
              <w:rPr>
                <w:sz w:val="20"/>
                <w:szCs w:val="20"/>
                <w:color w:val="auto"/>
              </w:rPr>
            </w:pPr>
            <w:r>
              <w:rPr>
                <w:rFonts w:ascii="Arial" w:cs="Arial" w:eastAsia="Arial" w:hAnsi="Arial"/>
                <w:sz w:val="16"/>
                <w:szCs w:val="16"/>
                <w:color w:val="auto"/>
              </w:rPr>
              <w:t>27.7</w:t>
            </w:r>
          </w:p>
        </w:tc>
        <w:tc>
          <w:tcPr>
            <w:tcW w:w="34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FCE9E8"/>
          </w:tcPr>
          <w:p>
            <w:pPr>
              <w:jc w:val="right"/>
              <w:ind w:right="141"/>
              <w:spacing w:after="0"/>
              <w:rPr>
                <w:sz w:val="20"/>
                <w:szCs w:val="20"/>
                <w:color w:val="auto"/>
              </w:rPr>
            </w:pPr>
            <w:r>
              <w:rPr>
                <w:rFonts w:ascii="Arial" w:cs="Arial" w:eastAsia="Arial" w:hAnsi="Arial"/>
                <w:sz w:val="16"/>
                <w:szCs w:val="16"/>
                <w:color w:val="auto"/>
              </w:rPr>
              <w:t>134,379</w:t>
            </w:r>
          </w:p>
        </w:tc>
        <w:tc>
          <w:tcPr>
            <w:tcW w:w="10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N/A</w:t>
            </w:r>
          </w:p>
        </w:tc>
      </w:tr>
      <w:tr>
        <w:trPr>
          <w:trHeight w:val="264"/>
        </w:trPr>
        <w:tc>
          <w:tcPr>
            <w:tcW w:w="1960" w:type="dxa"/>
            <w:vAlign w:val="bottom"/>
            <w:shd w:val="clear" w:color="auto" w:fill="FCE9E8"/>
          </w:tcPr>
          <w:p>
            <w:pPr>
              <w:spacing w:after="0"/>
              <w:rPr>
                <w:sz w:val="22"/>
                <w:szCs w:val="22"/>
                <w:color w:val="auto"/>
              </w:rPr>
            </w:pPr>
          </w:p>
        </w:tc>
        <w:tc>
          <w:tcPr>
            <w:tcW w:w="33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Salaried Retirement Restoration</w:t>
            </w:r>
          </w:p>
        </w:tc>
        <w:tc>
          <w:tcPr>
            <w:tcW w:w="1180" w:type="dxa"/>
            <w:vAlign w:val="bottom"/>
            <w:shd w:val="clear" w:color="auto" w:fill="FCE9E8"/>
          </w:tcPr>
          <w:p>
            <w:pPr>
              <w:spacing w:after="0"/>
              <w:rPr>
                <w:sz w:val="22"/>
                <w:szCs w:val="22"/>
                <w:color w:val="auto"/>
              </w:rPr>
            </w:pPr>
          </w:p>
        </w:tc>
        <w:tc>
          <w:tcPr>
            <w:tcW w:w="1100" w:type="dxa"/>
            <w:vAlign w:val="bottom"/>
            <w:shd w:val="clear" w:color="auto" w:fill="FCE9E8"/>
          </w:tcPr>
          <w:p>
            <w:pPr>
              <w:spacing w:after="0"/>
              <w:rPr>
                <w:sz w:val="22"/>
                <w:szCs w:val="22"/>
                <w:color w:val="auto"/>
              </w:rPr>
            </w:pPr>
          </w:p>
        </w:tc>
        <w:tc>
          <w:tcPr>
            <w:tcW w:w="340" w:type="dxa"/>
            <w:vAlign w:val="bottom"/>
            <w:shd w:val="clear" w:color="auto" w:fill="FCE9E8"/>
          </w:tcPr>
          <w:p>
            <w:pPr>
              <w:spacing w:after="0"/>
              <w:rPr>
                <w:sz w:val="22"/>
                <w:szCs w:val="22"/>
                <w:color w:val="auto"/>
              </w:rPr>
            </w:pPr>
          </w:p>
        </w:tc>
        <w:tc>
          <w:tcPr>
            <w:tcW w:w="1000" w:type="dxa"/>
            <w:vAlign w:val="bottom"/>
            <w:shd w:val="clear" w:color="auto" w:fill="FCE9E8"/>
          </w:tcPr>
          <w:p>
            <w:pPr>
              <w:spacing w:after="0"/>
              <w:rPr>
                <w:sz w:val="22"/>
                <w:szCs w:val="22"/>
                <w:color w:val="auto"/>
              </w:rPr>
            </w:pPr>
          </w:p>
        </w:tc>
        <w:tc>
          <w:tcPr>
            <w:tcW w:w="1020" w:type="dxa"/>
            <w:vAlign w:val="bottom"/>
            <w:shd w:val="clear" w:color="auto" w:fill="FCE9E8"/>
          </w:tcPr>
          <w:p>
            <w:pPr>
              <w:spacing w:after="0"/>
              <w:rPr>
                <w:sz w:val="22"/>
                <w:szCs w:val="22"/>
                <w:color w:val="auto"/>
              </w:rPr>
            </w:pPr>
          </w:p>
        </w:tc>
      </w:tr>
      <w:tr>
        <w:trPr>
          <w:trHeight w:val="208"/>
        </w:trPr>
        <w:tc>
          <w:tcPr>
            <w:tcW w:w="1960" w:type="dxa"/>
            <w:vAlign w:val="bottom"/>
            <w:tcBorders>
              <w:bottom w:val="single" w:sz="8" w:color="auto"/>
            </w:tcBorders>
            <w:shd w:val="clear" w:color="auto" w:fill="FCE9E8"/>
          </w:tcPr>
          <w:p>
            <w:pPr>
              <w:spacing w:after="0"/>
              <w:rPr>
                <w:sz w:val="18"/>
                <w:szCs w:val="18"/>
                <w:color w:val="auto"/>
              </w:rPr>
            </w:pPr>
          </w:p>
        </w:tc>
        <w:tc>
          <w:tcPr>
            <w:tcW w:w="33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Program</w:t>
            </w:r>
          </w:p>
        </w:tc>
        <w:tc>
          <w:tcPr>
            <w:tcW w:w="1180" w:type="dxa"/>
            <w:vAlign w:val="bottom"/>
            <w:tcBorders>
              <w:bottom w:val="single" w:sz="8" w:color="auto"/>
            </w:tcBorders>
            <w:shd w:val="clear" w:color="auto" w:fill="FCE9E8"/>
          </w:tcPr>
          <w:p>
            <w:pPr>
              <w:jc w:val="right"/>
              <w:ind w:right="142"/>
              <w:spacing w:after="0"/>
              <w:rPr>
                <w:sz w:val="20"/>
                <w:szCs w:val="20"/>
                <w:color w:val="auto"/>
              </w:rPr>
            </w:pPr>
            <w:r>
              <w:rPr>
                <w:rFonts w:ascii="Arial" w:cs="Arial" w:eastAsia="Arial" w:hAnsi="Arial"/>
                <w:sz w:val="16"/>
                <w:szCs w:val="16"/>
                <w:color w:val="auto"/>
              </w:rPr>
              <w:t>12.7</w:t>
            </w:r>
          </w:p>
        </w:tc>
        <w:tc>
          <w:tcPr>
            <w:tcW w:w="1100" w:type="dxa"/>
            <w:vAlign w:val="bottom"/>
            <w:tcBorders>
              <w:bottom w:val="single" w:sz="8" w:color="auto"/>
            </w:tcBorders>
            <w:shd w:val="clear" w:color="auto" w:fill="FCE9E8"/>
          </w:tcPr>
          <w:p>
            <w:pPr>
              <w:jc w:val="right"/>
              <w:ind w:right="142"/>
              <w:spacing w:after="0"/>
              <w:rPr>
                <w:sz w:val="20"/>
                <w:szCs w:val="20"/>
                <w:color w:val="auto"/>
              </w:rPr>
            </w:pPr>
            <w:r>
              <w:rPr>
                <w:rFonts w:ascii="Arial" w:cs="Arial" w:eastAsia="Arial" w:hAnsi="Arial"/>
                <w:sz w:val="16"/>
                <w:szCs w:val="16"/>
                <w:color w:val="auto"/>
              </w:rPr>
              <w:t>27.7</w:t>
            </w:r>
          </w:p>
        </w:tc>
        <w:tc>
          <w:tcPr>
            <w:tcW w:w="340" w:type="dxa"/>
            <w:vAlign w:val="bottom"/>
            <w:tcBorders>
              <w:bottom w:val="single" w:sz="8" w:color="auto"/>
            </w:tcBorders>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FCE9E8"/>
          </w:tcPr>
          <w:p>
            <w:pPr>
              <w:jc w:val="right"/>
              <w:ind w:right="141"/>
              <w:spacing w:after="0"/>
              <w:rPr>
                <w:sz w:val="20"/>
                <w:szCs w:val="20"/>
                <w:color w:val="auto"/>
              </w:rPr>
            </w:pPr>
            <w:r>
              <w:rPr>
                <w:rFonts w:ascii="Arial" w:cs="Arial" w:eastAsia="Arial" w:hAnsi="Arial"/>
                <w:sz w:val="16"/>
                <w:szCs w:val="16"/>
                <w:color w:val="auto"/>
              </w:rPr>
              <w:t>171,894</w:t>
            </w:r>
          </w:p>
        </w:tc>
        <w:tc>
          <w:tcPr>
            <w:tcW w:w="10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N/A</w:t>
            </w:r>
          </w:p>
        </w:tc>
      </w:tr>
      <w:tr>
        <w:trPr>
          <w:trHeight w:val="250"/>
        </w:trPr>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Thomas A. DiDonato</w:t>
            </w:r>
            <w:r>
              <w:rPr>
                <w:rFonts w:ascii="Arial" w:cs="Arial" w:eastAsia="Arial" w:hAnsi="Arial"/>
                <w:sz w:val="14"/>
                <w:szCs w:val="14"/>
                <w:color w:val="auto"/>
              </w:rPr>
              <w:t>(3)</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57"/>
        </w:trPr>
        <w:tc>
          <w:tcPr>
            <w:tcW w:w="1960" w:type="dxa"/>
            <w:vAlign w:val="bottom"/>
            <w:tcBorders>
              <w:bottom w:val="single" w:sz="8" w:color="auto"/>
            </w:tcBorders>
            <w:shd w:val="clear" w:color="auto" w:fill="FCE9E8"/>
          </w:tcPr>
          <w:p>
            <w:pPr>
              <w:ind w:left="80"/>
              <w:spacing w:after="0" w:line="257" w:lineRule="exact"/>
              <w:rPr>
                <w:sz w:val="20"/>
                <w:szCs w:val="20"/>
                <w:color w:val="auto"/>
              </w:rPr>
            </w:pPr>
            <w:r>
              <w:rPr>
                <w:rFonts w:ascii="Arial" w:cs="Arial" w:eastAsia="Arial" w:hAnsi="Arial"/>
                <w:sz w:val="16"/>
                <w:szCs w:val="16"/>
                <w:color w:val="auto"/>
              </w:rPr>
              <w:t>Carl A. Esposito</w:t>
            </w:r>
            <w:r>
              <w:rPr>
                <w:rFonts w:ascii="Arial" w:cs="Arial" w:eastAsia="Arial" w:hAnsi="Arial"/>
                <w:sz w:val="27"/>
                <w:szCs w:val="27"/>
                <w:color w:val="auto"/>
                <w:vertAlign w:val="superscript"/>
              </w:rPr>
              <w:t>(3)</w:t>
            </w:r>
          </w:p>
        </w:tc>
        <w:tc>
          <w:tcPr>
            <w:tcW w:w="33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auto"/>
            </w:tcBorders>
            <w:shd w:val="clear" w:color="auto" w:fill="FCE9E8"/>
          </w:tcPr>
          <w:p>
            <w:pPr>
              <w:spacing w:after="0"/>
              <w:rPr>
                <w:sz w:val="22"/>
                <w:szCs w:val="22"/>
                <w:color w:val="auto"/>
              </w:rPr>
            </w:pPr>
          </w:p>
        </w:tc>
        <w:tc>
          <w:tcPr>
            <w:tcW w:w="1100" w:type="dxa"/>
            <w:vAlign w:val="bottom"/>
            <w:tcBorders>
              <w:bottom w:val="single" w:sz="8" w:color="auto"/>
            </w:tcBorders>
            <w:shd w:val="clear" w:color="auto" w:fill="FCE9E8"/>
          </w:tcPr>
          <w:p>
            <w:pPr>
              <w:spacing w:after="0"/>
              <w:rPr>
                <w:sz w:val="22"/>
                <w:szCs w:val="22"/>
                <w:color w:val="auto"/>
              </w:rPr>
            </w:pPr>
          </w:p>
        </w:tc>
        <w:tc>
          <w:tcPr>
            <w:tcW w:w="340" w:type="dxa"/>
            <w:vAlign w:val="bottom"/>
            <w:tcBorders>
              <w:bottom w:val="single" w:sz="8" w:color="auto"/>
            </w:tcBorders>
            <w:shd w:val="clear" w:color="auto" w:fill="FCE9E8"/>
          </w:tcPr>
          <w:p>
            <w:pPr>
              <w:spacing w:after="0"/>
              <w:rPr>
                <w:sz w:val="22"/>
                <w:szCs w:val="22"/>
                <w:color w:val="auto"/>
              </w:rPr>
            </w:pPr>
          </w:p>
        </w:tc>
        <w:tc>
          <w:tcPr>
            <w:tcW w:w="1000" w:type="dxa"/>
            <w:vAlign w:val="bottom"/>
            <w:tcBorders>
              <w:bottom w:val="single" w:sz="8" w:color="auto"/>
            </w:tcBorders>
            <w:shd w:val="clear" w:color="auto" w:fill="FCE9E8"/>
          </w:tcPr>
          <w:p>
            <w:pPr>
              <w:spacing w:after="0"/>
              <w:rPr>
                <w:sz w:val="22"/>
                <w:szCs w:val="22"/>
                <w:color w:val="auto"/>
              </w:rPr>
            </w:pPr>
          </w:p>
        </w:tc>
        <w:tc>
          <w:tcPr>
            <w:tcW w:w="1020" w:type="dxa"/>
            <w:vAlign w:val="bottom"/>
            <w:tcBorders>
              <w:bottom w:val="single" w:sz="8" w:color="auto"/>
            </w:tcBorders>
            <w:shd w:val="clear" w:color="auto" w:fill="FCE9E8"/>
          </w:tcPr>
          <w:p>
            <w:pPr>
              <w:spacing w:after="0"/>
              <w:rPr>
                <w:sz w:val="22"/>
                <w:szCs w:val="22"/>
                <w:color w:val="auto"/>
              </w:rPr>
            </w:pPr>
          </w:p>
        </w:tc>
      </w:tr>
    </w:tbl>
    <w:p>
      <w:pPr>
        <w:spacing w:after="0" w:line="45" w:lineRule="exact"/>
        <w:rPr>
          <w:sz w:val="20"/>
          <w:szCs w:val="20"/>
          <w:color w:val="auto"/>
        </w:rPr>
      </w:pPr>
    </w:p>
    <w:p>
      <w:pPr>
        <w:jc w:val="both"/>
        <w:ind w:left="960" w:right="100" w:hanging="293"/>
        <w:spacing w:after="0" w:line="199" w:lineRule="auto"/>
        <w:tabs>
          <w:tab w:leader="none" w:pos="9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Named Executive Officers are vested in their pension benefits.</w:t>
      </w:r>
    </w:p>
    <w:p>
      <w:pPr>
        <w:spacing w:after="0" w:line="111" w:lineRule="exact"/>
        <w:rPr>
          <w:rFonts w:ascii="Arial" w:cs="Arial" w:eastAsia="Arial" w:hAnsi="Arial"/>
          <w:sz w:val="24"/>
          <w:szCs w:val="24"/>
          <w:color w:val="auto"/>
          <w:vertAlign w:val="superscript"/>
        </w:rPr>
      </w:pPr>
    </w:p>
    <w:p>
      <w:pPr>
        <w:ind w:left="960" w:right="20" w:hanging="293"/>
        <w:spacing w:after="0"/>
        <w:tabs>
          <w:tab w:leader="none" w:pos="9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Present values determined using a December 31, 2021 measurement date and reflect benefits accrued based on service and pay earned through such date. Figures for the tax-qualified pension plan are determined based on post-commencement valuation mortality (white collar Pri-2012 retiree mortality table with 96.9% multiplier, projected generationally using MP-2020 improvement scale, modified by using the Long-Term Improvement Rates (LTIR) based on the proxy SSA rates released by the SOA), commencement of benefits at age 65 and an assumed discount rate of 3.00% as of the measurement date (up from 2.70% as of last year’s December 31, 2020 measurement date). Figures for the Pension Equalization Program and the Salaried Retirement Restoration Program (collectively, the “SERP”) are determined based on the mortality prescribed by Revenue Ruling 2001-62, commencement of benefits at the later of age 60 and full vesting and an assumed discount rate of 1.90% as of the measurement date (up from 1.25% as of last year’s December 31, 2020 measurement date). The assumed future SERP present value conversion rate for those not yet in payment is 1.94% (up from 1.62% last year).</w:t>
      </w:r>
    </w:p>
    <w:p>
      <w:pPr>
        <w:spacing w:after="0" w:line="176" w:lineRule="exact"/>
        <w:rPr>
          <w:rFonts w:ascii="Arial" w:cs="Arial" w:eastAsia="Arial" w:hAnsi="Arial"/>
          <w:sz w:val="24"/>
          <w:szCs w:val="24"/>
          <w:color w:val="auto"/>
          <w:vertAlign w:val="superscript"/>
        </w:rPr>
      </w:pPr>
    </w:p>
    <w:p>
      <w:pPr>
        <w:ind w:left="960" w:right="220" w:hanging="293"/>
        <w:spacing w:after="0" w:line="183" w:lineRule="auto"/>
        <w:tabs>
          <w:tab w:leader="none" w:pos="9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Messrs. DiDonato and Esposito are not participants in the Pension Plan, Pension Equalization Program or Salaried Retirement Restoration Program pension make-up account (“Pension Make-Up Account”).</w:t>
      </w:r>
    </w:p>
    <w:p>
      <w:pPr>
        <w:sectPr>
          <w:pgSz w:w="11900" w:h="16838" w:orient="portrait"/>
          <w:cols w:equalWidth="0" w:num="1">
            <w:col w:w="10580"/>
          </w:cols>
          <w:pgMar w:left="320" w:top="459" w:right="999" w:bottom="1440" w:gutter="0" w:footer="0" w:header="0"/>
        </w:sectPr>
      </w:pP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Named Executive Officers (as well as other eligible employees), other than Messrs. DiDonato and Esposito,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when the Company believes it is financially advantageous to do so and based on its other capital requirements and other considerations.</w:t>
      </w:r>
    </w:p>
    <w:p>
      <w:pPr>
        <w:spacing w:after="0" w:line="9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ten years of employment in which the participant had the highest earnings. Compensation is generally defined under the plan to mean (i) all cash compensation reported for federal income tax purposes other than long-term incentive bonuses, and (ii) any elective contributions that are not includable in</w:t>
      </w:r>
    </w:p>
    <w:p>
      <w:pPr>
        <w:spacing w:after="0" w:line="275"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24" w:lineRule="exact"/>
        <w:rPr>
          <w:sz w:val="20"/>
          <w:szCs w:val="20"/>
          <w:color w:val="auto"/>
        </w:rPr>
      </w:pPr>
    </w:p>
    <w:p>
      <w:pPr>
        <w:ind w:left="780" w:hanging="393"/>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40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 w:right="60"/>
        <w:spacing w:after="0" w:line="253" w:lineRule="auto"/>
        <w:rPr>
          <w:sz w:val="20"/>
          <w:szCs w:val="20"/>
          <w:color w:val="auto"/>
        </w:rPr>
      </w:pPr>
      <w:r>
        <w:rPr>
          <w:rFonts w:ascii="Arial" w:cs="Arial" w:eastAsia="Arial" w:hAnsi="Arial"/>
          <w:sz w:val="16"/>
          <w:szCs w:val="16"/>
          <w:color w:val="auto"/>
        </w:rPr>
        <w:t>gross income under Internal Revenue Code Section 125 or 401(k). A participant’s annual retirement benefit, payable as a life annuity at age 65, equals the greater of:</w:t>
      </w:r>
    </w:p>
    <w:p>
      <w:pPr>
        <w:spacing w:after="0" w:line="107" w:lineRule="exact"/>
        <w:rPr>
          <w:sz w:val="20"/>
          <w:szCs w:val="20"/>
          <w:color w:val="auto"/>
        </w:rPr>
      </w:pPr>
    </w:p>
    <w:p>
      <w:pPr>
        <w:ind w:left="480" w:right="180" w:hanging="199"/>
        <w:spacing w:after="0" w:line="246" w:lineRule="auto"/>
        <w:tabs>
          <w:tab w:leader="none" w:pos="4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 (b)</w:t>
      </w:r>
    </w:p>
    <w:p>
      <w:pPr>
        <w:ind w:left="480"/>
        <w:spacing w:after="0" w:line="249" w:lineRule="auto"/>
        <w:rPr>
          <w:rFonts w:ascii="Arial" w:cs="Arial" w:eastAsia="Arial" w:hAnsi="Arial"/>
          <w:sz w:val="16"/>
          <w:szCs w:val="16"/>
          <w:color w:val="auto"/>
        </w:rPr>
      </w:pPr>
      <w:r>
        <w:rPr>
          <w:rFonts w:ascii="Arial" w:cs="Arial" w:eastAsia="Arial" w:hAnsi="Arial"/>
          <w:sz w:val="16"/>
          <w:szCs w:val="16"/>
          <w:color w:val="auto"/>
        </w:rPr>
        <w:t>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110" w:lineRule="exact"/>
        <w:rPr>
          <w:rFonts w:ascii="Arial" w:cs="Arial" w:eastAsia="Arial" w:hAnsi="Arial"/>
          <w:sz w:val="16"/>
          <w:szCs w:val="16"/>
          <w:color w:val="auto"/>
        </w:rPr>
      </w:pPr>
    </w:p>
    <w:p>
      <w:pPr>
        <w:ind w:left="480" w:hanging="199"/>
        <w:spacing w:after="0"/>
        <w:tabs>
          <w:tab w:leader="none" w:pos="4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$360.00 times years of credited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Any employee who on December 31, 1996 was an active participant and age 50 or older earned benefits under the 1.10% formula for years of credited service through 2001.</w:t>
      </w:r>
    </w:p>
    <w:p>
      <w:pPr>
        <w:spacing w:after="0" w:line="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or her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319" w:lineRule="exact"/>
        <w:rPr>
          <w:sz w:val="20"/>
          <w:szCs w:val="20"/>
          <w:color w:val="auto"/>
        </w:rPr>
      </w:pPr>
    </w:p>
    <w:p>
      <w:pPr>
        <w:sectPr>
          <w:pgSz w:w="11900" w:h="16838" w:orient="portrait"/>
          <w:cols w:equalWidth="0" w:num="2">
            <w:col w:w="5360" w:space="380"/>
            <w:col w:w="5180"/>
          </w:cols>
          <w:pgMar w:left="320" w:top="459" w:right="659" w:bottom="1440" w:gutter="0" w:footer="0" w:header="0"/>
          <w:type w:val="continuous"/>
        </w:sectPr>
      </w:pPr>
    </w:p>
    <w:p>
      <w:pPr>
        <w:spacing w:after="0" w:line="22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Pension Equalization Program</w:t>
      </w:r>
    </w:p>
    <w:p>
      <w:pPr>
        <w:sectPr>
          <w:pgSz w:w="11900" w:h="16838" w:orient="portrait"/>
          <w:cols w:equalWidth="0" w:num="1">
            <w:col w:w="10920"/>
          </w:cols>
          <w:pgMar w:left="320" w:top="459" w:right="659" w:bottom="1440" w:gutter="0" w:footer="0" w:header="0"/>
          <w:type w:val="continuous"/>
        </w:sectPr>
      </w:pPr>
    </w:p>
    <w:p>
      <w:pPr>
        <w:spacing w:after="0" w:line="207" w:lineRule="exact"/>
        <w:rPr>
          <w:sz w:val="20"/>
          <w:szCs w:val="20"/>
          <w:color w:val="auto"/>
        </w:rPr>
      </w:pPr>
    </w:p>
    <w:p>
      <w:pPr>
        <w:ind w:left="280"/>
        <w:spacing w:after="0" w:line="247"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0"/>
        <w:spacing w:after="0" w:line="246" w:lineRule="auto"/>
        <w:rPr>
          <w:sz w:val="20"/>
          <w:szCs w:val="20"/>
          <w:color w:val="auto"/>
        </w:rPr>
      </w:pPr>
      <w:r>
        <w:rPr>
          <w:rFonts w:ascii="Arial" w:cs="Arial" w:eastAsia="Arial" w:hAnsi="Arial"/>
          <w:sz w:val="16"/>
          <w:szCs w:val="16"/>
          <w:color w:val="auto"/>
        </w:rPr>
        <w:t>Officers, other than Messrs. DiDonato and Esposito, participated in the Pension Equalization Program. The benefits under the Pension Equalization Program become vested once the participant has either</w:t>
      </w:r>
    </w:p>
    <w:p>
      <w:pPr>
        <w:spacing w:after="0" w:line="1" w:lineRule="exact"/>
        <w:rPr>
          <w:sz w:val="20"/>
          <w:szCs w:val="20"/>
          <w:color w:val="auto"/>
        </w:rPr>
      </w:pPr>
    </w:p>
    <w:p>
      <w:pPr>
        <w:ind w:right="640" w:firstLine="4"/>
        <w:spacing w:after="0" w:line="251" w:lineRule="auto"/>
        <w:tabs>
          <w:tab w:leader="none" w:pos="18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94" w:lineRule="exact"/>
        <w:rPr>
          <w:sz w:val="20"/>
          <w:szCs w:val="20"/>
          <w:color w:val="auto"/>
        </w:rPr>
      </w:pPr>
    </w:p>
    <w:p>
      <w:pPr>
        <w:ind w:right="640"/>
        <w:spacing w:after="0" w:line="248"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third-party annuity or other investment vehicle. In such event, the participant will not receive any cash payments until the participant retires or otherwise terminates employment with the Company.</w:t>
      </w:r>
    </w:p>
    <w:p>
      <w:pPr>
        <w:spacing w:after="0" w:line="465" w:lineRule="exact"/>
        <w:rPr>
          <w:sz w:val="20"/>
          <w:szCs w:val="20"/>
          <w:color w:val="auto"/>
        </w:rPr>
      </w:pPr>
    </w:p>
    <w:p>
      <w:pPr>
        <w:sectPr>
          <w:pgSz w:w="11900" w:h="16838" w:orient="portrait"/>
          <w:cols w:equalWidth="0" w:num="2">
            <w:col w:w="5080" w:space="320"/>
            <w:col w:w="5520"/>
          </w:cols>
          <w:pgMar w:left="320" w:top="459" w:right="659" w:bottom="1440" w:gutter="0" w:footer="0" w:header="0"/>
          <w:type w:val="continuous"/>
        </w:sectPr>
      </w:pPr>
    </w:p>
    <w:p>
      <w:pPr>
        <w:spacing w:after="0" w:line="147"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Lear Corporation Salaried Retirement Restoration Program</w:t>
      </w:r>
    </w:p>
    <w:p>
      <w:pPr>
        <w:sectPr>
          <w:pgSz w:w="11900" w:h="16838" w:orient="portrait"/>
          <w:cols w:equalWidth="0" w:num="1">
            <w:col w:w="10920"/>
          </w:cols>
          <w:pgMar w:left="320" w:top="459" w:right="659" w:bottom="1440" w:gutter="0" w:footer="0" w:header="0"/>
          <w:type w:val="continuous"/>
        </w:sectPr>
      </w:pPr>
    </w:p>
    <w:p>
      <w:pPr>
        <w:spacing w:after="0" w:line="207" w:lineRule="exact"/>
        <w:rPr>
          <w:sz w:val="20"/>
          <w:szCs w:val="20"/>
          <w:color w:val="auto"/>
        </w:rPr>
      </w:pPr>
    </w:p>
    <w:p>
      <w:pPr>
        <w:ind w:left="280" w:right="100"/>
        <w:spacing w:after="0" w:line="251"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94" w:lineRule="exact"/>
        <w:rPr>
          <w:sz w:val="20"/>
          <w:szCs w:val="20"/>
          <w:color w:val="auto"/>
        </w:rPr>
      </w:pPr>
    </w:p>
    <w:p>
      <w:pPr>
        <w:ind w:left="280"/>
        <w:spacing w:after="0" w:line="250" w:lineRule="auto"/>
        <w:rPr>
          <w:sz w:val="20"/>
          <w:szCs w:val="20"/>
          <w:color w:val="auto"/>
        </w:rPr>
      </w:pPr>
      <w:r>
        <w:rPr>
          <w:rFonts w:ascii="Arial" w:cs="Arial" w:eastAsia="Arial" w:hAnsi="Arial"/>
          <w:sz w:val="16"/>
          <w:szCs w:val="16"/>
          <w:color w:val="auto"/>
        </w:rPr>
        <w:t>The Salaried Retirement Restoration Program has both defined benefit and defined contribution elements. The defined benefit element has been quantified and described in the 2021 Pension Benefits table and in the narrative below. The 2021 Nonqualified Deferred Compensation table below identifies 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240"/>
        <w:spacing w:after="0" w:line="260" w:lineRule="auto"/>
        <w:rPr>
          <w:sz w:val="20"/>
          <w:szCs w:val="20"/>
          <w:color w:val="auto"/>
        </w:rPr>
      </w:pPr>
      <w:r>
        <w:rPr>
          <w:rFonts w:ascii="Arial" w:cs="Arial" w:eastAsia="Arial" w:hAnsi="Arial"/>
          <w:sz w:val="16"/>
          <w:szCs w:val="16"/>
          <w:color w:val="auto"/>
        </w:rPr>
        <w:t>defined contribution components of the Salaried Retirement Restoration Program.</w:t>
      </w:r>
    </w:p>
    <w:p>
      <w:pPr>
        <w:spacing w:after="0" w:line="87" w:lineRule="exact"/>
        <w:rPr>
          <w:sz w:val="20"/>
          <w:szCs w:val="20"/>
          <w:color w:val="auto"/>
        </w:rPr>
      </w:pPr>
    </w:p>
    <w:p>
      <w:pPr>
        <w:ind w:right="640"/>
        <w:spacing w:after="0" w:line="249" w:lineRule="auto"/>
        <w:rPr>
          <w:sz w:val="20"/>
          <w:szCs w:val="20"/>
          <w:color w:val="auto"/>
        </w:rPr>
      </w:pPr>
      <w:r>
        <w:rPr>
          <w:rFonts w:ascii="Arial" w:cs="Arial" w:eastAsia="Arial" w:hAnsi="Arial"/>
          <w:sz w:val="16"/>
          <w:szCs w:val="16"/>
          <w:color w:val="auto"/>
        </w:rPr>
        <w:t>The Salaried Retirement Restoration Program was most recently amended and restated effective December 29, 2017. The amended and restated plan provides greater flexibility to participants to determine distribution dates for their deferrals, permits participants to defer up to 75% of base salary and up to 90% of their AIP awards and allows participants to modify distribution dates.</w:t>
      </w:r>
    </w:p>
    <w:p>
      <w:pPr>
        <w:spacing w:after="0" w:line="390" w:lineRule="exact"/>
        <w:rPr>
          <w:sz w:val="20"/>
          <w:szCs w:val="20"/>
          <w:color w:val="auto"/>
        </w:rPr>
      </w:pPr>
    </w:p>
    <w:p>
      <w:pPr>
        <w:sectPr>
          <w:pgSz w:w="11900" w:h="16838" w:orient="portrait"/>
          <w:cols w:equalWidth="0" w:num="2">
            <w:col w:w="4880" w:space="520"/>
            <w:col w:w="5520"/>
          </w:cols>
          <w:pgMar w:left="320" w:top="459" w:right="659" w:bottom="1440" w:gutter="0" w:footer="0" w:header="0"/>
          <w:type w:val="continuous"/>
        </w:sectPr>
      </w:pPr>
    </w:p>
    <w:p>
      <w:pPr>
        <w:spacing w:after="0" w:line="20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57</w:t>
      </w:r>
    </w:p>
    <w:p>
      <w:pPr>
        <w:sectPr>
          <w:pgSz w:w="11900" w:h="16838" w:orient="portrait"/>
          <w:cols w:equalWidth="0" w:num="1">
            <w:col w:w="10920"/>
          </w:cols>
          <w:pgMar w:left="320" w:top="459" w:right="6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Benefit Element</w:t>
      </w:r>
    </w:p>
    <w:p>
      <w:pPr>
        <w:spacing w:after="0" w:line="12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as from time to time was in effect.</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Contribution Element</w:t>
      </w:r>
    </w:p>
    <w:p>
      <w:pPr>
        <w:spacing w:after="0" w:line="124"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color w:val="auto"/>
        </w:rPr>
        <w:t>In 2021, the defined contribution component of the Salaried Retirement Restoration Program generally provided a defined contribution benefit of an amount that the participant would have received under the Pension Savings Plan but could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accordance with the participant’s deferral election.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-2549525</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415925</wp:posOffset>
            </wp:positionV>
            <wp:extent cx="6292215" cy="196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96850"/>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2">
            <w:col w:w="5380" w:space="340"/>
            <w:col w:w="4860"/>
          </w:cols>
          <w:pgMar w:left="320" w:top="459" w:right="999" w:bottom="1440" w:gutter="0" w:footer="0" w:header="0"/>
        </w:sectPr>
      </w:pPr>
    </w:p>
    <w:p>
      <w:pPr>
        <w:spacing w:after="0" w:line="217"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FFFFFF"/>
        </w:rPr>
        <w:t>2021 Nonqualified Deferred Compensation</w:t>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E2231A"/>
              </w:rPr>
              <w:t>Company</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E2231A"/>
              </w:rPr>
              <w:t>Aggregate</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68"/>
              <w:spacing w:after="0"/>
              <w:rPr>
                <w:sz w:val="20"/>
                <w:szCs w:val="20"/>
                <w:color w:val="auto"/>
              </w:rPr>
            </w:pPr>
            <w:r>
              <w:rPr>
                <w:rFonts w:ascii="Arial" w:cs="Arial" w:eastAsia="Arial" w:hAnsi="Arial"/>
                <w:sz w:val="14"/>
                <w:szCs w:val="14"/>
                <w:b w:val="1"/>
                <w:bCs w:val="1"/>
                <w:color w:val="E2231A"/>
              </w:rPr>
              <w:t>Executive</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E2231A"/>
              </w:rPr>
              <w:t>Contributions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Earnings</w:t>
            </w:r>
          </w:p>
        </w:tc>
        <w:tc>
          <w:tcPr>
            <w:tcW w:w="24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Arial" w:cs="Arial" w:eastAsia="Arial" w:hAnsi="Arial"/>
                <w:sz w:val="14"/>
                <w:szCs w:val="14"/>
                <w:b w:val="1"/>
                <w:bCs w:val="1"/>
                <w:color w:val="E2231A"/>
              </w:rPr>
              <w:t>Aggregate</w:t>
            </w:r>
          </w:p>
        </w:tc>
        <w:tc>
          <w:tcPr>
            <w:tcW w:w="220" w:type="dxa"/>
            <w:vAlign w:val="bottom"/>
          </w:tcPr>
          <w:p>
            <w:pPr>
              <w:spacing w:after="0"/>
              <w:rPr>
                <w:sz w:val="14"/>
                <w:szCs w:val="14"/>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E2231A"/>
              </w:rPr>
              <w:t>Aggregate</w:t>
            </w:r>
          </w:p>
        </w:tc>
      </w:tr>
      <w:tr>
        <w:trPr>
          <w:trHeight w:val="159"/>
        </w:trPr>
        <w:tc>
          <w:tcPr>
            <w:tcW w:w="2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20" w:type="dxa"/>
            <w:vAlign w:val="bottom"/>
            <w:gridSpan w:val="2"/>
          </w:tcPr>
          <w:p>
            <w:pPr>
              <w:jc w:val="center"/>
              <w:ind w:right="28"/>
              <w:spacing w:after="0" w:line="159" w:lineRule="exact"/>
              <w:rPr>
                <w:sz w:val="20"/>
                <w:szCs w:val="20"/>
                <w:color w:val="auto"/>
              </w:rPr>
            </w:pPr>
            <w:r>
              <w:rPr>
                <w:rFonts w:ascii="Arial" w:cs="Arial" w:eastAsia="Arial" w:hAnsi="Arial"/>
                <w:sz w:val="14"/>
                <w:szCs w:val="14"/>
                <w:b w:val="1"/>
                <w:bCs w:val="1"/>
                <w:color w:val="E2231A"/>
              </w:rPr>
              <w:t>Contributions</w:t>
            </w:r>
          </w:p>
        </w:tc>
        <w:tc>
          <w:tcPr>
            <w:tcW w:w="220" w:type="dxa"/>
            <w:vAlign w:val="bottom"/>
          </w:tcPr>
          <w:p>
            <w:pPr>
              <w:spacing w:after="0"/>
              <w:rPr>
                <w:sz w:val="13"/>
                <w:szCs w:val="13"/>
                <w:color w:val="auto"/>
              </w:rPr>
            </w:pPr>
          </w:p>
        </w:tc>
        <w:tc>
          <w:tcPr>
            <w:tcW w:w="960" w:type="dxa"/>
            <w:vAlign w:val="bottom"/>
          </w:tcPr>
          <w:p>
            <w:pPr>
              <w:jc w:val="center"/>
              <w:ind w:right="148"/>
              <w:spacing w:after="0" w:line="159" w:lineRule="exact"/>
              <w:rPr>
                <w:sz w:val="20"/>
                <w:szCs w:val="20"/>
                <w:color w:val="auto"/>
              </w:rPr>
            </w:pPr>
            <w:r>
              <w:rPr>
                <w:rFonts w:ascii="Arial" w:cs="Arial" w:eastAsia="Arial" w:hAnsi="Arial"/>
                <w:sz w:val="14"/>
                <w:szCs w:val="14"/>
                <w:b w:val="1"/>
                <w:bCs w:val="1"/>
                <w:color w:val="E2231A"/>
              </w:rPr>
              <w:t>in Last</w:t>
            </w:r>
          </w:p>
        </w:tc>
        <w:tc>
          <w:tcPr>
            <w:tcW w:w="220" w:type="dxa"/>
            <w:vAlign w:val="bottom"/>
          </w:tcPr>
          <w:p>
            <w:pPr>
              <w:spacing w:after="0"/>
              <w:rPr>
                <w:sz w:val="13"/>
                <w:szCs w:val="13"/>
                <w:color w:val="auto"/>
              </w:rPr>
            </w:pPr>
          </w:p>
        </w:tc>
        <w:tc>
          <w:tcPr>
            <w:tcW w:w="740" w:type="dxa"/>
            <w:vAlign w:val="bottom"/>
          </w:tcPr>
          <w:p>
            <w:pPr>
              <w:jc w:val="center"/>
              <w:ind w:right="148"/>
              <w:spacing w:after="0" w:line="159" w:lineRule="exact"/>
              <w:rPr>
                <w:sz w:val="20"/>
                <w:szCs w:val="20"/>
                <w:color w:val="auto"/>
              </w:rPr>
            </w:pPr>
            <w:r>
              <w:rPr>
                <w:rFonts w:ascii="Arial" w:cs="Arial" w:eastAsia="Arial" w:hAnsi="Arial"/>
                <w:sz w:val="14"/>
                <w:szCs w:val="14"/>
                <w:b w:val="1"/>
                <w:bCs w:val="1"/>
                <w:color w:val="E2231A"/>
              </w:rPr>
              <w:t>in Last</w:t>
            </w:r>
          </w:p>
        </w:tc>
        <w:tc>
          <w:tcPr>
            <w:tcW w:w="240" w:type="dxa"/>
            <w:vAlign w:val="bottom"/>
          </w:tcPr>
          <w:p>
            <w:pPr>
              <w:spacing w:after="0"/>
              <w:rPr>
                <w:sz w:val="13"/>
                <w:szCs w:val="13"/>
                <w:color w:val="auto"/>
              </w:rPr>
            </w:pPr>
          </w:p>
        </w:tc>
        <w:tc>
          <w:tcPr>
            <w:tcW w:w="1220" w:type="dxa"/>
            <w:vAlign w:val="bottom"/>
          </w:tcPr>
          <w:p>
            <w:pPr>
              <w:ind w:left="40"/>
              <w:spacing w:after="0" w:line="159" w:lineRule="exact"/>
              <w:rPr>
                <w:sz w:val="20"/>
                <w:szCs w:val="20"/>
                <w:color w:val="auto"/>
              </w:rPr>
            </w:pPr>
            <w:r>
              <w:rPr>
                <w:rFonts w:ascii="Arial" w:cs="Arial" w:eastAsia="Arial" w:hAnsi="Arial"/>
                <w:sz w:val="14"/>
                <w:szCs w:val="14"/>
                <w:b w:val="1"/>
                <w:bCs w:val="1"/>
                <w:color w:val="E2231A"/>
              </w:rPr>
              <w:t>Withdrawals/</w:t>
            </w:r>
          </w:p>
        </w:tc>
        <w:tc>
          <w:tcPr>
            <w:tcW w:w="220" w:type="dxa"/>
            <w:vAlign w:val="bottom"/>
          </w:tcPr>
          <w:p>
            <w:pPr>
              <w:spacing w:after="0"/>
              <w:rPr>
                <w:sz w:val="13"/>
                <w:szCs w:val="13"/>
                <w:color w:val="auto"/>
              </w:rPr>
            </w:pPr>
          </w:p>
        </w:tc>
        <w:tc>
          <w:tcPr>
            <w:tcW w:w="1020" w:type="dxa"/>
            <w:vAlign w:val="bottom"/>
          </w:tcPr>
          <w:p>
            <w:pPr>
              <w:jc w:val="right"/>
              <w:ind w:right="208"/>
              <w:spacing w:after="0" w:line="159" w:lineRule="exact"/>
              <w:rPr>
                <w:sz w:val="20"/>
                <w:szCs w:val="20"/>
                <w:color w:val="auto"/>
              </w:rPr>
            </w:pPr>
            <w:r>
              <w:rPr>
                <w:rFonts w:ascii="Arial" w:cs="Arial" w:eastAsia="Arial" w:hAnsi="Arial"/>
                <w:sz w:val="14"/>
                <w:szCs w:val="14"/>
                <w:b w:val="1"/>
                <w:bCs w:val="1"/>
                <w:color w:val="E2231A"/>
              </w:rPr>
              <w:t>Balance at</w:t>
            </w:r>
          </w:p>
        </w:tc>
      </w:tr>
      <w:tr>
        <w:trPr>
          <w:trHeight w:val="206"/>
        </w:trPr>
        <w:tc>
          <w:tcPr>
            <w:tcW w:w="2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7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E2231A"/>
              </w:rPr>
              <w:t>Plan Name</w:t>
            </w:r>
          </w:p>
        </w:tc>
        <w:tc>
          <w:tcPr>
            <w:tcW w:w="112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E2231A"/>
              </w:rPr>
              <w:t>in Last FY(b)</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8"/>
              <w:spacing w:after="0" w:line="205" w:lineRule="exact"/>
              <w:rPr>
                <w:sz w:val="20"/>
                <w:szCs w:val="20"/>
                <w:color w:val="auto"/>
              </w:rPr>
            </w:pPr>
            <w:r>
              <w:rPr>
                <w:rFonts w:ascii="Arial" w:cs="Arial" w:eastAsia="Arial" w:hAnsi="Arial"/>
                <w:sz w:val="14"/>
                <w:szCs w:val="14"/>
                <w:b w:val="1"/>
                <w:bCs w:val="1"/>
                <w:color w:val="E2231A"/>
                <w:w w:val="92"/>
              </w:rPr>
              <w:t>FY</w:t>
            </w:r>
            <w:r>
              <w:rPr>
                <w:rFonts w:ascii="Arial" w:cs="Arial" w:eastAsia="Arial" w:hAnsi="Arial"/>
                <w:sz w:val="23"/>
                <w:szCs w:val="23"/>
                <w:b w:val="1"/>
                <w:bCs w:val="1"/>
                <w:color w:val="E2231A"/>
                <w:w w:val="92"/>
                <w:vertAlign w:val="superscript"/>
              </w:rPr>
              <w:t>(1)</w:t>
            </w:r>
            <w:r>
              <w:rPr>
                <w:rFonts w:ascii="Arial" w:cs="Arial" w:eastAsia="Arial" w:hAnsi="Arial"/>
                <w:sz w:val="14"/>
                <w:szCs w:val="14"/>
                <w:b w:val="1"/>
                <w:bCs w:val="1"/>
                <w:color w:val="E2231A"/>
                <w:w w:val="92"/>
              </w:rPr>
              <w:t>(c)</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48"/>
              <w:spacing w:after="0" w:line="205" w:lineRule="exact"/>
              <w:rPr>
                <w:sz w:val="20"/>
                <w:szCs w:val="20"/>
                <w:color w:val="auto"/>
              </w:rPr>
            </w:pPr>
            <w:r>
              <w:rPr>
                <w:rFonts w:ascii="Arial" w:cs="Arial" w:eastAsia="Arial" w:hAnsi="Arial"/>
                <w:sz w:val="14"/>
                <w:szCs w:val="14"/>
                <w:b w:val="1"/>
                <w:bCs w:val="1"/>
                <w:color w:val="E2231A"/>
                <w:w w:val="95"/>
              </w:rPr>
              <w:t>FY(d)</w:t>
            </w:r>
            <w:r>
              <w:rPr>
                <w:rFonts w:ascii="Arial" w:cs="Arial" w:eastAsia="Arial" w:hAnsi="Arial"/>
                <w:sz w:val="23"/>
                <w:szCs w:val="23"/>
                <w:b w:val="1"/>
                <w:bCs w:val="1"/>
                <w:color w:val="E2231A"/>
                <w:w w:val="95"/>
                <w:vertAlign w:val="superscript"/>
              </w:rPr>
              <w:t>(2)</w:t>
            </w:r>
          </w:p>
        </w:tc>
        <w:tc>
          <w:tcPr>
            <w:tcW w:w="1460" w:type="dxa"/>
            <w:vAlign w:val="bottom"/>
            <w:tcBorders>
              <w:bottom w:val="single" w:sz="8" w:color="auto"/>
            </w:tcBorders>
            <w:gridSpan w:val="2"/>
          </w:tcPr>
          <w:p>
            <w:pPr>
              <w:ind w:left="120"/>
              <w:spacing w:after="0" w:line="205" w:lineRule="exact"/>
              <w:rPr>
                <w:sz w:val="20"/>
                <w:szCs w:val="20"/>
                <w:color w:val="auto"/>
              </w:rPr>
            </w:pPr>
            <w:r>
              <w:rPr>
                <w:rFonts w:ascii="Arial" w:cs="Arial" w:eastAsia="Arial" w:hAnsi="Arial"/>
                <w:sz w:val="14"/>
                <w:szCs w:val="14"/>
                <w:b w:val="1"/>
                <w:bCs w:val="1"/>
                <w:color w:val="E2231A"/>
              </w:rPr>
              <w:t>Distributions(e)</w:t>
            </w:r>
            <w:r>
              <w:rPr>
                <w:rFonts w:ascii="Arial" w:cs="Arial" w:eastAsia="Arial" w:hAnsi="Arial"/>
                <w:sz w:val="23"/>
                <w:szCs w:val="23"/>
                <w:b w:val="1"/>
                <w:bCs w:val="1"/>
                <w:color w:val="E2231A"/>
                <w:vertAlign w:val="superscript"/>
              </w:rPr>
              <w:t>(3)</w:t>
            </w:r>
          </w:p>
        </w:tc>
        <w:tc>
          <w:tcPr>
            <w:tcW w:w="1240" w:type="dxa"/>
            <w:vAlign w:val="bottom"/>
            <w:tcBorders>
              <w:bottom w:val="single" w:sz="8" w:color="auto"/>
            </w:tcBorders>
            <w:gridSpan w:val="2"/>
          </w:tcPr>
          <w:p>
            <w:pPr>
              <w:ind w:left="120"/>
              <w:spacing w:after="0" w:line="205" w:lineRule="exact"/>
              <w:rPr>
                <w:sz w:val="20"/>
                <w:szCs w:val="20"/>
                <w:color w:val="auto"/>
              </w:rPr>
            </w:pPr>
            <w:r>
              <w:rPr>
                <w:rFonts w:ascii="Arial" w:cs="Arial" w:eastAsia="Arial" w:hAnsi="Arial"/>
                <w:sz w:val="14"/>
                <w:szCs w:val="14"/>
                <w:b w:val="1"/>
                <w:bCs w:val="1"/>
                <w:color w:val="E2231A"/>
              </w:rPr>
              <w:t>Last FYE(f)</w:t>
            </w:r>
            <w:r>
              <w:rPr>
                <w:rFonts w:ascii="Arial" w:cs="Arial" w:eastAsia="Arial" w:hAnsi="Arial"/>
                <w:sz w:val="23"/>
                <w:szCs w:val="23"/>
                <w:b w:val="1"/>
                <w:bCs w:val="1"/>
                <w:color w:val="E2231A"/>
                <w:vertAlign w:val="superscript"/>
              </w:rPr>
              <w:t>(4)</w:t>
            </w:r>
          </w:p>
        </w:tc>
      </w:tr>
      <w:tr>
        <w:trPr>
          <w:trHeight w:val="160"/>
        </w:trPr>
        <w:tc>
          <w:tcPr>
            <w:tcW w:w="2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7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Salaried Retirement</w:t>
            </w:r>
          </w:p>
        </w:tc>
        <w:tc>
          <w:tcPr>
            <w:tcW w:w="160" w:type="dxa"/>
            <w:vAlign w:val="bottom"/>
            <w:shd w:val="clear" w:color="auto" w:fill="FCE9E8"/>
          </w:tcPr>
          <w:p>
            <w:pPr>
              <w:spacing w:after="0"/>
              <w:rPr>
                <w:sz w:val="13"/>
                <w:szCs w:val="13"/>
                <w:color w:val="auto"/>
              </w:rPr>
            </w:pPr>
          </w:p>
        </w:tc>
        <w:tc>
          <w:tcPr>
            <w:tcW w:w="960" w:type="dxa"/>
            <w:vAlign w:val="bottom"/>
            <w:shd w:val="clear" w:color="auto" w:fill="FCE9E8"/>
          </w:tcPr>
          <w:p>
            <w:pPr>
              <w:spacing w:after="0"/>
              <w:rPr>
                <w:sz w:val="13"/>
                <w:szCs w:val="13"/>
                <w:color w:val="auto"/>
              </w:rPr>
            </w:pPr>
          </w:p>
        </w:tc>
        <w:tc>
          <w:tcPr>
            <w:tcW w:w="220" w:type="dxa"/>
            <w:vAlign w:val="bottom"/>
            <w:shd w:val="clear" w:color="auto" w:fill="FCE9E8"/>
          </w:tcPr>
          <w:p>
            <w:pPr>
              <w:spacing w:after="0"/>
              <w:rPr>
                <w:sz w:val="13"/>
                <w:szCs w:val="13"/>
                <w:color w:val="auto"/>
              </w:rPr>
            </w:pPr>
          </w:p>
        </w:tc>
        <w:tc>
          <w:tcPr>
            <w:tcW w:w="960" w:type="dxa"/>
            <w:vAlign w:val="bottom"/>
            <w:shd w:val="clear" w:color="auto" w:fill="FCE9E8"/>
          </w:tcPr>
          <w:p>
            <w:pPr>
              <w:spacing w:after="0"/>
              <w:rPr>
                <w:sz w:val="13"/>
                <w:szCs w:val="13"/>
                <w:color w:val="auto"/>
              </w:rPr>
            </w:pPr>
          </w:p>
        </w:tc>
        <w:tc>
          <w:tcPr>
            <w:tcW w:w="220" w:type="dxa"/>
            <w:vAlign w:val="bottom"/>
            <w:shd w:val="clear" w:color="auto" w:fill="FCE9E8"/>
          </w:tcPr>
          <w:p>
            <w:pPr>
              <w:spacing w:after="0"/>
              <w:rPr>
                <w:sz w:val="13"/>
                <w:szCs w:val="13"/>
                <w:color w:val="auto"/>
              </w:rPr>
            </w:pPr>
          </w:p>
        </w:tc>
        <w:tc>
          <w:tcPr>
            <w:tcW w:w="74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1220" w:type="dxa"/>
            <w:vAlign w:val="bottom"/>
            <w:shd w:val="clear" w:color="auto" w:fill="FCE9E8"/>
          </w:tcPr>
          <w:p>
            <w:pPr>
              <w:spacing w:after="0"/>
              <w:rPr>
                <w:sz w:val="13"/>
                <w:szCs w:val="13"/>
                <w:color w:val="auto"/>
              </w:rPr>
            </w:pPr>
          </w:p>
        </w:tc>
        <w:tc>
          <w:tcPr>
            <w:tcW w:w="220" w:type="dxa"/>
            <w:vAlign w:val="bottom"/>
            <w:shd w:val="clear" w:color="auto" w:fill="FCE9E8"/>
          </w:tcPr>
          <w:p>
            <w:pPr>
              <w:spacing w:after="0"/>
              <w:rPr>
                <w:sz w:val="13"/>
                <w:szCs w:val="13"/>
                <w:color w:val="auto"/>
              </w:rPr>
            </w:pPr>
          </w:p>
        </w:tc>
        <w:tc>
          <w:tcPr>
            <w:tcW w:w="1020" w:type="dxa"/>
            <w:vAlign w:val="bottom"/>
            <w:shd w:val="clear" w:color="auto" w:fill="FCE9E8"/>
          </w:tcPr>
          <w:p>
            <w:pPr>
              <w:spacing w:after="0"/>
              <w:rPr>
                <w:sz w:val="13"/>
                <w:szCs w:val="13"/>
                <w:color w:val="auto"/>
              </w:rPr>
            </w:pPr>
          </w:p>
        </w:tc>
      </w:tr>
      <w:tr>
        <w:trPr>
          <w:trHeight w:val="171"/>
        </w:trPr>
        <w:tc>
          <w:tcPr>
            <w:tcW w:w="2260" w:type="dxa"/>
            <w:vAlign w:val="bottom"/>
            <w:shd w:val="clear" w:color="auto" w:fill="FCE9E8"/>
          </w:tcPr>
          <w:p>
            <w:pPr>
              <w:spacing w:after="0"/>
              <w:rPr>
                <w:sz w:val="14"/>
                <w:szCs w:val="14"/>
                <w:color w:val="auto"/>
              </w:rPr>
            </w:pPr>
          </w:p>
        </w:tc>
        <w:tc>
          <w:tcPr>
            <w:tcW w:w="1860" w:type="dxa"/>
            <w:vAlign w:val="bottom"/>
            <w:gridSpan w:val="2"/>
            <w:shd w:val="clear" w:color="auto" w:fill="FCE9E8"/>
          </w:tcPr>
          <w:p>
            <w:pPr>
              <w:jc w:val="right"/>
              <w:spacing w:after="0"/>
              <w:rPr>
                <w:sz w:val="20"/>
                <w:szCs w:val="20"/>
                <w:color w:val="auto"/>
              </w:rPr>
            </w:pPr>
            <w:r>
              <w:rPr>
                <w:rFonts w:ascii="Arial" w:cs="Arial" w:eastAsia="Arial" w:hAnsi="Arial"/>
                <w:sz w:val="14"/>
                <w:szCs w:val="14"/>
                <w:color w:val="auto"/>
              </w:rPr>
              <w:t>Restoration Program $</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139,600</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330,448</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862,229</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CE9E8"/>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7,504,182</w:t>
            </w:r>
          </w:p>
        </w:tc>
      </w:tr>
      <w:tr>
        <w:trPr>
          <w:trHeight w:val="162"/>
        </w:trPr>
        <w:tc>
          <w:tcPr>
            <w:tcW w:w="2260" w:type="dxa"/>
            <w:vAlign w:val="bottom"/>
            <w:shd w:val="clear" w:color="auto" w:fill="FCE9E8"/>
          </w:tcPr>
          <w:p>
            <w:pPr>
              <w:spacing w:after="0"/>
              <w:rPr>
                <w:sz w:val="14"/>
                <w:szCs w:val="14"/>
                <w:color w:val="auto"/>
              </w:rPr>
            </w:pPr>
          </w:p>
        </w:tc>
        <w:tc>
          <w:tcPr>
            <w:tcW w:w="1860" w:type="dxa"/>
            <w:vAlign w:val="bottom"/>
            <w:gridSpan w:val="2"/>
            <w:shd w:val="clear" w:color="auto" w:fill="FCE9E8"/>
          </w:tcPr>
          <w:p>
            <w:pPr>
              <w:jc w:val="right"/>
              <w:spacing w:after="0"/>
              <w:rPr>
                <w:sz w:val="20"/>
                <w:szCs w:val="20"/>
                <w:color w:val="auto"/>
              </w:rPr>
            </w:pPr>
            <w:r>
              <w:rPr>
                <w:rFonts w:ascii="Arial" w:cs="Arial" w:eastAsia="Arial" w:hAnsi="Arial"/>
                <w:sz w:val="14"/>
                <w:szCs w:val="14"/>
                <w:color w:val="auto"/>
              </w:rPr>
              <w:t>Vested Career Shares $</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684,827</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410,291</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CE9E8"/>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3,782,306</w:t>
            </w:r>
          </w:p>
        </w:tc>
      </w:tr>
      <w:tr>
        <w:trPr>
          <w:trHeight w:val="167"/>
        </w:trPr>
        <w:tc>
          <w:tcPr>
            <w:tcW w:w="226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1700" w:type="dxa"/>
            <w:vAlign w:val="bottom"/>
          </w:tcPr>
          <w:p>
            <w:pPr>
              <w:jc w:val="right"/>
              <w:spacing w:after="0"/>
              <w:rPr>
                <w:sz w:val="20"/>
                <w:szCs w:val="20"/>
                <w:color w:val="auto"/>
              </w:rPr>
            </w:pPr>
            <w:r>
              <w:rPr>
                <w:rFonts w:ascii="Arial" w:cs="Arial" w:eastAsia="Arial" w:hAnsi="Arial"/>
                <w:sz w:val="14"/>
                <w:szCs w:val="14"/>
                <w:color w:val="auto"/>
              </w:rPr>
              <w:t>Salaried Retirement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Restoration Program $</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69,640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128,152</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342,303</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2,514,470</w:t>
            </w:r>
          </w:p>
        </w:tc>
      </w:tr>
      <w:tr>
        <w:trPr>
          <w:trHeight w:val="157"/>
        </w:trPr>
        <w:tc>
          <w:tcPr>
            <w:tcW w:w="2260" w:type="dxa"/>
            <w:vAlign w:val="bottom"/>
          </w:tcPr>
          <w:p>
            <w:pPr>
              <w:spacing w:after="0"/>
              <w:rPr>
                <w:sz w:val="13"/>
                <w:szCs w:val="13"/>
                <w:color w:val="auto"/>
              </w:rPr>
            </w:pPr>
          </w:p>
        </w:tc>
        <w:tc>
          <w:tcPr>
            <w:tcW w:w="18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Vested Career Shares $</w:t>
            </w:r>
          </w:p>
        </w:tc>
        <w:tc>
          <w:tcPr>
            <w:tcW w:w="9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171,064</w:t>
            </w:r>
          </w:p>
        </w:tc>
        <w:tc>
          <w:tcPr>
            <w:tcW w:w="220" w:type="dxa"/>
            <w:vAlign w:val="bottom"/>
          </w:tcPr>
          <w:p>
            <w:pPr>
              <w:ind w:left="120"/>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166,576</w:t>
            </w:r>
          </w:p>
        </w:tc>
        <w:tc>
          <w:tcPr>
            <w:tcW w:w="240" w:type="dxa"/>
            <w:vAlign w:val="bottom"/>
          </w:tcPr>
          <w:p>
            <w:pPr>
              <w:ind w:left="120"/>
              <w:spacing w:after="0" w:line="157" w:lineRule="exact"/>
              <w:rPr>
                <w:sz w:val="20"/>
                <w:szCs w:val="20"/>
                <w:color w:val="auto"/>
              </w:rPr>
            </w:pPr>
            <w:r>
              <w:rPr>
                <w:rFonts w:ascii="Arial" w:cs="Arial" w:eastAsia="Arial" w:hAnsi="Arial"/>
                <w:sz w:val="14"/>
                <w:szCs w:val="14"/>
                <w:color w:val="auto"/>
              </w:rPr>
              <w:t>$</w:t>
            </w:r>
          </w:p>
        </w:tc>
        <w:tc>
          <w:tcPr>
            <w:tcW w:w="1220" w:type="dxa"/>
            <w:vAlign w:val="bottom"/>
          </w:tcPr>
          <w:p>
            <w:pPr>
              <w:ind w:left="96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1,431,776</w:t>
            </w:r>
          </w:p>
        </w:tc>
      </w:tr>
      <w:tr>
        <w:trPr>
          <w:trHeight w:val="167"/>
        </w:trPr>
        <w:tc>
          <w:tcPr>
            <w:tcW w:w="2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7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Salaried Retirement</w:t>
            </w:r>
          </w:p>
        </w:tc>
        <w:tc>
          <w:tcPr>
            <w:tcW w:w="160" w:type="dxa"/>
            <w:vAlign w:val="bottom"/>
            <w:shd w:val="clear" w:color="auto" w:fill="FCE9E8"/>
          </w:tcPr>
          <w:p>
            <w:pPr>
              <w:spacing w:after="0"/>
              <w:rPr>
                <w:sz w:val="14"/>
                <w:szCs w:val="14"/>
                <w:color w:val="auto"/>
              </w:rPr>
            </w:pPr>
          </w:p>
        </w:tc>
        <w:tc>
          <w:tcPr>
            <w:tcW w:w="960" w:type="dxa"/>
            <w:vAlign w:val="bottom"/>
            <w:shd w:val="clear" w:color="auto" w:fill="FCE9E8"/>
          </w:tcPr>
          <w:p>
            <w:pPr>
              <w:spacing w:after="0"/>
              <w:rPr>
                <w:sz w:val="14"/>
                <w:szCs w:val="14"/>
                <w:color w:val="auto"/>
              </w:rPr>
            </w:pPr>
          </w:p>
        </w:tc>
        <w:tc>
          <w:tcPr>
            <w:tcW w:w="220" w:type="dxa"/>
            <w:vAlign w:val="bottom"/>
            <w:shd w:val="clear" w:color="auto" w:fill="FCE9E8"/>
          </w:tcPr>
          <w:p>
            <w:pPr>
              <w:spacing w:after="0"/>
              <w:rPr>
                <w:sz w:val="14"/>
                <w:szCs w:val="14"/>
                <w:color w:val="auto"/>
              </w:rPr>
            </w:pPr>
          </w:p>
        </w:tc>
        <w:tc>
          <w:tcPr>
            <w:tcW w:w="960" w:type="dxa"/>
            <w:vAlign w:val="bottom"/>
            <w:shd w:val="clear" w:color="auto" w:fill="FCE9E8"/>
          </w:tcPr>
          <w:p>
            <w:pPr>
              <w:spacing w:after="0"/>
              <w:rPr>
                <w:sz w:val="14"/>
                <w:szCs w:val="14"/>
                <w:color w:val="auto"/>
              </w:rPr>
            </w:pPr>
          </w:p>
        </w:tc>
        <w:tc>
          <w:tcPr>
            <w:tcW w:w="220" w:type="dxa"/>
            <w:vAlign w:val="bottom"/>
            <w:shd w:val="clear" w:color="auto" w:fill="FCE9E8"/>
          </w:tcPr>
          <w:p>
            <w:pPr>
              <w:spacing w:after="0"/>
              <w:rPr>
                <w:sz w:val="14"/>
                <w:szCs w:val="14"/>
                <w:color w:val="auto"/>
              </w:rPr>
            </w:pPr>
          </w:p>
        </w:tc>
        <w:tc>
          <w:tcPr>
            <w:tcW w:w="740" w:type="dxa"/>
            <w:vAlign w:val="bottom"/>
            <w:shd w:val="clear" w:color="auto" w:fill="FCE9E8"/>
          </w:tcPr>
          <w:p>
            <w:pPr>
              <w:spacing w:after="0"/>
              <w:rPr>
                <w:sz w:val="14"/>
                <w:szCs w:val="14"/>
                <w:color w:val="auto"/>
              </w:rPr>
            </w:pPr>
          </w:p>
        </w:tc>
        <w:tc>
          <w:tcPr>
            <w:tcW w:w="240" w:type="dxa"/>
            <w:vAlign w:val="bottom"/>
            <w:shd w:val="clear" w:color="auto" w:fill="FCE9E8"/>
          </w:tcPr>
          <w:p>
            <w:pPr>
              <w:spacing w:after="0"/>
              <w:rPr>
                <w:sz w:val="14"/>
                <w:szCs w:val="14"/>
                <w:color w:val="auto"/>
              </w:rPr>
            </w:pPr>
          </w:p>
        </w:tc>
        <w:tc>
          <w:tcPr>
            <w:tcW w:w="1220" w:type="dxa"/>
            <w:vAlign w:val="bottom"/>
            <w:shd w:val="clear" w:color="auto" w:fill="FCE9E8"/>
          </w:tcPr>
          <w:p>
            <w:pPr>
              <w:spacing w:after="0"/>
              <w:rPr>
                <w:sz w:val="14"/>
                <w:szCs w:val="14"/>
                <w:color w:val="auto"/>
              </w:rPr>
            </w:pPr>
          </w:p>
        </w:tc>
        <w:tc>
          <w:tcPr>
            <w:tcW w:w="22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r>
      <w:tr>
        <w:trPr>
          <w:trHeight w:val="171"/>
        </w:trPr>
        <w:tc>
          <w:tcPr>
            <w:tcW w:w="2260" w:type="dxa"/>
            <w:vAlign w:val="bottom"/>
            <w:shd w:val="clear" w:color="auto" w:fill="FCE9E8"/>
          </w:tcPr>
          <w:p>
            <w:pPr>
              <w:spacing w:after="0"/>
              <w:rPr>
                <w:sz w:val="14"/>
                <w:szCs w:val="14"/>
                <w:color w:val="auto"/>
              </w:rPr>
            </w:pPr>
          </w:p>
        </w:tc>
        <w:tc>
          <w:tcPr>
            <w:tcW w:w="1860" w:type="dxa"/>
            <w:vAlign w:val="bottom"/>
            <w:gridSpan w:val="2"/>
            <w:shd w:val="clear" w:color="auto" w:fill="FCE9E8"/>
          </w:tcPr>
          <w:p>
            <w:pPr>
              <w:jc w:val="right"/>
              <w:spacing w:after="0"/>
              <w:rPr>
                <w:sz w:val="20"/>
                <w:szCs w:val="20"/>
                <w:color w:val="auto"/>
              </w:rPr>
            </w:pPr>
            <w:r>
              <w:rPr>
                <w:rFonts w:ascii="Arial" w:cs="Arial" w:eastAsia="Arial" w:hAnsi="Arial"/>
                <w:sz w:val="14"/>
                <w:szCs w:val="14"/>
                <w:color w:val="auto"/>
              </w:rPr>
              <w:t>Restoration Program $</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77,760</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148,102</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486,361</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CE9E8"/>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4,067,718</w:t>
            </w:r>
          </w:p>
        </w:tc>
      </w:tr>
      <w:tr>
        <w:trPr>
          <w:trHeight w:val="162"/>
        </w:trPr>
        <w:tc>
          <w:tcPr>
            <w:tcW w:w="2260" w:type="dxa"/>
            <w:vAlign w:val="bottom"/>
            <w:shd w:val="clear" w:color="auto" w:fill="FCE9E8"/>
          </w:tcPr>
          <w:p>
            <w:pPr>
              <w:spacing w:after="0"/>
              <w:rPr>
                <w:sz w:val="14"/>
                <w:szCs w:val="14"/>
                <w:color w:val="auto"/>
              </w:rPr>
            </w:pPr>
          </w:p>
        </w:tc>
        <w:tc>
          <w:tcPr>
            <w:tcW w:w="1860" w:type="dxa"/>
            <w:vAlign w:val="bottom"/>
            <w:gridSpan w:val="2"/>
            <w:shd w:val="clear" w:color="auto" w:fill="FCE9E8"/>
          </w:tcPr>
          <w:p>
            <w:pPr>
              <w:jc w:val="right"/>
              <w:spacing w:after="0"/>
              <w:rPr>
                <w:sz w:val="20"/>
                <w:szCs w:val="20"/>
                <w:color w:val="auto"/>
              </w:rPr>
            </w:pPr>
            <w:r>
              <w:rPr>
                <w:rFonts w:ascii="Arial" w:cs="Arial" w:eastAsia="Arial" w:hAnsi="Arial"/>
                <w:sz w:val="14"/>
                <w:szCs w:val="14"/>
                <w:color w:val="auto"/>
              </w:rPr>
              <w:t>Vested Career Shares $</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273,855</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253,051</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CE9E8"/>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2,184,841</w:t>
            </w:r>
          </w:p>
        </w:tc>
      </w:tr>
      <w:tr>
        <w:trPr>
          <w:trHeight w:val="167"/>
        </w:trPr>
        <w:tc>
          <w:tcPr>
            <w:tcW w:w="226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1700" w:type="dxa"/>
            <w:vAlign w:val="bottom"/>
          </w:tcPr>
          <w:p>
            <w:pPr>
              <w:jc w:val="right"/>
              <w:spacing w:after="0"/>
              <w:rPr>
                <w:sz w:val="20"/>
                <w:szCs w:val="20"/>
                <w:color w:val="auto"/>
              </w:rPr>
            </w:pPr>
            <w:r>
              <w:rPr>
                <w:rFonts w:ascii="Arial" w:cs="Arial" w:eastAsia="Arial" w:hAnsi="Arial"/>
                <w:sz w:val="14"/>
                <w:szCs w:val="14"/>
                <w:color w:val="auto"/>
              </w:rPr>
              <w:t>Salaried Retirement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4"/>
        </w:trPr>
        <w:tc>
          <w:tcPr>
            <w:tcW w:w="2260" w:type="dxa"/>
            <w:vAlign w:val="bottom"/>
          </w:tcPr>
          <w:p>
            <w:pPr>
              <w:spacing w:after="0"/>
              <w:rPr>
                <w:sz w:val="13"/>
                <w:szCs w:val="13"/>
                <w:color w:val="auto"/>
              </w:rPr>
            </w:pPr>
          </w:p>
        </w:tc>
        <w:tc>
          <w:tcPr>
            <w:tcW w:w="186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Restoration Program $</w:t>
            </w:r>
          </w:p>
        </w:tc>
        <w:tc>
          <w:tcPr>
            <w:tcW w:w="960" w:type="dxa"/>
            <w:vAlign w:val="bottom"/>
          </w:tcPr>
          <w:p>
            <w:pPr>
              <w:jc w:val="right"/>
              <w:ind w:right="48"/>
              <w:spacing w:after="0" w:line="154" w:lineRule="exact"/>
              <w:rPr>
                <w:sz w:val="20"/>
                <w:szCs w:val="20"/>
                <w:color w:val="auto"/>
              </w:rPr>
            </w:pPr>
            <w:r>
              <w:rPr>
                <w:rFonts w:ascii="Arial" w:cs="Arial" w:eastAsia="Arial" w:hAnsi="Arial"/>
                <w:sz w:val="14"/>
                <w:szCs w:val="14"/>
                <w:color w:val="auto"/>
              </w:rPr>
              <w:t>68,040</w:t>
            </w:r>
          </w:p>
        </w:tc>
        <w:tc>
          <w:tcPr>
            <w:tcW w:w="220" w:type="dxa"/>
            <w:vAlign w:val="bottom"/>
          </w:tcPr>
          <w:p>
            <w:pPr>
              <w:ind w:left="120"/>
              <w:spacing w:after="0" w:line="154"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line="154" w:lineRule="exact"/>
              <w:rPr>
                <w:sz w:val="20"/>
                <w:szCs w:val="20"/>
                <w:color w:val="auto"/>
              </w:rPr>
            </w:pPr>
            <w:r>
              <w:rPr>
                <w:rFonts w:ascii="Arial" w:cs="Arial" w:eastAsia="Arial" w:hAnsi="Arial"/>
                <w:sz w:val="14"/>
                <w:szCs w:val="14"/>
                <w:color w:val="auto"/>
              </w:rPr>
              <w:t>124,152</w:t>
            </w:r>
          </w:p>
        </w:tc>
        <w:tc>
          <w:tcPr>
            <w:tcW w:w="220" w:type="dxa"/>
            <w:vAlign w:val="bottom"/>
          </w:tcPr>
          <w:p>
            <w:pPr>
              <w:ind w:left="120"/>
              <w:spacing w:after="0" w:line="154"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4" w:lineRule="exact"/>
              <w:rPr>
                <w:sz w:val="20"/>
                <w:szCs w:val="20"/>
                <w:color w:val="auto"/>
              </w:rPr>
            </w:pPr>
            <w:r>
              <w:rPr>
                <w:rFonts w:ascii="Arial" w:cs="Arial" w:eastAsia="Arial" w:hAnsi="Arial"/>
                <w:sz w:val="14"/>
                <w:szCs w:val="14"/>
                <w:color w:val="auto"/>
              </w:rPr>
              <w:t>157,733</w:t>
            </w:r>
          </w:p>
        </w:tc>
        <w:tc>
          <w:tcPr>
            <w:tcW w:w="240" w:type="dxa"/>
            <w:vAlign w:val="bottom"/>
          </w:tcPr>
          <w:p>
            <w:pPr>
              <w:ind w:left="120"/>
              <w:spacing w:after="0" w:line="154" w:lineRule="exact"/>
              <w:rPr>
                <w:sz w:val="20"/>
                <w:szCs w:val="20"/>
                <w:color w:val="auto"/>
              </w:rPr>
            </w:pPr>
            <w:r>
              <w:rPr>
                <w:rFonts w:ascii="Arial" w:cs="Arial" w:eastAsia="Arial" w:hAnsi="Arial"/>
                <w:sz w:val="14"/>
                <w:szCs w:val="14"/>
                <w:color w:val="auto"/>
              </w:rPr>
              <w:t>$</w:t>
            </w:r>
          </w:p>
        </w:tc>
        <w:tc>
          <w:tcPr>
            <w:tcW w:w="1220" w:type="dxa"/>
            <w:vAlign w:val="bottom"/>
          </w:tcPr>
          <w:p>
            <w:pPr>
              <w:ind w:left="960"/>
              <w:spacing w:after="0" w:line="154"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54"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54" w:lineRule="exact"/>
              <w:rPr>
                <w:sz w:val="20"/>
                <w:szCs w:val="20"/>
                <w:color w:val="auto"/>
              </w:rPr>
            </w:pPr>
            <w:r>
              <w:rPr>
                <w:rFonts w:ascii="Arial" w:cs="Arial" w:eastAsia="Arial" w:hAnsi="Arial"/>
                <w:sz w:val="14"/>
                <w:szCs w:val="14"/>
                <w:color w:val="auto"/>
              </w:rPr>
              <w:t>2,932,224</w:t>
            </w:r>
          </w:p>
        </w:tc>
      </w:tr>
      <w:tr>
        <w:trPr>
          <w:trHeight w:val="179"/>
        </w:trPr>
        <w:tc>
          <w:tcPr>
            <w:tcW w:w="2260" w:type="dxa"/>
            <w:vAlign w:val="bottom"/>
          </w:tcPr>
          <w:p>
            <w:pPr>
              <w:spacing w:after="0"/>
              <w:rPr>
                <w:sz w:val="15"/>
                <w:szCs w:val="15"/>
                <w:color w:val="auto"/>
              </w:rPr>
            </w:pPr>
          </w:p>
        </w:tc>
        <w:tc>
          <w:tcPr>
            <w:tcW w:w="1700" w:type="dxa"/>
            <w:vAlign w:val="bottom"/>
          </w:tcPr>
          <w:p>
            <w:pPr>
              <w:jc w:val="right"/>
              <w:spacing w:after="0" w:line="179" w:lineRule="exact"/>
              <w:rPr>
                <w:sz w:val="20"/>
                <w:szCs w:val="20"/>
                <w:color w:val="auto"/>
              </w:rPr>
            </w:pPr>
            <w:r>
              <w:rPr>
                <w:rFonts w:ascii="Arial" w:cs="Arial" w:eastAsia="Arial" w:hAnsi="Arial"/>
                <w:sz w:val="12"/>
                <w:szCs w:val="12"/>
                <w:color w:val="auto"/>
              </w:rPr>
              <w:t>Vested Career Shares</w:t>
            </w:r>
            <w:r>
              <w:rPr>
                <w:rFonts w:ascii="Arial" w:cs="Arial" w:eastAsia="Arial" w:hAnsi="Arial"/>
                <w:sz w:val="20"/>
                <w:szCs w:val="20"/>
                <w:b w:val="1"/>
                <w:bCs w:val="1"/>
                <w:color w:val="auto"/>
                <w:vertAlign w:val="superscript"/>
              </w:rPr>
              <w:t>(5)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7"/>
        </w:trPr>
        <w:tc>
          <w:tcPr>
            <w:tcW w:w="2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17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Salaried Retirement</w:t>
            </w:r>
          </w:p>
        </w:tc>
        <w:tc>
          <w:tcPr>
            <w:tcW w:w="160" w:type="dxa"/>
            <w:vAlign w:val="bottom"/>
            <w:shd w:val="clear" w:color="auto" w:fill="FCE9E8"/>
          </w:tcPr>
          <w:p>
            <w:pPr>
              <w:spacing w:after="0"/>
              <w:rPr>
                <w:sz w:val="14"/>
                <w:szCs w:val="14"/>
                <w:color w:val="auto"/>
              </w:rPr>
            </w:pPr>
          </w:p>
        </w:tc>
        <w:tc>
          <w:tcPr>
            <w:tcW w:w="960" w:type="dxa"/>
            <w:vAlign w:val="bottom"/>
            <w:shd w:val="clear" w:color="auto" w:fill="FCE9E8"/>
          </w:tcPr>
          <w:p>
            <w:pPr>
              <w:spacing w:after="0"/>
              <w:rPr>
                <w:sz w:val="14"/>
                <w:szCs w:val="14"/>
                <w:color w:val="auto"/>
              </w:rPr>
            </w:pPr>
          </w:p>
        </w:tc>
        <w:tc>
          <w:tcPr>
            <w:tcW w:w="220" w:type="dxa"/>
            <w:vAlign w:val="bottom"/>
            <w:shd w:val="clear" w:color="auto" w:fill="FCE9E8"/>
          </w:tcPr>
          <w:p>
            <w:pPr>
              <w:spacing w:after="0"/>
              <w:rPr>
                <w:sz w:val="14"/>
                <w:szCs w:val="14"/>
                <w:color w:val="auto"/>
              </w:rPr>
            </w:pPr>
          </w:p>
        </w:tc>
        <w:tc>
          <w:tcPr>
            <w:tcW w:w="960" w:type="dxa"/>
            <w:vAlign w:val="bottom"/>
            <w:shd w:val="clear" w:color="auto" w:fill="FCE9E8"/>
          </w:tcPr>
          <w:p>
            <w:pPr>
              <w:spacing w:after="0"/>
              <w:rPr>
                <w:sz w:val="14"/>
                <w:szCs w:val="14"/>
                <w:color w:val="auto"/>
              </w:rPr>
            </w:pPr>
          </w:p>
        </w:tc>
        <w:tc>
          <w:tcPr>
            <w:tcW w:w="220" w:type="dxa"/>
            <w:vAlign w:val="bottom"/>
            <w:shd w:val="clear" w:color="auto" w:fill="FCE9E8"/>
          </w:tcPr>
          <w:p>
            <w:pPr>
              <w:spacing w:after="0"/>
              <w:rPr>
                <w:sz w:val="14"/>
                <w:szCs w:val="14"/>
                <w:color w:val="auto"/>
              </w:rPr>
            </w:pPr>
          </w:p>
        </w:tc>
        <w:tc>
          <w:tcPr>
            <w:tcW w:w="740" w:type="dxa"/>
            <w:vAlign w:val="bottom"/>
            <w:shd w:val="clear" w:color="auto" w:fill="FCE9E8"/>
          </w:tcPr>
          <w:p>
            <w:pPr>
              <w:spacing w:after="0"/>
              <w:rPr>
                <w:sz w:val="14"/>
                <w:szCs w:val="14"/>
                <w:color w:val="auto"/>
              </w:rPr>
            </w:pPr>
          </w:p>
        </w:tc>
        <w:tc>
          <w:tcPr>
            <w:tcW w:w="240" w:type="dxa"/>
            <w:vAlign w:val="bottom"/>
            <w:shd w:val="clear" w:color="auto" w:fill="FCE9E8"/>
          </w:tcPr>
          <w:p>
            <w:pPr>
              <w:spacing w:after="0"/>
              <w:rPr>
                <w:sz w:val="14"/>
                <w:szCs w:val="14"/>
                <w:color w:val="auto"/>
              </w:rPr>
            </w:pPr>
          </w:p>
        </w:tc>
        <w:tc>
          <w:tcPr>
            <w:tcW w:w="1220" w:type="dxa"/>
            <w:vAlign w:val="bottom"/>
            <w:shd w:val="clear" w:color="auto" w:fill="FCE9E8"/>
          </w:tcPr>
          <w:p>
            <w:pPr>
              <w:spacing w:after="0"/>
              <w:rPr>
                <w:sz w:val="14"/>
                <w:szCs w:val="14"/>
                <w:color w:val="auto"/>
              </w:rPr>
            </w:pPr>
          </w:p>
        </w:tc>
        <w:tc>
          <w:tcPr>
            <w:tcW w:w="220" w:type="dxa"/>
            <w:vAlign w:val="bottom"/>
            <w:shd w:val="clear" w:color="auto" w:fill="FCE9E8"/>
          </w:tcPr>
          <w:p>
            <w:pPr>
              <w:spacing w:after="0"/>
              <w:rPr>
                <w:sz w:val="14"/>
                <w:szCs w:val="14"/>
                <w:color w:val="auto"/>
              </w:rPr>
            </w:pPr>
          </w:p>
        </w:tc>
        <w:tc>
          <w:tcPr>
            <w:tcW w:w="1020" w:type="dxa"/>
            <w:vAlign w:val="bottom"/>
            <w:shd w:val="clear" w:color="auto" w:fill="FCE9E8"/>
          </w:tcPr>
          <w:p>
            <w:pPr>
              <w:spacing w:after="0"/>
              <w:rPr>
                <w:sz w:val="14"/>
                <w:szCs w:val="14"/>
                <w:color w:val="auto"/>
              </w:rPr>
            </w:pPr>
          </w:p>
        </w:tc>
      </w:tr>
      <w:tr>
        <w:trPr>
          <w:trHeight w:val="171"/>
        </w:trPr>
        <w:tc>
          <w:tcPr>
            <w:tcW w:w="2260" w:type="dxa"/>
            <w:vAlign w:val="bottom"/>
            <w:shd w:val="clear" w:color="auto" w:fill="FCE9E8"/>
          </w:tcPr>
          <w:p>
            <w:pPr>
              <w:spacing w:after="0"/>
              <w:rPr>
                <w:sz w:val="14"/>
                <w:szCs w:val="14"/>
                <w:color w:val="auto"/>
              </w:rPr>
            </w:pPr>
          </w:p>
        </w:tc>
        <w:tc>
          <w:tcPr>
            <w:tcW w:w="1860" w:type="dxa"/>
            <w:vAlign w:val="bottom"/>
            <w:gridSpan w:val="2"/>
            <w:shd w:val="clear" w:color="auto" w:fill="FCE9E8"/>
          </w:tcPr>
          <w:p>
            <w:pPr>
              <w:jc w:val="right"/>
              <w:spacing w:after="0"/>
              <w:rPr>
                <w:sz w:val="20"/>
                <w:szCs w:val="20"/>
                <w:color w:val="auto"/>
              </w:rPr>
            </w:pPr>
            <w:r>
              <w:rPr>
                <w:rFonts w:ascii="Arial" w:cs="Arial" w:eastAsia="Arial" w:hAnsi="Arial"/>
                <w:sz w:val="14"/>
                <w:szCs w:val="14"/>
                <w:color w:val="auto"/>
              </w:rPr>
              <w:t>Restoration Program $</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622,467</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82,820</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292,875</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CE9E8"/>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2,226,364</w:t>
            </w:r>
          </w:p>
        </w:tc>
      </w:tr>
      <w:tr>
        <w:trPr>
          <w:trHeight w:val="162"/>
        </w:trPr>
        <w:tc>
          <w:tcPr>
            <w:tcW w:w="2260" w:type="dxa"/>
            <w:vAlign w:val="bottom"/>
            <w:tcBorders>
              <w:bottom w:val="single" w:sz="8" w:color="auto"/>
            </w:tcBorders>
            <w:shd w:val="clear" w:color="auto" w:fill="FCE9E8"/>
          </w:tcPr>
          <w:p>
            <w:pPr>
              <w:spacing w:after="0"/>
              <w:rPr>
                <w:sz w:val="14"/>
                <w:szCs w:val="14"/>
                <w:color w:val="auto"/>
              </w:rPr>
            </w:pPr>
          </w:p>
        </w:tc>
        <w:tc>
          <w:tcPr>
            <w:tcW w:w="1860" w:type="dxa"/>
            <w:vAlign w:val="bottom"/>
            <w:tcBorders>
              <w:bottom w:val="single" w:sz="8" w:color="auto"/>
            </w:tcBorders>
            <w:gridSpan w:val="2"/>
            <w:shd w:val="clear" w:color="auto" w:fill="FCE9E8"/>
          </w:tcPr>
          <w:p>
            <w:pPr>
              <w:jc w:val="right"/>
              <w:spacing w:after="0"/>
              <w:rPr>
                <w:sz w:val="20"/>
                <w:szCs w:val="20"/>
                <w:color w:val="auto"/>
              </w:rPr>
            </w:pPr>
            <w:r>
              <w:rPr>
                <w:rFonts w:ascii="Arial" w:cs="Arial" w:eastAsia="Arial" w:hAnsi="Arial"/>
                <w:sz w:val="14"/>
                <w:szCs w:val="14"/>
                <w:color w:val="auto"/>
              </w:rPr>
              <w:t>Vested Career Shares $</w:t>
            </w:r>
          </w:p>
        </w:tc>
        <w:tc>
          <w:tcPr>
            <w:tcW w:w="96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FCE9E8"/>
          </w:tcPr>
          <w:p>
            <w:pPr>
              <w:ind w:left="9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FCE9E8"/>
          </w:tcPr>
          <w:p>
            <w:pPr>
              <w:jc w:val="right"/>
              <w:ind w:right="88"/>
              <w:spacing w:after="0"/>
              <w:rPr>
                <w:sz w:val="20"/>
                <w:szCs w:val="20"/>
                <w:color w:val="auto"/>
              </w:rPr>
            </w:pPr>
            <w:r>
              <w:rPr>
                <w:rFonts w:ascii="Arial" w:cs="Arial" w:eastAsia="Arial" w:hAnsi="Arial"/>
                <w:sz w:val="14"/>
                <w:szCs w:val="14"/>
                <w:color w:val="auto"/>
              </w:rPr>
              <w:t>—</w:t>
            </w:r>
          </w:p>
        </w:tc>
      </w:tr>
    </w:tbl>
    <w:p>
      <w:pPr>
        <w:spacing w:after="0" w:line="45" w:lineRule="exact"/>
        <w:rPr>
          <w:sz w:val="20"/>
          <w:szCs w:val="20"/>
          <w:color w:val="auto"/>
        </w:rPr>
      </w:pPr>
    </w:p>
    <w:p>
      <w:pPr>
        <w:ind w:left="960" w:right="200" w:hanging="293"/>
        <w:spacing w:after="0" w:line="183" w:lineRule="auto"/>
        <w:tabs>
          <w:tab w:leader="none" w:pos="96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Salaried Retirement Restoration Program amounts are included in column (i) of the 2021 Summary Compensation Table. For Vested Career Shares, amounts represent the value of the Vested Career Shares (and accrued dividend equivalents) on November 14, 2021, the vesting date.</w:t>
      </w:r>
    </w:p>
    <w:p>
      <w:pPr>
        <w:spacing w:after="0" w:line="8" w:lineRule="exact"/>
        <w:rPr>
          <w:rFonts w:ascii="Arial" w:cs="Arial" w:eastAsia="Arial" w:hAnsi="Arial"/>
          <w:sz w:val="24"/>
          <w:szCs w:val="24"/>
          <w:color w:val="auto"/>
          <w:vertAlign w:val="superscript"/>
        </w:rPr>
      </w:pPr>
    </w:p>
    <w:p>
      <w:pPr>
        <w:ind w:left="960" w:hanging="293"/>
        <w:spacing w:after="0"/>
        <w:tabs>
          <w:tab w:leader="none" w:pos="96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represent accrued dividend equivalents plus stock price appreciation or depreciation.</w:t>
      </w:r>
    </w:p>
    <w:p>
      <w:pPr>
        <w:spacing w:after="0" w:line="111" w:lineRule="exact"/>
        <w:rPr>
          <w:rFonts w:ascii="Arial" w:cs="Arial" w:eastAsia="Arial" w:hAnsi="Arial"/>
          <w:sz w:val="24"/>
          <w:szCs w:val="24"/>
          <w:color w:val="auto"/>
          <w:vertAlign w:val="superscript"/>
        </w:rPr>
      </w:pPr>
    </w:p>
    <w:p>
      <w:pPr>
        <w:ind w:left="960" w:right="20" w:hanging="293"/>
        <w:spacing w:after="0" w:line="183" w:lineRule="auto"/>
        <w:tabs>
          <w:tab w:leader="none" w:pos="96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reflect the closing price of the Company’s common stock on December 31, 2021, which was $182.95, and accrued dividend equivalents (see the 2021 Options Exercised and Stock Vested table for more information).</w:t>
      </w:r>
    </w:p>
    <w:p>
      <w:pPr>
        <w:spacing w:after="0" w:line="8" w:lineRule="exact"/>
        <w:rPr>
          <w:rFonts w:ascii="Arial" w:cs="Arial" w:eastAsia="Arial" w:hAnsi="Arial"/>
          <w:sz w:val="24"/>
          <w:szCs w:val="24"/>
          <w:color w:val="auto"/>
          <w:vertAlign w:val="superscript"/>
        </w:rPr>
      </w:pPr>
    </w:p>
    <w:p>
      <w:pPr>
        <w:ind w:left="960" w:hanging="293"/>
        <w:spacing w:after="0"/>
        <w:tabs>
          <w:tab w:leader="none" w:pos="96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All amounts reflected in this table are vested.</w:t>
      </w:r>
    </w:p>
    <w:p>
      <w:pPr>
        <w:spacing w:after="0" w:line="111" w:lineRule="exact"/>
        <w:rPr>
          <w:rFonts w:ascii="Arial" w:cs="Arial" w:eastAsia="Arial" w:hAnsi="Arial"/>
          <w:sz w:val="24"/>
          <w:szCs w:val="24"/>
          <w:color w:val="auto"/>
          <w:vertAlign w:val="superscript"/>
        </w:rPr>
      </w:pPr>
    </w:p>
    <w:p>
      <w:pPr>
        <w:ind w:left="960" w:right="160" w:hanging="293"/>
        <w:spacing w:after="0" w:line="183" w:lineRule="auto"/>
        <w:tabs>
          <w:tab w:leader="none" w:pos="96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Because Mr. DiDonato is over the age of 62, the shares of the Company’s common stock underlying the Career Shares that vested on November 14, 2021, were distributed to him immediately upon vesting.</w:t>
      </w:r>
    </w:p>
    <w:p>
      <w:pPr>
        <w:spacing w:after="0" w:line="260" w:lineRule="exact"/>
        <w:rPr>
          <w:sz w:val="20"/>
          <w:szCs w:val="20"/>
          <w:color w:val="auto"/>
        </w:rPr>
      </w:pPr>
    </w:p>
    <w:p>
      <w:pPr>
        <w:ind w:left="780" w:hanging="393"/>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Salaried Retirement Restoration Program</w:t>
      </w:r>
    </w:p>
    <w:p>
      <w:pPr>
        <w:spacing w:after="0" w:line="19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The defined contribution element of the Salaried Retirement Restoration Program is described in the narrative accompanying the 2021 Pension Benefits table above and is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58420</wp:posOffset>
            </wp:positionV>
            <wp:extent cx="1405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quantified in the 2021 Nonqualified Deferred Compensation table.</w:t>
      </w:r>
    </w:p>
    <w:p>
      <w:pPr>
        <w:spacing w:after="0" w:line="597" w:lineRule="exact"/>
        <w:rPr>
          <w:sz w:val="20"/>
          <w:szCs w:val="20"/>
          <w:color w:val="auto"/>
        </w:rPr>
      </w:pPr>
    </w:p>
    <w:p>
      <w:pPr>
        <w:sectPr>
          <w:pgSz w:w="11900" w:h="16838" w:orient="portrait"/>
          <w:cols w:equalWidth="0" w:num="2">
            <w:col w:w="5280" w:space="440"/>
            <w:col w:w="5140"/>
          </w:cols>
          <w:pgMar w:left="320" w:top="459" w:right="71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Vested Career Shares</w:t>
      </w:r>
    </w:p>
    <w:p>
      <w:pPr>
        <w:spacing w:after="0" w:line="19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We have included the Vested Career Shares in the 2021 Nonqualified Deferred Compensation table because they vested in a previous year(s) but distribution of the underlying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shares of common stock is deferred, as described above in the narrative on the Career Shares program accompanying the 2021 Grants of Plan-Based Awards table.</w:t>
      </w:r>
    </w:p>
    <w:p>
      <w:pPr>
        <w:spacing w:after="0" w:line="200" w:lineRule="exact"/>
        <w:rPr>
          <w:sz w:val="20"/>
          <w:szCs w:val="20"/>
          <w:color w:val="auto"/>
        </w:rPr>
      </w:pPr>
    </w:p>
    <w:p>
      <w:pPr>
        <w:sectPr>
          <w:pgSz w:w="11900" w:h="16838" w:orient="portrait"/>
          <w:cols w:equalWidth="0" w:num="2">
            <w:col w:w="5260" w:space="460"/>
            <w:col w:w="5140"/>
          </w:cols>
          <w:pgMar w:left="320" w:top="459"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their termination of employment with the Company. The amount payable is shown for each of six categories of termination triggers. All amounts are calculated as if the executive terminated effective December 31, 2021. Values of accelerated equity awards are based on the closing price of our common stock on December 31, 2021, which was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$182.95. The actual amounts due to any one of the Named Executive Officers upon termination of employment can only be determined at the time, and depending on the circumstances, of the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390" w:lineRule="exact"/>
        <w:rPr>
          <w:sz w:val="20"/>
          <w:szCs w:val="20"/>
          <w:color w:val="auto"/>
        </w:rPr>
      </w:pPr>
    </w:p>
    <w:p>
      <w:pPr>
        <w:sectPr>
          <w:pgSz w:w="11900" w:h="16838" w:orient="portrait"/>
          <w:cols w:equalWidth="0" w:num="2">
            <w:col w:w="5360" w:space="360"/>
            <w:col w:w="5140"/>
          </w:cols>
          <w:pgMar w:left="320" w:top="459" w:right="719" w:bottom="1440" w:gutter="0" w:footer="0" w:header="0"/>
          <w:type w:val="continuous"/>
        </w:sectPr>
      </w:pPr>
    </w:p>
    <w:p>
      <w:pPr>
        <w:spacing w:after="0" w:line="198"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59</w:t>
      </w:r>
    </w:p>
    <w:p>
      <w:pPr>
        <w:sectPr>
          <w:pgSz w:w="11900" w:h="16838" w:orient="portrait"/>
          <w:cols w:equalWidth="0" w:num="1">
            <w:col w:w="10860"/>
          </w:cols>
          <w:pgMar w:left="320" w:top="459" w:right="7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93" w:lineRule="exact"/>
        <w:rPr>
          <w:sz w:val="20"/>
          <w:szCs w:val="20"/>
          <w:color w:val="auto"/>
        </w:rPr>
      </w:pPr>
    </w:p>
    <w:p>
      <w:pPr>
        <w:ind w:left="660" w:right="160"/>
        <w:spacing w:after="0" w:line="260" w:lineRule="auto"/>
        <w:rPr>
          <w:sz w:val="20"/>
          <w:szCs w:val="20"/>
          <w:color w:val="auto"/>
        </w:rPr>
      </w:pPr>
      <w:r>
        <w:rPr>
          <w:rFonts w:ascii="Arial" w:cs="Arial" w:eastAsia="Arial" w:hAnsi="Arial"/>
          <w:sz w:val="16"/>
          <w:szCs w:val="16"/>
          <w:color w:val="auto"/>
        </w:rPr>
        <w:t>Accrued amounts under the Company’s pension and deferred compensation plans are not included in this table. For these amounts, see the 2021 Pension Benefits table above and the 2021 Nonqualified Deferred Compensation table above.</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E2231A"/>
              </w:rPr>
              <w:t>Accelerated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E2231A"/>
              </w:rPr>
              <w:t>Named Executive Officer</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Continuation of</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E2231A"/>
                <w:w w:val="99"/>
              </w:rPr>
              <w:t>Vesting or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E2231A"/>
              </w:rPr>
              <w:t>Medical/Welfare</w:t>
            </w:r>
          </w:p>
        </w:tc>
        <w:tc>
          <w:tcPr>
            <w:tcW w:w="28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E2231A"/>
              </w:rPr>
              <w:t>Payout of</w:t>
            </w:r>
          </w:p>
        </w:tc>
        <w:tc>
          <w:tcPr>
            <w:tcW w:w="320" w:type="dxa"/>
            <w:vAlign w:val="bottom"/>
          </w:tcPr>
          <w:p>
            <w:pPr>
              <w:spacing w:after="0"/>
              <w:rPr>
                <w:sz w:val="12"/>
                <w:szCs w:val="12"/>
                <w:color w:val="auto"/>
              </w:rPr>
            </w:pPr>
          </w:p>
        </w:tc>
        <w:tc>
          <w:tcPr>
            <w:tcW w:w="1000" w:type="dxa"/>
            <w:vAlign w:val="bottom"/>
          </w:tcPr>
          <w:p>
            <w:pPr>
              <w:jc w:val="right"/>
              <w:ind w:right="448"/>
              <w:spacing w:after="0" w:line="149" w:lineRule="exact"/>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62"/>
        </w:trPr>
        <w:tc>
          <w:tcPr>
            <w:tcW w:w="4540" w:type="dxa"/>
            <w:vAlign w:val="bottom"/>
            <w:gridSpan w:val="2"/>
          </w:tcPr>
          <w:p>
            <w:pPr>
              <w:ind w:left="80"/>
              <w:spacing w:after="0"/>
              <w:rPr>
                <w:sz w:val="20"/>
                <w:szCs w:val="20"/>
                <w:color w:val="auto"/>
              </w:rPr>
            </w:pPr>
            <w:r>
              <w:rPr>
                <w:rFonts w:ascii="Arial" w:cs="Arial" w:eastAsia="Arial" w:hAnsi="Arial"/>
                <w:sz w:val="14"/>
                <w:szCs w:val="14"/>
                <w:b w:val="1"/>
                <w:bCs w:val="1"/>
                <w:color w:val="E2231A"/>
              </w:rPr>
              <w:t>and</w:t>
            </w:r>
          </w:p>
        </w:tc>
        <w:tc>
          <w:tcPr>
            <w:tcW w:w="34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E2231A"/>
              </w:rPr>
              <w:t>Cash</w:t>
            </w: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E2231A"/>
              </w:rPr>
              <w:t>Benefits (Present</w:t>
            </w:r>
          </w:p>
        </w:tc>
        <w:tc>
          <w:tcPr>
            <w:tcW w:w="280" w:type="dxa"/>
            <w:vAlign w:val="bottom"/>
          </w:tcPr>
          <w:p>
            <w:pPr>
              <w:spacing w:after="0"/>
              <w:rPr>
                <w:sz w:val="14"/>
                <w:szCs w:val="14"/>
                <w:color w:val="auto"/>
              </w:rPr>
            </w:pPr>
          </w:p>
        </w:tc>
        <w:tc>
          <w:tcPr>
            <w:tcW w:w="960" w:type="dxa"/>
            <w:vAlign w:val="bottom"/>
          </w:tcPr>
          <w:p>
            <w:pPr>
              <w:jc w:val="center"/>
              <w:ind w:right="208"/>
              <w:spacing w:after="0"/>
              <w:rPr>
                <w:sz w:val="20"/>
                <w:szCs w:val="20"/>
                <w:color w:val="auto"/>
              </w:rPr>
            </w:pPr>
            <w:r>
              <w:rPr>
                <w:rFonts w:ascii="Arial" w:cs="Arial" w:eastAsia="Arial" w:hAnsi="Arial"/>
                <w:sz w:val="14"/>
                <w:szCs w:val="14"/>
                <w:b w:val="1"/>
                <w:bCs w:val="1"/>
                <w:color w:val="E2231A"/>
              </w:rPr>
              <w:t>Equity</w:t>
            </w: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E2231A"/>
              </w:rPr>
              <w:t>Termination</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E2231A"/>
              </w:rPr>
              <w:t>Triggering Event</w:t>
            </w:r>
          </w:p>
        </w:tc>
        <w:tc>
          <w:tcPr>
            <w:tcW w:w="1240" w:type="dxa"/>
            <w:vAlign w:val="bottom"/>
            <w:tcBorders>
              <w:bottom w:val="single" w:sz="8" w:color="auto"/>
            </w:tcBorders>
            <w:gridSpan w:val="2"/>
          </w:tcPr>
          <w:p>
            <w:pPr>
              <w:ind w:left="180"/>
              <w:spacing w:after="0" w:line="216" w:lineRule="exact"/>
              <w:rPr>
                <w:sz w:val="20"/>
                <w:szCs w:val="20"/>
                <w:color w:val="auto"/>
              </w:rPr>
            </w:pPr>
            <w:r>
              <w:rPr>
                <w:rFonts w:ascii="Arial" w:cs="Arial" w:eastAsia="Arial" w:hAnsi="Arial"/>
                <w:sz w:val="14"/>
                <w:szCs w:val="14"/>
                <w:b w:val="1"/>
                <w:bCs w:val="1"/>
                <w:color w:val="E2231A"/>
              </w:rPr>
              <w:t>Severance</w:t>
            </w:r>
            <w:r>
              <w:rPr>
                <w:rFonts w:ascii="Arial" w:cs="Arial" w:eastAsia="Arial" w:hAnsi="Arial"/>
                <w:sz w:val="24"/>
                <w:szCs w:val="24"/>
                <w:b w:val="1"/>
                <w:bCs w:val="1"/>
                <w:color w:val="E2231A"/>
                <w:vertAlign w:val="superscript"/>
              </w:rPr>
              <w:t>(1)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48"/>
              <w:spacing w:after="0" w:line="216" w:lineRule="exact"/>
              <w:rPr>
                <w:sz w:val="20"/>
                <w:szCs w:val="20"/>
                <w:color w:val="auto"/>
              </w:rPr>
            </w:pPr>
            <w:r>
              <w:rPr>
                <w:rFonts w:ascii="Arial" w:cs="Arial" w:eastAsia="Arial" w:hAnsi="Arial"/>
                <w:sz w:val="14"/>
                <w:szCs w:val="14"/>
                <w:b w:val="1"/>
                <w:bCs w:val="1"/>
                <w:color w:val="E2231A"/>
                <w:w w:val="90"/>
              </w:rPr>
              <w:t>Value)</w:t>
            </w:r>
            <w:r>
              <w:rPr>
                <w:rFonts w:ascii="Arial" w:cs="Arial" w:eastAsia="Arial" w:hAnsi="Arial"/>
                <w:sz w:val="24"/>
                <w:szCs w:val="24"/>
                <w:b w:val="1"/>
                <w:bCs w:val="1"/>
                <w:color w:val="E2231A"/>
                <w:w w:val="90"/>
                <w:vertAlign w:val="superscript"/>
              </w:rPr>
              <w:t>(2)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08"/>
              <w:spacing w:after="0" w:line="216" w:lineRule="exact"/>
              <w:rPr>
                <w:sz w:val="20"/>
                <w:szCs w:val="20"/>
                <w:color w:val="auto"/>
              </w:rPr>
            </w:pPr>
            <w:r>
              <w:rPr>
                <w:rFonts w:ascii="Arial" w:cs="Arial" w:eastAsia="Arial" w:hAnsi="Arial"/>
                <w:sz w:val="14"/>
                <w:szCs w:val="14"/>
                <w:b w:val="1"/>
                <w:bCs w:val="1"/>
                <w:color w:val="E2231A"/>
                <w:w w:val="96"/>
              </w:rPr>
              <w:t>Awards</w:t>
            </w:r>
            <w:r>
              <w:rPr>
                <w:rFonts w:ascii="Arial" w:cs="Arial" w:eastAsia="Arial" w:hAnsi="Arial"/>
                <w:sz w:val="24"/>
                <w:szCs w:val="24"/>
                <w:b w:val="1"/>
                <w:bCs w:val="1"/>
                <w:color w:val="E2231A"/>
                <w:w w:val="96"/>
                <w:vertAlign w:val="superscript"/>
              </w:rPr>
              <w:t>(3)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E2231A"/>
              </w:rPr>
              <w:t>Benefits</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Raymond E. Scott</w:t>
            </w:r>
          </w:p>
        </w:tc>
        <w:tc>
          <w:tcPr>
            <w:tcW w:w="340" w:type="dxa"/>
            <w:vAlign w:val="bottom"/>
            <w:tcBorders>
              <w:bottom w:val="single" w:sz="8" w:color="auto"/>
            </w:tcBorders>
            <w:shd w:val="clear" w:color="auto" w:fill="FCE9E8"/>
          </w:tcPr>
          <w:p>
            <w:pPr>
              <w:spacing w:after="0"/>
              <w:rPr>
                <w:sz w:val="19"/>
                <w:szCs w:val="19"/>
                <w:color w:val="auto"/>
              </w:rPr>
            </w:pPr>
          </w:p>
        </w:tc>
        <w:tc>
          <w:tcPr>
            <w:tcW w:w="900" w:type="dxa"/>
            <w:vAlign w:val="bottom"/>
            <w:tcBorders>
              <w:bottom w:val="single" w:sz="8" w:color="auto"/>
            </w:tcBorders>
            <w:shd w:val="clear" w:color="auto" w:fill="FCE9E8"/>
          </w:tcPr>
          <w:p>
            <w:pPr>
              <w:spacing w:after="0"/>
              <w:rPr>
                <w:sz w:val="19"/>
                <w:szCs w:val="19"/>
                <w:color w:val="auto"/>
              </w:rPr>
            </w:pPr>
          </w:p>
        </w:tc>
        <w:tc>
          <w:tcPr>
            <w:tcW w:w="360" w:type="dxa"/>
            <w:vAlign w:val="bottom"/>
            <w:tcBorders>
              <w:bottom w:val="single" w:sz="8" w:color="auto"/>
            </w:tcBorders>
            <w:shd w:val="clear" w:color="auto" w:fill="FCE9E8"/>
          </w:tcPr>
          <w:p>
            <w:pPr>
              <w:spacing w:after="0"/>
              <w:rPr>
                <w:sz w:val="19"/>
                <w:szCs w:val="19"/>
                <w:color w:val="auto"/>
              </w:rPr>
            </w:pPr>
          </w:p>
        </w:tc>
        <w:tc>
          <w:tcPr>
            <w:tcW w:w="1220" w:type="dxa"/>
            <w:vAlign w:val="bottom"/>
            <w:tcBorders>
              <w:bottom w:val="single" w:sz="8" w:color="auto"/>
            </w:tcBorders>
            <w:shd w:val="clear" w:color="auto" w:fill="FCE9E8"/>
          </w:tcPr>
          <w:p>
            <w:pPr>
              <w:spacing w:after="0"/>
              <w:rPr>
                <w:sz w:val="19"/>
                <w:szCs w:val="19"/>
                <w:color w:val="auto"/>
              </w:rPr>
            </w:pPr>
          </w:p>
        </w:tc>
        <w:tc>
          <w:tcPr>
            <w:tcW w:w="28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6,350,000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30,951</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28,953,818</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35,334,769</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6,350,000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30,951</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22,021,582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28,402,533</w:t>
            </w:r>
          </w:p>
        </w:tc>
        <w:tc>
          <w:tcPr>
            <w:tcW w:w="0" w:type="dxa"/>
            <w:vAlign w:val="bottom"/>
          </w:tcPr>
          <w:p>
            <w:pPr>
              <w:spacing w:after="0"/>
              <w:rPr>
                <w:sz w:val="1"/>
                <w:szCs w:val="1"/>
                <w:color w:val="auto"/>
              </w:rPr>
            </w:pPr>
          </w:p>
        </w:tc>
      </w:tr>
      <w:tr>
        <w:trPr>
          <w:trHeight w:val="233"/>
        </w:trPr>
        <w:tc>
          <w:tcPr>
            <w:tcW w:w="4540" w:type="dxa"/>
            <w:vAlign w:val="bottom"/>
            <w:gridSpan w:val="2"/>
          </w:tcPr>
          <w:p>
            <w:pPr>
              <w:ind w:left="80"/>
              <w:spacing w:after="0" w:line="233" w:lineRule="exact"/>
              <w:rPr>
                <w:sz w:val="20"/>
                <w:szCs w:val="20"/>
                <w:color w:val="auto"/>
              </w:rPr>
            </w:pPr>
            <w:r>
              <w:rPr>
                <w:rFonts w:ascii="Arial" w:cs="Arial" w:eastAsia="Arial" w:hAnsi="Arial"/>
                <w:sz w:val="14"/>
                <w:szCs w:val="14"/>
                <w:color w:val="auto"/>
              </w:rPr>
              <w:t>• Retirement</w:t>
            </w:r>
            <w:r>
              <w:rPr>
                <w:rFonts w:ascii="Arial" w:cs="Arial" w:eastAsia="Arial" w:hAnsi="Arial"/>
                <w:sz w:val="24"/>
                <w:szCs w:val="24"/>
                <w:color w:val="auto"/>
                <w:vertAlign w:val="superscript"/>
              </w:rPr>
              <w:t>(4)</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18,045,809</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18,045,809</w:t>
            </w:r>
          </w:p>
        </w:tc>
        <w:tc>
          <w:tcPr>
            <w:tcW w:w="0" w:type="dxa"/>
            <w:vAlign w:val="bottom"/>
          </w:tcPr>
          <w:p>
            <w:pPr>
              <w:spacing w:after="0"/>
              <w:rPr>
                <w:sz w:val="1"/>
                <w:szCs w:val="1"/>
                <w:color w:val="auto"/>
              </w:rPr>
            </w:pPr>
          </w:p>
        </w:tc>
      </w:tr>
      <w:tr>
        <w:trPr>
          <w:trHeight w:val="17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36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22,782,924</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9"/>
              </w:rPr>
              <w:t>22,782,924</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Jason M. Cardew</w:t>
            </w:r>
          </w:p>
        </w:tc>
        <w:tc>
          <w:tcPr>
            <w:tcW w:w="340" w:type="dxa"/>
            <w:vAlign w:val="bottom"/>
            <w:tcBorders>
              <w:bottom w:val="single" w:sz="8" w:color="auto"/>
            </w:tcBorders>
            <w:shd w:val="clear" w:color="auto" w:fill="FCE9E8"/>
          </w:tcPr>
          <w:p>
            <w:pPr>
              <w:spacing w:after="0"/>
              <w:rPr>
                <w:sz w:val="19"/>
                <w:szCs w:val="19"/>
                <w:color w:val="auto"/>
              </w:rPr>
            </w:pPr>
          </w:p>
        </w:tc>
        <w:tc>
          <w:tcPr>
            <w:tcW w:w="900" w:type="dxa"/>
            <w:vAlign w:val="bottom"/>
            <w:tcBorders>
              <w:bottom w:val="single" w:sz="8" w:color="auto"/>
            </w:tcBorders>
            <w:shd w:val="clear" w:color="auto" w:fill="FCE9E8"/>
          </w:tcPr>
          <w:p>
            <w:pPr>
              <w:spacing w:after="0"/>
              <w:rPr>
                <w:sz w:val="19"/>
                <w:szCs w:val="19"/>
                <w:color w:val="auto"/>
              </w:rPr>
            </w:pPr>
          </w:p>
        </w:tc>
        <w:tc>
          <w:tcPr>
            <w:tcW w:w="360" w:type="dxa"/>
            <w:vAlign w:val="bottom"/>
            <w:tcBorders>
              <w:bottom w:val="single" w:sz="8" w:color="auto"/>
            </w:tcBorders>
            <w:shd w:val="clear" w:color="auto" w:fill="FCE9E8"/>
          </w:tcPr>
          <w:p>
            <w:pPr>
              <w:spacing w:after="0"/>
              <w:rPr>
                <w:sz w:val="19"/>
                <w:szCs w:val="19"/>
                <w:color w:val="auto"/>
              </w:rPr>
            </w:pPr>
          </w:p>
        </w:tc>
        <w:tc>
          <w:tcPr>
            <w:tcW w:w="1220" w:type="dxa"/>
            <w:vAlign w:val="bottom"/>
            <w:tcBorders>
              <w:bottom w:val="single" w:sz="8" w:color="auto"/>
            </w:tcBorders>
            <w:shd w:val="clear" w:color="auto" w:fill="FCE9E8"/>
          </w:tcPr>
          <w:p>
            <w:pPr>
              <w:spacing w:after="0"/>
              <w:rPr>
                <w:sz w:val="19"/>
                <w:szCs w:val="19"/>
                <w:color w:val="auto"/>
              </w:rPr>
            </w:pPr>
          </w:p>
        </w:tc>
        <w:tc>
          <w:tcPr>
            <w:tcW w:w="28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3,296,000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27,654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7,365,128</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10,688,782</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3,296,000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27,654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5,624,337</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8,947,991</w:t>
            </w:r>
          </w:p>
        </w:tc>
        <w:tc>
          <w:tcPr>
            <w:tcW w:w="0" w:type="dxa"/>
            <w:vAlign w:val="bottom"/>
          </w:tcPr>
          <w:p>
            <w:pPr>
              <w:spacing w:after="0"/>
              <w:rPr>
                <w:sz w:val="1"/>
                <w:szCs w:val="1"/>
                <w:color w:val="auto"/>
              </w:rPr>
            </w:pPr>
          </w:p>
        </w:tc>
      </w:tr>
      <w:tr>
        <w:trPr>
          <w:trHeight w:val="203"/>
        </w:trPr>
        <w:tc>
          <w:tcPr>
            <w:tcW w:w="4540" w:type="dxa"/>
            <w:vAlign w:val="bottom"/>
            <w:gridSpan w:val="2"/>
          </w:tcPr>
          <w:p>
            <w:pPr>
              <w:ind w:left="80"/>
              <w:spacing w:after="0"/>
              <w:rPr>
                <w:sz w:val="20"/>
                <w:szCs w:val="20"/>
                <w:color w:val="auto"/>
              </w:rPr>
            </w:pPr>
            <w:r>
              <w:rPr>
                <w:rFonts w:ascii="Arial" w:cs="Arial" w:eastAsia="Arial" w:hAnsi="Arial"/>
                <w:sz w:val="14"/>
                <w:szCs w:val="14"/>
                <w:color w:val="auto"/>
              </w:rPr>
              <w:t>• Retirement</w:t>
            </w:r>
          </w:p>
        </w:tc>
        <w:tc>
          <w:tcPr>
            <w:tcW w:w="34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36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5,878,058</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5,878,058</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Frank C. Orsini</w:t>
            </w:r>
          </w:p>
        </w:tc>
        <w:tc>
          <w:tcPr>
            <w:tcW w:w="340" w:type="dxa"/>
            <w:vAlign w:val="bottom"/>
            <w:tcBorders>
              <w:bottom w:val="single" w:sz="8" w:color="auto"/>
            </w:tcBorders>
            <w:shd w:val="clear" w:color="auto" w:fill="FCE9E8"/>
          </w:tcPr>
          <w:p>
            <w:pPr>
              <w:spacing w:after="0"/>
              <w:rPr>
                <w:sz w:val="19"/>
                <w:szCs w:val="19"/>
                <w:color w:val="auto"/>
              </w:rPr>
            </w:pPr>
          </w:p>
        </w:tc>
        <w:tc>
          <w:tcPr>
            <w:tcW w:w="900" w:type="dxa"/>
            <w:vAlign w:val="bottom"/>
            <w:tcBorders>
              <w:bottom w:val="single" w:sz="8" w:color="auto"/>
            </w:tcBorders>
            <w:shd w:val="clear" w:color="auto" w:fill="FCE9E8"/>
          </w:tcPr>
          <w:p>
            <w:pPr>
              <w:spacing w:after="0"/>
              <w:rPr>
                <w:sz w:val="19"/>
                <w:szCs w:val="19"/>
                <w:color w:val="auto"/>
              </w:rPr>
            </w:pPr>
          </w:p>
        </w:tc>
        <w:tc>
          <w:tcPr>
            <w:tcW w:w="360" w:type="dxa"/>
            <w:vAlign w:val="bottom"/>
            <w:tcBorders>
              <w:bottom w:val="single" w:sz="8" w:color="auto"/>
            </w:tcBorders>
            <w:shd w:val="clear" w:color="auto" w:fill="FCE9E8"/>
          </w:tcPr>
          <w:p>
            <w:pPr>
              <w:spacing w:after="0"/>
              <w:rPr>
                <w:sz w:val="19"/>
                <w:szCs w:val="19"/>
                <w:color w:val="auto"/>
              </w:rPr>
            </w:pPr>
          </w:p>
        </w:tc>
        <w:tc>
          <w:tcPr>
            <w:tcW w:w="1220" w:type="dxa"/>
            <w:vAlign w:val="bottom"/>
            <w:tcBorders>
              <w:bottom w:val="single" w:sz="8" w:color="auto"/>
            </w:tcBorders>
            <w:shd w:val="clear" w:color="auto" w:fill="FCE9E8"/>
          </w:tcPr>
          <w:p>
            <w:pPr>
              <w:spacing w:after="0"/>
              <w:rPr>
                <w:sz w:val="19"/>
                <w:szCs w:val="19"/>
                <w:color w:val="auto"/>
              </w:rPr>
            </w:pPr>
          </w:p>
        </w:tc>
        <w:tc>
          <w:tcPr>
            <w:tcW w:w="28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3,296,000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26,335</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9,526,513</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12,848,848</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3,296,000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26,335</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7,509,498</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10,831,833</w:t>
            </w:r>
          </w:p>
        </w:tc>
        <w:tc>
          <w:tcPr>
            <w:tcW w:w="0" w:type="dxa"/>
            <w:vAlign w:val="bottom"/>
          </w:tcPr>
          <w:p>
            <w:pPr>
              <w:spacing w:after="0"/>
              <w:rPr>
                <w:sz w:val="1"/>
                <w:szCs w:val="1"/>
                <w:color w:val="auto"/>
              </w:rPr>
            </w:pPr>
          </w:p>
        </w:tc>
      </w:tr>
      <w:tr>
        <w:trPr>
          <w:trHeight w:val="203"/>
        </w:trPr>
        <w:tc>
          <w:tcPr>
            <w:tcW w:w="4540" w:type="dxa"/>
            <w:vAlign w:val="bottom"/>
            <w:gridSpan w:val="2"/>
          </w:tcPr>
          <w:p>
            <w:pPr>
              <w:ind w:left="80"/>
              <w:spacing w:after="0"/>
              <w:rPr>
                <w:sz w:val="20"/>
                <w:szCs w:val="20"/>
                <w:color w:val="auto"/>
              </w:rPr>
            </w:pPr>
            <w:r>
              <w:rPr>
                <w:rFonts w:ascii="Arial" w:cs="Arial" w:eastAsia="Arial" w:hAnsi="Arial"/>
                <w:sz w:val="14"/>
                <w:szCs w:val="14"/>
                <w:color w:val="auto"/>
              </w:rPr>
              <w:t>• Retirement</w:t>
            </w:r>
          </w:p>
        </w:tc>
        <w:tc>
          <w:tcPr>
            <w:tcW w:w="34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36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7,763,217</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7,763,217</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Thomas A. DiDonato</w:t>
            </w:r>
          </w:p>
        </w:tc>
        <w:tc>
          <w:tcPr>
            <w:tcW w:w="340" w:type="dxa"/>
            <w:vAlign w:val="bottom"/>
            <w:tcBorders>
              <w:bottom w:val="single" w:sz="8" w:color="auto"/>
            </w:tcBorders>
            <w:shd w:val="clear" w:color="auto" w:fill="FCE9E8"/>
          </w:tcPr>
          <w:p>
            <w:pPr>
              <w:spacing w:after="0"/>
              <w:rPr>
                <w:sz w:val="19"/>
                <w:szCs w:val="19"/>
                <w:color w:val="auto"/>
              </w:rPr>
            </w:pPr>
          </w:p>
        </w:tc>
        <w:tc>
          <w:tcPr>
            <w:tcW w:w="900" w:type="dxa"/>
            <w:vAlign w:val="bottom"/>
            <w:tcBorders>
              <w:bottom w:val="single" w:sz="8" w:color="auto"/>
            </w:tcBorders>
            <w:shd w:val="clear" w:color="auto" w:fill="FCE9E8"/>
          </w:tcPr>
          <w:p>
            <w:pPr>
              <w:spacing w:after="0"/>
              <w:rPr>
                <w:sz w:val="19"/>
                <w:szCs w:val="19"/>
                <w:color w:val="auto"/>
              </w:rPr>
            </w:pPr>
          </w:p>
        </w:tc>
        <w:tc>
          <w:tcPr>
            <w:tcW w:w="360" w:type="dxa"/>
            <w:vAlign w:val="bottom"/>
            <w:tcBorders>
              <w:bottom w:val="single" w:sz="8" w:color="auto"/>
            </w:tcBorders>
            <w:shd w:val="clear" w:color="auto" w:fill="FCE9E8"/>
          </w:tcPr>
          <w:p>
            <w:pPr>
              <w:spacing w:after="0"/>
              <w:rPr>
                <w:sz w:val="19"/>
                <w:szCs w:val="19"/>
                <w:color w:val="auto"/>
              </w:rPr>
            </w:pPr>
          </w:p>
        </w:tc>
        <w:tc>
          <w:tcPr>
            <w:tcW w:w="1220" w:type="dxa"/>
            <w:vAlign w:val="bottom"/>
            <w:tcBorders>
              <w:bottom w:val="single" w:sz="8" w:color="auto"/>
            </w:tcBorders>
            <w:shd w:val="clear" w:color="auto" w:fill="FCE9E8"/>
          </w:tcPr>
          <w:p>
            <w:pPr>
              <w:spacing w:after="0"/>
              <w:rPr>
                <w:sz w:val="19"/>
                <w:szCs w:val="19"/>
                <w:color w:val="auto"/>
              </w:rPr>
            </w:pPr>
          </w:p>
        </w:tc>
        <w:tc>
          <w:tcPr>
            <w:tcW w:w="28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2,884,000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34,744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7,522,702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10,441,446</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2,884,000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34,744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5,905,144</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8,823,888</w:t>
            </w:r>
          </w:p>
        </w:tc>
        <w:tc>
          <w:tcPr>
            <w:tcW w:w="0" w:type="dxa"/>
            <w:vAlign w:val="bottom"/>
          </w:tcPr>
          <w:p>
            <w:pPr>
              <w:spacing w:after="0"/>
              <w:rPr>
                <w:sz w:val="1"/>
                <w:szCs w:val="1"/>
                <w:color w:val="auto"/>
              </w:rPr>
            </w:pPr>
          </w:p>
        </w:tc>
      </w:tr>
      <w:tr>
        <w:trPr>
          <w:trHeight w:val="233"/>
        </w:trPr>
        <w:tc>
          <w:tcPr>
            <w:tcW w:w="4540" w:type="dxa"/>
            <w:vAlign w:val="bottom"/>
            <w:gridSpan w:val="2"/>
          </w:tcPr>
          <w:p>
            <w:pPr>
              <w:ind w:left="80"/>
              <w:spacing w:after="0" w:line="233" w:lineRule="exact"/>
              <w:rPr>
                <w:sz w:val="20"/>
                <w:szCs w:val="20"/>
                <w:color w:val="auto"/>
              </w:rPr>
            </w:pPr>
            <w:r>
              <w:rPr>
                <w:rFonts w:ascii="Arial" w:cs="Arial" w:eastAsia="Arial" w:hAnsi="Arial"/>
                <w:sz w:val="14"/>
                <w:szCs w:val="14"/>
                <w:color w:val="auto"/>
              </w:rPr>
              <w:t>• Retirement</w:t>
            </w:r>
            <w:r>
              <w:rPr>
                <w:rFonts w:ascii="Arial" w:cs="Arial" w:eastAsia="Arial" w:hAnsi="Arial"/>
                <w:sz w:val="24"/>
                <w:szCs w:val="24"/>
                <w:color w:val="auto"/>
                <w:vertAlign w:val="superscript"/>
              </w:rPr>
              <w:t>(4)</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4,960,928</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4,960,928</w:t>
            </w:r>
          </w:p>
        </w:tc>
        <w:tc>
          <w:tcPr>
            <w:tcW w:w="0" w:type="dxa"/>
            <w:vAlign w:val="bottom"/>
          </w:tcPr>
          <w:p>
            <w:pPr>
              <w:spacing w:after="0"/>
              <w:rPr>
                <w:sz w:val="1"/>
                <w:szCs w:val="1"/>
                <w:color w:val="auto"/>
              </w:rPr>
            </w:pPr>
          </w:p>
        </w:tc>
      </w:tr>
      <w:tr>
        <w:trPr>
          <w:trHeight w:val="17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36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6,057,266</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6,057,266</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Carl A. Esposito</w:t>
            </w:r>
          </w:p>
        </w:tc>
        <w:tc>
          <w:tcPr>
            <w:tcW w:w="340" w:type="dxa"/>
            <w:vAlign w:val="bottom"/>
            <w:tcBorders>
              <w:bottom w:val="single" w:sz="8" w:color="auto"/>
            </w:tcBorders>
            <w:shd w:val="clear" w:color="auto" w:fill="FCE9E8"/>
          </w:tcPr>
          <w:p>
            <w:pPr>
              <w:spacing w:after="0"/>
              <w:rPr>
                <w:sz w:val="19"/>
                <w:szCs w:val="19"/>
                <w:color w:val="auto"/>
              </w:rPr>
            </w:pPr>
          </w:p>
        </w:tc>
        <w:tc>
          <w:tcPr>
            <w:tcW w:w="900" w:type="dxa"/>
            <w:vAlign w:val="bottom"/>
            <w:tcBorders>
              <w:bottom w:val="single" w:sz="8" w:color="auto"/>
            </w:tcBorders>
            <w:shd w:val="clear" w:color="auto" w:fill="FCE9E8"/>
          </w:tcPr>
          <w:p>
            <w:pPr>
              <w:spacing w:after="0"/>
              <w:rPr>
                <w:sz w:val="19"/>
                <w:szCs w:val="19"/>
                <w:color w:val="auto"/>
              </w:rPr>
            </w:pPr>
          </w:p>
        </w:tc>
        <w:tc>
          <w:tcPr>
            <w:tcW w:w="360" w:type="dxa"/>
            <w:vAlign w:val="bottom"/>
            <w:tcBorders>
              <w:bottom w:val="single" w:sz="8" w:color="auto"/>
            </w:tcBorders>
            <w:shd w:val="clear" w:color="auto" w:fill="FCE9E8"/>
          </w:tcPr>
          <w:p>
            <w:pPr>
              <w:spacing w:after="0"/>
              <w:rPr>
                <w:sz w:val="19"/>
                <w:szCs w:val="19"/>
                <w:color w:val="auto"/>
              </w:rPr>
            </w:pPr>
          </w:p>
        </w:tc>
        <w:tc>
          <w:tcPr>
            <w:tcW w:w="1220" w:type="dxa"/>
            <w:vAlign w:val="bottom"/>
            <w:tcBorders>
              <w:bottom w:val="single" w:sz="8" w:color="auto"/>
            </w:tcBorders>
            <w:shd w:val="clear" w:color="auto" w:fill="FCE9E8"/>
          </w:tcPr>
          <w:p>
            <w:pPr>
              <w:spacing w:after="0"/>
              <w:rPr>
                <w:sz w:val="19"/>
                <w:szCs w:val="19"/>
                <w:color w:val="auto"/>
              </w:rPr>
            </w:pPr>
          </w:p>
        </w:tc>
        <w:tc>
          <w:tcPr>
            <w:tcW w:w="28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2,520,000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27,654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12,554,261</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15,101,915</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2,520,000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27,654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11,011,162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13,558,816</w:t>
            </w:r>
          </w:p>
        </w:tc>
        <w:tc>
          <w:tcPr>
            <w:tcW w:w="0" w:type="dxa"/>
            <w:vAlign w:val="bottom"/>
          </w:tcPr>
          <w:p>
            <w:pPr>
              <w:spacing w:after="0"/>
              <w:rPr>
                <w:sz w:val="1"/>
                <w:szCs w:val="1"/>
                <w:color w:val="auto"/>
              </w:rPr>
            </w:pPr>
          </w:p>
        </w:tc>
      </w:tr>
      <w:tr>
        <w:trPr>
          <w:trHeight w:val="203"/>
        </w:trPr>
        <w:tc>
          <w:tcPr>
            <w:tcW w:w="4540" w:type="dxa"/>
            <w:vAlign w:val="bottom"/>
            <w:gridSpan w:val="2"/>
          </w:tcPr>
          <w:p>
            <w:pPr>
              <w:ind w:left="80"/>
              <w:spacing w:after="0"/>
              <w:rPr>
                <w:sz w:val="20"/>
                <w:szCs w:val="20"/>
                <w:color w:val="auto"/>
              </w:rPr>
            </w:pPr>
            <w:r>
              <w:rPr>
                <w:rFonts w:ascii="Arial" w:cs="Arial" w:eastAsia="Arial" w:hAnsi="Arial"/>
                <w:sz w:val="14"/>
                <w:szCs w:val="14"/>
                <w:color w:val="auto"/>
              </w:rPr>
              <w:t>• Retirement</w:t>
            </w:r>
          </w:p>
        </w:tc>
        <w:tc>
          <w:tcPr>
            <w:tcW w:w="34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7"/>
                <w:szCs w:val="17"/>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36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11,264,881</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9"/>
              </w:rPr>
              <w:t>11,264,881</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960" w:right="120" w:hanging="293"/>
        <w:spacing w:after="0" w:line="218" w:lineRule="auto"/>
        <w:tabs>
          <w:tab w:leader="none" w:pos="96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Cash severance (in an amount equal to two times the sum of base salary plus target annual incentive bonus amount) is paid in a lump sum to each Named Executive Officer on the date that is six months after the date of termination (other than Mr. DiDonato, who would receive cash severance payments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spacing w:after="0" w:line="260" w:lineRule="exact"/>
        <w:rPr>
          <w:sz w:val="20"/>
          <w:szCs w:val="20"/>
          <w:color w:val="auto"/>
        </w:rPr>
      </w:pPr>
    </w:p>
    <w:p>
      <w:pPr>
        <w:ind w:left="780" w:hanging="393"/>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9" w:lineRule="exact"/>
        <w:rPr>
          <w:sz w:val="20"/>
          <w:szCs w:val="20"/>
          <w:color w:val="auto"/>
        </w:rPr>
      </w:pPr>
    </w:p>
    <w:p>
      <w:pPr>
        <w:ind w:left="960" w:hanging="293"/>
        <w:spacing w:after="0"/>
        <w:tabs>
          <w:tab w:leader="none" w:pos="960" w:val="left"/>
        </w:tabs>
        <w:numPr>
          <w:ilvl w:val="0"/>
          <w:numId w:val="114"/>
        </w:numPr>
        <w:rPr>
          <w:rFonts w:ascii="Arial" w:cs="Arial" w:eastAsia="Arial" w:hAnsi="Arial"/>
          <w:sz w:val="24"/>
          <w:szCs w:val="24"/>
          <w:color w:val="auto"/>
          <w:vertAlign w:val="superscript"/>
        </w:rPr>
      </w:pPr>
      <w:r>
        <w:rPr>
          <w:rFonts w:ascii="Arial" w:cs="Arial" w:eastAsia="Arial" w:hAnsi="Arial"/>
          <w:sz w:val="14"/>
          <w:szCs w:val="14"/>
          <w:color w:val="auto"/>
        </w:rPr>
        <w:t>Consists of continuation of health insurance, life insurance premium and imputed income amounts.</w:t>
      </w:r>
    </w:p>
    <w:p>
      <w:pPr>
        <w:spacing w:after="0" w:line="111" w:lineRule="exact"/>
        <w:rPr>
          <w:rFonts w:ascii="Arial" w:cs="Arial" w:eastAsia="Arial" w:hAnsi="Arial"/>
          <w:sz w:val="24"/>
          <w:szCs w:val="24"/>
          <w:color w:val="auto"/>
          <w:vertAlign w:val="superscript"/>
        </w:rPr>
      </w:pPr>
    </w:p>
    <w:p>
      <w:pPr>
        <w:ind w:left="960" w:right="280" w:hanging="293"/>
        <w:spacing w:after="0"/>
        <w:tabs>
          <w:tab w:leader="none" w:pos="960" w:val="left"/>
        </w:tabs>
        <w:numPr>
          <w:ilvl w:val="0"/>
          <w:numId w:val="114"/>
        </w:numPr>
        <w:rPr>
          <w:rFonts w:ascii="Arial" w:cs="Arial" w:eastAsia="Arial" w:hAnsi="Arial"/>
          <w:sz w:val="24"/>
          <w:szCs w:val="24"/>
          <w:color w:val="auto"/>
          <w:vertAlign w:val="superscript"/>
        </w:rPr>
      </w:pPr>
      <w:r>
        <w:rPr>
          <w:rFonts w:ascii="Arial" w:cs="Arial" w:eastAsia="Arial" w:hAnsi="Arial"/>
          <w:sz w:val="14"/>
          <w:szCs w:val="14"/>
          <w:color w:val="auto"/>
        </w:rPr>
        <w:t>Represents accelerated or pro rata (as applicable) vesting of RSUs and stock options and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“without cause”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stock options and Performance Shares are valued based on the December 31, 2021, closing price of the Company’s common stock.</w:t>
      </w:r>
    </w:p>
    <w:p>
      <w:pPr>
        <w:spacing w:after="0" w:line="174" w:lineRule="exact"/>
        <w:rPr>
          <w:rFonts w:ascii="Arial" w:cs="Arial" w:eastAsia="Arial" w:hAnsi="Arial"/>
          <w:sz w:val="24"/>
          <w:szCs w:val="24"/>
          <w:color w:val="auto"/>
          <w:vertAlign w:val="superscript"/>
        </w:rPr>
      </w:pPr>
    </w:p>
    <w:p>
      <w:pPr>
        <w:ind w:left="960" w:right="720" w:hanging="293"/>
        <w:spacing w:after="0" w:line="183" w:lineRule="auto"/>
        <w:tabs>
          <w:tab w:leader="none" w:pos="960" w:val="left"/>
        </w:tabs>
        <w:numPr>
          <w:ilvl w:val="0"/>
          <w:numId w:val="114"/>
        </w:numPr>
        <w:rPr>
          <w:rFonts w:ascii="Arial" w:cs="Arial" w:eastAsia="Arial" w:hAnsi="Arial"/>
          <w:sz w:val="24"/>
          <w:szCs w:val="24"/>
          <w:color w:val="auto"/>
          <w:vertAlign w:val="superscript"/>
        </w:rPr>
      </w:pPr>
      <w:r>
        <w:rPr>
          <w:rFonts w:ascii="Arial" w:cs="Arial" w:eastAsia="Arial" w:hAnsi="Arial"/>
          <w:sz w:val="14"/>
          <w:szCs w:val="14"/>
          <w:color w:val="auto"/>
        </w:rPr>
        <w:t>As of December 31, 2021, Messrs. Scott and DiDonato were retirement-eligible, and therefore, qualify for accelerated vesting of certain incentive awards upon retirement. The Company does not provide for enhanced early retirement benefits under its pension programs.</w:t>
      </w:r>
    </w:p>
    <w:p>
      <w:pPr>
        <w:spacing w:after="0" w:line="112" w:lineRule="exact"/>
        <w:rPr>
          <w:rFonts w:ascii="Arial" w:cs="Arial" w:eastAsia="Arial" w:hAnsi="Arial"/>
          <w:sz w:val="24"/>
          <w:szCs w:val="24"/>
          <w:color w:val="auto"/>
          <w:vertAlign w:val="superscript"/>
        </w:rPr>
      </w:pPr>
    </w:p>
    <w:p>
      <w:pPr>
        <w:ind w:left="960" w:right="360" w:hanging="293"/>
        <w:spacing w:after="0"/>
        <w:tabs>
          <w:tab w:leader="none" w:pos="960" w:val="left"/>
        </w:tabs>
        <w:numPr>
          <w:ilvl w:val="0"/>
          <w:numId w:val="114"/>
        </w:numPr>
        <w:rPr>
          <w:rFonts w:ascii="Arial" w:cs="Arial" w:eastAsia="Arial" w:hAnsi="Arial"/>
          <w:sz w:val="24"/>
          <w:szCs w:val="24"/>
          <w:color w:val="auto"/>
          <w:vertAlign w:val="superscript"/>
        </w:rPr>
      </w:pPr>
      <w:r>
        <w:rPr>
          <w:rFonts w:ascii="Arial" w:cs="Arial" w:eastAsia="Arial" w:hAnsi="Arial"/>
          <w:sz w:val="14"/>
          <w:szCs w:val="14"/>
          <w:color w:val="auto"/>
        </w:rPr>
        <w:t>Messrs. Scott, Cardew and Orsini are fully vested in their pension benefits, and as such, there would be no pension vesting enhancement with respect to death benefits for them. Messrs. DiDonato and Esposito do not participate in the Pension Plan, and as such, they are not eligible for such death benefit.</w:t>
      </w:r>
    </w:p>
    <w:p>
      <w:pPr>
        <w:sectPr>
          <w:pgSz w:w="11900" w:h="16838" w:orient="portrait"/>
          <w:cols w:equalWidth="0" w:num="1">
            <w:col w:w="10860"/>
          </w:cols>
          <w:pgMar w:left="320" w:top="459" w:right="719" w:bottom="1440" w:gutter="0" w:footer="0" w:header="0"/>
        </w:sectPr>
      </w:pPr>
    </w:p>
    <w:p>
      <w:pPr>
        <w:spacing w:after="0" w:line="34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Payments and benefits to a Named Executive Officer upon termination or a change in control of the Company are determined according to the terms of his or her employment agreement and equity or incentive awards and the Company’s compensation and incentive plans. The severance benefit payments shown in the table and discussed below are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generally available to our executive officers, including the Named Executive Officers, who currently have employment agreements with the Company. The amounts due to an executive upon his or her termination of employment depend largely on the circumstances of his or her termination, as described below.</w:t>
      </w:r>
    </w:p>
    <w:p>
      <w:pPr>
        <w:spacing w:after="0" w:line="387"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387"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 with a Change in Control</w:t>
      </w:r>
    </w:p>
    <w:p>
      <w:pPr>
        <w:sectPr>
          <w:pgSz w:w="11900" w:h="16838" w:orient="portrait"/>
          <w:cols w:equalWidth="0" w:num="1">
            <w:col w:w="10860"/>
          </w:cols>
          <w:pgMar w:left="320" w:top="459" w:right="719" w:bottom="1440" w:gutter="0" w:footer="0" w:header="0"/>
          <w:type w:val="continuous"/>
        </w:sectPr>
      </w:pPr>
    </w:p>
    <w:p>
      <w:pPr>
        <w:spacing w:after="0" w:line="207"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If a change in control occurs, the awards are assumed or replaced with equivalent awards,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 Unvested Performance Shares will vest at target, any unvested RSUs (other than Career Shares) and unvested stock options that were granted less than 12 months prior to the Named Executive Officer’s termination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employment will vest on a pro rata basis. Vested stock options will remain exercisable for 60 days post-termination.</w:t>
      </w:r>
    </w:p>
    <w:p>
      <w:pPr>
        <w:spacing w:after="0" w:line="87"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None of our Named Executive Officers is a party to an 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275"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w:t>
      </w:r>
    </w:p>
    <w:p>
      <w:pPr>
        <w:sectPr>
          <w:pgSz w:w="11900" w:h="16838" w:orient="portrait"/>
          <w:cols w:equalWidth="0" w:num="1">
            <w:col w:w="10860"/>
          </w:cols>
          <w:pgMar w:left="320" w:top="459" w:right="719" w:bottom="1440" w:gutter="0" w:footer="0" w:header="0"/>
          <w:type w:val="continuous"/>
        </w:sectPr>
      </w:pPr>
    </w:p>
    <w:p>
      <w:pPr>
        <w:spacing w:after="0" w:line="20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under any compensation or benefit plans, including a bonus pro-rated for the portion of the performance period occurring prior to the date of termination. If the executive executes a release relating to his or her employment, he will also receive a lump sum payment equal to two times the sum of his or her annual base salary rate and annual target bonus amount, each as in effect as of the termination date.</w:t>
      </w:r>
    </w:p>
    <w:p>
      <w:pPr>
        <w:spacing w:after="0" w:line="200" w:lineRule="exact"/>
        <w:rPr>
          <w:sz w:val="20"/>
          <w:szCs w:val="20"/>
          <w:color w:val="auto"/>
        </w:rPr>
      </w:pPr>
    </w:p>
    <w:p>
      <w:pPr>
        <w:sectPr>
          <w:pgSz w:w="11900" w:h="16838" w:orient="portrait"/>
          <w:cols w:equalWidth="0" w:num="2">
            <w:col w:w="5260" w:space="460"/>
            <w:col w:w="5140"/>
          </w:cols>
          <w:pgMar w:left="320" w:top="459" w:right="719" w:bottom="1440" w:gutter="0" w:footer="0" w:header="0"/>
          <w:type w:val="continuous"/>
        </w:sectPr>
      </w:pPr>
    </w:p>
    <w:p>
      <w:pPr>
        <w:spacing w:after="0" w:line="213"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61</w:t>
      </w:r>
    </w:p>
    <w:p>
      <w:pPr>
        <w:sectPr>
          <w:pgSz w:w="11900" w:h="16838" w:orient="portrait"/>
          <w:cols w:equalWidth="0" w:num="1">
            <w:col w:w="10860"/>
          </w:cols>
          <w:pgMar w:left="320" w:top="459" w:right="71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778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In the event of an involuntary termination for any reason other than cause, or by the executive for good reason, the award agreements under the LTSIP provide that (i) all unvested RSUs (other than Career Shares) and stock options that were granted at least 12 months prior to the termination of employment become vested in their entirety, (ii) all unvested RSUs (other than Career Shares) and stock options that were granted less than 12 months prior to the termination of employment vest on a pro rata basis, and (iii) a pro rata amount of Performance Shares may be earned through the termination date if actual performance during the performance period meets the pre-established performance requirements.</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and stock option awards. The executive will be entitled to receive the shares underlying the RSUs, and will be entitled to exercise the portion of any stock option, in each case, that would have vested if the date of termination had been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Each Named Executive Officer’s employment agreement provides more favorable treatment than items (i) and (ii) in the foregoing sentence, and instead, any unvested awards that vest based on the passage of time would immediately vest in their entirety upon a termination by the Named Executive Officer for good reason or by the Company for incapacity or other than for cause. In addition, executives would receive all dividend equivalents with interest associated with the accelerated RSUs and any Performance Shares earned at the time of vesting. Vested stock options will remain exercisable for 60 days post-termination.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 Each vested stock option will remain exercisable until its normal expiration date.</w:t>
      </w:r>
    </w:p>
    <w:p>
      <w:pPr>
        <w:spacing w:after="0" w:line="390" w:lineRule="exact"/>
        <w:rPr>
          <w:sz w:val="20"/>
          <w:szCs w:val="20"/>
          <w:color w:val="auto"/>
        </w:rPr>
      </w:pPr>
    </w:p>
    <w:p>
      <w:pPr>
        <w:sectPr>
          <w:pgSz w:w="11900" w:h="16838" w:orient="portrait"/>
          <w:cols w:equalWidth="0" w:num="2">
            <w:col w:w="5080" w:space="320"/>
            <w:col w:w="5060"/>
          </w:cols>
          <w:pgMar w:left="320" w:top="459" w:right="1119" w:bottom="1440" w:gutter="0" w:footer="0" w:header="0"/>
          <w:type w:val="continuous"/>
        </w:sectPr>
      </w:pP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Payments Made Upon Voluntary Termination (or for “Cause”)</w:t>
      </w:r>
    </w:p>
    <w:p>
      <w:pPr>
        <w:sectPr>
          <w:pgSz w:w="11900" w:h="16838" w:orient="portrait"/>
          <w:cols w:equalWidth="0" w:num="1">
            <w:col w:w="10460"/>
          </w:cols>
          <w:pgMar w:left="320" w:top="459" w:right="1119" w:bottom="1440" w:gutter="0" w:footer="0" w:header="0"/>
          <w:type w:val="continuous"/>
        </w:sectPr>
      </w:pPr>
    </w:p>
    <w:p>
      <w:pPr>
        <w:spacing w:after="0" w:line="20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or her termination. If an executive terminates voluntarily and has not attained a combined number of age and years of service of at least 65, with a minimum age of 55 and minimum service of five years, he will be entitled to receive all of the shares underlying his or her vested RSUs and associated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dividend equivalents with interest and will be entitled to exercise any then-vested stock options for 60 days post-termination, but all unvested RSUs and Performance Shares and any associated dividend equivalents with interest, and any unvested stock options, will be forfeited. If an executive is terminated for cause, he will forfeit all RSUs, stock options, and Performance Shares along with any associated dividend equivalents with interest (if applicable).</w:t>
      </w:r>
    </w:p>
    <w:p>
      <w:pPr>
        <w:spacing w:after="0" w:line="580" w:lineRule="exact"/>
        <w:rPr>
          <w:sz w:val="20"/>
          <w:szCs w:val="20"/>
          <w:color w:val="auto"/>
        </w:rPr>
      </w:pPr>
    </w:p>
    <w:p>
      <w:pPr>
        <w:sectPr>
          <w:pgSz w:w="11900" w:h="16838" w:orient="portrait"/>
          <w:cols w:equalWidth="0" w:num="2">
            <w:col w:w="5000" w:space="400"/>
            <w:col w:w="5060"/>
          </w:cols>
          <w:pgMar w:left="320" w:top="459" w:right="1119" w:bottom="1440" w:gutter="0" w:footer="0" w:header="0"/>
          <w:type w:val="continuous"/>
        </w:sectPr>
      </w:pP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Following termination of the executive’s employment for disability, the executive will receive all base salary and other accrued amounts then payable through the date of termination. The executive will also receive compensation payable under the Company’s disability and medical plans. In the event of the executive’s termination for disability, all unvested RSUs and stock options become vested in their entirety upon termination and a pro rata amount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distribution. Each vested stock option will remain exercisable until 12 months following the termination of employment.</w:t>
      </w:r>
    </w:p>
    <w:p>
      <w:pPr>
        <w:spacing w:after="0" w:line="200" w:lineRule="exact"/>
        <w:rPr>
          <w:sz w:val="20"/>
          <w:szCs w:val="20"/>
          <w:color w:val="auto"/>
        </w:rPr>
      </w:pPr>
    </w:p>
    <w:p>
      <w:pPr>
        <w:sectPr>
          <w:pgSz w:w="11900" w:h="16838" w:orient="portrait"/>
          <w:cols w:equalWidth="0" w:num="2">
            <w:col w:w="5080" w:space="320"/>
            <w:col w:w="5060"/>
          </w:cols>
          <w:pgMar w:left="320" w:top="459" w:right="111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Treatment of Career Shares</w:t>
      </w:r>
    </w:p>
    <w:p>
      <w:pPr>
        <w:sectPr>
          <w:pgSz w:w="11900" w:h="16838" w:orient="portrait"/>
          <w:cols w:equalWidth="0" w:num="1">
            <w:col w:w="10460"/>
          </w:cols>
          <w:pgMar w:left="320" w:top="459" w:right="1119" w:bottom="1440" w:gutter="0" w:footer="0" w:header="0"/>
          <w:type w:val="continuous"/>
        </w:sectPr>
      </w:pPr>
    </w:p>
    <w:p>
      <w:pPr>
        <w:spacing w:after="0" w:line="207"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to the Career Share qualifying retirement date (i.e., age 62 or the date that the executive attains a combined number of age</w:t>
      </w:r>
    </w:p>
    <w:p>
      <w:pPr>
        <w:spacing w:after="0" w:line="200" w:lineRule="exact"/>
        <w:rPr>
          <w:sz w:val="20"/>
          <w:szCs w:val="20"/>
          <w:color w:val="auto"/>
        </w:rPr>
      </w:pPr>
    </w:p>
    <w:p>
      <w:pPr>
        <w:sectPr>
          <w:pgSz w:w="11900" w:h="16838" w:orient="portrait"/>
          <w:cols w:equalWidth="0" w:num="2">
            <w:col w:w="4680" w:space="720"/>
            <w:col w:w="5060"/>
          </w:cols>
          <w:pgMar w:left="320" w:top="459" w:right="1119" w:bottom="1440" w:gutter="0" w:footer="0" w:header="0"/>
          <w:type w:val="continuous"/>
        </w:sectPr>
      </w:pPr>
    </w:p>
    <w:p>
      <w:pPr>
        <w:spacing w:after="0" w:line="200" w:lineRule="exact"/>
        <w:rPr>
          <w:sz w:val="20"/>
          <w:szCs w:val="20"/>
          <w:color w:val="auto"/>
        </w:rPr>
      </w:pPr>
    </w:p>
    <w:p>
      <w:pPr>
        <w:ind w:left="780" w:hanging="393"/>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60"/>
          </w:cols>
          <w:pgMar w:left="320" w:top="459" w:right="11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5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and years of service of 65, with a minimum age of 55 and minimum service of five years) or for violating non-competition and non-solicitation covenants prior to distribution of the shares. If the executive has a Career Share qualifying retirement or is terminated without “cause” or resigns for “good reason,” in each case within 24 months of the vesting date, any Career Shares will continue to vest as originally scheduled, subject to achievement of any applicable performance goals for the Performance-Based Career Shares.</w:t>
      </w:r>
    </w:p>
    <w:p>
      <w:pPr>
        <w:spacing w:after="0" w:line="99" w:lineRule="exact"/>
        <w:rPr>
          <w:sz w:val="20"/>
          <w:szCs w:val="20"/>
          <w:color w:val="auto"/>
        </w:rPr>
      </w:pPr>
    </w:p>
    <w:p>
      <w:pPr>
        <w:ind w:left="120" w:right="40"/>
        <w:spacing w:after="0" w:line="246"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 (i) age 62 (or such later vesting date) or</w:t>
      </w:r>
    </w:p>
    <w:p>
      <w:pPr>
        <w:spacing w:after="0" w:line="2" w:lineRule="exact"/>
        <w:rPr>
          <w:sz w:val="20"/>
          <w:szCs w:val="20"/>
          <w:color w:val="auto"/>
        </w:rPr>
      </w:pPr>
    </w:p>
    <w:p>
      <w:pPr>
        <w:ind w:left="120" w:right="60" w:hanging="4"/>
        <w:spacing w:after="0" w:line="260" w:lineRule="auto"/>
        <w:tabs>
          <w:tab w:leader="none" w:pos="34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three years after the executive’s qualifying retirement. If the executive has attained a combined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of age and years of service of at least 65, with a minimum age of 55 and minimum service of five years,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Unvested Career Shares become vested (subject to achievement of any applicable performance goals)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10" w:lineRule="exact"/>
        <w:rPr>
          <w:sz w:val="20"/>
          <w:szCs w:val="20"/>
          <w:color w:val="auto"/>
        </w:rPr>
      </w:pPr>
    </w:p>
    <w:p>
      <w:pPr>
        <w:sectPr>
          <w:pgSz w:w="11900" w:h="16838" w:orient="portrait"/>
          <w:cols w:equalWidth="0" w:num="2">
            <w:col w:w="5380" w:space="360"/>
            <w:col w:w="5360"/>
          </w:cols>
          <w:pgMar w:left="320" w:top="459" w:right="479" w:bottom="1440" w:gutter="0" w:footer="0" w:header="0"/>
          <w:type w:val="continuous"/>
        </w:sectPr>
      </w:pP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96"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Following the death of the executive, we will pay to his or her estate or designated beneficiary a pro rata portion of any bonus earned prior to the date of death. In the event of the executive’s death, all unvested RSUs and stock options become vested in their entirety and a pro rata amount of Performance Shares may be earned through the date of death if actual performance during the performance period meets the</w:t>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96"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Each executive who has entered into an employment agreement with the Company is obligated to:</w:t>
      </w:r>
    </w:p>
    <w:p>
      <w:pPr>
        <w:spacing w:after="0" w:line="101" w:lineRule="exact"/>
        <w:rPr>
          <w:sz w:val="20"/>
          <w:szCs w:val="20"/>
          <w:color w:val="auto"/>
        </w:rPr>
      </w:pPr>
    </w:p>
    <w:p>
      <w:pPr>
        <w:ind w:left="320" w:right="200" w:hanging="204"/>
        <w:spacing w:after="0" w:line="260" w:lineRule="auto"/>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comply with confidentiality, non-competition and non-solicitation covenants during employment;</w:t>
      </w:r>
    </w:p>
    <w:p>
      <w:pPr>
        <w:spacing w:after="0" w:line="100" w:lineRule="exact"/>
        <w:rPr>
          <w:rFonts w:ascii="Arial" w:cs="Arial" w:eastAsia="Arial" w:hAnsi="Arial"/>
          <w:sz w:val="16"/>
          <w:szCs w:val="16"/>
          <w:color w:val="auto"/>
        </w:rPr>
      </w:pPr>
    </w:p>
    <w:p>
      <w:pPr>
        <w:ind w:left="320" w:right="120" w:hanging="204"/>
        <w:spacing w:after="0" w:line="251" w:lineRule="auto"/>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07" w:lineRule="exact"/>
        <w:rPr>
          <w:rFonts w:ascii="Arial" w:cs="Arial" w:eastAsia="Arial" w:hAnsi="Arial"/>
          <w:sz w:val="16"/>
          <w:szCs w:val="16"/>
          <w:color w:val="auto"/>
        </w:rPr>
      </w:pPr>
    </w:p>
    <w:p>
      <w:pPr>
        <w:ind w:left="320" w:right="600" w:hanging="204"/>
        <w:spacing w:after="0" w:line="260" w:lineRule="auto"/>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order to receive severance payments due under the employment agreement, sign a general release relating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3" w:right="800"/>
        <w:spacing w:after="0" w:line="249" w:lineRule="auto"/>
        <w:rPr>
          <w:sz w:val="20"/>
          <w:szCs w:val="20"/>
          <w:color w:val="auto"/>
        </w:rPr>
      </w:pPr>
      <w:r>
        <w:rPr>
          <w:rFonts w:ascii="Arial" w:cs="Arial" w:eastAsia="Arial" w:hAnsi="Arial"/>
          <w:sz w:val="16"/>
          <w:szCs w:val="16"/>
          <w:color w:val="auto"/>
        </w:rPr>
        <w:t>pre-established performance requirements. In addition, the estate or designated beneficiary would receive all dividend equivalents with interest associated with the accelerated RSUs and any Performance Shares earned at the time of vesting. Each vested stock option will remain exercisable until 12 months following the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3" w:right="880"/>
        <w:spacing w:after="0" w:line="253" w:lineRule="auto"/>
        <w:rPr>
          <w:sz w:val="20"/>
          <w:szCs w:val="20"/>
          <w:color w:val="auto"/>
        </w:rPr>
      </w:pPr>
      <w:r>
        <w:rPr>
          <w:rFonts w:ascii="Arial" w:cs="Arial" w:eastAsia="Arial" w:hAnsi="Arial"/>
          <w:sz w:val="16"/>
          <w:szCs w:val="16"/>
          <w:color w:val="auto"/>
        </w:rPr>
        <w:t>his or her employment (applies only in the case of termination by the Company without “cause” or by the executive for “good reason”);</w:t>
      </w:r>
    </w:p>
    <w:p>
      <w:pPr>
        <w:spacing w:after="0" w:line="107" w:lineRule="exact"/>
        <w:rPr>
          <w:sz w:val="20"/>
          <w:szCs w:val="20"/>
          <w:color w:val="auto"/>
        </w:rPr>
      </w:pPr>
    </w:p>
    <w:p>
      <w:pPr>
        <w:ind w:left="203" w:right="800" w:hanging="203"/>
        <w:spacing w:after="0" w:line="260" w:lineRule="auto"/>
        <w:tabs>
          <w:tab w:leader="none" w:pos="20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return data and materials relating to the business of the Company in his or her possession;</w:t>
      </w:r>
    </w:p>
    <w:p>
      <w:pPr>
        <w:spacing w:after="0" w:line="100" w:lineRule="exact"/>
        <w:rPr>
          <w:rFonts w:ascii="Arial" w:cs="Arial" w:eastAsia="Arial" w:hAnsi="Arial"/>
          <w:sz w:val="16"/>
          <w:szCs w:val="16"/>
          <w:color w:val="auto"/>
        </w:rPr>
      </w:pPr>
    </w:p>
    <w:p>
      <w:pPr>
        <w:jc w:val="both"/>
        <w:ind w:left="203" w:right="820" w:hanging="203"/>
        <w:spacing w:after="0" w:line="253" w:lineRule="auto"/>
        <w:tabs>
          <w:tab w:leader="none" w:pos="20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or her employment; and</w:t>
      </w:r>
    </w:p>
    <w:p>
      <w:pPr>
        <w:spacing w:after="0" w:line="106" w:lineRule="exact"/>
        <w:rPr>
          <w:rFonts w:ascii="Arial" w:cs="Arial" w:eastAsia="Arial" w:hAnsi="Arial"/>
          <w:sz w:val="16"/>
          <w:szCs w:val="16"/>
          <w:color w:val="auto"/>
        </w:rPr>
      </w:pPr>
    </w:p>
    <w:p>
      <w:pPr>
        <w:ind w:left="203" w:right="780" w:hanging="203"/>
        <w:spacing w:after="0" w:line="260" w:lineRule="auto"/>
        <w:tabs>
          <w:tab w:leader="none" w:pos="20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cooperate with litigation matters or investigations as the Company deems necessary.</w:t>
      </w:r>
    </w:p>
    <w:p>
      <w:pPr>
        <w:spacing w:after="0" w:line="200" w:lineRule="exact"/>
        <w:rPr>
          <w:sz w:val="20"/>
          <w:szCs w:val="20"/>
          <w:color w:val="auto"/>
        </w:rPr>
      </w:pPr>
    </w:p>
    <w:p>
      <w:pPr>
        <w:sectPr>
          <w:pgSz w:w="11900" w:h="16838" w:orient="portrait"/>
          <w:cols w:equalWidth="0" w:num="2">
            <w:col w:w="5060" w:space="337"/>
            <w:col w:w="5703"/>
          </w:cols>
          <w:pgMar w:left="320" w:top="459" w:right="47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Compensation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5747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720"/>
        <w:spacing w:after="0" w:line="249" w:lineRule="auto"/>
        <w:rPr>
          <w:sz w:val="20"/>
          <w:szCs w:val="20"/>
          <w:color w:val="auto"/>
        </w:rPr>
      </w:pPr>
      <w:r>
        <w:rPr>
          <w:rFonts w:ascii="Arial" w:cs="Arial" w:eastAsia="Arial" w:hAnsi="Arial"/>
          <w:sz w:val="16"/>
          <w:szCs w:val="16"/>
          <w:color w:val="auto"/>
        </w:rPr>
        <w:t>and pay administration practices. The P&amp;C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w:t>
      </w:r>
    </w:p>
    <w:p>
      <w:pPr>
        <w:spacing w:after="0" w:line="200" w:lineRule="exact"/>
        <w:rPr>
          <w:sz w:val="20"/>
          <w:szCs w:val="20"/>
          <w:color w:val="auto"/>
        </w:rPr>
      </w:pPr>
    </w:p>
    <w:p>
      <w:pPr>
        <w:sectPr>
          <w:pgSz w:w="11900" w:h="16838" w:orient="portrait"/>
          <w:cols w:equalWidth="0" w:num="2">
            <w:col w:w="4680" w:space="720"/>
            <w:col w:w="5700"/>
          </w:cols>
          <w:pgMar w:left="320" w:top="459" w:right="479" w:bottom="1440" w:gutter="0" w:footer="0" w:header="0"/>
          <w:type w:val="continuous"/>
        </w:sectPr>
      </w:pPr>
    </w:p>
    <w:p>
      <w:pPr>
        <w:spacing w:after="0" w:line="19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63</w:t>
      </w:r>
    </w:p>
    <w:p>
      <w:pPr>
        <w:sectPr>
          <w:pgSz w:w="11900" w:h="16838" w:orient="portrait"/>
          <w:cols w:equalWidth="0" w:num="1">
            <w:col w:w="11100"/>
          </w:cols>
          <w:pgMar w:left="320" w:top="459" w:right="4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838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108" w:lineRule="exact"/>
        <w:rPr>
          <w:sz w:val="20"/>
          <w:szCs w:val="20"/>
          <w:color w:val="auto"/>
        </w:rPr>
      </w:pPr>
    </w:p>
    <w:p>
      <w:pPr>
        <w:ind w:left="320" w:right="220" w:hanging="204"/>
        <w:spacing w:after="0" w:line="260" w:lineRule="auto"/>
        <w:tabs>
          <w:tab w:leader="none" w:pos="3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appropriate compensation mix between fixed (base salary) and variable (annual and long-term incentive) pay opportunities;</w:t>
      </w:r>
    </w:p>
    <w:p>
      <w:pPr>
        <w:spacing w:after="0" w:line="100" w:lineRule="exact"/>
        <w:rPr>
          <w:rFonts w:ascii="Arial" w:cs="Arial" w:eastAsia="Arial" w:hAnsi="Arial"/>
          <w:sz w:val="16"/>
          <w:szCs w:val="16"/>
          <w:color w:val="auto"/>
        </w:rPr>
      </w:pPr>
    </w:p>
    <w:p>
      <w:pPr>
        <w:ind w:left="320" w:right="380" w:hanging="204"/>
        <w:spacing w:after="0" w:line="260" w:lineRule="auto"/>
        <w:tabs>
          <w:tab w:leader="none" w:pos="3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review of market data and competitive practices for elements of executive compensation;</w:t>
      </w:r>
    </w:p>
    <w:p>
      <w:pPr>
        <w:spacing w:after="0" w:line="100" w:lineRule="exact"/>
        <w:rPr>
          <w:rFonts w:ascii="Arial" w:cs="Arial" w:eastAsia="Arial" w:hAnsi="Arial"/>
          <w:sz w:val="16"/>
          <w:szCs w:val="16"/>
          <w:color w:val="auto"/>
        </w:rPr>
      </w:pPr>
    </w:p>
    <w:p>
      <w:pPr>
        <w:ind w:left="320" w:right="140" w:hanging="204"/>
        <w:spacing w:after="0" w:line="253" w:lineRule="auto"/>
        <w:tabs>
          <w:tab w:leader="none" w:pos="3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Performance measures that are tied to key Company short and long-term performance metrics and are correlated to total stockholder returns;</w:t>
      </w:r>
    </w:p>
    <w:p>
      <w:pPr>
        <w:spacing w:after="0" w:line="106" w:lineRule="exact"/>
        <w:rPr>
          <w:rFonts w:ascii="Arial" w:cs="Arial" w:eastAsia="Arial" w:hAnsi="Arial"/>
          <w:sz w:val="16"/>
          <w:szCs w:val="16"/>
          <w:color w:val="auto"/>
        </w:rPr>
      </w:pPr>
    </w:p>
    <w:p>
      <w:pPr>
        <w:ind w:left="320" w:hanging="204"/>
        <w:spacing w:after="0" w:line="253" w:lineRule="auto"/>
        <w:tabs>
          <w:tab w:leader="none" w:pos="3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alignment of annual and long-term award objectives to ensure that both types of awards encourage consistent behaviors and sustainable performance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6" w:right="100" w:hanging="206"/>
        <w:spacing w:after="0" w:line="251" w:lineRule="auto"/>
        <w:tabs>
          <w:tab w:leader="none" w:pos="20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balanced mix of performance measures for incentive awards (Adjusted Operating Income, Free Cash Flow, Annual Adjusted Pretax Income, Relative TSR) that encourage value creation, retention and stock price appreciation; and</w:t>
      </w:r>
    </w:p>
    <w:p>
      <w:pPr>
        <w:spacing w:after="0" w:line="107" w:lineRule="exact"/>
        <w:rPr>
          <w:rFonts w:ascii="Arial" w:cs="Arial" w:eastAsia="Arial" w:hAnsi="Arial"/>
          <w:sz w:val="16"/>
          <w:szCs w:val="16"/>
          <w:color w:val="auto"/>
        </w:rPr>
      </w:pPr>
    </w:p>
    <w:p>
      <w:pPr>
        <w:ind w:left="206" w:right="280" w:hanging="206"/>
        <w:spacing w:after="0" w:line="253" w:lineRule="auto"/>
        <w:tabs>
          <w:tab w:leader="none" w:pos="20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long history of pay outcomes aligning to our performance with incentive opportunities and payouts varying commensurate with our financial and TSR performance results.</w:t>
      </w:r>
    </w:p>
    <w:p>
      <w:pPr>
        <w:spacing w:after="0" w:line="93" w:lineRule="exact"/>
        <w:rPr>
          <w:sz w:val="20"/>
          <w:szCs w:val="20"/>
          <w:color w:val="auto"/>
        </w:rPr>
      </w:pPr>
    </w:p>
    <w:p>
      <w:pPr>
        <w:ind w:left="6"/>
        <w:spacing w:after="0" w:line="248"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652" w:lineRule="exact"/>
        <w:rPr>
          <w:sz w:val="20"/>
          <w:szCs w:val="20"/>
          <w:color w:val="auto"/>
        </w:rPr>
      </w:pPr>
    </w:p>
    <w:p>
      <w:pPr>
        <w:sectPr>
          <w:pgSz w:w="11900" w:h="16838" w:orient="portrait"/>
          <w:cols w:equalWidth="0" w:num="2">
            <w:col w:w="5380" w:space="354"/>
            <w:col w:w="5326"/>
          </w:cols>
          <w:pgMar w:left="320" w:top="459" w:right="519" w:bottom="1440" w:gutter="0" w:footer="0" w:header="0"/>
          <w:type w:val="continuous"/>
        </w:sectPr>
      </w:pPr>
    </w:p>
    <w:p>
      <w:pPr>
        <w:spacing w:after="0" w:line="19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5747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type w:val="continuous"/>
        </w:sectPr>
      </w:pPr>
    </w:p>
    <w:p>
      <w:pPr>
        <w:spacing w:after="0" w:line="34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Raymond E. Scott, our President and CEO in 2021.</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2021, our last completed fiscal year:</w:t>
      </w:r>
    </w:p>
    <w:p>
      <w:pPr>
        <w:spacing w:after="0" w:line="127" w:lineRule="exact"/>
        <w:rPr>
          <w:sz w:val="20"/>
          <w:szCs w:val="20"/>
          <w:color w:val="auto"/>
        </w:rPr>
      </w:pPr>
    </w:p>
    <w:p>
      <w:pPr>
        <w:ind w:left="320" w:right="120" w:hanging="204"/>
        <w:spacing w:after="0" w:line="260" w:lineRule="auto"/>
        <w:tabs>
          <w:tab w:leader="none" w:pos="3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the Company (other than our CEO) was $8,106; and</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annual total compensation of our CEO was $13,306,375.</w:t>
      </w:r>
    </w:p>
    <w:p>
      <w:pPr>
        <w:spacing w:after="0" w:line="11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Based on this information, for 2021, our CEO’s annual total compensation was approximately 1,642 times that of the annual total compensation of the median employee (as determined below).</w:t>
      </w:r>
    </w:p>
    <w:p>
      <w:pPr>
        <w:spacing w:after="0" w:line="93"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This pay ratio is a reasonable estimate calculated in good faith, in a manner consistent with Item 402(u) of Regulation S-K, based on our payroll and employment records and the methodology described below. The Securities and Exchange Commission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 w:right="740"/>
        <w:spacing w:after="0" w:line="250" w:lineRule="auto"/>
        <w:rPr>
          <w:sz w:val="20"/>
          <w:szCs w:val="20"/>
          <w:color w:val="auto"/>
        </w:rPr>
      </w:pPr>
      <w:r>
        <w:rPr>
          <w:rFonts w:ascii="Arial" w:cs="Arial" w:eastAsia="Arial" w:hAnsi="Arial"/>
          <w:sz w:val="16"/>
          <w:szCs w:val="16"/>
          <w:color w:val="auto"/>
        </w:rPr>
        <w:t>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spacing w:after="0" w:line="203" w:lineRule="exact"/>
        <w:rPr>
          <w:sz w:val="20"/>
          <w:szCs w:val="20"/>
          <w:color w:val="auto"/>
        </w:rPr>
      </w:pPr>
    </w:p>
    <w:p>
      <w:pPr>
        <w:ind w:left="3" w:right="740"/>
        <w:spacing w:after="0" w:line="250" w:lineRule="auto"/>
        <w:rPr>
          <w:sz w:val="20"/>
          <w:szCs w:val="20"/>
          <w:color w:val="auto"/>
        </w:rPr>
      </w:pPr>
      <w:r>
        <w:rPr>
          <w:rFonts w:ascii="Arial" w:cs="Arial" w:eastAsia="Arial" w:hAnsi="Arial"/>
          <w:sz w:val="16"/>
          <w:szCs w:val="16"/>
          <w:color w:val="auto"/>
        </w:rPr>
        <w:t>To identify the median of the annual total compensation of all of our employees, as well as to determine the annual total compensation of the “median employee,” the methodology and the material assumptions, adjustments and estimates that we used were as follows:</w:t>
      </w:r>
    </w:p>
    <w:p>
      <w:pPr>
        <w:spacing w:after="0" w:line="108" w:lineRule="exact"/>
        <w:rPr>
          <w:sz w:val="20"/>
          <w:szCs w:val="20"/>
          <w:color w:val="auto"/>
        </w:rPr>
      </w:pPr>
    </w:p>
    <w:p>
      <w:pPr>
        <w:ind w:left="323" w:right="620" w:hanging="323"/>
        <w:spacing w:after="0" w:line="248" w:lineRule="auto"/>
        <w:tabs>
          <w:tab w:leader="none" w:pos="32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accordance with Instruction 2 to Item 402(u) of Regulation S-K, because there has been no change in our employee population or employee compensation arrangements in the past fiscal year that we reasonably believe would result in a significant change to our pay ratio disclosure, we elected to utilize the same median employee that we had identified in 2020 to calculate our 2021 CEO pay ratio. The process that we used to determine our median employee in 2020 is summarized below:</w:t>
      </w:r>
    </w:p>
    <w:p>
      <w:pPr>
        <w:spacing w:after="0" w:line="112" w:lineRule="exact"/>
        <w:rPr>
          <w:rFonts w:ascii="Arial" w:cs="Arial" w:eastAsia="Arial" w:hAnsi="Arial"/>
          <w:sz w:val="16"/>
          <w:szCs w:val="16"/>
          <w:color w:val="auto"/>
        </w:rPr>
      </w:pPr>
    </w:p>
    <w:p>
      <w:pPr>
        <w:ind w:left="663" w:right="600" w:hanging="339"/>
        <w:spacing w:after="0" w:line="249" w:lineRule="auto"/>
        <w:tabs>
          <w:tab w:leader="none" w:pos="66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We determined that, as of October 1, 2020, our employee population consisted of approximately 171,000 individuals working at the Company and its consolidated subsidiaries, with approximately 10,000 of these individuals located in the United States and approximately 161,000 of these individuals located outside of the United States.</w:t>
      </w:r>
    </w:p>
    <w:p>
      <w:pPr>
        <w:spacing w:after="0" w:line="200" w:lineRule="exact"/>
        <w:rPr>
          <w:sz w:val="20"/>
          <w:szCs w:val="20"/>
          <w:color w:val="auto"/>
        </w:rPr>
      </w:pPr>
    </w:p>
    <w:p>
      <w:pPr>
        <w:sectPr>
          <w:pgSz w:w="11900" w:h="16838" w:orient="portrait"/>
          <w:cols w:equalWidth="0" w:num="2">
            <w:col w:w="5080" w:space="317"/>
            <w:col w:w="5663"/>
          </w:cols>
          <w:pgMar w:left="320" w:top="459" w:right="519" w:bottom="1440" w:gutter="0" w:footer="0" w:header="0"/>
          <w:type w:val="continuous"/>
        </w:sectPr>
      </w:pPr>
    </w:p>
    <w:p>
      <w:pPr>
        <w:spacing w:after="0" w:line="331" w:lineRule="exact"/>
        <w:rPr>
          <w:sz w:val="20"/>
          <w:szCs w:val="20"/>
          <w:color w:val="auto"/>
        </w:rPr>
      </w:pPr>
    </w:p>
    <w:p>
      <w:pPr>
        <w:ind w:left="780" w:hanging="393"/>
        <w:spacing w:after="0"/>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60"/>
          </w:cols>
          <w:pgMar w:left="320" w:top="459" w:right="5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5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80" w:right="300" w:hanging="340"/>
        <w:spacing w:after="0" w:line="251" w:lineRule="auto"/>
        <w:tabs>
          <w:tab w:leader="none" w:pos="7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We employed a proportionate stratified statistical sampling methodology to help simplify the identification of the median employee. The sample size used was approximately 1,500 employees.</w:t>
      </w:r>
    </w:p>
    <w:p>
      <w:pPr>
        <w:spacing w:after="0" w:line="107" w:lineRule="exact"/>
        <w:rPr>
          <w:rFonts w:ascii="Arial" w:cs="Arial" w:eastAsia="Arial" w:hAnsi="Arial"/>
          <w:sz w:val="16"/>
          <w:szCs w:val="16"/>
          <w:color w:val="auto"/>
        </w:rPr>
      </w:pPr>
    </w:p>
    <w:p>
      <w:pPr>
        <w:ind w:left="780" w:hanging="340"/>
        <w:spacing w:after="0" w:line="248" w:lineRule="auto"/>
        <w:tabs>
          <w:tab w:leader="none" w:pos="7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We utilized 2020 base pay as our consistently applied compensation measure to identify the median employee from our employee population, which we applied to all employees included in our analysis. We did not make any cost of living adjustments in identifying the median employee. Using this methodology, we determined that the estimated median employee was an hourly employee located outside of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6" w:right="440" w:hanging="326"/>
        <w:spacing w:after="0" w:line="250" w:lineRule="auto"/>
        <w:tabs>
          <w:tab w:leader="none" w:pos="32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 respect to the annual total compensation of the median employee, we identified and calculated the elements of such employee’s compensation for 2021 in accordance with the requirements of Item 402(c)(2)(x) of Regulation S-K, resulting in annual total compensation of $8,106.</w:t>
      </w:r>
    </w:p>
    <w:p>
      <w:pPr>
        <w:spacing w:after="0" w:line="108" w:lineRule="exact"/>
        <w:rPr>
          <w:rFonts w:ascii="Arial" w:cs="Arial" w:eastAsia="Arial" w:hAnsi="Arial"/>
          <w:sz w:val="16"/>
          <w:szCs w:val="16"/>
          <w:color w:val="auto"/>
        </w:rPr>
      </w:pPr>
    </w:p>
    <w:p>
      <w:pPr>
        <w:ind w:left="326" w:hanging="326"/>
        <w:spacing w:after="0" w:line="250" w:lineRule="auto"/>
        <w:tabs>
          <w:tab w:leader="none" w:pos="32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(column (j)) of our “2021 Summary Compensation Table” included in this proxy statement and incorporated by reference under Item 11 of Part III of our 2021 Annual Report on Form 10-K.</w:t>
      </w:r>
    </w:p>
    <w:p>
      <w:pPr>
        <w:spacing w:after="0" w:line="573" w:lineRule="exact"/>
        <w:rPr>
          <w:sz w:val="20"/>
          <w:szCs w:val="20"/>
          <w:color w:val="auto"/>
        </w:rPr>
      </w:pPr>
    </w:p>
    <w:p>
      <w:pPr>
        <w:sectPr>
          <w:pgSz w:w="11900" w:h="16838" w:orient="portrait"/>
          <w:cols w:equalWidth="0" w:num="2">
            <w:col w:w="5360" w:space="374"/>
            <w:col w:w="5326"/>
          </w:cols>
          <w:pgMar w:left="320" w:top="459" w:right="519" w:bottom="1440" w:gutter="0" w:footer="0" w:header="0"/>
          <w:type w:val="continuous"/>
        </w:sectPr>
      </w:pPr>
    </w:p>
    <w:p>
      <w:pPr>
        <w:spacing w:after="0" w:line="197"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Executive Officer and Director 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5747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type w:val="continuous"/>
        </w:sectPr>
      </w:pPr>
    </w:p>
    <w:p>
      <w:pPr>
        <w:spacing w:after="0" w:line="342"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Our executive officer and director hedging policy is set forth in full below. The Company’s Named Executive Officers, other executive officers and directors are prohibited from entering into hedging or monetization transactions involving our stock, from holding our securities in a margin account or pledging our securities as collateral for a loan.</w:t>
      </w:r>
    </w:p>
    <w:p>
      <w:pPr>
        <w:spacing w:after="0" w:line="9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u w:val="single" w:color="auto"/>
          <w:color w:val="auto"/>
        </w:rPr>
        <w:t>Hedging Transactions</w:t>
      </w:r>
      <w:r>
        <w:rPr>
          <w:rFonts w:ascii="Arial" w:cs="Arial" w:eastAsia="Arial" w:hAnsi="Arial"/>
          <w:sz w:val="16"/>
          <w:szCs w:val="16"/>
          <w:color w:val="auto"/>
        </w:rPr>
        <w:t>. Certain forms of hedging or monetization transactions, such as prepaid variable forward contracts, equity swaps, collars and exchange funds allow an officer or director to lock in much of the value of his or her stock holdings, often in exchange for all or part of the potential for upside appreciation in the stock. These transactions allow the officer or director to continue to own the covered securities, but without the full risks and rewards of ownership. When that occurs, the officer or director may no longer have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780"/>
        <w:spacing w:after="0" w:line="251" w:lineRule="auto"/>
        <w:rPr>
          <w:sz w:val="20"/>
          <w:szCs w:val="20"/>
          <w:color w:val="auto"/>
        </w:rPr>
      </w:pPr>
      <w:r>
        <w:rPr>
          <w:rFonts w:ascii="Arial" w:cs="Arial" w:eastAsia="Arial" w:hAnsi="Arial"/>
          <w:sz w:val="16"/>
          <w:szCs w:val="16"/>
          <w:color w:val="auto"/>
        </w:rPr>
        <w:t>the same objectives as our other stockholders. For this reason, our Named Executive Officers, other executive officers and directors are prohibited from entering into hedging or monetization transactions involving our stock.</w:t>
      </w:r>
    </w:p>
    <w:p>
      <w:pPr>
        <w:spacing w:after="0" w:line="94" w:lineRule="exact"/>
        <w:rPr>
          <w:sz w:val="20"/>
          <w:szCs w:val="20"/>
          <w:color w:val="auto"/>
        </w:rPr>
      </w:pPr>
    </w:p>
    <w:p>
      <w:pPr>
        <w:ind w:right="600"/>
        <w:spacing w:after="0" w:line="248" w:lineRule="auto"/>
        <w:rPr>
          <w:sz w:val="20"/>
          <w:szCs w:val="20"/>
          <w:color w:val="auto"/>
        </w:rPr>
      </w:pPr>
      <w:r>
        <w:rPr>
          <w:rFonts w:ascii="Arial" w:cs="Arial" w:eastAsia="Arial" w:hAnsi="Arial"/>
          <w:sz w:val="16"/>
          <w:szCs w:val="16"/>
          <w:u w:val="single" w:color="auto"/>
          <w:color w:val="auto"/>
        </w:rPr>
        <w:t>Margin Accounts and Pledges</w:t>
      </w:r>
      <w:r>
        <w:rPr>
          <w:rFonts w:ascii="Arial" w:cs="Arial" w:eastAsia="Arial" w:hAnsi="Arial"/>
          <w:sz w:val="16"/>
          <w:szCs w:val="16"/>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our securities, our Named Executive Officers, other executive officers and directors are prohibited from holding our securities in a margin account or pledging our securities as collateral for a loan.</w:t>
      </w:r>
    </w:p>
    <w:p>
      <w:pPr>
        <w:spacing w:after="0" w:line="387" w:lineRule="exact"/>
        <w:rPr>
          <w:sz w:val="20"/>
          <w:szCs w:val="20"/>
          <w:color w:val="auto"/>
        </w:rPr>
      </w:pPr>
    </w:p>
    <w:p>
      <w:pPr>
        <w:sectPr>
          <w:pgSz w:w="11900" w:h="16838" w:orient="portrait"/>
          <w:cols w:equalWidth="0" w:num="2">
            <w:col w:w="5060" w:space="340"/>
            <w:col w:w="5660"/>
          </w:cols>
          <w:pgMar w:left="320" w:top="459" w:right="519" w:bottom="1440" w:gutter="0" w:footer="0" w:header="0"/>
          <w:type w:val="continuous"/>
        </w:sectPr>
      </w:pPr>
    </w:p>
    <w:p>
      <w:pPr>
        <w:spacing w:after="0" w:line="211"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65</w:t>
      </w:r>
    </w:p>
    <w:p>
      <w:pPr>
        <w:sectPr>
          <w:pgSz w:w="11900" w:h="16838" w:orient="portrait"/>
          <w:cols w:equalWidth="0" w:num="1">
            <w:col w:w="11060"/>
          </w:cols>
          <w:pgMar w:left="320" w:top="459" w:right="51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100"/>
        <w:spacing w:after="0" w:line="274" w:lineRule="auto"/>
        <w:rPr>
          <w:sz w:val="20"/>
          <w:szCs w:val="20"/>
          <w:color w:val="auto"/>
        </w:rPr>
      </w:pPr>
      <w:r>
        <w:rPr>
          <w:rFonts w:ascii="Arial" w:cs="Arial" w:eastAsia="Arial" w:hAnsi="Arial"/>
          <w:sz w:val="40"/>
          <w:szCs w:val="40"/>
          <w:b w:val="1"/>
          <w:bCs w:val="1"/>
          <w:color w:val="E2231A"/>
        </w:rPr>
        <w:t>P&amp;C COMMITTEE INTERLOCKS AND INSIDER PARTICIPATION</w:t>
      </w:r>
    </w:p>
    <w:p>
      <w:pPr>
        <w:sectPr>
          <w:pgSz w:w="11900" w:h="16838" w:orient="portrait"/>
          <w:cols w:equalWidth="0" w:num="1">
            <w:col w:w="10460"/>
          </w:cols>
          <w:pgMar w:left="320" w:top="459" w:right="1119" w:bottom="1440" w:gutter="0" w:footer="0" w:header="0"/>
        </w:sectPr>
      </w:pPr>
    </w:p>
    <w:p>
      <w:pPr>
        <w:spacing w:after="0" w:line="210"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following persons served on our P&amp;C Committee during all or a portion of 2021: Dr. Jepsen, Mses. Lewis and Ligocki, and Messrs. Capo, Cheng and Halverson. No member of the P&amp;C Committee was, during the fiscal year ended December 31, 2021, an officer, former officer or employee of the Company or any of our subsidiaries. None of our executive officers served as a member of:</w:t>
      </w:r>
    </w:p>
    <w:p>
      <w:pPr>
        <w:spacing w:after="0" w:line="114" w:lineRule="exact"/>
        <w:rPr>
          <w:sz w:val="20"/>
          <w:szCs w:val="20"/>
          <w:color w:val="auto"/>
        </w:rPr>
      </w:pPr>
    </w:p>
    <w:p>
      <w:pPr>
        <w:ind w:left="860" w:right="100" w:hanging="193"/>
        <w:spacing w:after="0" w:line="253" w:lineRule="auto"/>
        <w:tabs>
          <w:tab w:leader="none" w:pos="8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P&amp;C Committee;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97" w:hanging="197"/>
        <w:spacing w:after="0" w:line="253" w:lineRule="auto"/>
        <w:tabs>
          <w:tab w:leader="none" w:pos="19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board of directors of another entity in which one of the executive officers of such entity served on our P&amp;C Committee; or</w:t>
      </w:r>
    </w:p>
    <w:p>
      <w:pPr>
        <w:spacing w:after="0" w:line="106" w:lineRule="exact"/>
        <w:rPr>
          <w:rFonts w:ascii="Arial" w:cs="Arial" w:eastAsia="Arial" w:hAnsi="Arial"/>
          <w:sz w:val="16"/>
          <w:szCs w:val="16"/>
          <w:color w:val="auto"/>
        </w:rPr>
      </w:pPr>
    </w:p>
    <w:p>
      <w:pPr>
        <w:ind w:left="197" w:right="40" w:hanging="197"/>
        <w:spacing w:after="0" w:line="253" w:lineRule="auto"/>
        <w:tabs>
          <w:tab w:leader="none" w:pos="19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as a member of our Board.</w:t>
      </w:r>
    </w:p>
    <w:p>
      <w:pPr>
        <w:spacing w:after="0" w:line="956" w:lineRule="exact"/>
        <w:rPr>
          <w:sz w:val="20"/>
          <w:szCs w:val="20"/>
          <w:color w:val="auto"/>
        </w:rPr>
      </w:pPr>
    </w:p>
    <w:p>
      <w:pPr>
        <w:sectPr>
          <w:pgSz w:w="11900" w:h="16838" w:orient="portrait"/>
          <w:cols w:equalWidth="0" w:num="2">
            <w:col w:w="5380" w:space="343"/>
            <w:col w:w="4737"/>
          </w:cols>
          <w:pgMar w:left="320" w:top="459" w:right="1119" w:bottom="1440" w:gutter="0" w:footer="0" w:header="0"/>
          <w:type w:val="continuous"/>
        </w:sectPr>
      </w:pPr>
    </w:p>
    <w:p>
      <w:pPr>
        <w:spacing w:after="0" w:line="206" w:lineRule="exact"/>
        <w:rPr>
          <w:sz w:val="20"/>
          <w:szCs w:val="20"/>
          <w:color w:val="auto"/>
        </w:rPr>
      </w:pPr>
    </w:p>
    <w:p>
      <w:pPr>
        <w:ind w:left="780" w:hanging="393"/>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60"/>
          </w:cols>
          <w:pgMar w:left="320" w:top="459" w:right="11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5120"/>
        <w:spacing w:after="0"/>
        <w:rPr>
          <w:sz w:val="20"/>
          <w:szCs w:val="20"/>
          <w:color w:val="auto"/>
        </w:rPr>
      </w:pPr>
      <w:r>
        <w:rPr>
          <w:rFonts w:ascii="Arial" w:cs="Arial" w:eastAsia="Arial" w:hAnsi="Arial"/>
          <w:sz w:val="40"/>
          <w:szCs w:val="40"/>
          <w:b w:val="1"/>
          <w:bCs w:val="1"/>
          <w:color w:val="E2231A"/>
        </w:rPr>
        <w:t>P&amp;C COMMITTEE REPORT</w:t>
      </w:r>
    </w:p>
    <w:p>
      <w:pPr>
        <w:sectPr>
          <w:pgSz w:w="11900" w:h="16838" w:orient="portrait"/>
          <w:cols w:equalWidth="0" w:num="1">
            <w:col w:w="10860"/>
          </w:cols>
          <w:pgMar w:left="320" w:top="459" w:right="719" w:bottom="1440" w:gutter="0" w:footer="0" w:header="0"/>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286" w:lineRule="exact"/>
        <w:rPr>
          <w:sz w:val="20"/>
          <w:szCs w:val="20"/>
          <w:color w:val="auto"/>
        </w:rPr>
      </w:pPr>
    </w:p>
    <w:p>
      <w:pPr>
        <w:ind w:left="660" w:right="160"/>
        <w:spacing w:after="0" w:line="251" w:lineRule="auto"/>
        <w:rPr>
          <w:sz w:val="20"/>
          <w:szCs w:val="20"/>
          <w:color w:val="auto"/>
        </w:rPr>
      </w:pPr>
      <w:r>
        <w:rPr>
          <w:rFonts w:ascii="Arial" w:cs="Arial" w:eastAsia="Arial" w:hAnsi="Arial"/>
          <w:sz w:val="16"/>
          <w:szCs w:val="16"/>
          <w:color w:val="auto"/>
        </w:rPr>
        <w:t>The P&amp;C Committee of the Board has reviewed and discussed the Compensation Discussion and Analysis required by Item 402(b) of Regulation S-K with management and, based on such review and discussions, the P&amp;C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Committee recommended to the Board that the Compensation Discussion and Analysis be included in this proxy statement and the Annual Report on Form 10-K for the year ended December 31, 2021.</w:t>
      </w:r>
    </w:p>
    <w:p>
      <w:pPr>
        <w:spacing w:after="0" w:line="94"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This Report is submitted by Dr. Jepsen, Mses. Lewis and Ligocki and Messrs. Cheng and Halverson, being all of the current members of the P&amp;C Committee.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Kathleen A. Ligocki, Chair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Mei-Wei Cheng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Bradley M. Halverson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Mary Lou Jepsen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Patricia L. Lewis</w:t>
      </w:r>
    </w:p>
    <w:p>
      <w:pPr>
        <w:spacing w:after="0" w:line="245"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20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67</w:t>
      </w:r>
    </w:p>
    <w:p>
      <w:pPr>
        <w:sectPr>
          <w:pgSz w:w="11900" w:h="16838" w:orient="portrait"/>
          <w:cols w:equalWidth="0" w:num="1">
            <w:col w:w="10860"/>
          </w:cols>
          <w:pgMar w:left="320" w:top="459" w:right="71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60"/>
        <w:spacing w:after="0"/>
        <w:rPr>
          <w:sz w:val="20"/>
          <w:szCs w:val="20"/>
          <w:color w:val="auto"/>
        </w:rPr>
      </w:pPr>
      <w:r>
        <w:rPr>
          <w:rFonts w:ascii="Arial" w:cs="Arial" w:eastAsia="Arial" w:hAnsi="Arial"/>
          <w:sz w:val="40"/>
          <w:szCs w:val="40"/>
          <w:b w:val="1"/>
          <w:bCs w:val="1"/>
          <w:color w:val="E2231A"/>
        </w:rPr>
        <w:t>AUDIT COMMITTEE REPORT</w:t>
      </w:r>
    </w:p>
    <w:p>
      <w:pPr>
        <w:sectPr>
          <w:pgSz w:w="11900" w:h="16838" w:orient="portrait"/>
          <w:cols w:equalWidth="0" w:num="1">
            <w:col w:w="10580"/>
          </w:cols>
          <w:pgMar w:left="320" w:top="459" w:right="999" w:bottom="1440" w:gutter="0" w:footer="0" w:header="0"/>
        </w:sectPr>
      </w:pPr>
    </w:p>
    <w:p>
      <w:pPr>
        <w:spacing w:after="0" w:line="220" w:lineRule="exact"/>
        <w:rPr>
          <w:sz w:val="20"/>
          <w:szCs w:val="20"/>
          <w:color w:val="auto"/>
        </w:rPr>
      </w:pPr>
    </w:p>
    <w:p>
      <w:pPr>
        <w:ind w:left="660" w:right="120"/>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97" w:lineRule="exact"/>
        <w:rPr>
          <w:sz w:val="20"/>
          <w:szCs w:val="20"/>
          <w:color w:val="auto"/>
        </w:rPr>
      </w:pPr>
    </w:p>
    <w:p>
      <w:pPr>
        <w:ind w:left="660" w:right="40"/>
        <w:spacing w:after="0" w:line="247"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103"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Audit Committee is currently comprised of Messrs. Foster, Cheng, Halverson and Mallett, each a non-employee director, and operates under a written charter that was last amended by our Board in November 2020. A copy of the current charter is available on the investor relations page of our website (ir.lear.com)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103" w:lineRule="exact"/>
        <w:rPr>
          <w:sz w:val="20"/>
          <w:szCs w:val="20"/>
          <w:color w:val="auto"/>
        </w:rPr>
      </w:pPr>
    </w:p>
    <w:p>
      <w:pPr>
        <w:ind w:left="660" w:right="120"/>
        <w:spacing w:after="0" w:line="24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2021, as well as the report of management, for the year ended December 31, 2021, regarding the Company’s internal control over financial reporting required by Section 404 of the Sarbanes-Oxley Act.</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Audit Committee has retained Ernst &amp; Young LLP as the Company’s independent registered public accounting firm for 2021.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 Company Accounting Oversight Board (United States) (PCAOB) reports on Ernst &amp; Young LLP and tenure as the Company’s auditors, including the benefits of having a long-tenured auditor.</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9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Audit Committee reviewed with Ernst &amp; Young LLP, its judgments as to the quality, not just the acceptability, of the Company’s accounting policies and such other matters as are required to be discussed by the applicable requirements of the PCAOB and the SEC. The Audit Committee has also received written disclosures and the letter from Ernst &amp; Young LLP required by applicable requirements of the PCAOB regarding Ernst &amp; Young LLP’s communications with the Audit</w:t>
      </w:r>
    </w:p>
    <w:p>
      <w:pPr>
        <w:spacing w:after="0" w:line="201"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211" w:lineRule="exact"/>
        <w:rPr>
          <w:sz w:val="20"/>
          <w:szCs w:val="20"/>
          <w:color w:val="auto"/>
        </w:rPr>
      </w:pPr>
    </w:p>
    <w:p>
      <w:pPr>
        <w:ind w:left="780" w:hanging="393"/>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560"/>
        <w:spacing w:after="0"/>
        <w:rPr>
          <w:sz w:val="20"/>
          <w:szCs w:val="20"/>
          <w:color w:val="auto"/>
        </w:rPr>
      </w:pPr>
      <w:r>
        <w:rPr>
          <w:rFonts w:ascii="Arial" w:cs="Arial" w:eastAsia="Arial" w:hAnsi="Arial"/>
          <w:sz w:val="15"/>
          <w:szCs w:val="15"/>
          <w:b w:val="1"/>
          <w:bCs w:val="1"/>
          <w:color w:val="E2231A"/>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58420</wp:posOffset>
            </wp:positionV>
            <wp:extent cx="13798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9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 Company’s audited consolidated financial statements be included in the Company’s Annual Report on Form 10-K for the fiscal year ended December 31, 2021, filed with the SEC on February 10,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Report is submitted by Messrs. Foster, Cheng, Halverson and Mallett, being all of the current members of the Audit Committee.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Jonathan F. Foster,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Mei-Wei Cheng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Bradley M. Halverson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Conrad L. Mallett,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80"/>
        <w:spacing w:after="0"/>
        <w:tabs>
          <w:tab w:leader="none" w:pos="4700" w:val="left"/>
          <w:tab w:leader="none" w:pos="490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69</w:t>
      </w:r>
    </w:p>
    <w:p>
      <w:pPr>
        <w:sectPr>
          <w:pgSz w:w="11900" w:h="16838" w:orient="portrait"/>
          <w:cols w:equalWidth="0" w:num="2">
            <w:col w:w="5260" w:space="480"/>
            <w:col w:w="5340"/>
          </w:cols>
          <w:pgMar w:left="320" w:top="459" w:right="4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Arial" w:cs="Arial" w:eastAsia="Arial" w:hAnsi="Arial"/>
          <w:sz w:val="39"/>
          <w:szCs w:val="39"/>
          <w:b w:val="1"/>
          <w:bCs w:val="1"/>
          <w:color w:val="E2231A"/>
        </w:rPr>
        <w:t>FEES OF INDEPENDENT ACCOUNTANTS</w:t>
      </w:r>
    </w:p>
    <w:p>
      <w:pPr>
        <w:sectPr>
          <w:pgSz w:w="11900" w:h="16838" w:orient="portrait"/>
          <w:cols w:equalWidth="0" w:num="1">
            <w:col w:w="11140"/>
          </w:cols>
          <w:pgMar w:left="320" w:top="459" w:right="439" w:bottom="1440" w:gutter="0" w:footer="0" w:header="0"/>
        </w:sectPr>
      </w:pPr>
    </w:p>
    <w:p>
      <w:pPr>
        <w:spacing w:after="0" w:line="35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addition to retaining Ernst &amp; Young LLP to audit our consolidated financial statements for 2021, we retained Ernst &amp;Young LLP, as well as other accounting firms, to provide tax and other advisory services in 2021.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2021 and 2020.</w:t>
      </w:r>
    </w:p>
    <w:p>
      <w:pPr>
        <w:spacing w:after="0" w:line="97"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97"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576" w:lineRule="exact"/>
        <w:rPr>
          <w:sz w:val="20"/>
          <w:szCs w:val="20"/>
          <w:color w:val="auto"/>
        </w:rPr>
      </w:pPr>
    </w:p>
    <w:p>
      <w:pPr>
        <w:sectPr>
          <w:pgSz w:w="11900" w:h="16838" w:orient="portrait"/>
          <w:cols w:equalWidth="0" w:num="2">
            <w:col w:w="5260" w:space="480"/>
            <w:col w:w="5400"/>
          </w:cols>
          <w:pgMar w:left="320" w:top="459" w:right="439" w:bottom="144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2021 and 2020, we retained Ernst &amp; Young LLP to provide services in the following categories and amounts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4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E2231A"/>
              </w:rPr>
              <w:t>2021</w:t>
            </w: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E2231A"/>
              </w:rPr>
              <w:t>2020</w:t>
            </w:r>
          </w:p>
        </w:tc>
      </w:tr>
      <w:tr>
        <w:trPr>
          <w:trHeight w:val="183"/>
        </w:trPr>
        <w:tc>
          <w:tcPr>
            <w:tcW w:w="5240" w:type="dxa"/>
            <w:vAlign w:val="bottom"/>
            <w:shd w:val="clear" w:color="auto" w:fill="FCE9E8"/>
          </w:tcPr>
          <w:p>
            <w:pPr>
              <w:ind w:left="60"/>
              <w:spacing w:after="0" w:line="183"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4580" w:type="dxa"/>
            <w:vAlign w:val="bottom"/>
            <w:shd w:val="clear" w:color="auto" w:fill="FCE9E8"/>
          </w:tcPr>
          <w:p>
            <w:pPr>
              <w:jc w:val="right"/>
              <w:ind w:right="181"/>
              <w:spacing w:after="0" w:line="183" w:lineRule="exact"/>
              <w:rPr>
                <w:sz w:val="20"/>
                <w:szCs w:val="20"/>
                <w:color w:val="auto"/>
              </w:rPr>
            </w:pPr>
            <w:r>
              <w:rPr>
                <w:rFonts w:ascii="Arial" w:cs="Arial" w:eastAsia="Arial" w:hAnsi="Arial"/>
                <w:sz w:val="16"/>
                <w:szCs w:val="16"/>
                <w:color w:val="auto"/>
              </w:rPr>
              <w:t>$11,442</w:t>
            </w:r>
          </w:p>
        </w:tc>
        <w:tc>
          <w:tcPr>
            <w:tcW w:w="1200" w:type="dxa"/>
            <w:vAlign w:val="bottom"/>
            <w:shd w:val="clear" w:color="auto" w:fill="FCE9E8"/>
          </w:tcPr>
          <w:p>
            <w:pPr>
              <w:jc w:val="right"/>
              <w:ind w:right="261"/>
              <w:spacing w:after="0" w:line="183" w:lineRule="exact"/>
              <w:rPr>
                <w:sz w:val="20"/>
                <w:szCs w:val="20"/>
                <w:color w:val="auto"/>
              </w:rPr>
            </w:pPr>
            <w:r>
              <w:rPr>
                <w:rFonts w:ascii="Arial" w:cs="Arial" w:eastAsia="Arial" w:hAnsi="Arial"/>
                <w:sz w:val="16"/>
                <w:szCs w:val="16"/>
                <w:color w:val="auto"/>
              </w:rPr>
              <w:t>$10,996</w:t>
            </w:r>
          </w:p>
        </w:tc>
      </w:tr>
      <w:tr>
        <w:trPr>
          <w:trHeight w:val="189"/>
        </w:trPr>
        <w:tc>
          <w:tcPr>
            <w:tcW w:w="5240" w:type="dxa"/>
            <w:vAlign w:val="bottom"/>
          </w:tcPr>
          <w:p>
            <w:pPr>
              <w:ind w:left="6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4580" w:type="dxa"/>
            <w:vAlign w:val="bottom"/>
          </w:tcPr>
          <w:p>
            <w:pPr>
              <w:jc w:val="right"/>
              <w:ind w:right="181"/>
              <w:spacing w:after="0"/>
              <w:rPr>
                <w:sz w:val="20"/>
                <w:szCs w:val="20"/>
                <w:color w:val="auto"/>
              </w:rPr>
            </w:pPr>
            <w:r>
              <w:rPr>
                <w:rFonts w:ascii="Arial" w:cs="Arial" w:eastAsia="Arial" w:hAnsi="Arial"/>
                <w:sz w:val="16"/>
                <w:szCs w:val="16"/>
                <w:color w:val="auto"/>
              </w:rPr>
              <w:t>1,374</w:t>
            </w:r>
          </w:p>
        </w:tc>
        <w:tc>
          <w:tcPr>
            <w:tcW w:w="1200" w:type="dxa"/>
            <w:vAlign w:val="bottom"/>
          </w:tcPr>
          <w:p>
            <w:pPr>
              <w:jc w:val="right"/>
              <w:ind w:right="261"/>
              <w:spacing w:after="0"/>
              <w:rPr>
                <w:sz w:val="20"/>
                <w:szCs w:val="20"/>
                <w:color w:val="auto"/>
              </w:rPr>
            </w:pPr>
            <w:r>
              <w:rPr>
                <w:rFonts w:ascii="Arial" w:cs="Arial" w:eastAsia="Arial" w:hAnsi="Arial"/>
                <w:sz w:val="16"/>
                <w:szCs w:val="16"/>
                <w:color w:val="auto"/>
              </w:rPr>
              <w:t>530</w:t>
            </w:r>
          </w:p>
        </w:tc>
      </w:tr>
      <w:tr>
        <w:trPr>
          <w:trHeight w:val="189"/>
        </w:trPr>
        <w:tc>
          <w:tcPr>
            <w:tcW w:w="52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4580" w:type="dxa"/>
            <w:vAlign w:val="bottom"/>
            <w:shd w:val="clear" w:color="auto" w:fill="FCE9E8"/>
          </w:tcPr>
          <w:p>
            <w:pPr>
              <w:jc w:val="right"/>
              <w:ind w:right="181"/>
              <w:spacing w:after="0"/>
              <w:rPr>
                <w:sz w:val="20"/>
                <w:szCs w:val="20"/>
                <w:color w:val="auto"/>
              </w:rPr>
            </w:pPr>
            <w:r>
              <w:rPr>
                <w:rFonts w:ascii="Arial" w:cs="Arial" w:eastAsia="Arial" w:hAnsi="Arial"/>
                <w:sz w:val="16"/>
                <w:szCs w:val="16"/>
                <w:color w:val="auto"/>
              </w:rPr>
              <w:t>2,372</w:t>
            </w:r>
          </w:p>
        </w:tc>
        <w:tc>
          <w:tcPr>
            <w:tcW w:w="120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2,367</w:t>
            </w:r>
          </w:p>
        </w:tc>
      </w:tr>
      <w:tr>
        <w:trPr>
          <w:trHeight w:val="189"/>
        </w:trPr>
        <w:tc>
          <w:tcPr>
            <w:tcW w:w="5240" w:type="dxa"/>
            <w:vAlign w:val="bottom"/>
            <w:tcBorders>
              <w:bottom w:val="single" w:sz="8" w:color="auto"/>
            </w:tcBorders>
          </w:tcPr>
          <w:p>
            <w:pPr>
              <w:ind w:left="60"/>
              <w:spacing w:after="0" w:line="189" w:lineRule="exact"/>
              <w:rPr>
                <w:sz w:val="20"/>
                <w:szCs w:val="20"/>
                <w:color w:val="auto"/>
              </w:rPr>
            </w:pPr>
            <w:r>
              <w:rPr>
                <w:rFonts w:ascii="Arial" w:cs="Arial" w:eastAsia="Arial" w:hAnsi="Arial"/>
                <w:sz w:val="13"/>
                <w:szCs w:val="13"/>
                <w:color w:val="auto"/>
              </w:rPr>
              <w:t>All other fees</w:t>
            </w:r>
            <w:r>
              <w:rPr>
                <w:rFonts w:ascii="Arial" w:cs="Arial" w:eastAsia="Arial" w:hAnsi="Arial"/>
                <w:sz w:val="21"/>
                <w:szCs w:val="21"/>
                <w:color w:val="auto"/>
                <w:vertAlign w:val="superscript"/>
              </w:rPr>
              <w:t>(4)</w:t>
            </w:r>
          </w:p>
        </w:tc>
        <w:tc>
          <w:tcPr>
            <w:tcW w:w="45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36</w:t>
            </w: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left="540" w:right="60" w:hanging="424"/>
        <w:spacing w:after="0" w:line="199" w:lineRule="auto"/>
        <w:tabs>
          <w:tab w:leader="none" w:pos="54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111" w:lineRule="exact"/>
        <w:rPr>
          <w:rFonts w:ascii="Arial" w:cs="Arial" w:eastAsia="Arial" w:hAnsi="Arial"/>
          <w:sz w:val="24"/>
          <w:szCs w:val="24"/>
          <w:color w:val="auto"/>
          <w:vertAlign w:val="superscript"/>
        </w:rPr>
      </w:pPr>
    </w:p>
    <w:p>
      <w:pPr>
        <w:ind w:left="540" w:right="440" w:hanging="424"/>
        <w:spacing w:after="0" w:line="183" w:lineRule="auto"/>
        <w:tabs>
          <w:tab w:leader="none" w:pos="54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services related to the audits of employee benefit plans, audits in connection with acquisitions and agreed-upon procedures related to certain due diligence services in connection with acquisitions and divestitures.</w:t>
      </w:r>
    </w:p>
    <w:p>
      <w:pPr>
        <w:spacing w:after="0" w:line="8"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Tax fees include services related to tax compliance, tax advice and tax planning.</w:t>
      </w:r>
    </w:p>
    <w:p>
      <w:pPr>
        <w:spacing w:after="0" w:line="11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130"/>
        </w:numPr>
        <w:rPr>
          <w:rFonts w:ascii="Arial" w:cs="Arial" w:eastAsia="Arial" w:hAnsi="Arial"/>
          <w:sz w:val="19"/>
          <w:szCs w:val="19"/>
          <w:color w:val="auto"/>
          <w:vertAlign w:val="superscript"/>
        </w:rPr>
      </w:pPr>
      <w:r>
        <w:rPr>
          <w:rFonts w:ascii="Arial" w:cs="Arial" w:eastAsia="Arial" w:hAnsi="Arial"/>
          <w:sz w:val="12"/>
          <w:szCs w:val="12"/>
          <w:color w:val="auto"/>
        </w:rPr>
        <w:t>Includes fees for services that are not contained in the above categories and consists of permissible advisory services.</w:t>
      </w:r>
    </w:p>
    <w:p>
      <w:pPr>
        <w:spacing w:after="0" w:line="133" w:lineRule="exact"/>
        <w:rPr>
          <w:sz w:val="20"/>
          <w:szCs w:val="20"/>
          <w:color w:val="auto"/>
        </w:rPr>
      </w:pPr>
    </w:p>
    <w:p>
      <w:pPr>
        <w:ind w:left="780" w:hanging="393"/>
        <w:spacing w:after="0"/>
        <w:tabs>
          <w:tab w:leader="none" w:pos="7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right="1640"/>
        <w:spacing w:after="0" w:line="274" w:lineRule="auto"/>
        <w:rPr>
          <w:sz w:val="20"/>
          <w:szCs w:val="20"/>
          <w:color w:val="auto"/>
        </w:rPr>
      </w:pPr>
      <w:r>
        <w:rPr>
          <w:rFonts w:ascii="Arial" w:cs="Arial" w:eastAsia="Arial" w:hAnsi="Arial"/>
          <w:sz w:val="40"/>
          <w:szCs w:val="40"/>
          <w:b w:val="1"/>
          <w:bCs w:val="1"/>
          <w:color w:val="E2231A"/>
        </w:rPr>
        <w:t>CERTAIN RELATIONSHIPS AND RELATED PARTY TRANSACTIONS</w:t>
      </w:r>
    </w:p>
    <w:p>
      <w:pPr>
        <w:sectPr>
          <w:pgSz w:w="11900" w:h="16838" w:orient="portrait"/>
          <w:cols w:equalWidth="0" w:num="1">
            <w:col w:w="11120"/>
          </w:cols>
          <w:pgMar w:left="320" w:top="459" w:right="459" w:bottom="1440" w:gutter="0" w:footer="0" w:header="0"/>
        </w:sectPr>
      </w:pPr>
    </w:p>
    <w:p>
      <w:pPr>
        <w:spacing w:after="0" w:line="210" w:lineRule="exact"/>
        <w:rPr>
          <w:sz w:val="20"/>
          <w:szCs w:val="20"/>
          <w:color w:val="auto"/>
        </w:rPr>
      </w:pPr>
    </w:p>
    <w:p>
      <w:pPr>
        <w:ind w:left="120" w:right="40"/>
        <w:spacing w:after="0" w:line="246" w:lineRule="auto"/>
        <w:rPr>
          <w:sz w:val="20"/>
          <w:szCs w:val="20"/>
          <w:color w:val="auto"/>
        </w:rPr>
      </w:pPr>
      <w:r>
        <w:rPr>
          <w:rFonts w:ascii="Arial" w:cs="Arial" w:eastAsia="Arial" w:hAnsi="Arial"/>
          <w:sz w:val="16"/>
          <w:szCs w:val="16"/>
          <w:color w:val="auto"/>
        </w:rPr>
        <w:t>We have established a written policy that has been broadly disseminated within the Company regarding (i) transactions with related parties and</w:t>
      </w:r>
    </w:p>
    <w:p>
      <w:pPr>
        <w:spacing w:after="0" w:line="1" w:lineRule="exact"/>
        <w:rPr>
          <w:sz w:val="20"/>
          <w:szCs w:val="20"/>
          <w:color w:val="auto"/>
        </w:rPr>
      </w:pPr>
    </w:p>
    <w:p>
      <w:pPr>
        <w:ind w:left="120" w:hanging="4"/>
        <w:spacing w:after="0" w:line="247" w:lineRule="auto"/>
        <w:tabs>
          <w:tab w:leader="none" w:pos="34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employment of immediate family members of directors and executive officers. This policy assists us in identifying, reviewing, monitoring and, as necessary, approving transactions with related parties and also provides for the identification, monitoring and review of employment of immediate family members of directors and executive officers by our human resources department. The policy requires that any transaction, or series of transactions, involving related parties in excess of $120,000, whether undertaken in or outside the ordinary course of our business, be presented to the Nominating Committee. When a related party has a material direct or indirect interest in any such transaction, or series of transactions, in excess of $120,000 that otherwise meet the disclosure requirements of Regulation S-K, approval of the Nominating Committee must be obtained. The policy further provides that all such employment decisions should be made in accordance with the Company’s policies and procedures and that directors and executive officers must not seek to improperly influence any employment decisions regarding their immediate family members.</w:t>
      </w:r>
    </w:p>
    <w:p>
      <w:pPr>
        <w:spacing w:after="0" w:line="102"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relationships with related parties, including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immediate family member)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2"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vendors identified as related party vendors in North America are processed through a centralized payables system. At least annually, the list of related parties is updated by directors, members of senior management and certain other employees.</w:t>
      </w:r>
    </w:p>
    <w:p>
      <w:pPr>
        <w:spacing w:after="0" w:line="9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Nominating Committee.</w:t>
      </w:r>
    </w:p>
    <w:p>
      <w:pPr>
        <w:spacing w:after="0" w:line="10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At least annually, the Chief Accounting Officer reports to the Vice President of Internal Audit on related party relationships, including those with customers, as well as the amount of business performed between the Company and each related party year-to-date and for the preceding fiscal year. At least annually, the Vice President of Internal Audit prepares an audit plan for reviewing significant transactions with related parties and prepares a report on such audit plan and the results for the Nominating Committee. The Chief Accounting Officer, General Counsel and Vice President of Internal Audit meet at least annually to confirm the adequate monitoring and reporting of related party transactions. The Nominating Committee also receives a summary of all significant relationships with related parties at least annually.</w:t>
      </w:r>
    </w:p>
    <w:p>
      <w:pPr>
        <w:spacing w:after="0" w:line="10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connection with any required Nominating Committee approval, a member of our senior management must represent to the Nominating Committee that the related party at issue has been held to the same standards as unaffiliated third parties. Nominating Committee members having (or having an immediate family member that has) a direct or indirect interest in the transaction must recuse themselves from consideration of the transaction.</w:t>
      </w:r>
    </w:p>
    <w:p>
      <w:pPr>
        <w:spacing w:after="0" w:line="28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These procedures resulted in the approval by the Nominating Committee of the employment relationship set forth below under “—Certain Transactions.”</w:t>
      </w:r>
    </w:p>
    <w:p>
      <w:pPr>
        <w:spacing w:after="0" w:line="357"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88"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71</w:t>
      </w:r>
    </w:p>
    <w:p>
      <w:pPr>
        <w:sectPr>
          <w:pgSz w:w="11900" w:h="16838" w:orient="portrait"/>
          <w:cols w:equalWidth="0" w:num="1">
            <w:col w:w="11120"/>
          </w:cols>
          <w:pgMar w:left="32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91465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347"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 stockholders. Such conflicts of interest may arise when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employee, or a member of the employee’s family, receives improper personal benefits as a result of such individual’s position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-1235710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00" w:space="320"/>
            <w:col w:w="4860"/>
          </w:cols>
          <w:pgMar w:left="320" w:top="459" w:right="999" w:bottom="1440" w:gutter="0" w:footer="0" w:header="0"/>
        </w:sect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Mark Mueller, a Principal Engineer for the Company, is a brother-in-law of Raymond E. Scott, a director of the Company and the Company’s President and CEO. In 2021, the Company paid Mr. Mueller approximately $134,000, which</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included bonus payments and other standard benefit arrangements. The compensation paid to Mr. Mueller was approved in accordance with the Company’s standard compensation practices for similarly situated employees.</w:t>
      </w:r>
    </w:p>
    <w:p>
      <w:pPr>
        <w:spacing w:after="0" w:line="200" w:lineRule="exact"/>
        <w:rPr>
          <w:sz w:val="20"/>
          <w:szCs w:val="20"/>
          <w:color w:val="auto"/>
        </w:rPr>
      </w:pPr>
    </w:p>
    <w:p>
      <w:pPr>
        <w:sectPr>
          <w:pgSz w:w="11900" w:h="16838" w:orient="portrait"/>
          <w:cols w:equalWidth="0" w:num="2">
            <w:col w:w="5180" w:space="540"/>
            <w:col w:w="4860"/>
          </w:cols>
          <w:pgMar w:left="320" w:top="459" w:right="999" w:bottom="1440" w:gutter="0" w:footer="0" w:header="0"/>
          <w:type w:val="continuous"/>
        </w:sectPr>
      </w:pPr>
    </w:p>
    <w:p>
      <w:pPr>
        <w:spacing w:after="0" w:line="194" w:lineRule="exact"/>
        <w:rPr>
          <w:sz w:val="20"/>
          <w:szCs w:val="20"/>
          <w:color w:val="auto"/>
        </w:rPr>
      </w:pPr>
    </w:p>
    <w:p>
      <w:pPr>
        <w:ind w:left="780" w:hanging="393"/>
        <w:spacing w:after="0"/>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800"/>
        <w:spacing w:after="0" w:line="274" w:lineRule="auto"/>
        <w:rPr>
          <w:sz w:val="20"/>
          <w:szCs w:val="20"/>
          <w:color w:val="auto"/>
        </w:rPr>
      </w:pPr>
      <w:r>
        <w:rPr>
          <w:rFonts w:ascii="Arial" w:cs="Arial" w:eastAsia="Arial" w:hAnsi="Arial"/>
          <w:sz w:val="39"/>
          <w:szCs w:val="39"/>
          <w:b w:val="1"/>
          <w:bCs w:val="1"/>
          <w:color w:val="E2231A"/>
        </w:rPr>
        <w:t>RATIFICATION OF RETENTION OF INDEPENDENT REGISTERED PUBLIC ACCOUNTING FIRM</w:t>
      </w:r>
    </w:p>
    <w:p>
      <w:pPr>
        <w:sectPr>
          <w:pgSz w:w="11900" w:h="16838" w:orient="portrait"/>
          <w:cols w:equalWidth="0" w:num="1">
            <w:col w:w="10860"/>
          </w:cols>
          <w:pgMar w:left="320" w:top="459" w:right="71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2)</w:t>
      </w: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2022.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440"/>
        <w:spacing w:after="0" w:line="250" w:lineRule="auto"/>
        <w:rPr>
          <w:sz w:val="20"/>
          <w:szCs w:val="20"/>
          <w:color w:val="auto"/>
        </w:rPr>
      </w:pPr>
      <w:r>
        <w:rPr>
          <w:rFonts w:ascii="Arial" w:cs="Arial" w:eastAsia="Arial" w:hAnsi="Arial"/>
          <w:sz w:val="16"/>
          <w:szCs w:val="16"/>
          <w:color w:val="auto"/>
        </w:rPr>
        <w:t>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75"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b w:val="1"/>
          <w:bCs w:val="1"/>
          <w:color w:val="auto"/>
        </w:rPr>
        <w:t>THE BOARD UNANIMOUSLY RECOMMENDS A VOTE “FOR” RATIFICATION OF THE RETENTION OF ERNST &amp; YOUNG LLP AS OUR INDEPENDENT REGISTERED PUBLIC ACCOUNTING FIRM FOR 2022.</w:t>
      </w:r>
    </w:p>
    <w:p>
      <w:pPr>
        <w:spacing w:after="0" w:line="7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b w:val="1"/>
          <w:bCs w:val="1"/>
          <w:color w:val="auto"/>
        </w:rPr>
        <w:t>PROXIES SOLICITED BY THE BOARD WILL BE VOTED “FOR” THE PROPOSAL UNLESS STOCKHOLDERS SPECIFY A CONTRARY VOTE.</w:t>
      </w:r>
    </w:p>
    <w:p>
      <w:pPr>
        <w:spacing w:after="0" w:line="342"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21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73</w:t>
      </w:r>
    </w:p>
    <w:p>
      <w:pPr>
        <w:sectPr>
          <w:pgSz w:w="11900" w:h="16838" w:orient="portrait"/>
          <w:cols w:equalWidth="0" w:num="1">
            <w:col w:w="10860"/>
          </w:cols>
          <w:pgMar w:left="320" w:top="459" w:right="71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300"/>
        <w:spacing w:after="0" w:line="256" w:lineRule="auto"/>
        <w:rPr>
          <w:sz w:val="20"/>
          <w:szCs w:val="20"/>
          <w:color w:val="auto"/>
        </w:rPr>
      </w:pPr>
      <w:r>
        <w:rPr>
          <w:rFonts w:ascii="Arial" w:cs="Arial" w:eastAsia="Arial" w:hAnsi="Arial"/>
          <w:sz w:val="40"/>
          <w:szCs w:val="40"/>
          <w:b w:val="1"/>
          <w:bCs w:val="1"/>
          <w:color w:val="E2231A"/>
        </w:rPr>
        <w:t>ADVISORY VOTE TO APPROVE EXECUTIVE COMPENSATION SET FORTH IN THIS PROXY STATEMENT</w:t>
      </w:r>
    </w:p>
    <w:p>
      <w:pPr>
        <w:sectPr>
          <w:pgSz w:w="11900" w:h="16838" w:orient="portrait"/>
          <w:cols w:equalWidth="0" w:num="1">
            <w:col w:w="10540"/>
          </w:cols>
          <w:pgMar w:left="320" w:top="459" w:right="1039" w:bottom="1440" w:gutter="0" w:footer="0" w:header="0"/>
        </w:sectPr>
      </w:pPr>
    </w:p>
    <w:p>
      <w:pPr>
        <w:spacing w:after="0" w:line="13"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3)</w:t>
      </w:r>
    </w:p>
    <w:p>
      <w:pPr>
        <w:spacing w:after="0" w:line="220"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most recently approved by stockholders at the annual meeting of stockholders in 2017 and consistent with the Board’s recommendation, we are submitting this proposal for a non-binding vote on an annual basis. While this vote is advisory, and not binding on the Board, it will provide information to the Board and P&amp;C Committee regarding investor sentiment about our executive compensation programs and practices, which the P&amp;C Committee will carefully review when evaluating our executive compensation program. At the annual meeting of stockholders in 2021, our executive compensation program and practices disclosed in our 2021 proxy statement received a favorable vote by 97% of shares voted.</w:t>
      </w:r>
    </w:p>
    <w:p>
      <w:pPr>
        <w:spacing w:after="0" w:line="103" w:lineRule="exact"/>
        <w:rPr>
          <w:sz w:val="20"/>
          <w:szCs w:val="20"/>
          <w:color w:val="auto"/>
        </w:rPr>
      </w:pPr>
    </w:p>
    <w:p>
      <w:pPr>
        <w:ind w:left="660" w:right="200"/>
        <w:spacing w:after="0" w:line="260" w:lineRule="auto"/>
        <w:rPr>
          <w:sz w:val="20"/>
          <w:szCs w:val="20"/>
          <w:color w:val="auto"/>
        </w:rPr>
      </w:pPr>
      <w:r>
        <w:rPr>
          <w:rFonts w:ascii="Arial" w:cs="Arial" w:eastAsia="Arial" w:hAnsi="Arial"/>
          <w:sz w:val="16"/>
          <w:szCs w:val="16"/>
          <w:color w:val="auto"/>
        </w:rPr>
        <w:t>Stockholders are being asked to vote on the following advisory resolution:</w:t>
      </w:r>
    </w:p>
    <w:p>
      <w:pPr>
        <w:spacing w:after="0" w:line="87"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executive officers, as disclosed in the 2022 proxy statement pursuant to the compensation disclosure rules of the Securities and Exchange Commission, including the Compensation Discussion and Analysis, the 2021 Summary Compensation Table and the other related tables and disclosures.”</w:t>
      </w:r>
    </w:p>
    <w:p>
      <w:pPr>
        <w:spacing w:after="0" w:line="100" w:lineRule="exact"/>
        <w:rPr>
          <w:sz w:val="20"/>
          <w:szCs w:val="20"/>
          <w:color w:val="auto"/>
        </w:rPr>
      </w:pPr>
    </w:p>
    <w:p>
      <w:pPr>
        <w:ind w:left="660" w:right="180"/>
        <w:spacing w:after="0" w:line="24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9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7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THE BOARD UNANIMOUSLY RECOMMENDS A VOTE “FOR” THE ADVISORY APPROVAL OF EXECUTIVE COMPENSATION SET FORTH IN THIS PROXY STATEMENT.</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ADVISORY APPROVAL OF THE COMPANY’S EXECUTIVE COMPENSATION SET FORTH IN THIS PROXY STATEMENT UNLESS STOCKHOLDERS SPECIFY A CONTRARY VOTE.</w:t>
      </w:r>
    </w:p>
    <w:p>
      <w:pPr>
        <w:spacing w:after="0" w:line="461" w:lineRule="exact"/>
        <w:rPr>
          <w:sz w:val="20"/>
          <w:szCs w:val="20"/>
          <w:color w:val="auto"/>
        </w:rPr>
      </w:pPr>
    </w:p>
    <w:p>
      <w:pPr>
        <w:sectPr>
          <w:pgSz w:w="11900" w:h="16838" w:orient="portrait"/>
          <w:cols w:equalWidth="0" w:num="2">
            <w:col w:w="5360" w:space="360"/>
            <w:col w:w="4820"/>
          </w:cols>
          <w:pgMar w:left="320" w:top="459" w:right="1039" w:bottom="1440" w:gutter="0" w:footer="0" w:header="0"/>
          <w:type w:val="continuous"/>
        </w:sectPr>
      </w:pPr>
    </w:p>
    <w:p>
      <w:pPr>
        <w:spacing w:after="0" w:line="211" w:lineRule="exact"/>
        <w:rPr>
          <w:sz w:val="20"/>
          <w:szCs w:val="20"/>
          <w:color w:val="auto"/>
        </w:rPr>
      </w:pPr>
    </w:p>
    <w:p>
      <w:pPr>
        <w:ind w:left="780" w:hanging="393"/>
        <w:spacing w:after="0"/>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560"/>
        <w:spacing w:after="0" w:line="274" w:lineRule="auto"/>
        <w:rPr>
          <w:sz w:val="20"/>
          <w:szCs w:val="20"/>
          <w:color w:val="auto"/>
        </w:rPr>
      </w:pPr>
      <w:r>
        <w:rPr>
          <w:rFonts w:ascii="Arial" w:cs="Arial" w:eastAsia="Arial" w:hAnsi="Arial"/>
          <w:sz w:val="40"/>
          <w:szCs w:val="40"/>
          <w:b w:val="1"/>
          <w:bCs w:val="1"/>
          <w:color w:val="E2231A"/>
        </w:rPr>
        <w:t>QUESTIONS AND ANSWERS ABOUT THE ANNUAL MEETING</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Why did you send me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We sent you this proxy statement because the Board is soliciting your proxy to vote at the Annual Meeting to be held on May 19, 2022, at 9:00 a.m. (Eastern Time) and at any postponements or adjournments of the Annual Meeting. This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proxy statement summarizes information that is intended to assist you in making an informed vote on the proposals described in this proxy statement.</w:t>
      </w:r>
    </w:p>
    <w:p>
      <w:pPr>
        <w:spacing w:after="0" w:line="387" w:lineRule="exact"/>
        <w:rPr>
          <w:sz w:val="20"/>
          <w:szCs w:val="20"/>
          <w:color w:val="auto"/>
        </w:rPr>
      </w:pPr>
    </w:p>
    <w:p>
      <w:pPr>
        <w:sectPr>
          <w:pgSz w:w="11900" w:h="16838" w:orient="portrait"/>
          <w:cols w:equalWidth="0" w:num="2">
            <w:col w:w="5300" w:space="420"/>
            <w:col w:w="5140"/>
          </w:cols>
          <w:pgMar w:left="320" w:top="459" w:right="719" w:bottom="1440" w:gutter="0" w:footer="0" w:header="0"/>
          <w:type w:val="continuous"/>
        </w:sectPr>
      </w:pPr>
    </w:p>
    <w:p>
      <w:pPr>
        <w:spacing w:after="0" w:line="1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25, 2022. On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record date, there were 59,764,493 shares of our common stock, par value $0.01 per share, outstanding. Our common stock is the only class of voting securities outstanding.</w:t>
      </w:r>
    </w:p>
    <w:p>
      <w:pPr>
        <w:spacing w:after="0" w:line="387" w:lineRule="exact"/>
        <w:rPr>
          <w:sz w:val="20"/>
          <w:szCs w:val="20"/>
          <w:color w:val="auto"/>
        </w:rPr>
      </w:pPr>
    </w:p>
    <w:p>
      <w:pPr>
        <w:sectPr>
          <w:pgSz w:w="11900" w:h="16838" w:orient="portrait"/>
          <w:cols w:equalWidth="0" w:num="2">
            <w:col w:w="5200" w:space="520"/>
            <w:col w:w="5140"/>
          </w:cols>
          <w:pgMar w:left="320" w:top="459" w:right="719" w:bottom="1440" w:gutter="0" w:footer="0" w:header="0"/>
          <w:type w:val="continuous"/>
        </w:sectPr>
      </w:pPr>
    </w:p>
    <w:p>
      <w:pPr>
        <w:spacing w:after="0" w:line="3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many shares must 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We must have a quorum present in person or by proxy to conduct the Annual Meeting. A quorum is established when a majority of shares entitled to vote is present in person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represented by proxy at the Annual Meeting. Abstentions and broker non-votes (as described below) are counted for purposes of determining whether a quorum is present.</w:t>
      </w:r>
    </w:p>
    <w:p>
      <w:pPr>
        <w:spacing w:after="0" w:line="200" w:lineRule="exact"/>
        <w:rPr>
          <w:sz w:val="20"/>
          <w:szCs w:val="20"/>
          <w:color w:val="auto"/>
        </w:rPr>
      </w:pPr>
    </w:p>
    <w:p>
      <w:pPr>
        <w:sectPr>
          <w:pgSz w:w="11900" w:h="16838" w:orient="portrait"/>
          <w:cols w:equalWidth="0" w:num="2">
            <w:col w:w="5360" w:space="360"/>
            <w:col w:w="5140"/>
          </w:cols>
          <w:pgMar w:left="320" w:top="459"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What matters are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agenda for the Annual Meeting is to:</w:t>
      </w:r>
    </w:p>
    <w:p>
      <w:pPr>
        <w:spacing w:after="0" w:line="127" w:lineRule="exact"/>
        <w:rPr>
          <w:sz w:val="20"/>
          <w:szCs w:val="20"/>
          <w:color w:val="auto"/>
        </w:rPr>
      </w:pPr>
    </w:p>
    <w:p>
      <w:pPr>
        <w:ind w:left="1000" w:hanging="333"/>
        <w:spacing w:after="0"/>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elect ten directors named in this proxy statement;</w:t>
      </w:r>
    </w:p>
    <w:p>
      <w:pPr>
        <w:spacing w:after="0" w:line="126" w:lineRule="exact"/>
        <w:rPr>
          <w:rFonts w:ascii="Arial" w:cs="Arial" w:eastAsia="Arial" w:hAnsi="Arial"/>
          <w:sz w:val="16"/>
          <w:szCs w:val="16"/>
          <w:color w:val="auto"/>
        </w:rPr>
      </w:pPr>
    </w:p>
    <w:p>
      <w:pPr>
        <w:ind w:left="1000" w:hanging="333"/>
        <w:spacing w:after="0" w:line="260" w:lineRule="auto"/>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ratify the retention of Ernst &amp; Young LLP as our independent registered public accounting firm for 2022;</w:t>
      </w:r>
    </w:p>
    <w:p>
      <w:pPr>
        <w:spacing w:after="0" w:line="100" w:lineRule="exact"/>
        <w:rPr>
          <w:rFonts w:ascii="Arial" w:cs="Arial" w:eastAsia="Arial" w:hAnsi="Arial"/>
          <w:sz w:val="16"/>
          <w:szCs w:val="16"/>
          <w:color w:val="auto"/>
        </w:rPr>
      </w:pPr>
    </w:p>
    <w:p>
      <w:pPr>
        <w:ind w:left="1000" w:right="740" w:hanging="333"/>
        <w:spacing w:after="0" w:line="260" w:lineRule="auto"/>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provide an advisory vote to approve our executive compensation; and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20" w:right="300" w:hanging="317"/>
        <w:spacing w:after="0" w:line="260" w:lineRule="auto"/>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conduct any other business properly brought before the Annual Meeting or any adjournments or postponements thereof.</w:t>
      </w:r>
    </w:p>
    <w:p>
      <w:pPr>
        <w:spacing w:after="0" w:line="87"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274" w:lineRule="exact"/>
        <w:rPr>
          <w:sz w:val="20"/>
          <w:szCs w:val="20"/>
          <w:color w:val="auto"/>
        </w:rPr>
      </w:pPr>
    </w:p>
    <w:p>
      <w:pPr>
        <w:sectPr>
          <w:pgSz w:w="11900" w:h="16838" w:orient="portrait"/>
          <w:cols w:equalWidth="0" w:num="2">
            <w:col w:w="5300" w:space="420"/>
            <w:col w:w="5140"/>
          </w:cols>
          <w:pgMar w:left="320" w:top="459" w:right="71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recommends that you vote:</w:t>
      </w:r>
    </w:p>
    <w:p>
      <w:pPr>
        <w:spacing w:after="0" w:line="107" w:lineRule="exact"/>
        <w:rPr>
          <w:sz w:val="20"/>
          <w:szCs w:val="20"/>
          <w:color w:val="auto"/>
        </w:rPr>
      </w:pPr>
    </w:p>
    <w:p>
      <w:pPr>
        <w:ind w:left="1000" w:hanging="333"/>
        <w:spacing w:after="0" w:line="286"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proxy statement;</w:t>
      </w:r>
    </w:p>
    <w:p>
      <w:pPr>
        <w:spacing w:after="0" w:line="61" w:lineRule="exact"/>
        <w:rPr>
          <w:rFonts w:ascii="Arial" w:cs="Arial" w:eastAsia="Arial" w:hAnsi="Arial"/>
          <w:sz w:val="16"/>
          <w:szCs w:val="16"/>
          <w:color w:val="auto"/>
        </w:rPr>
      </w:pPr>
    </w:p>
    <w:p>
      <w:pPr>
        <w:ind w:left="1000" w:hanging="333"/>
        <w:spacing w:after="0" w:line="266"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retention of Ernst &amp; Young LLP as</w:t>
      </w:r>
      <w:r>
        <w:rPr>
          <w:rFonts w:ascii="Arial" w:cs="Arial" w:eastAsia="Arial" w:hAnsi="Arial"/>
          <w:sz w:val="16"/>
          <w:szCs w:val="16"/>
          <w:b w:val="1"/>
          <w:bCs w:val="1"/>
          <w:color w:val="auto"/>
        </w:rPr>
        <w:t xml:space="preserve"> </w:t>
      </w:r>
      <w:r>
        <w:rPr>
          <w:rFonts w:ascii="Arial" w:cs="Arial" w:eastAsia="Arial" w:hAnsi="Arial"/>
          <w:sz w:val="16"/>
          <w:szCs w:val="16"/>
          <w:color w:val="auto"/>
        </w:rPr>
        <w:t>our independent registered public accounting firm for 2022; and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17" w:right="740" w:hanging="317"/>
        <w:spacing w:after="0" w:line="286" w:lineRule="auto"/>
        <w:tabs>
          <w:tab w:leader="none" w:pos="317"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w:t>
      </w:r>
    </w:p>
    <w:p>
      <w:pPr>
        <w:spacing w:after="0" w:line="1183" w:lineRule="exact"/>
        <w:rPr>
          <w:sz w:val="20"/>
          <w:szCs w:val="20"/>
          <w:color w:val="auto"/>
        </w:rPr>
      </w:pPr>
    </w:p>
    <w:p>
      <w:pPr>
        <w:sectPr>
          <w:pgSz w:w="11900" w:h="16838" w:orient="portrait"/>
          <w:cols w:equalWidth="0" w:num="2">
            <w:col w:w="5320" w:space="403"/>
            <w:col w:w="5137"/>
          </w:cols>
          <w:pgMar w:left="320" w:top="459" w:right="719" w:bottom="1440" w:gutter="0" w:footer="0" w:header="0"/>
          <w:type w:val="continuous"/>
        </w:sectPr>
      </w:pPr>
    </w:p>
    <w:p>
      <w:pPr>
        <w:spacing w:after="0" w:line="2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2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900" w:type="dxa"/>
            <w:vAlign w:val="bottom"/>
            <w:gridSpan w:val="2"/>
          </w:tcPr>
          <w:p>
            <w:pPr>
              <w:spacing w:after="0"/>
              <w:rPr>
                <w:sz w:val="20"/>
                <w:szCs w:val="20"/>
                <w:color w:val="auto"/>
              </w:rPr>
            </w:pPr>
            <w:r>
              <w:rPr>
                <w:rFonts w:ascii="Arial" w:cs="Arial" w:eastAsia="Arial" w:hAnsi="Arial"/>
                <w:sz w:val="16"/>
                <w:szCs w:val="16"/>
                <w:color w:val="auto"/>
              </w:rPr>
              <w:t>If you do not request printed copies of the proxy materials by mail,</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entering the 16-digit control number included on the Notice of</w:t>
            </w: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rPr>
                <w:sz w:val="20"/>
                <w:szCs w:val="20"/>
                <w:color w:val="auto"/>
              </w:rPr>
            </w:pPr>
            <w:r>
              <w:rPr>
                <w:rFonts w:ascii="Arial" w:cs="Arial" w:eastAsia="Arial" w:hAnsi="Arial"/>
                <w:sz w:val="16"/>
                <w:szCs w:val="16"/>
                <w:color w:val="auto"/>
              </w:rPr>
              <w:t>you will receive a Notice of Internet Availability of Proxy Materials.</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Internet Availability of Proxy Materials, proxy card or voting</w:t>
            </w: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rPr>
                <w:sz w:val="20"/>
                <w:szCs w:val="20"/>
                <w:color w:val="auto"/>
              </w:rPr>
            </w:pPr>
            <w:r>
              <w:rPr>
                <w:rFonts w:ascii="Arial" w:cs="Arial" w:eastAsia="Arial" w:hAnsi="Arial"/>
                <w:sz w:val="16"/>
                <w:szCs w:val="16"/>
                <w:color w:val="auto"/>
              </w:rPr>
              <w:t>Stockholders that receive a Notice of Internet Availability of Proxy</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instructions form previously distributed; or</w:t>
            </w:r>
          </w:p>
        </w:tc>
        <w:tc>
          <w:tcPr>
            <w:tcW w:w="0" w:type="dxa"/>
            <w:vAlign w:val="bottom"/>
          </w:tcPr>
          <w:p>
            <w:pPr>
              <w:spacing w:after="0"/>
              <w:rPr>
                <w:sz w:val="1"/>
                <w:szCs w:val="1"/>
                <w:color w:val="auto"/>
              </w:rPr>
            </w:pPr>
          </w:p>
        </w:tc>
      </w:tr>
      <w:tr>
        <w:trPr>
          <w:trHeight w:val="195"/>
        </w:trPr>
        <w:tc>
          <w:tcPr>
            <w:tcW w:w="4900" w:type="dxa"/>
            <w:vAlign w:val="bottom"/>
            <w:gridSpan w:val="2"/>
          </w:tcPr>
          <w:p>
            <w:pPr>
              <w:spacing w:after="0"/>
              <w:rPr>
                <w:sz w:val="20"/>
                <w:szCs w:val="20"/>
                <w:color w:val="auto"/>
              </w:rPr>
            </w:pPr>
            <w:r>
              <w:rPr>
                <w:rFonts w:ascii="Arial" w:cs="Arial" w:eastAsia="Arial" w:hAnsi="Arial"/>
                <w:sz w:val="16"/>
                <w:szCs w:val="16"/>
                <w:color w:val="auto"/>
              </w:rPr>
              <w:t>Materials may vote via the Internet in the following ways:</w:t>
            </w:r>
          </w:p>
        </w:tc>
        <w:tc>
          <w:tcPr>
            <w:tcW w:w="38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4540" w:type="dxa"/>
            <w:vAlign w:val="bottom"/>
            <w:vMerge w:val="restart"/>
          </w:tcPr>
          <w:p>
            <w:pPr>
              <w:ind w:left="140"/>
              <w:spacing w:after="0"/>
              <w:rPr>
                <w:sz w:val="20"/>
                <w:szCs w:val="20"/>
                <w:color w:val="auto"/>
              </w:rPr>
            </w:pPr>
            <w:r>
              <w:rPr>
                <w:rFonts w:ascii="Arial" w:cs="Arial" w:eastAsia="Arial" w:hAnsi="Arial"/>
                <w:sz w:val="16"/>
                <w:szCs w:val="16"/>
                <w:color w:val="auto"/>
              </w:rPr>
              <w:t>At the Annual Meeting — You may vote via the Internet at the</w:t>
            </w:r>
          </w:p>
        </w:tc>
        <w:tc>
          <w:tcPr>
            <w:tcW w:w="0" w:type="dxa"/>
            <w:vAlign w:val="bottom"/>
          </w:tcPr>
          <w:p>
            <w:pPr>
              <w:spacing w:after="0"/>
              <w:rPr>
                <w:sz w:val="1"/>
                <w:szCs w:val="1"/>
                <w:color w:val="auto"/>
              </w:rPr>
            </w:pPr>
          </w:p>
        </w:tc>
      </w:tr>
      <w:tr>
        <w:trPr>
          <w:trHeight w:val="116"/>
        </w:trPr>
        <w:tc>
          <w:tcPr>
            <w:tcW w:w="2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4680" w:type="dxa"/>
            <w:vAlign w:val="bottom"/>
          </w:tcPr>
          <w:p>
            <w:pPr>
              <w:ind w:left="160"/>
              <w:spacing w:after="0"/>
              <w:rPr>
                <w:sz w:val="20"/>
                <w:szCs w:val="20"/>
                <w:color w:val="auto"/>
              </w:rPr>
            </w:pPr>
            <w:r>
              <w:rPr>
                <w:rFonts w:ascii="Arial" w:cs="Arial" w:eastAsia="Arial" w:hAnsi="Arial"/>
                <w:sz w:val="16"/>
                <w:szCs w:val="16"/>
                <w:color w:val="auto"/>
              </w:rPr>
              <w:t>Prior to the Annual Meeting — You can vote via the Internet</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Annual Meeting by attending the live meeting at</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by navigating to www.proxyvote.com and</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www.virtualshareholdermeeting.com/LEA2022 and entering</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the 16-digit control number included on the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75</w:t>
      </w:r>
    </w:p>
    <w:p>
      <w:pPr>
        <w:sectPr>
          <w:pgSz w:w="11900" w:h="16838" w:orient="portrait"/>
          <w:cols w:equalWidth="0" w:num="1">
            <w:col w:w="10860"/>
          </w:cols>
          <w:pgMar w:left="320" w:top="459" w:right="71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5580"/>
        <w:spacing w:after="0"/>
        <w:rPr>
          <w:sz w:val="20"/>
          <w:szCs w:val="20"/>
          <w:color w:val="auto"/>
        </w:rPr>
      </w:pPr>
      <w:r>
        <w:rPr>
          <w:rFonts w:ascii="Arial" w:cs="Arial" w:eastAsia="Arial" w:hAnsi="Arial"/>
          <w:sz w:val="14"/>
          <w:szCs w:val="14"/>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6574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180" w:right="20"/>
        <w:spacing w:after="0" w:line="260" w:lineRule="auto"/>
        <w:rPr>
          <w:sz w:val="20"/>
          <w:szCs w:val="20"/>
          <w:color w:val="auto"/>
        </w:rPr>
      </w:pPr>
      <w:r>
        <w:rPr>
          <w:rFonts w:ascii="Arial" w:cs="Arial" w:eastAsia="Arial" w:hAnsi="Arial"/>
          <w:sz w:val="16"/>
          <w:szCs w:val="16"/>
          <w:color w:val="auto"/>
        </w:rPr>
        <w:t>Notice of Internet Availability of Proxy Materials, proxy card or voting instructions form previously distributed.</w:t>
      </w:r>
    </w:p>
    <w:p>
      <w:pPr>
        <w:spacing w:after="0" w:line="87" w:lineRule="exact"/>
        <w:rPr>
          <w:sz w:val="20"/>
          <w:szCs w:val="20"/>
          <w:color w:val="auto"/>
        </w:rPr>
      </w:pPr>
    </w:p>
    <w:p>
      <w:pPr>
        <w:ind w:left="820" w:right="60"/>
        <w:spacing w:after="0" w:line="251" w:lineRule="auto"/>
        <w:rPr>
          <w:sz w:val="20"/>
          <w:szCs w:val="20"/>
          <w:color w:val="auto"/>
        </w:rPr>
      </w:pPr>
      <w:r>
        <w:rPr>
          <w:rFonts w:ascii="Arial" w:cs="Arial" w:eastAsia="Arial" w:hAnsi="Arial"/>
          <w:sz w:val="16"/>
          <w:szCs w:val="16"/>
          <w:color w:val="auto"/>
        </w:rPr>
        <w:t>If you request printed copies of the proxy materials by mail, you will receive a proxy card or a voting instruction form and will be able to vote in the following ways in addition to the methods of voting via the Internet described above:</w:t>
      </w:r>
    </w:p>
    <w:p>
      <w:pPr>
        <w:spacing w:after="0" w:line="108" w:lineRule="exact"/>
        <w:rPr>
          <w:sz w:val="20"/>
          <w:szCs w:val="20"/>
          <w:color w:val="auto"/>
        </w:rPr>
      </w:pPr>
    </w:p>
    <w:p>
      <w:pPr>
        <w:ind w:left="1180" w:right="80" w:hanging="365"/>
        <w:spacing w:after="0" w:line="249" w:lineRule="auto"/>
        <w:tabs>
          <w:tab w:leader="none" w:pos="1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By Telephone — You can vote by proxy by calling the toll-free number found on your proxy card or voting instruction form. You will need to use the 16-digit control number included on the proxy card to vote by telephone. The availability of telephone voting may depend on the voting process of the organization that holds your shares; or</w:t>
      </w:r>
    </w:p>
    <w:p>
      <w:pPr>
        <w:spacing w:after="0" w:line="110" w:lineRule="exact"/>
        <w:rPr>
          <w:rFonts w:ascii="Arial" w:cs="Arial" w:eastAsia="Arial" w:hAnsi="Arial"/>
          <w:sz w:val="16"/>
          <w:szCs w:val="16"/>
          <w:color w:val="auto"/>
        </w:rPr>
      </w:pPr>
    </w:p>
    <w:p>
      <w:pPr>
        <w:ind w:left="1180" w:right="40" w:hanging="365"/>
        <w:spacing w:after="0" w:line="260" w:lineRule="auto"/>
        <w:tabs>
          <w:tab w:leader="none" w:pos="1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By Mail — You can vote by completing, dating, signing and returning the proxy card or voting instruction form.</w:t>
      </w:r>
    </w:p>
    <w:p>
      <w:pPr>
        <w:spacing w:after="0" w:line="87" w:lineRule="exact"/>
        <w:rPr>
          <w:sz w:val="20"/>
          <w:szCs w:val="20"/>
          <w:color w:val="auto"/>
        </w:rPr>
      </w:pPr>
    </w:p>
    <w:p>
      <w:pPr>
        <w:ind w:left="820"/>
        <w:spacing w:after="0" w:line="251" w:lineRule="auto"/>
        <w:rPr>
          <w:sz w:val="20"/>
          <w:szCs w:val="20"/>
          <w:color w:val="auto"/>
        </w:rPr>
      </w:pPr>
      <w:r>
        <w:rPr>
          <w:rFonts w:ascii="Arial" w:cs="Arial" w:eastAsia="Arial" w:hAnsi="Arial"/>
          <w:sz w:val="16"/>
          <w:szCs w:val="16"/>
          <w:color w:val="auto"/>
        </w:rPr>
        <w:t>Telephone and Internet voting facilities will be available 24 hours a day. You may vote over the telephone or via the Internet on www.proxyvote.com until 11:59 p.m. on May 18, 2022. Even if you plan to attend the Annual Meeting,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recommend that you vote in advance of the meeting via Internet or submit your proxy or voting instructions as described above so that your vote will be counted if you later decide not to attend the Annual Meeting.</w:t>
      </w:r>
    </w:p>
    <w:p>
      <w:pPr>
        <w:spacing w:after="0" w:line="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and FOR the advisory approval of executive compensation described in this proxy statement.</w:t>
      </w:r>
    </w:p>
    <w:p>
      <w:pPr>
        <w:spacing w:after="0" w:line="97"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200" w:lineRule="exact"/>
        <w:rPr>
          <w:sz w:val="20"/>
          <w:szCs w:val="20"/>
          <w:color w:val="auto"/>
        </w:rPr>
      </w:pPr>
    </w:p>
    <w:p>
      <w:pPr>
        <w:sectPr>
          <w:pgSz w:w="11900" w:h="16838" w:orient="portrait"/>
          <w:cols w:equalWidth="0" w:num="2">
            <w:col w:w="5420" w:space="300"/>
            <w:col w:w="4700"/>
          </w:cols>
          <w:pgMar w:left="320" w:top="459" w:right="1159" w:bottom="1440" w:gutter="0" w:footer="0" w:header="0"/>
          <w:type w:val="continuous"/>
        </w:sectPr>
      </w:pPr>
    </w:p>
    <w:p>
      <w:pPr>
        <w:spacing w:after="0" w:line="155" w:lineRule="exact"/>
        <w:rPr>
          <w:sz w:val="20"/>
          <w:szCs w:val="20"/>
          <w:color w:val="auto"/>
        </w:rPr>
      </w:pPr>
    </w:p>
    <w:p>
      <w:pPr>
        <w:ind w:left="820" w:right="380"/>
        <w:spacing w:after="0" w:line="298" w:lineRule="auto"/>
        <w:rPr>
          <w:sz w:val="20"/>
          <w:szCs w:val="20"/>
          <w:color w:val="auto"/>
        </w:rPr>
      </w:pPr>
      <w:r>
        <w:rPr>
          <w:rFonts w:ascii="Arial" w:cs="Arial" w:eastAsia="Arial" w:hAnsi="Arial"/>
          <w:sz w:val="23"/>
          <w:szCs w:val="23"/>
          <w:b w:val="1"/>
          <w:bCs w:val="1"/>
          <w:color w:val="auto"/>
        </w:rPr>
        <w:t>What does it mean if I receive more than one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wp:posOffset>
            </wp:positionV>
            <wp:extent cx="6103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type w:val="continuous"/>
        </w:sectPr>
      </w:pPr>
    </w:p>
    <w:p>
      <w:pPr>
        <w:spacing w:after="0" w:line="233"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You may receive more than one Notice of Internet Availability of Proxy Materials, more than one e-mail or multiple proxy cards or voting instruction cards. For example, if you hold your shares in more than one brokerage account, you may receive a separate Notice of Internet Availability of Proxy Materials, a separate e-mail or a separate voting instruction card for each brokerage account in which you hold shares. If you are a stockholder of record and your shares are registered in more than one name, you may receive more than one Notice of</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Internet Availability of Proxy Materials, more than one e-mail or more than one proxy card. To vote all of your shares by proxy, you must complete, sign, date and return each proxy card and voting instruction card that you receive and vote over the Internet the shares represented by each Notice of Internet Availability of Proxy Materials that you receive (unless you have requested and received a proxy card or voting instruction card for the shares represented by one or more of those Notices of Internet Availability of Proxy Materials).</w:t>
      </w:r>
    </w:p>
    <w:p>
      <w:pPr>
        <w:spacing w:after="0" w:line="200" w:lineRule="exact"/>
        <w:rPr>
          <w:sz w:val="20"/>
          <w:szCs w:val="20"/>
          <w:color w:val="auto"/>
        </w:rPr>
      </w:pPr>
    </w:p>
    <w:p>
      <w:pPr>
        <w:sectPr>
          <w:pgSz w:w="11900" w:h="16838" w:orient="portrait"/>
          <w:cols w:equalWidth="0" w:num="2">
            <w:col w:w="5420" w:space="300"/>
            <w:col w:w="4700"/>
          </w:cols>
          <w:pgMar w:left="320" w:top="459" w:right="1159" w:bottom="1440" w:gutter="0" w:footer="0" w:header="0"/>
          <w:type w:val="continuous"/>
        </w:sectPr>
      </w:pPr>
    </w:p>
    <w:p>
      <w:pPr>
        <w:spacing w:after="0" w:line="15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69850</wp:posOffset>
            </wp:positionV>
            <wp:extent cx="6103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type w:val="continuous"/>
        </w:sectPr>
      </w:pPr>
    </w:p>
    <w:p>
      <w:pPr>
        <w:spacing w:after="0" w:line="342" w:lineRule="exact"/>
        <w:rPr>
          <w:sz w:val="20"/>
          <w:szCs w:val="20"/>
          <w:color w:val="auto"/>
        </w:rPr>
      </w:pPr>
    </w:p>
    <w:p>
      <w:pPr>
        <w:ind w:left="820"/>
        <w:spacing w:after="0" w:line="251"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you may vote your shares electronically as described above, submit another later dated proxy by telephone or mail or submit new voting</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instructions to your bank, broker, trustee or nominee. Your attendance at the Annual Meeting will not, by itself, revoke your proxy; you must vote via the Internet during the meeting to revoke your proxy.</w:t>
      </w:r>
    </w:p>
    <w:p>
      <w:pPr>
        <w:spacing w:after="0" w:line="200" w:lineRule="exact"/>
        <w:rPr>
          <w:sz w:val="20"/>
          <w:szCs w:val="20"/>
          <w:color w:val="auto"/>
        </w:rPr>
      </w:pPr>
    </w:p>
    <w:p>
      <w:pPr>
        <w:sectPr>
          <w:pgSz w:w="11900" w:h="16838" w:orient="portrait"/>
          <w:cols w:equalWidth="0" w:num="2">
            <w:col w:w="5380" w:space="340"/>
            <w:col w:w="4700"/>
          </w:cols>
          <w:pgMar w:left="320" w:top="459" w:right="1159" w:bottom="1440" w:gutter="0" w:footer="0" w:header="0"/>
          <w:type w:val="continuous"/>
        </w:sectPr>
      </w:pPr>
    </w:p>
    <w:p>
      <w:pPr>
        <w:spacing w:after="0" w:line="139" w:lineRule="exact"/>
        <w:rPr>
          <w:sz w:val="20"/>
          <w:szCs w:val="20"/>
          <w:color w:val="auto"/>
        </w:rPr>
      </w:pPr>
    </w:p>
    <w:p>
      <w:pPr>
        <w:ind w:left="820" w:right="400"/>
        <w:spacing w:after="0" w:line="298" w:lineRule="auto"/>
        <w:rPr>
          <w:sz w:val="20"/>
          <w:szCs w:val="20"/>
          <w:color w:val="auto"/>
        </w:rPr>
      </w:pPr>
      <w:r>
        <w:rPr>
          <w:rFonts w:ascii="Arial" w:cs="Arial" w:eastAsia="Arial" w:hAnsi="Arial"/>
          <w:sz w:val="23"/>
          <w:szCs w:val="23"/>
          <w:b w:val="1"/>
          <w:bCs w:val="1"/>
          <w:color w:val="auto"/>
        </w:rPr>
        <w:t>What vote is required to elect directors and approve the other matters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9525</wp:posOffset>
            </wp:positionV>
            <wp:extent cx="6103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type w:val="continuous"/>
        </w:sectPr>
      </w:pPr>
    </w:p>
    <w:p>
      <w:pPr>
        <w:spacing w:after="0" w:line="233"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 In an uncontested election, our Bylaws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provide that any incumbent director that fails to receive a majority of votes cast shall immediately tender his or her resignation. Our Board, in a process managed by the Nominating Committee and following a recommendation by that committee, must decide whether or not to accept the tendered resignation.</w:t>
      </w:r>
    </w:p>
    <w:p>
      <w:pPr>
        <w:spacing w:after="0" w:line="572" w:lineRule="exact"/>
        <w:rPr>
          <w:sz w:val="20"/>
          <w:szCs w:val="20"/>
          <w:color w:val="auto"/>
        </w:rPr>
      </w:pPr>
    </w:p>
    <w:p>
      <w:pPr>
        <w:sectPr>
          <w:pgSz w:w="11900" w:h="16838" w:orient="portrait"/>
          <w:cols w:equalWidth="0" w:num="2">
            <w:col w:w="5380" w:space="340"/>
            <w:col w:w="4700"/>
          </w:cols>
          <w:pgMar w:left="320" w:top="459"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80" w:hanging="393"/>
        <w:spacing w:after="0"/>
        <w:tabs>
          <w:tab w:leader="none" w:pos="7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20"/>
          </w:cols>
          <w:pgMar w:left="320" w:top="459" w:right="11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58420</wp:posOffset>
            </wp:positionV>
            <wp:extent cx="2854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 No. 2) and the advisory approval of our executive compensation (Proposal No. 3), the affirmative vote of the holders of a majority of the shares represented in person or by proxy and entitled to vote on the proposal will be required for approval. For Proposal No. 2 and Proposal No. 3 abstentions and broker non-votes will be counted as shares represented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440"/>
        <w:spacing w:after="0" w:line="248" w:lineRule="auto"/>
        <w:rPr>
          <w:sz w:val="20"/>
          <w:szCs w:val="20"/>
          <w:color w:val="auto"/>
        </w:rPr>
      </w:pPr>
      <w:r>
        <w:rPr>
          <w:rFonts w:ascii="Arial" w:cs="Arial" w:eastAsia="Arial" w:hAnsi="Arial"/>
          <w:sz w:val="16"/>
          <w:szCs w:val="16"/>
          <w:color w:val="auto"/>
        </w:rPr>
        <w:t>and entitled to vote for the purposes of determining whether there is a quorum. Abstentions will have the same effect as a vote against Proposal No. 2 and Proposal No. 3. Absent specific instructions on Proposal No. 2, brokers are permitted to exercise voting discretion with respect to such proposal. Broker non-votes will have no effect on Proposal No. 3. For additional information about broker non-votes see “How do I vote if my bank or broker holds my shares in ‘street name’?”</w:t>
      </w:r>
    </w:p>
    <w:p>
      <w:pPr>
        <w:spacing w:after="0" w:line="200"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7" w:lineRule="exact"/>
        <w:rPr>
          <w:sz w:val="20"/>
          <w:szCs w:val="20"/>
          <w:color w:val="auto"/>
        </w:rPr>
      </w:pPr>
    </w:p>
    <w:p>
      <w:pPr>
        <w:ind w:left="820" w:right="900"/>
        <w:spacing w:after="0" w:line="298" w:lineRule="auto"/>
        <w:rPr>
          <w:sz w:val="20"/>
          <w:szCs w:val="20"/>
          <w:color w:val="auto"/>
        </w:rPr>
      </w:pPr>
      <w:r>
        <w:rPr>
          <w:rFonts w:ascii="Arial" w:cs="Arial" w:eastAsia="Arial" w:hAnsi="Arial"/>
          <w:sz w:val="23"/>
          <w:szCs w:val="23"/>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wp:posOffset>
            </wp:positionV>
            <wp:extent cx="61036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233"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80"/>
        <w:spacing w:after="0" w:line="249" w:lineRule="auto"/>
        <w:rPr>
          <w:sz w:val="20"/>
          <w:szCs w:val="20"/>
          <w:color w:val="auto"/>
        </w:rPr>
      </w:pPr>
      <w:r>
        <w:rPr>
          <w:rFonts w:ascii="Arial" w:cs="Arial" w:eastAsia="Arial" w:hAnsi="Arial"/>
          <w:sz w:val="16"/>
          <w:szCs w:val="16"/>
          <w:color w:val="auto"/>
        </w:rPr>
        <w:t>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575" w:lineRule="exact"/>
        <w:rPr>
          <w:sz w:val="20"/>
          <w:szCs w:val="20"/>
          <w:color w:val="auto"/>
        </w:rPr>
      </w:pPr>
    </w:p>
    <w:p>
      <w:pPr>
        <w:sectPr>
          <w:pgSz w:w="11900" w:h="16838" w:orient="portrait"/>
          <w:cols w:equalWidth="0" w:num="2">
            <w:col w:w="5240" w:space="480"/>
            <w:col w:w="5140"/>
          </w:cols>
          <w:pgMar w:left="320" w:top="459" w:right="719" w:bottom="1440" w:gutter="0" w:footer="0" w:header="0"/>
          <w:type w:val="continuous"/>
        </w:sectPr>
      </w:pPr>
    </w:p>
    <w:p>
      <w:pPr>
        <w:spacing w:after="0" w:line="15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How do I vote if my bank or broker holds my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69850</wp:posOffset>
            </wp:positionV>
            <wp:extent cx="61036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and No. 3 (advisory vote on executive compensation)). Thus, if you do not give your bank, broker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60"/>
        <w:spacing w:after="0" w:line="248" w:lineRule="auto"/>
        <w:rPr>
          <w:sz w:val="20"/>
          <w:szCs w:val="20"/>
          <w:color w:val="auto"/>
        </w:rPr>
      </w:pPr>
      <w:r>
        <w:rPr>
          <w:rFonts w:ascii="Arial" w:cs="Arial" w:eastAsia="Arial" w:hAnsi="Arial"/>
          <w:sz w:val="16"/>
          <w:szCs w:val="16"/>
          <w:color w:val="auto"/>
        </w:rPr>
        <w:t>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571" w:lineRule="exact"/>
        <w:rPr>
          <w:sz w:val="20"/>
          <w:szCs w:val="20"/>
          <w:color w:val="auto"/>
        </w:rPr>
      </w:pPr>
    </w:p>
    <w:p>
      <w:pPr>
        <w:sectPr>
          <w:pgSz w:w="11900" w:h="16838" w:orient="portrait"/>
          <w:cols w:equalWidth="0" w:num="2">
            <w:col w:w="5340" w:space="380"/>
            <w:col w:w="5140"/>
          </w:cols>
          <w:pgMar w:left="320" w:top="459" w:right="719" w:bottom="1440" w:gutter="0" w:footer="0" w:header="0"/>
          <w:type w:val="continuous"/>
        </w:sectPr>
      </w:pPr>
    </w:p>
    <w:p>
      <w:pPr>
        <w:spacing w:after="0" w:line="14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78740</wp:posOffset>
            </wp:positionV>
            <wp:extent cx="61036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27" w:lineRule="exact"/>
        <w:rPr>
          <w:sz w:val="20"/>
          <w:szCs w:val="20"/>
          <w:color w:val="auto"/>
        </w:rPr>
      </w:pPr>
    </w:p>
    <w:p>
      <w:pPr>
        <w:ind w:left="820" w:right="740"/>
        <w:spacing w:after="0" w:line="260" w:lineRule="auto"/>
        <w:rPr>
          <w:sz w:val="20"/>
          <w:szCs w:val="20"/>
          <w:color w:val="auto"/>
        </w:rPr>
      </w:pPr>
      <w:r>
        <w:rPr>
          <w:rFonts w:ascii="Arial" w:cs="Arial" w:eastAsia="Arial" w:hAnsi="Arial"/>
          <w:sz w:val="16"/>
          <w:szCs w:val="16"/>
          <w:color w:val="auto"/>
        </w:rPr>
        <w:t>Each share of common stock that you hold as of the record date entitles you to one vote, without cumulation, on each matter to be voted upon at the Annual Meeting.</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How will the votes be counted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69850</wp:posOffset>
            </wp:positionV>
            <wp:extent cx="6103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votes will be counted by the inspector of election appointed for the Annual Meeting.</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How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69850</wp:posOffset>
            </wp:positionV>
            <wp:extent cx="6103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Company will report the final results of the voting at the Annual Meeting in a filing with the SEC on a Current Report on Form 8-K.</w:t>
      </w: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77</w:t>
      </w:r>
    </w:p>
    <w:p>
      <w:pPr>
        <w:sectPr>
          <w:pgSz w:w="11900" w:h="16838" w:orient="portrait"/>
          <w:cols w:equalWidth="0" w:num="1">
            <w:col w:w="10860"/>
          </w:cols>
          <w:pgMar w:left="320" w:top="459" w:right="71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6574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8" w:lineRule="exact"/>
        <w:rPr>
          <w:sz w:val="20"/>
          <w:szCs w:val="20"/>
          <w:color w:val="auto"/>
        </w:rPr>
      </w:pPr>
    </w:p>
    <w:p>
      <w:pPr>
        <w:jc w:val="right"/>
        <w:ind w:right="4080"/>
        <w:spacing w:after="0"/>
        <w:rPr>
          <w:sz w:val="20"/>
          <w:szCs w:val="20"/>
          <w:color w:val="auto"/>
        </w:rPr>
      </w:pPr>
      <w:r>
        <w:rPr>
          <w:rFonts w:ascii="Arial" w:cs="Arial" w:eastAsia="Arial" w:hAnsi="Arial"/>
          <w:sz w:val="23"/>
          <w:szCs w:val="23"/>
          <w:b w:val="1"/>
          <w:bCs w:val="1"/>
          <w:color w:val="auto"/>
        </w:rPr>
        <w:t>Who pays for the Company’s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42"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387" w:lineRule="exact"/>
        <w:rPr>
          <w:sz w:val="20"/>
          <w:szCs w:val="20"/>
          <w:color w:val="auto"/>
        </w:rPr>
      </w:pPr>
    </w:p>
    <w:p>
      <w:pPr>
        <w:sectPr>
          <w:pgSz w:w="11900" w:h="16838" w:orient="portrait"/>
          <w:cols w:equalWidth="0" w:num="2">
            <w:col w:w="5320" w:space="400"/>
            <w:col w:w="4860"/>
          </w:cols>
          <w:pgMar w:left="320" w:top="459" w:right="99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What is “householding” and how does 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of Internet Availability of Proxy Materials, proxy statement or annual report, contact Broadridge Financial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Solutions, Inc. by calling 1-800-542-1061 or in writing at Broadridge, Householding Department, 51 Mercedes Way, Edgewood, New York 11717.</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275"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hosting the Annual Meeting through a virtual web</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conference. You will not be able to attend the meeting in person.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will be able to attend the virtual meeting, vote your shares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electronically, and submit your questions during the live webcast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meeting by visiting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www.virtualshareholdermeeting.com/LEA2022 and entering your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16-digit control number included in your Notice of Internet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Availability of Proxy Materials, on your proxy card, or on any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voting instructions accompanying these proxy materials.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Annual Meeting will begin promptly at 9:00 a.m. (Eastern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Time). Online check-in will be available beginning at 8:30 a.m.</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(Eastern Time). Please allow ample time for the online check-in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process. Please be assured that you will be afforded the same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rights and opportunities to participate in the virtual meeting as you</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would at an in-person meeting.</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Annual Meeting, we will hold a question and answer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session, during which we intend to answer questions submitted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during the meeting in accordance with the Annual Meeting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procedures which are pertinent to the Company and the meeting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matters, as time permits. Questions may be submitted during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through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www.virtualshareholdermeeting.com/LEA2022. Questions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answers will be grouped by topic and substantially similar questions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will be grouped and answered once.</w:t>
      </w:r>
    </w:p>
    <w:p>
      <w:pPr>
        <w:spacing w:after="0" w:line="11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There will be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200"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209" w:lineRule="exact"/>
        <w:rPr>
          <w:sz w:val="20"/>
          <w:szCs w:val="20"/>
          <w:color w:val="auto"/>
        </w:rPr>
      </w:pPr>
    </w:p>
    <w:p>
      <w:pPr>
        <w:ind w:left="780" w:hanging="393"/>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820"/>
        <w:spacing w:after="0" w:line="274" w:lineRule="auto"/>
        <w:rPr>
          <w:sz w:val="20"/>
          <w:szCs w:val="20"/>
          <w:color w:val="auto"/>
        </w:rPr>
      </w:pPr>
      <w:r>
        <w:rPr>
          <w:rFonts w:ascii="Arial" w:cs="Arial" w:eastAsia="Arial" w:hAnsi="Arial"/>
          <w:sz w:val="40"/>
          <w:szCs w:val="40"/>
          <w:b w:val="1"/>
          <w:bCs w:val="1"/>
          <w:color w:val="E2231A"/>
        </w:rPr>
        <w:t>STOCKHOLDER PROPOSALS FOR 2023 ANNUAL MEETING OF STOCKHOLDERS</w:t>
      </w:r>
    </w:p>
    <w:p>
      <w:pPr>
        <w:sectPr>
          <w:pgSz w:w="11900" w:h="16838" w:orient="portrait"/>
          <w:cols w:equalWidth="0" w:num="1">
            <w:col w:w="10860"/>
          </w:cols>
          <w:pgMar w:left="320" w:top="459" w:right="719" w:bottom="1440" w:gutter="0" w:footer="0" w:header="0"/>
        </w:sectPr>
      </w:pPr>
    </w:p>
    <w:p>
      <w:pPr>
        <w:spacing w:after="0" w:line="210"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Stockholders who intend to present proposals at the Company’s annual meeting of stockholders in 2023 pursuant to Rule 14a-8 under the Exchange Act must send notice of their proposal to us so that we receive it no later than December 5, 2022. Stockholders who intend to present proposals at the annual meeting of stockholders in 2023 other than pursuant to Rule 14a-8 must comply with the notice provisions in our Bylaws. The notice provisions in our Bylaws require that, for a proposal to be properly brought before the annual meeting of stockholders in 2023, proper notice of the proposal be received by us not less than 90 days nor more than 120 days prior to the first anniversary of the preceding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340"/>
        <w:spacing w:after="0" w:line="247" w:lineRule="auto"/>
        <w:rPr>
          <w:sz w:val="20"/>
          <w:szCs w:val="20"/>
          <w:color w:val="auto"/>
        </w:rPr>
      </w:pPr>
      <w:r>
        <w:rPr>
          <w:rFonts w:ascii="Arial" w:cs="Arial" w:eastAsia="Arial" w:hAnsi="Arial"/>
          <w:sz w:val="16"/>
          <w:szCs w:val="16"/>
          <w:color w:val="auto"/>
        </w:rPr>
        <w:t>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21, 2023. Stockholder proposals should be addressed to Lear Corporation, 21557 Telegraph Road, Southfield, Michigan 48033, Attention: Harry A. Kemp, Senior Vice President, General Counsel and Corporate Secretary.</w:t>
      </w:r>
    </w:p>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21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79</w:t>
      </w:r>
    </w:p>
    <w:p>
      <w:pPr>
        <w:sectPr>
          <w:pgSz w:w="11900" w:h="16838" w:orient="portrait"/>
          <w:cols w:equalWidth="0" w:num="1">
            <w:col w:w="10860"/>
          </w:cols>
          <w:pgMar w:left="320" w:top="459" w:right="71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460"/>
          </w:cols>
          <w:pgMar w:left="320" w:top="45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OTHER MATTERS</w:t>
      </w:r>
    </w:p>
    <w:p>
      <w:pPr>
        <w:spacing w:after="0" w:line="220" w:lineRule="exact"/>
        <w:rPr>
          <w:sz w:val="20"/>
          <w:szCs w:val="20"/>
          <w:color w:val="auto"/>
        </w:rPr>
      </w:pPr>
    </w:p>
    <w:p>
      <w:pPr>
        <w:ind w:left="660" w:right="120"/>
        <w:spacing w:after="0" w:line="250" w:lineRule="auto"/>
        <w:rPr>
          <w:sz w:val="20"/>
          <w:szCs w:val="20"/>
          <w:color w:val="auto"/>
        </w:rPr>
      </w:pPr>
      <w:r>
        <w:rPr>
          <w:rFonts w:ascii="Arial" w:cs="Arial" w:eastAsia="Arial" w:hAnsi="Arial"/>
          <w:sz w:val="16"/>
          <w:szCs w:val="16"/>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7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b w:val="1"/>
          <w:bCs w:val="1"/>
          <w:color w:val="auto"/>
        </w:rPr>
        <w:t>Upon written request by any stockholder entitled to vote at the Annual Meeting, we will promptly furnish, without charge, a copy of the Annual Report on Form 10-K for the fiscal year ended December 31, 2021, which we filed with the SEC, including the financial statements and schedule. If the person requesting the report was not a stockholder of record on March 25, 2022, the request must contain a good faith representation that he or she was a beneficial owner of our common stock at the close of business on that date. Requests should be addressed to Lear Corporation, 21557 Telegraph Road, Southfield, Michigan</w:t>
      </w:r>
    </w:p>
    <w:p>
      <w:pPr>
        <w:spacing w:after="0" w:line="200" w:lineRule="exact"/>
        <w:rPr>
          <w:sz w:val="20"/>
          <w:szCs w:val="20"/>
          <w:color w:val="auto"/>
        </w:rPr>
      </w:pPr>
    </w:p>
    <w:p>
      <w:pPr>
        <w:spacing w:after="0" w:line="320" w:lineRule="exact"/>
        <w:rPr>
          <w:sz w:val="20"/>
          <w:szCs w:val="20"/>
          <w:color w:val="auto"/>
        </w:rPr>
      </w:pPr>
    </w:p>
    <w:p>
      <w:pPr>
        <w:ind w:left="780" w:hanging="393"/>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auto"/>
        </w:rPr>
        <w:t>48033, Attention: Harry A. Kemp, Senior Vice President, General Counsel and Corporate Secretary.</w:t>
      </w:r>
    </w:p>
    <w:p>
      <w:pPr>
        <w:spacing w:after="0" w:line="147" w:lineRule="exact"/>
        <w:rPr>
          <w:sz w:val="20"/>
          <w:szCs w:val="20"/>
          <w:color w:val="auto"/>
        </w:rPr>
      </w:pPr>
    </w:p>
    <w:p>
      <w:pPr>
        <w:jc w:val="both"/>
        <w:ind w:firstLine="342"/>
        <w:spacing w:after="0" w:line="267" w:lineRule="auto"/>
        <w:rPr>
          <w:sz w:val="20"/>
          <w:szCs w:val="20"/>
          <w:color w:val="auto"/>
        </w:rPr>
      </w:pPr>
      <w:r>
        <w:rPr>
          <w:rFonts w:ascii="Arial" w:cs="Arial" w:eastAsia="Arial" w:hAnsi="Arial"/>
          <w:sz w:val="17"/>
          <w:szCs w:val="17"/>
          <w:b w:val="1"/>
          <w:bCs w:val="1"/>
          <w:color w:val="auto"/>
        </w:rPr>
        <w:t>YOUR VOTE IS IMPORTANT. WE URGE YOU TO VOTE TODAY BY TELEPHONE, VIA THE INTERNET OR BY MAIL.</w:t>
      </w:r>
    </w:p>
    <w:p>
      <w:pPr>
        <w:spacing w:after="0" w:line="214"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By Order of the Board of</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139065</wp:posOffset>
            </wp:positionV>
            <wp:extent cx="1405890" cy="4286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Harry A. Kemp</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Senior Vice President,</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General Counsel and</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Corporate Secretary</w:t>
      </w:r>
    </w:p>
    <w:p>
      <w:pPr>
        <w:sectPr>
          <w:pgSz w:w="11900" w:h="16838" w:orient="portrait"/>
          <w:cols w:equalWidth="0" w:num="2">
            <w:col w:w="5420" w:space="300"/>
            <w:col w:w="4740"/>
          </w:cols>
          <w:pgMar w:left="320" w:top="459" w:right="111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APPENDIX A</w:t>
      </w:r>
    </w:p>
    <w:p>
      <w:pPr>
        <w:spacing w:after="0" w:line="107" w:lineRule="exact"/>
        <w:rPr>
          <w:sz w:val="20"/>
          <w:szCs w:val="20"/>
          <w:color w:val="auto"/>
        </w:rPr>
      </w:pPr>
    </w:p>
    <w:p>
      <w:pPr>
        <w:ind w:left="660" w:right="1640"/>
        <w:spacing w:after="0" w:line="274" w:lineRule="auto"/>
        <w:rPr>
          <w:sz w:val="20"/>
          <w:szCs w:val="20"/>
          <w:color w:val="auto"/>
        </w:rPr>
      </w:pPr>
      <w:r>
        <w:rPr>
          <w:rFonts w:ascii="Arial" w:cs="Arial" w:eastAsia="Arial" w:hAnsi="Arial"/>
          <w:sz w:val="40"/>
          <w:szCs w:val="40"/>
          <w:b w:val="1"/>
          <w:bCs w:val="1"/>
          <w:color w:val="E2231A"/>
        </w:rPr>
        <w:t>RECONCILIATION OF NON-GAAP FINANCIAL MEASURES</w:t>
      </w:r>
    </w:p>
    <w:p>
      <w:pPr>
        <w:sectPr>
          <w:pgSz w:w="11900" w:h="16838" w:orient="portrait"/>
          <w:cols w:equalWidth="0" w:num="1">
            <w:col w:w="10860"/>
          </w:cols>
          <w:pgMar w:left="320" w:top="459" w:right="719" w:bottom="1440" w:gutter="0" w:footer="0" w:header="0"/>
        </w:sectPr>
      </w:pPr>
    </w:p>
    <w:p>
      <w:pPr>
        <w:spacing w:after="0" w:line="8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information presented in this proxy statement under the captions “Proxy Summary” and “Compensation Discussion and Analysis — Executive Summary” regarding core operating earnings, adjusted earnings per share and free cash flow does not conform to GAAP and should not be construed as an alternative to the reported financial results of the Company determined in accordance with GAAP.</w:t>
      </w:r>
    </w:p>
    <w:p>
      <w:pPr>
        <w:spacing w:after="0" w:line="100"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 obscure trends useful in evaluating the Company’s continuing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520"/>
        <w:spacing w:after="0" w:line="248" w:lineRule="auto"/>
        <w:rPr>
          <w:sz w:val="20"/>
          <w:szCs w:val="20"/>
          <w:color w:val="auto"/>
        </w:rPr>
      </w:pPr>
      <w:r>
        <w:rPr>
          <w:rFonts w:ascii="Arial" w:cs="Arial" w:eastAsia="Arial" w:hAnsi="Arial"/>
          <w:sz w:val="16"/>
          <w:szCs w:val="16"/>
          <w:color w:val="auto"/>
        </w:rPr>
        <w:t>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w:t>
      </w:r>
    </w:p>
    <w:p>
      <w:pPr>
        <w:spacing w:after="0" w:line="9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non-GAAP information provided may not be consistent with methodologies used by other companies. All non-GAAP information regarding core operating earnings, adjusted earnings per share and free cash flow is reconciled to the most directly comparable reported GAAP results in the tables below.</w:t>
      </w:r>
    </w:p>
    <w:p>
      <w:pPr>
        <w:spacing w:after="0" w:line="763"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Core 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9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w:t>
            </w: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E2231A"/>
              </w:rPr>
              <w:t>2021</w:t>
            </w:r>
          </w:p>
        </w:tc>
      </w:tr>
      <w:tr>
        <w:trPr>
          <w:trHeight w:val="215"/>
        </w:trPr>
        <w:tc>
          <w:tcPr>
            <w:tcW w:w="902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Net income attributable to Lear</w:t>
            </w:r>
          </w:p>
        </w:tc>
        <w:tc>
          <w:tcPr>
            <w:tcW w:w="900" w:type="dxa"/>
            <w:vAlign w:val="bottom"/>
            <w:shd w:val="clear" w:color="auto" w:fill="FCE9E8"/>
          </w:tcPr>
          <w:p>
            <w:pPr>
              <w:jc w:val="right"/>
              <w:ind w:right="120"/>
              <w:spacing w:after="0"/>
              <w:rPr>
                <w:sz w:val="20"/>
                <w:szCs w:val="20"/>
                <w:color w:val="auto"/>
              </w:rPr>
            </w:pPr>
            <w:r>
              <w:rPr>
                <w:rFonts w:ascii="Arial" w:cs="Arial" w:eastAsia="Arial" w:hAnsi="Arial"/>
                <w:sz w:val="16"/>
                <w:szCs w:val="16"/>
                <w:b w:val="1"/>
                <w:bCs w:val="1"/>
                <w:color w:val="auto"/>
              </w:rPr>
              <w:t>$ 373.9</w:t>
            </w:r>
          </w:p>
        </w:tc>
      </w:tr>
      <w:tr>
        <w:trPr>
          <w:trHeight w:val="226"/>
        </w:trPr>
        <w:tc>
          <w:tcPr>
            <w:tcW w:w="9020" w:type="dxa"/>
            <w:vAlign w:val="bottom"/>
          </w:tcPr>
          <w:p>
            <w:pPr>
              <w:ind w:left="420"/>
              <w:spacing w:after="0"/>
              <w:rPr>
                <w:sz w:val="20"/>
                <w:szCs w:val="20"/>
                <w:color w:val="auto"/>
              </w:rPr>
            </w:pPr>
            <w:r>
              <w:rPr>
                <w:rFonts w:ascii="Arial" w:cs="Arial" w:eastAsia="Arial" w:hAnsi="Arial"/>
                <w:sz w:val="16"/>
                <w:szCs w:val="16"/>
                <w:color w:val="auto"/>
              </w:rPr>
              <w:t>Interest expense</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91.8</w:t>
            </w:r>
          </w:p>
        </w:tc>
      </w:tr>
      <w:tr>
        <w:trPr>
          <w:trHeight w:val="233"/>
        </w:trPr>
        <w:tc>
          <w:tcPr>
            <w:tcW w:w="90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Other expense, net</w:t>
            </w:r>
          </w:p>
        </w:tc>
        <w:tc>
          <w:tcPr>
            <w:tcW w:w="9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0.1</w:t>
            </w:r>
          </w:p>
        </w:tc>
      </w:tr>
      <w:tr>
        <w:trPr>
          <w:trHeight w:val="227"/>
        </w:trPr>
        <w:tc>
          <w:tcPr>
            <w:tcW w:w="902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137.7</w:t>
            </w:r>
          </w:p>
        </w:tc>
      </w:tr>
      <w:tr>
        <w:trPr>
          <w:trHeight w:val="233"/>
        </w:trPr>
        <w:tc>
          <w:tcPr>
            <w:tcW w:w="90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Equity in net income of affiliates</w:t>
            </w:r>
          </w:p>
        </w:tc>
        <w:tc>
          <w:tcPr>
            <w:tcW w:w="900" w:type="dxa"/>
            <w:vAlign w:val="bottom"/>
            <w:shd w:val="clear" w:color="auto" w:fill="FCE9E8"/>
          </w:tcPr>
          <w:p>
            <w:pPr>
              <w:jc w:val="right"/>
              <w:ind w:right="60"/>
              <w:spacing w:after="0"/>
              <w:rPr>
                <w:sz w:val="20"/>
                <w:szCs w:val="20"/>
                <w:color w:val="auto"/>
              </w:rPr>
            </w:pPr>
            <w:r>
              <w:rPr>
                <w:rFonts w:ascii="Arial" w:cs="Arial" w:eastAsia="Arial" w:hAnsi="Arial"/>
                <w:sz w:val="16"/>
                <w:szCs w:val="16"/>
                <w:color w:val="auto"/>
              </w:rPr>
              <w:t>(15.8)</w:t>
            </w:r>
          </w:p>
        </w:tc>
      </w:tr>
      <w:tr>
        <w:trPr>
          <w:trHeight w:val="227"/>
        </w:trPr>
        <w:tc>
          <w:tcPr>
            <w:tcW w:w="9020" w:type="dxa"/>
            <w:vAlign w:val="bottom"/>
          </w:tcPr>
          <w:p>
            <w:pPr>
              <w:ind w:left="420"/>
              <w:spacing w:after="0"/>
              <w:rPr>
                <w:sz w:val="20"/>
                <w:szCs w:val="20"/>
                <w:color w:val="auto"/>
              </w:rPr>
            </w:pPr>
            <w:r>
              <w:rPr>
                <w:rFonts w:ascii="Arial" w:cs="Arial" w:eastAsia="Arial" w:hAnsi="Arial"/>
                <w:sz w:val="16"/>
                <w:szCs w:val="16"/>
                <w:color w:val="auto"/>
              </w:rPr>
              <w:t>Net income attributable to noncontrolling interests</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87.7</w:t>
            </w:r>
          </w:p>
        </w:tc>
      </w:tr>
      <w:tr>
        <w:trPr>
          <w:trHeight w:val="232"/>
        </w:trPr>
        <w:tc>
          <w:tcPr>
            <w:tcW w:w="9020" w:type="dxa"/>
            <w:vAlign w:val="bottom"/>
            <w:shd w:val="clear" w:color="auto" w:fill="FCE9E8"/>
          </w:tcPr>
          <w:p>
            <w:pPr>
              <w:ind w:left="260"/>
              <w:spacing w:after="0"/>
              <w:rPr>
                <w:sz w:val="20"/>
                <w:szCs w:val="20"/>
                <w:color w:val="auto"/>
              </w:rPr>
            </w:pPr>
            <w:r>
              <w:rPr>
                <w:rFonts w:ascii="Arial" w:cs="Arial" w:eastAsia="Arial" w:hAnsi="Arial"/>
                <w:sz w:val="16"/>
                <w:szCs w:val="16"/>
                <w:color w:val="auto"/>
              </w:rPr>
              <w:t>Restructuring costs and other special items -</w:t>
            </w:r>
          </w:p>
        </w:tc>
        <w:tc>
          <w:tcPr>
            <w:tcW w:w="900" w:type="dxa"/>
            <w:vAlign w:val="bottom"/>
            <w:shd w:val="clear" w:color="auto" w:fill="FCE9E8"/>
          </w:tcPr>
          <w:p>
            <w:pPr>
              <w:spacing w:after="0"/>
              <w:rPr>
                <w:sz w:val="20"/>
                <w:szCs w:val="20"/>
                <w:color w:val="auto"/>
              </w:rPr>
            </w:pPr>
          </w:p>
        </w:tc>
      </w:tr>
      <w:tr>
        <w:trPr>
          <w:trHeight w:val="227"/>
        </w:trPr>
        <w:tc>
          <w:tcPr>
            <w:tcW w:w="9020" w:type="dxa"/>
            <w:vAlign w:val="bottom"/>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119.3</w:t>
            </w:r>
          </w:p>
        </w:tc>
      </w:tr>
      <w:tr>
        <w:trPr>
          <w:trHeight w:val="233"/>
        </w:trPr>
        <w:tc>
          <w:tcPr>
            <w:tcW w:w="90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Intangible asset impairment</w:t>
            </w:r>
          </w:p>
        </w:tc>
        <w:tc>
          <w:tcPr>
            <w:tcW w:w="9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8.5</w:t>
            </w:r>
          </w:p>
        </w:tc>
      </w:tr>
      <w:tr>
        <w:trPr>
          <w:trHeight w:val="226"/>
        </w:trPr>
        <w:tc>
          <w:tcPr>
            <w:tcW w:w="9020" w:type="dxa"/>
            <w:vAlign w:val="bottom"/>
          </w:tcPr>
          <w:p>
            <w:pPr>
              <w:ind w:left="420"/>
              <w:spacing w:after="0"/>
              <w:rPr>
                <w:sz w:val="20"/>
                <w:szCs w:val="20"/>
                <w:color w:val="auto"/>
              </w:rPr>
            </w:pPr>
            <w:r>
              <w:rPr>
                <w:rFonts w:ascii="Arial" w:cs="Arial" w:eastAsia="Arial" w:hAnsi="Arial"/>
                <w:sz w:val="16"/>
                <w:szCs w:val="16"/>
                <w:color w:val="auto"/>
              </w:rPr>
              <w:t>Typhoon in the Philippines</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13.2</w:t>
            </w:r>
          </w:p>
        </w:tc>
      </w:tr>
      <w:tr>
        <w:trPr>
          <w:trHeight w:val="230"/>
        </w:trPr>
        <w:tc>
          <w:tcPr>
            <w:tcW w:w="9020" w:type="dxa"/>
            <w:vAlign w:val="bottom"/>
            <w:tcBorders>
              <w:bottom w:val="single" w:sz="8" w:color="auto"/>
            </w:tcBorders>
            <w:shd w:val="clear" w:color="auto" w:fill="FCE9E8"/>
          </w:tcPr>
          <w:p>
            <w:pPr>
              <w:ind w:left="42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shd w:val="clear" w:color="auto" w:fill="FCE9E8"/>
          </w:tcPr>
          <w:p>
            <w:pPr>
              <w:jc w:val="right"/>
              <w:ind w:right="120"/>
              <w:spacing w:after="0"/>
              <w:rPr>
                <w:sz w:val="20"/>
                <w:szCs w:val="20"/>
                <w:color w:val="auto"/>
              </w:rPr>
            </w:pPr>
            <w:r>
              <w:rPr>
                <w:rFonts w:ascii="Arial" w:cs="Arial" w:eastAsia="Arial" w:hAnsi="Arial"/>
                <w:sz w:val="16"/>
                <w:szCs w:val="16"/>
                <w:color w:val="auto"/>
              </w:rPr>
              <w:t>9.6</w:t>
            </w:r>
          </w:p>
        </w:tc>
      </w:tr>
      <w:tr>
        <w:trPr>
          <w:trHeight w:val="212"/>
        </w:trPr>
        <w:tc>
          <w:tcPr>
            <w:tcW w:w="9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Core operating earnings</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$ 826.0</w:t>
            </w:r>
          </w:p>
        </w:tc>
      </w:tr>
    </w:tbl>
    <w:p>
      <w:pPr>
        <w:spacing w:after="0" w:line="27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 xml:space="preserve">|  </w:t>
      </w:r>
      <w:r>
        <w:rPr>
          <w:rFonts w:ascii="Arial" w:cs="Arial" w:eastAsia="Arial" w:hAnsi="Arial"/>
          <w:sz w:val="18"/>
          <w:szCs w:val="18"/>
          <w:color w:val="000000"/>
        </w:rPr>
        <w:t>A-1</w:t>
      </w:r>
    </w:p>
    <w:p>
      <w:pPr>
        <w:sectPr>
          <w:pgSz w:w="11900" w:h="16838" w:orient="portrait"/>
          <w:cols w:equalWidth="0" w:num="1">
            <w:col w:w="10860"/>
          </w:cols>
          <w:pgMar w:left="320" w:top="459" w:right="71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5568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9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 except per share amounts)</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E2231A"/>
                <w:w w:val="96"/>
              </w:rPr>
              <w:t>2021</w:t>
            </w:r>
          </w:p>
        </w:tc>
      </w:tr>
      <w:tr>
        <w:trPr>
          <w:trHeight w:val="216"/>
        </w:trPr>
        <w:tc>
          <w:tcPr>
            <w:tcW w:w="902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Net income attributable to Lear</w:t>
            </w:r>
          </w:p>
        </w:tc>
        <w:tc>
          <w:tcPr>
            <w:tcW w:w="280" w:type="dxa"/>
            <w:vAlign w:val="bottom"/>
            <w:shd w:val="clear" w:color="auto" w:fill="FCE9E8"/>
          </w:tcPr>
          <w:p>
            <w:pPr>
              <w:spacing w:after="0"/>
              <w:rPr>
                <w:sz w:val="18"/>
                <w:szCs w:val="18"/>
                <w:color w:val="auto"/>
              </w:rPr>
            </w:pPr>
          </w:p>
        </w:tc>
        <w:tc>
          <w:tcPr>
            <w:tcW w:w="62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w w:val="99"/>
              </w:rPr>
              <w:t>373.9</w:t>
            </w:r>
          </w:p>
        </w:tc>
      </w:tr>
      <w:tr>
        <w:trPr>
          <w:trHeight w:val="227"/>
        </w:trPr>
        <w:tc>
          <w:tcPr>
            <w:tcW w:w="9020" w:type="dxa"/>
            <w:vAlign w:val="bottom"/>
          </w:tcPr>
          <w:p>
            <w:pPr>
              <w:ind w:left="180"/>
              <w:spacing w:after="0"/>
              <w:rPr>
                <w:sz w:val="20"/>
                <w:szCs w:val="20"/>
                <w:color w:val="auto"/>
              </w:rPr>
            </w:pPr>
            <w:r>
              <w:rPr>
                <w:rFonts w:ascii="Arial" w:cs="Arial" w:eastAsia="Arial" w:hAnsi="Arial"/>
                <w:sz w:val="16"/>
                <w:szCs w:val="16"/>
                <w:color w:val="auto"/>
              </w:rPr>
              <w:t>Restructuring costs and other special items -</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2"/>
        </w:trPr>
        <w:tc>
          <w:tcPr>
            <w:tcW w:w="90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280" w:type="dxa"/>
            <w:vAlign w:val="bottom"/>
            <w:shd w:val="clear" w:color="auto" w:fill="FCE9E8"/>
          </w:tcPr>
          <w:p>
            <w:pPr>
              <w:spacing w:after="0"/>
              <w:rPr>
                <w:sz w:val="20"/>
                <w:szCs w:val="20"/>
                <w:color w:val="auto"/>
              </w:rPr>
            </w:pPr>
          </w:p>
        </w:tc>
        <w:tc>
          <w:tcPr>
            <w:tcW w:w="62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w w:val="99"/>
              </w:rPr>
              <w:t>112.6</w:t>
            </w:r>
          </w:p>
        </w:tc>
      </w:tr>
      <w:tr>
        <w:trPr>
          <w:trHeight w:val="227"/>
        </w:trPr>
        <w:tc>
          <w:tcPr>
            <w:tcW w:w="9020" w:type="dxa"/>
            <w:vAlign w:val="bottom"/>
          </w:tcPr>
          <w:p>
            <w:pPr>
              <w:ind w:left="4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9"/>
                <w:szCs w:val="19"/>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24.6</w:t>
            </w:r>
          </w:p>
        </w:tc>
      </w:tr>
      <w:tr>
        <w:trPr>
          <w:trHeight w:val="233"/>
        </w:trPr>
        <w:tc>
          <w:tcPr>
            <w:tcW w:w="90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Intangible asset impairment</w:t>
            </w:r>
          </w:p>
        </w:tc>
        <w:tc>
          <w:tcPr>
            <w:tcW w:w="280" w:type="dxa"/>
            <w:vAlign w:val="bottom"/>
            <w:shd w:val="clear" w:color="auto" w:fill="FCE9E8"/>
          </w:tcPr>
          <w:p>
            <w:pPr>
              <w:spacing w:after="0"/>
              <w:rPr>
                <w:sz w:val="20"/>
                <w:szCs w:val="20"/>
                <w:color w:val="auto"/>
              </w:rPr>
            </w:pPr>
          </w:p>
        </w:tc>
        <w:tc>
          <w:tcPr>
            <w:tcW w:w="62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8.5</w:t>
            </w:r>
          </w:p>
        </w:tc>
      </w:tr>
      <w:tr>
        <w:trPr>
          <w:trHeight w:val="227"/>
        </w:trPr>
        <w:tc>
          <w:tcPr>
            <w:tcW w:w="9020" w:type="dxa"/>
            <w:vAlign w:val="bottom"/>
          </w:tcPr>
          <w:p>
            <w:pPr>
              <w:ind w:left="420"/>
              <w:spacing w:after="0"/>
              <w:rPr>
                <w:sz w:val="20"/>
                <w:szCs w:val="20"/>
                <w:color w:val="auto"/>
              </w:rPr>
            </w:pPr>
            <w:r>
              <w:rPr>
                <w:rFonts w:ascii="Arial" w:cs="Arial" w:eastAsia="Arial" w:hAnsi="Arial"/>
                <w:sz w:val="16"/>
                <w:szCs w:val="16"/>
                <w:color w:val="auto"/>
              </w:rPr>
              <w:t>Typhoon in the Philippines</w:t>
            </w:r>
          </w:p>
        </w:tc>
        <w:tc>
          <w:tcPr>
            <w:tcW w:w="280" w:type="dxa"/>
            <w:vAlign w:val="bottom"/>
          </w:tcPr>
          <w:p>
            <w:pPr>
              <w:spacing w:after="0"/>
              <w:rPr>
                <w:sz w:val="19"/>
                <w:szCs w:val="19"/>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13.2</w:t>
            </w:r>
          </w:p>
        </w:tc>
      </w:tr>
      <w:tr>
        <w:trPr>
          <w:trHeight w:val="232"/>
        </w:trPr>
        <w:tc>
          <w:tcPr>
            <w:tcW w:w="90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Favorable tax ruling in a foreign jurisdiction</w:t>
            </w:r>
          </w:p>
        </w:tc>
        <w:tc>
          <w:tcPr>
            <w:tcW w:w="280" w:type="dxa"/>
            <w:vAlign w:val="bottom"/>
            <w:shd w:val="clear" w:color="auto" w:fill="FCE9E8"/>
          </w:tcPr>
          <w:p>
            <w:pPr>
              <w:spacing w:after="0"/>
              <w:rPr>
                <w:sz w:val="20"/>
                <w:szCs w:val="20"/>
                <w:color w:val="auto"/>
              </w:rPr>
            </w:pPr>
          </w:p>
        </w:tc>
        <w:tc>
          <w:tcPr>
            <w:tcW w:w="620" w:type="dxa"/>
            <w:vAlign w:val="bottom"/>
            <w:shd w:val="clear" w:color="auto" w:fill="FCE9E8"/>
          </w:tcPr>
          <w:p>
            <w:pPr>
              <w:jc w:val="right"/>
              <w:ind w:right="60"/>
              <w:spacing w:after="0"/>
              <w:rPr>
                <w:sz w:val="20"/>
                <w:szCs w:val="20"/>
                <w:color w:val="auto"/>
              </w:rPr>
            </w:pPr>
            <w:r>
              <w:rPr>
                <w:rFonts w:ascii="Arial" w:cs="Arial" w:eastAsia="Arial" w:hAnsi="Arial"/>
                <w:sz w:val="16"/>
                <w:szCs w:val="16"/>
                <w:color w:val="auto"/>
              </w:rPr>
              <w:t>(45.1)</w:t>
            </w:r>
          </w:p>
        </w:tc>
      </w:tr>
      <w:tr>
        <w:trPr>
          <w:trHeight w:val="227"/>
        </w:trPr>
        <w:tc>
          <w:tcPr>
            <w:tcW w:w="9020" w:type="dxa"/>
            <w:vAlign w:val="bottom"/>
          </w:tcPr>
          <w:p>
            <w:pPr>
              <w:ind w:left="420"/>
              <w:spacing w:after="0"/>
              <w:rPr>
                <w:sz w:val="20"/>
                <w:szCs w:val="20"/>
                <w:color w:val="auto"/>
              </w:rPr>
            </w:pPr>
            <w:r>
              <w:rPr>
                <w:rFonts w:ascii="Arial" w:cs="Arial" w:eastAsia="Arial" w:hAnsi="Arial"/>
                <w:sz w:val="16"/>
                <w:szCs w:val="16"/>
                <w:color w:val="auto"/>
              </w:rPr>
              <w:t>Loss related to affiliate,</w:t>
            </w:r>
          </w:p>
        </w:tc>
        <w:tc>
          <w:tcPr>
            <w:tcW w:w="280" w:type="dxa"/>
            <w:vAlign w:val="bottom"/>
          </w:tcPr>
          <w:p>
            <w:pPr>
              <w:spacing w:after="0"/>
              <w:rPr>
                <w:sz w:val="19"/>
                <w:szCs w:val="19"/>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2.0</w:t>
            </w:r>
          </w:p>
        </w:tc>
      </w:tr>
      <w:tr>
        <w:trPr>
          <w:trHeight w:val="233"/>
        </w:trPr>
        <w:tc>
          <w:tcPr>
            <w:tcW w:w="90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FCE9E8"/>
          </w:tcPr>
          <w:p>
            <w:pPr>
              <w:spacing w:after="0"/>
              <w:rPr>
                <w:sz w:val="20"/>
                <w:szCs w:val="20"/>
                <w:color w:val="auto"/>
              </w:rPr>
            </w:pPr>
          </w:p>
        </w:tc>
        <w:tc>
          <w:tcPr>
            <w:tcW w:w="62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4.2</w:t>
            </w:r>
          </w:p>
        </w:tc>
      </w:tr>
      <w:tr>
        <w:trPr>
          <w:trHeight w:val="229"/>
        </w:trPr>
        <w:tc>
          <w:tcPr>
            <w:tcW w:w="9020" w:type="dxa"/>
            <w:vAlign w:val="bottom"/>
            <w:tcBorders>
              <w:bottom w:val="single" w:sz="8" w:color="auto"/>
            </w:tcBorders>
          </w:tcPr>
          <w:p>
            <w:pPr>
              <w:ind w:left="420"/>
              <w:spacing w:after="0" w:line="230" w:lineRule="exact"/>
              <w:rPr>
                <w:sz w:val="20"/>
                <w:szCs w:val="20"/>
                <w:color w:val="auto"/>
              </w:rPr>
            </w:pPr>
            <w:r>
              <w:rPr>
                <w:rFonts w:ascii="Arial" w:cs="Arial" w:eastAsia="Arial" w:hAnsi="Arial"/>
                <w:sz w:val="16"/>
                <w:szCs w:val="16"/>
                <w:color w:val="auto"/>
              </w:rPr>
              <w:t>Tax impact of special items and other net tax adjustments</w:t>
            </w:r>
            <w:r>
              <w:rPr>
                <w:rFonts w:ascii="Arial" w:cs="Arial" w:eastAsia="Arial" w:hAnsi="Arial"/>
                <w:sz w:val="26"/>
                <w:szCs w:val="26"/>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w:t>
            </w:r>
          </w:p>
        </w:tc>
      </w:tr>
      <w:tr>
        <w:trPr>
          <w:trHeight w:val="209"/>
        </w:trPr>
        <w:tc>
          <w:tcPr>
            <w:tcW w:w="90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Adjusted net income attributable to Lear</w:t>
            </w:r>
          </w:p>
        </w:tc>
        <w:tc>
          <w:tcPr>
            <w:tcW w:w="2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FCE9E8"/>
          </w:tcPr>
          <w:p>
            <w:pPr>
              <w:jc w:val="right"/>
              <w:ind w:right="120"/>
              <w:spacing w:after="0"/>
              <w:rPr>
                <w:sz w:val="20"/>
                <w:szCs w:val="20"/>
                <w:color w:val="auto"/>
              </w:rPr>
            </w:pPr>
            <w:r>
              <w:rPr>
                <w:rFonts w:ascii="Arial" w:cs="Arial" w:eastAsia="Arial" w:hAnsi="Arial"/>
                <w:sz w:val="16"/>
                <w:szCs w:val="16"/>
                <w:color w:val="auto"/>
                <w:w w:val="99"/>
              </w:rPr>
              <w:t>479.8</w:t>
            </w:r>
          </w:p>
        </w:tc>
      </w:tr>
      <w:tr>
        <w:trPr>
          <w:trHeight w:val="207"/>
        </w:trPr>
        <w:tc>
          <w:tcPr>
            <w:tcW w:w="9020" w:type="dxa"/>
            <w:vAlign w:val="bottom"/>
          </w:tcPr>
          <w:p>
            <w:pPr>
              <w:ind w:left="80"/>
              <w:spacing w:after="0"/>
              <w:rPr>
                <w:sz w:val="20"/>
                <w:szCs w:val="20"/>
                <w:color w:val="auto"/>
              </w:rPr>
            </w:pPr>
            <w:r>
              <w:rPr>
                <w:rFonts w:ascii="Arial" w:cs="Arial" w:eastAsia="Arial" w:hAnsi="Arial"/>
                <w:sz w:val="16"/>
                <w:szCs w:val="16"/>
                <w:color w:val="auto"/>
              </w:rPr>
              <w:t>Weighted average number of diluted shares outstanding</w:t>
            </w:r>
          </w:p>
        </w:tc>
        <w:tc>
          <w:tcPr>
            <w:tcW w:w="28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60.4</w:t>
            </w:r>
          </w:p>
        </w:tc>
      </w:tr>
      <w:tr>
        <w:trPr>
          <w:trHeight w:val="229"/>
        </w:trPr>
        <w:tc>
          <w:tcPr>
            <w:tcW w:w="90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Diluted net income per share attributable to Lear</w:t>
            </w:r>
          </w:p>
        </w:tc>
        <w:tc>
          <w:tcPr>
            <w:tcW w:w="2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FCE9E8"/>
          </w:tcPr>
          <w:p>
            <w:pPr>
              <w:jc w:val="right"/>
              <w:ind w:right="120"/>
              <w:spacing w:after="0"/>
              <w:rPr>
                <w:sz w:val="20"/>
                <w:szCs w:val="20"/>
                <w:color w:val="auto"/>
              </w:rPr>
            </w:pPr>
            <w:r>
              <w:rPr>
                <w:rFonts w:ascii="Arial" w:cs="Arial" w:eastAsia="Arial" w:hAnsi="Arial"/>
                <w:sz w:val="16"/>
                <w:szCs w:val="16"/>
                <w:color w:val="auto"/>
              </w:rPr>
              <w:t>6.19</w:t>
            </w:r>
          </w:p>
        </w:tc>
      </w:tr>
      <w:tr>
        <w:trPr>
          <w:trHeight w:val="211"/>
        </w:trPr>
        <w:tc>
          <w:tcPr>
            <w:tcW w:w="9020" w:type="dxa"/>
            <w:vAlign w:val="bottom"/>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635</wp:posOffset>
            </wp:positionV>
            <wp:extent cx="62922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960" w:right="280" w:hanging="293"/>
        <w:spacing w:after="0" w:line="183" w:lineRule="auto"/>
        <w:tabs>
          <w:tab w:leader="none" w:pos="960" w:val="left"/>
        </w:tabs>
        <w:numPr>
          <w:ilvl w:val="0"/>
          <w:numId w:val="143"/>
        </w:numPr>
        <w:rPr>
          <w:rFonts w:ascii="Arial" w:cs="Arial" w:eastAsia="Arial" w:hAnsi="Arial"/>
          <w:sz w:val="24"/>
          <w:szCs w:val="24"/>
          <w:color w:val="auto"/>
          <w:vertAlign w:val="superscript"/>
        </w:rPr>
      </w:pPr>
      <w:r>
        <w:rPr>
          <w:rFonts w:ascii="Arial" w:cs="Arial" w:eastAsia="Arial" w:hAnsi="Arial"/>
          <w:sz w:val="14"/>
          <w:szCs w:val="14"/>
          <w:color w:val="auto"/>
        </w:rPr>
        <w:t>Represents the tax effect of restructuring costs and other special items, as well as several discrete tax items. The identification of these tax items is judgmental in nature, and their calculation is based on various assumptions and estimates.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8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E2231A"/>
              </w:rPr>
              <w:t>2021</w:t>
            </w:r>
          </w:p>
        </w:tc>
      </w:tr>
      <w:tr>
        <w:trPr>
          <w:trHeight w:val="215"/>
        </w:trPr>
        <w:tc>
          <w:tcPr>
            <w:tcW w:w="886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670.1</w:t>
            </w:r>
          </w:p>
        </w:tc>
      </w:tr>
      <w:tr>
        <w:trPr>
          <w:trHeight w:val="226"/>
        </w:trPr>
        <w:tc>
          <w:tcPr>
            <w:tcW w:w="88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98"/>
              </w:rPr>
              <w:t>(585.1)</w:t>
            </w:r>
          </w:p>
        </w:tc>
      </w:tr>
      <w:tr>
        <w:trPr>
          <w:trHeight w:val="212"/>
        </w:trPr>
        <w:tc>
          <w:tcPr>
            <w:tcW w:w="88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Free cash flow</w:t>
            </w:r>
          </w:p>
        </w:tc>
        <w:tc>
          <w:tcPr>
            <w:tcW w:w="3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FCE9E8"/>
          </w:tcPr>
          <w:p>
            <w:pPr>
              <w:jc w:val="right"/>
              <w:ind w:right="221"/>
              <w:spacing w:after="0"/>
              <w:rPr>
                <w:sz w:val="20"/>
                <w:szCs w:val="20"/>
                <w:color w:val="auto"/>
              </w:rPr>
            </w:pPr>
            <w:r>
              <w:rPr>
                <w:rFonts w:ascii="Arial" w:cs="Arial" w:eastAsia="Arial" w:hAnsi="Arial"/>
                <w:sz w:val="16"/>
                <w:szCs w:val="16"/>
                <w:color w:val="auto"/>
              </w:rPr>
              <w:t>85.0</w:t>
            </w:r>
          </w:p>
        </w:tc>
      </w:tr>
    </w:tbl>
    <w:p>
      <w:pPr>
        <w:spacing w:after="0" w:line="274" w:lineRule="exact"/>
        <w:rPr>
          <w:sz w:val="20"/>
          <w:szCs w:val="20"/>
          <w:color w:val="auto"/>
        </w:rPr>
      </w:pPr>
    </w:p>
    <w:p>
      <w:pPr>
        <w:ind w:left="380"/>
        <w:spacing w:after="0"/>
        <w:tabs>
          <w:tab w:leader="none" w:pos="820" w:val="left"/>
          <w:tab w:leader="none" w:pos="10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254635</wp:posOffset>
            </wp:positionV>
            <wp:extent cx="1928495" cy="4540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28495" cy="45402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LEAR CORPORATION</w:t>
      </w:r>
    </w:p>
    <w:p>
      <w:pPr>
        <w:ind w:left="400"/>
        <w:spacing w:after="0"/>
        <w:rPr>
          <w:sz w:val="20"/>
          <w:szCs w:val="20"/>
          <w:color w:val="auto"/>
        </w:rPr>
      </w:pPr>
      <w:r>
        <w:rPr>
          <w:rFonts w:ascii="Arial" w:cs="Arial" w:eastAsia="Arial" w:hAnsi="Arial"/>
          <w:sz w:val="13"/>
          <w:szCs w:val="13"/>
          <w:i w:val="1"/>
          <w:iCs w:val="1"/>
          <w:color w:val="auto"/>
        </w:rPr>
        <w:t>ATTN: INVESTOR RELATIONS</w:t>
      </w:r>
    </w:p>
    <w:p>
      <w:pPr>
        <w:ind w:left="400"/>
        <w:spacing w:after="0" w:line="221" w:lineRule="auto"/>
        <w:rPr>
          <w:sz w:val="20"/>
          <w:szCs w:val="20"/>
          <w:color w:val="auto"/>
        </w:rPr>
      </w:pPr>
      <w:r>
        <w:rPr>
          <w:rFonts w:ascii="Arial" w:cs="Arial" w:eastAsia="Arial" w:hAnsi="Arial"/>
          <w:sz w:val="14"/>
          <w:szCs w:val="14"/>
          <w:i w:val="1"/>
          <w:iCs w:val="1"/>
          <w:color w:val="auto"/>
        </w:rPr>
        <w:t>21557 TELEGRAPH ROAD</w:t>
      </w:r>
    </w:p>
    <w:p>
      <w:pPr>
        <w:ind w:left="400"/>
        <w:spacing w:after="0"/>
        <w:rPr>
          <w:sz w:val="20"/>
          <w:szCs w:val="20"/>
          <w:color w:val="auto"/>
        </w:rPr>
      </w:pPr>
      <w:r>
        <w:rPr>
          <w:rFonts w:ascii="Arial" w:cs="Arial" w:eastAsia="Arial" w:hAnsi="Arial"/>
          <w:sz w:val="14"/>
          <w:szCs w:val="14"/>
          <w:i w:val="1"/>
          <w:iCs w:val="1"/>
          <w:color w:val="auto"/>
        </w:rPr>
        <w:t>SOUTHFIELD, MI 48033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or scan the QR Barcode above</w:t>
      </w:r>
    </w:p>
    <w:p>
      <w:pPr>
        <w:spacing w:after="0" w:line="124" w:lineRule="exact"/>
        <w:rPr>
          <w:sz w:val="20"/>
          <w:szCs w:val="20"/>
          <w:color w:val="auto"/>
        </w:rPr>
      </w:pPr>
    </w:p>
    <w:p>
      <w:pPr>
        <w:ind w:right="140"/>
        <w:spacing w:after="0" w:line="233"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May 18, 2022. Have your proxy card in hand when you access the web site and follow the instructions to obtain your records and to create an electronic voting instruction form.</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www.virtualshareholdermeeting.com/LEA2022</w:t>
      </w:r>
    </w:p>
    <w:p>
      <w:pPr>
        <w:spacing w:after="0" w:line="127" w:lineRule="exact"/>
        <w:rPr>
          <w:sz w:val="20"/>
          <w:szCs w:val="20"/>
          <w:color w:val="auto"/>
        </w:rPr>
      </w:pPr>
    </w:p>
    <w:p>
      <w:pPr>
        <w:jc w:val="both"/>
        <w:ind w:right="640"/>
        <w:spacing w:after="0" w:line="238"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18, 2022. Have your proxy card in hand when you call and then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4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160"/>
        </w:trPr>
        <w:tc>
          <w:tcPr>
            <w:tcW w:w="834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680" w:type="dxa"/>
            <w:vAlign w:val="bottom"/>
          </w:tcPr>
          <w:p>
            <w:pPr>
              <w:spacing w:after="0"/>
              <w:rPr>
                <w:sz w:val="13"/>
                <w:szCs w:val="13"/>
                <w:color w:val="auto"/>
              </w:rPr>
            </w:pPr>
          </w:p>
        </w:tc>
      </w:tr>
      <w:tr>
        <w:trPr>
          <w:trHeight w:val="137"/>
        </w:trPr>
        <w:tc>
          <w:tcPr>
            <w:tcW w:w="8340" w:type="dxa"/>
            <w:vAlign w:val="bottom"/>
          </w:tcPr>
          <w:p>
            <w:pPr>
              <w:ind w:left="6800"/>
              <w:spacing w:after="0" w:line="137" w:lineRule="exact"/>
              <w:rPr>
                <w:sz w:val="20"/>
                <w:szCs w:val="20"/>
                <w:color w:val="auto"/>
              </w:rPr>
            </w:pPr>
            <w:r>
              <w:rPr>
                <w:rFonts w:ascii="Arial" w:cs="Arial" w:eastAsia="Arial" w:hAnsi="Arial"/>
                <w:sz w:val="13"/>
                <w:szCs w:val="13"/>
                <w:color w:val="auto"/>
              </w:rPr>
              <w:t>D77433-P68614</w:t>
            </w:r>
          </w:p>
        </w:tc>
        <w:tc>
          <w:tcPr>
            <w:tcW w:w="2680" w:type="dxa"/>
            <w:vAlign w:val="bottom"/>
          </w:tcPr>
          <w:p>
            <w:pPr>
              <w:jc w:val="right"/>
              <w:spacing w:after="0" w:line="137" w:lineRule="exact"/>
              <w:rPr>
                <w:sz w:val="20"/>
                <w:szCs w:val="20"/>
                <w:color w:val="auto"/>
              </w:rPr>
            </w:pPr>
            <w:r>
              <w:rPr>
                <w:rFonts w:ascii="Arial" w:cs="Arial" w:eastAsia="Arial" w:hAnsi="Arial"/>
                <w:sz w:val="13"/>
                <w:szCs w:val="13"/>
                <w:color w:val="auto"/>
                <w:w w:val="97"/>
              </w:rPr>
              <w:t>KEEP THIS PORTION FOR YOUR RECORDS</w:t>
            </w:r>
          </w:p>
        </w:tc>
      </w:tr>
      <w:tr>
        <w:trPr>
          <w:trHeight w:val="135"/>
        </w:trPr>
        <w:tc>
          <w:tcPr>
            <w:tcW w:w="8340" w:type="dxa"/>
            <w:vAlign w:val="bottom"/>
          </w:tcPr>
          <w:p>
            <w:pPr>
              <w:ind w:left="20"/>
              <w:spacing w:after="0" w:line="135" w:lineRule="exact"/>
              <w:rPr>
                <w:sz w:val="20"/>
                <w:szCs w:val="20"/>
                <w:color w:val="auto"/>
              </w:rPr>
            </w:pPr>
            <w:r>
              <w:rPr>
                <w:rFonts w:ascii="Arial" w:cs="Arial" w:eastAsia="Arial" w:hAnsi="Arial"/>
                <w:sz w:val="13"/>
                <w:szCs w:val="13"/>
                <w:color w:val="auto"/>
                <w:w w:val="96"/>
              </w:rPr>
              <w:t>— — — — — — — — — — — — — — — — — — — — — — — — — — — — — — — — — — — — — — — — — — — — — — — — — — — —</w:t>
            </w:r>
          </w:p>
        </w:tc>
        <w:tc>
          <w:tcPr>
            <w:tcW w:w="2680" w:type="dxa"/>
            <w:vAlign w:val="bottom"/>
          </w:tcPr>
          <w:p>
            <w:pPr>
              <w:spacing w:after="0"/>
              <w:rPr>
                <w:sz w:val="11"/>
                <w:szCs w:val="11"/>
                <w:color w:val="auto"/>
              </w:rPr>
            </w:pPr>
          </w:p>
        </w:tc>
      </w:tr>
      <w:tr>
        <w:trPr>
          <w:trHeight w:val="127"/>
        </w:trPr>
        <w:tc>
          <w:tcPr>
            <w:tcW w:w="8340" w:type="dxa"/>
            <w:vAlign w:val="bottom"/>
          </w:tcPr>
          <w:p>
            <w:pPr>
              <w:spacing w:after="0" w:line="127" w:lineRule="exact"/>
              <w:rPr>
                <w:sz w:val="20"/>
                <w:szCs w:val="20"/>
                <w:color w:val="auto"/>
              </w:rPr>
            </w:pPr>
            <w:r>
              <w:rPr>
                <w:rFonts w:ascii="Arial" w:cs="Arial" w:eastAsia="Arial" w:hAnsi="Arial"/>
                <w:sz w:val="13"/>
                <w:szCs w:val="13"/>
                <w:color w:val="auto"/>
              </w:rPr>
              <w:t>— — — — — — — — — — — — — — — — — —</w:t>
            </w:r>
          </w:p>
        </w:tc>
        <w:tc>
          <w:tcPr>
            <w:tcW w:w="2680" w:type="dxa"/>
            <w:vAlign w:val="bottom"/>
          </w:tcPr>
          <w:p>
            <w:pPr>
              <w:spacing w:after="0"/>
              <w:rPr>
                <w:sz w:val="11"/>
                <w:szCs w:val="11"/>
                <w:color w:val="auto"/>
              </w:rPr>
            </w:pPr>
          </w:p>
        </w:tc>
      </w:tr>
      <w:tr>
        <w:trPr>
          <w:trHeight w:val="186"/>
        </w:trPr>
        <w:tc>
          <w:tcPr>
            <w:tcW w:w="8340" w:type="dxa"/>
            <w:vAlign w:val="bottom"/>
          </w:tcPr>
          <w:p>
            <w:pPr>
              <w:ind w:left="31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680" w:type="dxa"/>
            <w:vAlign w:val="bottom"/>
          </w:tcPr>
          <w:p>
            <w:pPr>
              <w:jc w:val="right"/>
              <w:spacing w:after="0"/>
              <w:rPr>
                <w:sz w:val="20"/>
                <w:szCs w:val="20"/>
                <w:color w:val="auto"/>
              </w:rPr>
            </w:pPr>
            <w:r>
              <w:rPr>
                <w:rFonts w:ascii="Arial" w:cs="Arial" w:eastAsia="Arial" w:hAnsi="Arial"/>
                <w:sz w:val="13"/>
                <w:szCs w:val="13"/>
                <w:color w:val="auto"/>
                <w:w w:val="95"/>
              </w:rPr>
              <w:t>DETACH AND RETURN THIS PORTION ONLY</w:t>
            </w:r>
          </w:p>
        </w:tc>
      </w:tr>
      <w:tr>
        <w:trPr>
          <w:trHeight w:val="445"/>
        </w:trPr>
        <w:tc>
          <w:tcPr>
            <w:tcW w:w="8340" w:type="dxa"/>
            <w:vAlign w:val="bottom"/>
          </w:tcPr>
          <w:p>
            <w:pPr>
              <w:ind w:left="180"/>
              <w:spacing w:after="0"/>
              <w:rPr>
                <w:sz w:val="20"/>
                <w:szCs w:val="20"/>
                <w:color w:val="auto"/>
              </w:rPr>
            </w:pPr>
            <w:r>
              <w:rPr>
                <w:rFonts w:ascii="Arial" w:cs="Arial" w:eastAsia="Arial" w:hAnsi="Arial"/>
                <w:sz w:val="14"/>
                <w:szCs w:val="14"/>
                <w:b w:val="1"/>
                <w:bCs w:val="1"/>
                <w:color w:val="auto"/>
              </w:rPr>
              <w:t>LEAR CORPORATION</w:t>
            </w:r>
          </w:p>
        </w:tc>
        <w:tc>
          <w:tcPr>
            <w:tcW w:w="2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6994525" cy="37541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4525" cy="375412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5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98" w:lineRule="exact"/>
        <w:rPr>
          <w:sz w:val="20"/>
          <w:szCs w:val="20"/>
          <w:color w:val="auto"/>
        </w:rPr>
      </w:pPr>
    </w:p>
    <w:p>
      <w:pPr>
        <w:ind w:left="1100" w:hanging="377"/>
        <w:spacing w:after="0"/>
        <w:tabs>
          <w:tab w:leader="none" w:pos="110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05" w:lineRule="exact"/>
        <w:rPr>
          <w:sz w:val="20"/>
          <w:szCs w:val="20"/>
          <w:color w:val="auto"/>
        </w:rPr>
      </w:pPr>
    </w:p>
    <w:tbl>
      <w:tblPr>
        <w:tblLayout w:type="fixed"/>
        <w:tblInd w:w="1100" w:type="dxa"/>
        <w:tblCellMar>
          <w:top w:w="0" w:type="dxa"/>
          <w:left w:w="0" w:type="dxa"/>
          <w:bottom w:w="0" w:type="dxa"/>
          <w:right w:w="0" w:type="dxa"/>
        </w:tblCellMar>
      </w:tblPr>
      <w:tr>
        <w:trPr>
          <w:trHeight w:val="186"/>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46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Against</w:t>
            </w: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89"/>
              </w:rPr>
              <w:t>Abstain</w:t>
            </w:r>
          </w:p>
        </w:tc>
      </w:tr>
      <w:tr>
        <w:trPr>
          <w:trHeight w:val="353"/>
        </w:trPr>
        <w:tc>
          <w:tcPr>
            <w:tcW w:w="240" w:type="dxa"/>
            <w:vAlign w:val="bottom"/>
          </w:tcPr>
          <w:p>
            <w:pPr>
              <w:spacing w:after="0"/>
              <w:rPr>
                <w:sz w:val="20"/>
                <w:szCs w:val="20"/>
                <w:color w:val="auto"/>
              </w:rPr>
            </w:pPr>
            <w:r>
              <w:rPr>
                <w:rFonts w:ascii="Arial" w:cs="Arial" w:eastAsia="Arial" w:hAnsi="Arial"/>
                <w:sz w:val="14"/>
                <w:szCs w:val="14"/>
                <w:color w:val="auto"/>
              </w:rPr>
              <w:t>1a.</w:t>
            </w:r>
          </w:p>
        </w:tc>
        <w:tc>
          <w:tcPr>
            <w:tcW w:w="1460" w:type="dxa"/>
            <w:vAlign w:val="bottom"/>
          </w:tcPr>
          <w:p>
            <w:pPr>
              <w:ind w:left="40"/>
              <w:spacing w:after="0"/>
              <w:rPr>
                <w:sz w:val="20"/>
                <w:szCs w:val="20"/>
                <w:color w:val="auto"/>
              </w:rPr>
            </w:pPr>
            <w:r>
              <w:rPr>
                <w:rFonts w:ascii="Arial" w:cs="Arial" w:eastAsia="Arial" w:hAnsi="Arial"/>
                <w:sz w:val="14"/>
                <w:szCs w:val="14"/>
                <w:color w:val="auto"/>
              </w:rPr>
              <w:t>Mei-Wei Cheng</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240" w:type="dxa"/>
            <w:vAlign w:val="bottom"/>
          </w:tcPr>
          <w:p>
            <w:pPr>
              <w:spacing w:after="0"/>
              <w:rPr>
                <w:sz w:val="20"/>
                <w:szCs w:val="20"/>
                <w:color w:val="auto"/>
              </w:rPr>
            </w:pPr>
            <w:r>
              <w:rPr>
                <w:rFonts w:ascii="Arial" w:cs="Arial" w:eastAsia="Arial" w:hAnsi="Arial"/>
                <w:sz w:val="14"/>
                <w:szCs w:val="14"/>
                <w:color w:val="auto"/>
              </w:rPr>
              <w:t>1b.</w:t>
            </w:r>
          </w:p>
        </w:tc>
        <w:tc>
          <w:tcPr>
            <w:tcW w:w="1460" w:type="dxa"/>
            <w:vAlign w:val="bottom"/>
          </w:tcPr>
          <w:p>
            <w:pPr>
              <w:ind w:left="40"/>
              <w:spacing w:after="0"/>
              <w:rPr>
                <w:sz w:val="20"/>
                <w:szCs w:val="20"/>
                <w:color w:val="auto"/>
              </w:rPr>
            </w:pPr>
            <w:r>
              <w:rPr>
                <w:rFonts w:ascii="Arial" w:cs="Arial" w:eastAsia="Arial" w:hAnsi="Arial"/>
                <w:sz w:val="14"/>
                <w:szCs w:val="14"/>
                <w:color w:val="auto"/>
              </w:rPr>
              <w:t>Jonathan F. Foster</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240" w:type="dxa"/>
            <w:vAlign w:val="bottom"/>
          </w:tcPr>
          <w:p>
            <w:pPr>
              <w:spacing w:after="0"/>
              <w:rPr>
                <w:sz w:val="20"/>
                <w:szCs w:val="20"/>
                <w:color w:val="auto"/>
              </w:rPr>
            </w:pPr>
            <w:r>
              <w:rPr>
                <w:rFonts w:ascii="Arial" w:cs="Arial" w:eastAsia="Arial" w:hAnsi="Arial"/>
                <w:sz w:val="14"/>
                <w:szCs w:val="14"/>
                <w:color w:val="auto"/>
              </w:rPr>
              <w:t>1c.</w:t>
            </w:r>
          </w:p>
        </w:tc>
        <w:tc>
          <w:tcPr>
            <w:tcW w:w="1460" w:type="dxa"/>
            <w:vAlign w:val="bottom"/>
          </w:tcPr>
          <w:p>
            <w:pPr>
              <w:ind w:left="40"/>
              <w:spacing w:after="0"/>
              <w:rPr>
                <w:sz w:val="20"/>
                <w:szCs w:val="20"/>
                <w:color w:val="auto"/>
              </w:rPr>
            </w:pPr>
            <w:r>
              <w:rPr>
                <w:rFonts w:ascii="Arial" w:cs="Arial" w:eastAsia="Arial" w:hAnsi="Arial"/>
                <w:sz w:val="14"/>
                <w:szCs w:val="14"/>
                <w:color w:val="auto"/>
              </w:rPr>
              <w:t>Bradley M. Halverson</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240" w:type="dxa"/>
            <w:vAlign w:val="bottom"/>
          </w:tcPr>
          <w:p>
            <w:pPr>
              <w:spacing w:after="0"/>
              <w:rPr>
                <w:sz w:val="20"/>
                <w:szCs w:val="20"/>
                <w:color w:val="auto"/>
              </w:rPr>
            </w:pPr>
            <w:r>
              <w:rPr>
                <w:rFonts w:ascii="Arial" w:cs="Arial" w:eastAsia="Arial" w:hAnsi="Arial"/>
                <w:sz w:val="14"/>
                <w:szCs w:val="14"/>
                <w:color w:val="auto"/>
              </w:rPr>
              <w:t>1d.</w:t>
            </w:r>
          </w:p>
        </w:tc>
        <w:tc>
          <w:tcPr>
            <w:tcW w:w="1460" w:type="dxa"/>
            <w:vAlign w:val="bottom"/>
          </w:tcPr>
          <w:p>
            <w:pPr>
              <w:ind w:left="40"/>
              <w:spacing w:after="0"/>
              <w:rPr>
                <w:sz w:val="20"/>
                <w:szCs w:val="20"/>
                <w:color w:val="auto"/>
              </w:rPr>
            </w:pPr>
            <w:r>
              <w:rPr>
                <w:rFonts w:ascii="Arial" w:cs="Arial" w:eastAsia="Arial" w:hAnsi="Arial"/>
                <w:sz w:val="14"/>
                <w:szCs w:val="14"/>
                <w:color w:val="auto"/>
              </w:rPr>
              <w:t>Mary Lou Jepsen</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40" w:type="dxa"/>
            <w:vAlign w:val="bottom"/>
          </w:tcPr>
          <w:p>
            <w:pPr>
              <w:spacing w:after="0"/>
              <w:rPr>
                <w:sz w:val="20"/>
                <w:szCs w:val="20"/>
                <w:color w:val="auto"/>
              </w:rPr>
            </w:pPr>
            <w:r>
              <w:rPr>
                <w:rFonts w:ascii="Arial" w:cs="Arial" w:eastAsia="Arial" w:hAnsi="Arial"/>
                <w:sz w:val="14"/>
                <w:szCs w:val="14"/>
                <w:color w:val="auto"/>
              </w:rPr>
              <w:t>1e.</w:t>
            </w:r>
          </w:p>
        </w:tc>
        <w:tc>
          <w:tcPr>
            <w:tcW w:w="1460" w:type="dxa"/>
            <w:vAlign w:val="bottom"/>
          </w:tcPr>
          <w:p>
            <w:pPr>
              <w:ind w:left="40"/>
              <w:spacing w:after="0"/>
              <w:rPr>
                <w:sz w:val="20"/>
                <w:szCs w:val="20"/>
                <w:color w:val="auto"/>
              </w:rPr>
            </w:pPr>
            <w:r>
              <w:rPr>
                <w:rFonts w:ascii="Arial" w:cs="Arial" w:eastAsia="Arial" w:hAnsi="Arial"/>
                <w:sz w:val="14"/>
                <w:szCs w:val="14"/>
                <w:color w:val="auto"/>
              </w:rPr>
              <w:t>Roger A. Krone</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97"/>
        </w:trPr>
        <w:tc>
          <w:tcPr>
            <w:tcW w:w="240" w:type="dxa"/>
            <w:vAlign w:val="bottom"/>
          </w:tcPr>
          <w:p>
            <w:pPr>
              <w:spacing w:after="0"/>
              <w:rPr>
                <w:sz w:val="20"/>
                <w:szCs w:val="20"/>
                <w:color w:val="auto"/>
              </w:rPr>
            </w:pPr>
            <w:r>
              <w:rPr>
                <w:rFonts w:ascii="Arial" w:cs="Arial" w:eastAsia="Arial" w:hAnsi="Arial"/>
                <w:sz w:val="14"/>
                <w:szCs w:val="14"/>
                <w:color w:val="auto"/>
              </w:rPr>
              <w:t>1f.</w:t>
            </w:r>
          </w:p>
        </w:tc>
        <w:tc>
          <w:tcPr>
            <w:tcW w:w="1460" w:type="dxa"/>
            <w:vAlign w:val="bottom"/>
          </w:tcPr>
          <w:p>
            <w:pPr>
              <w:ind w:left="40"/>
              <w:spacing w:after="0"/>
              <w:rPr>
                <w:sz w:val="20"/>
                <w:szCs w:val="20"/>
                <w:color w:val="auto"/>
              </w:rPr>
            </w:pPr>
            <w:r>
              <w:rPr>
                <w:rFonts w:ascii="Arial" w:cs="Arial" w:eastAsia="Arial" w:hAnsi="Arial"/>
                <w:sz w:val="14"/>
                <w:szCs w:val="14"/>
                <w:color w:val="auto"/>
              </w:rPr>
              <w:t>Patricia L. Lewis</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10"/>
        </w:trPr>
        <w:tc>
          <w:tcPr>
            <w:tcW w:w="240" w:type="dxa"/>
            <w:vAlign w:val="bottom"/>
          </w:tcPr>
          <w:p>
            <w:pPr>
              <w:spacing w:after="0"/>
              <w:rPr>
                <w:sz w:val="20"/>
                <w:szCs w:val="20"/>
                <w:color w:val="auto"/>
              </w:rPr>
            </w:pPr>
            <w:r>
              <w:rPr>
                <w:rFonts w:ascii="Arial" w:cs="Arial" w:eastAsia="Arial" w:hAnsi="Arial"/>
                <w:sz w:val="14"/>
                <w:szCs w:val="14"/>
                <w:color w:val="auto"/>
              </w:rPr>
              <w:t>1g.</w:t>
            </w:r>
          </w:p>
        </w:tc>
        <w:tc>
          <w:tcPr>
            <w:tcW w:w="1460" w:type="dxa"/>
            <w:vAlign w:val="bottom"/>
          </w:tcPr>
          <w:p>
            <w:pPr>
              <w:ind w:left="40"/>
              <w:spacing w:after="0"/>
              <w:rPr>
                <w:sz w:val="20"/>
                <w:szCs w:val="20"/>
                <w:color w:val="auto"/>
              </w:rPr>
            </w:pPr>
            <w:r>
              <w:rPr>
                <w:rFonts w:ascii="Arial" w:cs="Arial" w:eastAsia="Arial" w:hAnsi="Arial"/>
                <w:sz w:val="14"/>
                <w:szCs w:val="14"/>
                <w:color w:val="auto"/>
              </w:rPr>
              <w:t>Kathleen A. Ligocki</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51"/>
        </w:trPr>
        <w:tc>
          <w:tcPr>
            <w:tcW w:w="1700" w:type="dxa"/>
            <w:vAlign w:val="bottom"/>
            <w:gridSpan w:val="2"/>
          </w:tcPr>
          <w:p>
            <w:pPr>
              <w:spacing w:after="0"/>
              <w:rPr>
                <w:sz w:val="20"/>
                <w:szCs w:val="20"/>
                <w:color w:val="auto"/>
              </w:rPr>
            </w:pPr>
            <w:r>
              <w:rPr>
                <w:rFonts w:ascii="Arial" w:cs="Arial" w:eastAsia="Arial" w:hAnsi="Arial"/>
                <w:sz w:val="14"/>
                <w:szCs w:val="14"/>
                <w:color w:val="auto"/>
              </w:rPr>
              <w:t>1h.  Conrad L. Mallett, Jr.</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51"/>
        </w:trPr>
        <w:tc>
          <w:tcPr>
            <w:tcW w:w="240" w:type="dxa"/>
            <w:vAlign w:val="bottom"/>
          </w:tcPr>
          <w:p>
            <w:pPr>
              <w:spacing w:after="0"/>
              <w:rPr>
                <w:sz w:val="20"/>
                <w:szCs w:val="20"/>
                <w:color w:val="auto"/>
              </w:rPr>
            </w:pPr>
            <w:r>
              <w:rPr>
                <w:rFonts w:ascii="Arial" w:cs="Arial" w:eastAsia="Arial" w:hAnsi="Arial"/>
                <w:sz w:val="14"/>
                <w:szCs w:val="14"/>
                <w:color w:val="auto"/>
              </w:rPr>
              <w:t>1i.</w:t>
            </w:r>
          </w:p>
        </w:tc>
        <w:tc>
          <w:tcPr>
            <w:tcW w:w="1460" w:type="dxa"/>
            <w:vAlign w:val="bottom"/>
          </w:tcPr>
          <w:p>
            <w:pPr>
              <w:ind w:left="40"/>
              <w:spacing w:after="0"/>
              <w:rPr>
                <w:sz w:val="20"/>
                <w:szCs w:val="20"/>
                <w:color w:val="auto"/>
              </w:rPr>
            </w:pPr>
            <w:r>
              <w:rPr>
                <w:rFonts w:ascii="Arial" w:cs="Arial" w:eastAsia="Arial" w:hAnsi="Arial"/>
                <w:sz w:val="14"/>
                <w:szCs w:val="14"/>
                <w:color w:val="auto"/>
              </w:rPr>
              <w:t>Raymond E. Scott</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51"/>
        </w:trPr>
        <w:tc>
          <w:tcPr>
            <w:tcW w:w="240" w:type="dxa"/>
            <w:vAlign w:val="bottom"/>
          </w:tcPr>
          <w:p>
            <w:pPr>
              <w:spacing w:after="0"/>
              <w:rPr>
                <w:sz w:val="20"/>
                <w:szCs w:val="20"/>
                <w:color w:val="auto"/>
              </w:rPr>
            </w:pPr>
            <w:r>
              <w:rPr>
                <w:rFonts w:ascii="Arial" w:cs="Arial" w:eastAsia="Arial" w:hAnsi="Arial"/>
                <w:sz w:val="14"/>
                <w:szCs w:val="14"/>
                <w:color w:val="auto"/>
              </w:rPr>
              <w:t>1j.</w:t>
            </w:r>
          </w:p>
        </w:tc>
        <w:tc>
          <w:tcPr>
            <w:tcW w:w="1460" w:type="dxa"/>
            <w:vAlign w:val="bottom"/>
          </w:tcPr>
          <w:p>
            <w:pPr>
              <w:ind w:left="40"/>
              <w:spacing w:after="0"/>
              <w:rPr>
                <w:sz w:val="20"/>
                <w:szCs w:val="20"/>
                <w:color w:val="auto"/>
              </w:rPr>
            </w:pPr>
            <w:r>
              <w:rPr>
                <w:rFonts w:ascii="Arial" w:cs="Arial" w:eastAsia="Arial" w:hAnsi="Arial"/>
                <w:sz w:val="14"/>
                <w:szCs w:val="14"/>
                <w:color w:val="auto"/>
              </w:rPr>
              <w:t>Gregory C. Smith</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4240" w:val="left"/>
          <w:tab w:leader="none" w:pos="4620" w:val="left"/>
          <w:tab w:leader="none" w:pos="5380" w:val="left"/>
        </w:tabs>
        <w:rPr>
          <w:sz w:val="20"/>
          <w:szCs w:val="20"/>
          <w:color w:val="auto"/>
        </w:rPr>
      </w:pPr>
      <w:r>
        <w:rPr>
          <w:rFonts w:ascii="Arial" w:cs="Arial" w:eastAsia="Arial" w:hAnsi="Arial"/>
          <w:sz w:val="14"/>
          <w:szCs w:val="14"/>
          <w:b w:val="1"/>
          <w:bCs w:val="1"/>
          <w:color w:val="auto"/>
        </w:rPr>
        <w:t>The Board of Directors recommends you vote FOR proposals 2</w:t>
      </w:r>
      <w:r>
        <w:rPr>
          <w:sz w:val="20"/>
          <w:szCs w:val="20"/>
          <w:color w:val="auto"/>
        </w:rPr>
        <w:tab/>
      </w: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 3.</w:t>
      </w:r>
    </w:p>
    <w:p>
      <w:pPr>
        <w:spacing w:after="0" w:line="83" w:lineRule="exact"/>
        <w:rPr>
          <w:sz w:val="20"/>
          <w:szCs w:val="20"/>
          <w:color w:val="auto"/>
        </w:rPr>
      </w:pPr>
    </w:p>
    <w:p>
      <w:pPr>
        <w:spacing w:after="0" w:line="161" w:lineRule="exact"/>
        <w:tabs>
          <w:tab w:leader="none" w:pos="4280" w:val="left"/>
          <w:tab w:leader="none" w:pos="4860" w:val="left"/>
          <w:tab w:leader="none" w:pos="5560" w:val="left"/>
        </w:tabs>
        <w:rPr>
          <w:sz w:val="20"/>
          <w:szCs w:val="20"/>
          <w:color w:val="auto"/>
        </w:rPr>
      </w:pPr>
      <w:r>
        <w:rPr>
          <w:rFonts w:ascii="Arial" w:cs="Arial" w:eastAsia="Arial" w:hAnsi="Arial"/>
          <w:sz w:val="14"/>
          <w:szCs w:val="14"/>
          <w:color w:val="auto"/>
        </w:rPr>
        <w:t>2. Ratification of the retention of Ernst &amp; Young LLP as our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independent registered public accounting firm for 2022.</w:t>
      </w:r>
    </w:p>
    <w:p>
      <w:pPr>
        <w:spacing w:after="0" w:line="150" w:lineRule="exact"/>
        <w:rPr>
          <w:sz w:val="20"/>
          <w:szCs w:val="20"/>
          <w:color w:val="auto"/>
        </w:rPr>
      </w:pPr>
    </w:p>
    <w:p>
      <w:pPr>
        <w:spacing w:after="0" w:line="161" w:lineRule="exact"/>
        <w:tabs>
          <w:tab w:leader="none" w:pos="4280" w:val="left"/>
          <w:tab w:leader="none" w:pos="4860" w:val="left"/>
          <w:tab w:leader="none" w:pos="5560" w:val="left"/>
        </w:tabs>
        <w:rPr>
          <w:sz w:val="20"/>
          <w:szCs w:val="20"/>
          <w:color w:val="auto"/>
        </w:rPr>
      </w:pPr>
      <w:r>
        <w:rPr>
          <w:rFonts w:ascii="Arial" w:cs="Arial" w:eastAsia="Arial" w:hAnsi="Arial"/>
          <w:sz w:val="14"/>
          <w:szCs w:val="14"/>
          <w:color w:val="auto"/>
        </w:rPr>
        <w:t>3. Approve, in a non-binding advisory vote, Lear Corporation’s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executive compensation.</w:t>
      </w:r>
    </w:p>
    <w:p>
      <w:pPr>
        <w:spacing w:after="0" w:line="323" w:lineRule="exact"/>
        <w:rPr>
          <w:sz w:val="20"/>
          <w:szCs w:val="20"/>
          <w:color w:val="auto"/>
        </w:rPr>
      </w:pPr>
    </w:p>
    <w:p>
      <w:pPr>
        <w:ind w:right="1780"/>
        <w:spacing w:after="0" w:line="25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1433" w:lineRule="exact"/>
        <w:rPr>
          <w:sz w:val="20"/>
          <w:szCs w:val="20"/>
          <w:color w:val="auto"/>
        </w:rPr>
      </w:pPr>
    </w:p>
    <w:p>
      <w:pPr>
        <w:sectPr>
          <w:pgSz w:w="11900" w:h="16838" w:orient="portrait"/>
          <w:cols w:equalWidth="0" w:num="2">
            <w:col w:w="4740" w:space="160"/>
            <w:col w:w="6240"/>
          </w:cols>
          <w:pgMar w:left="320" w:top="459" w:right="439" w:bottom="1440" w:gutter="0" w:footer="0" w:header="0"/>
          <w:type w:val="continuous"/>
        </w:sectPr>
      </w:pPr>
    </w:p>
    <w:p>
      <w:pPr>
        <w:spacing w:after="0" w:line="20" w:lineRule="exact"/>
        <w:rPr>
          <w:sz w:val="20"/>
          <w:szCs w:val="20"/>
          <w:color w:val="auto"/>
        </w:rPr>
      </w:pPr>
    </w:p>
    <w:p>
      <w:pPr>
        <w:ind w:left="720" w:right="2160"/>
        <w:spacing w:after="0" w:line="23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tabs>
          <w:tab w:leader="none" w:pos="3820" w:val="left"/>
          <w:tab w:leader="none" w:pos="6180" w:val="left"/>
          <w:tab w:leader="none" w:pos="89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9" w:right="4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Notice and Proxy Statement and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right="3440"/>
        <w:spacing w:after="0" w:line="256" w:lineRule="auto"/>
        <w:rPr>
          <w:sz w:val="20"/>
          <w:szCs w:val="20"/>
          <w:color w:val="auto"/>
        </w:rPr>
      </w:pPr>
      <w:r>
        <w:rPr>
          <w:rFonts w:ascii="Arial" w:cs="Arial" w:eastAsia="Arial" w:hAnsi="Arial"/>
          <w:sz w:val="18"/>
          <w:szCs w:val="18"/>
          <w:color w:val="auto"/>
        </w:rPr>
        <w:t>— — — — — — — — — — — — — — — — — — — — — — — — — — — — — — — — — — — — — — — — — — — — — — — — — —</w:t>
      </w:r>
    </w:p>
    <w:p>
      <w:pPr>
        <w:spacing w:after="0" w:line="1" w:lineRule="exact"/>
        <w:rPr>
          <w:sz w:val="20"/>
          <w:szCs w:val="20"/>
          <w:color w:val="auto"/>
        </w:rPr>
      </w:pPr>
    </w:p>
    <w:p>
      <w:pPr>
        <w:ind w:left="10140"/>
        <w:spacing w:after="0"/>
        <w:rPr>
          <w:sz w:val="20"/>
          <w:szCs w:val="20"/>
          <w:color w:val="auto"/>
        </w:rPr>
      </w:pPr>
      <w:r>
        <w:rPr>
          <w:rFonts w:ascii="Arial" w:cs="Arial" w:eastAsia="Arial" w:hAnsi="Arial"/>
          <w:sz w:val="10"/>
          <w:szCs w:val="10"/>
          <w:color w:val="auto"/>
        </w:rPr>
        <w:t>D77434-P68614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36830</wp:posOffset>
            </wp:positionV>
            <wp:extent cx="7003415" cy="4234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03415" cy="423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LEAR CORPORATION</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This proxy is solicited on behalf of the Board of Directors of Lear Corporation for the</w:t>
      </w:r>
    </w:p>
    <w:p>
      <w:pPr>
        <w:jc w:val="center"/>
        <w:ind w:right="-259"/>
        <w:spacing w:after="0" w:line="230" w:lineRule="auto"/>
        <w:rPr>
          <w:sz w:val="20"/>
          <w:szCs w:val="20"/>
          <w:color w:val="auto"/>
        </w:rPr>
      </w:pPr>
      <w:r>
        <w:rPr>
          <w:rFonts w:ascii="Arial" w:cs="Arial" w:eastAsia="Arial" w:hAnsi="Arial"/>
          <w:sz w:val="22"/>
          <w:szCs w:val="22"/>
          <w:b w:val="1"/>
          <w:bCs w:val="1"/>
          <w:color w:val="auto"/>
        </w:rPr>
        <w:t>Annual Meeting of Stockholders on</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May 19, 2022, at 9:00 a.m. (Eastern Time)</w:t>
      </w:r>
    </w:p>
    <w:p>
      <w:pPr>
        <w:spacing w:after="0" w:line="195" w:lineRule="exact"/>
        <w:rPr>
          <w:sz w:val="20"/>
          <w:szCs w:val="20"/>
          <w:color w:val="auto"/>
        </w:rPr>
      </w:pPr>
    </w:p>
    <w:p>
      <w:pPr>
        <w:ind w:left="260"/>
        <w:spacing w:after="0" w:line="273" w:lineRule="auto"/>
        <w:rPr>
          <w:sz w:val="20"/>
          <w:szCs w:val="20"/>
          <w:color w:val="auto"/>
        </w:rPr>
      </w:pPr>
      <w:r>
        <w:rPr>
          <w:rFonts w:ascii="Arial" w:cs="Arial" w:eastAsia="Arial" w:hAnsi="Arial"/>
          <w:sz w:val="17"/>
          <w:szCs w:val="17"/>
          <w:color w:val="auto"/>
        </w:rPr>
        <w:t>This proxy is solicited on behalf of the Board of Directors of Lear Corporation (“Lear”) for the Annual Meeting of Stockholders on May 19, 2022 or any adjournment or postponement thereof (the “Meeting”) to be held through a virtual web conference at www.virtualshareholdermeeting.com/LEA2022. The undersigned appoints Raymond E. Scott and Harry A. Kemp, and each of them, with full power of substitution in each of them, the proxies of the undersigned, and authorizes them to vote for and on behalf of the undersigned all shares of Lear common stock which the undersigned may be entitled to vote on all matters properly coming before the Meeting, as set forth in the related Notice of Annual Meeting and Proxy Statement, both of which have been received by the undersigned.</w:t>
      </w:r>
    </w:p>
    <w:p>
      <w:pPr>
        <w:spacing w:after="0" w:line="174" w:lineRule="exact"/>
        <w:rPr>
          <w:sz w:val="20"/>
          <w:szCs w:val="20"/>
          <w:color w:val="auto"/>
        </w:rPr>
      </w:pPr>
    </w:p>
    <w:p>
      <w:pPr>
        <w:ind w:left="260" w:right="3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all nominees for director and FOR proposals 2 and 3.</w:t>
      </w:r>
    </w:p>
    <w:p>
      <w:pPr>
        <w:sectPr>
          <w:pgSz w:w="11900" w:h="16838" w:orient="portrait"/>
          <w:cols w:equalWidth="0" w:num="1">
            <w:col w:w="10980"/>
          </w:cols>
          <w:pgMar w:left="32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Continued and to be signed on reverse side</w:t>
      </w:r>
    </w:p>
    <w:sectPr>
      <w:pgSz w:w="11900" w:h="16838" w:orient="portrait"/>
      <w:cols w:equalWidth="0" w:num="1">
        <w:col w:w="10980"/>
      </w:cols>
      <w:pgMar w:left="320" w:top="459"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2"/>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4"/>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6"/>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8"/>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1"/>
      <w:numFmt w:val="decimal"/>
      <w:start w:val="10"/>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1"/>
      <w:numFmt w:val="decimal"/>
      <w:start w:val="12"/>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1"/>
      <w:numFmt w:val="decimal"/>
      <w:start w:val="14"/>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1"/>
      <w:numFmt w:val="decimal"/>
      <w:start w:val="16"/>
    </w:lvl>
  </w:abstractNum>
  <w:abstractNum w:abstractNumId="35">
    <w:nsid w:val="68EBC550"/>
    <w:multiLevelType w:val="hybridMultilevel"/>
    <w:lvl w:ilvl="0">
      <w:lvlJc w:val="left"/>
      <w:lvlText w:val="(%1)"/>
      <w:numFmt w:val="lowerRoman"/>
      <w:start w:val="2"/>
    </w:lvl>
  </w:abstractNum>
  <w:abstractNum w:abstractNumId="36">
    <w:nsid w:val="2DF6D648"/>
    <w:multiLevelType w:val="hybridMultilevel"/>
    <w:lvl w:ilvl="0">
      <w:lvlJc w:val="left"/>
      <w:lvlText w:val="%1"/>
      <w:numFmt w:val="decimal"/>
      <w:start w:val="18"/>
    </w:lvl>
  </w:abstractNum>
  <w:abstractNum w:abstractNumId="37">
    <w:nsid w:val="46B7D447"/>
    <w:multiLevelType w:val="hybridMultilevel"/>
    <w:lvl w:ilvl="0">
      <w:lvlJc w:val="left"/>
      <w:lvlText w:val="%1"/>
      <w:numFmt w:val="decimal"/>
      <w:start w:val="20"/>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1"/>
      <w:numFmt w:val="decimal"/>
      <w:start w:val="22"/>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1"/>
      <w:numFmt w:val="decimal"/>
      <w:start w:val="24"/>
    </w:lvl>
  </w:abstractNum>
  <w:abstractNum w:abstractNumId="54">
    <w:nsid w:val="6FC75AF8"/>
    <w:multiLevelType w:val="hybridMultilevel"/>
    <w:lvl w:ilvl="0">
      <w:lvlJc w:val="left"/>
      <w:lvlText w:val="(%1)"/>
      <w:numFmt w:val="lowerRoman"/>
      <w:start w:val="1"/>
    </w:lvl>
  </w:abstractNum>
  <w:abstractNum w:abstractNumId="55">
    <w:nsid w:val="6A5F7029"/>
    <w:multiLevelType w:val="hybridMultilevel"/>
    <w:lvl w:ilvl="0">
      <w:lvlJc w:val="left"/>
      <w:lvlText w:val="(%1)"/>
      <w:numFmt w:val="lowerRoman"/>
      <w:start w:val="4"/>
    </w:lvl>
  </w:abstractNum>
  <w:abstractNum w:abstractNumId="56">
    <w:nsid w:val="7D5E18F8"/>
    <w:multiLevelType w:val="hybridMultilevel"/>
    <w:lvl w:ilvl="0">
      <w:lvlJc w:val="left"/>
      <w:lvlText w:val="%1"/>
      <w:numFmt w:val="decimal"/>
      <w:start w:val="26"/>
    </w:lvl>
  </w:abstractNum>
  <w:abstractNum w:abstractNumId="57">
    <w:nsid w:val="5F3534A4"/>
    <w:multiLevelType w:val="hybridMultilevel"/>
    <w:lvl w:ilvl="0">
      <w:lvlJc w:val="left"/>
      <w:lvlText w:val="(%1)"/>
      <w:numFmt w:val="decimal"/>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1"/>
      <w:numFmt w:val="decimal"/>
      <w:start w:val="28"/>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1)"/>
      <w:numFmt w:val="decimal"/>
      <w:start w:val="1"/>
    </w:lvl>
  </w:abstractNum>
  <w:abstractNum w:abstractNumId="62">
    <w:nsid w:val="14FCE74E"/>
    <w:multiLevelType w:val="hybridMultilevel"/>
    <w:lvl w:ilvl="0">
      <w:lvlJc w:val="left"/>
      <w:lvlText w:val="%1"/>
      <w:numFmt w:val="decimal"/>
      <w:start w:val="30"/>
    </w:lvl>
  </w:abstractNum>
  <w:abstractNum w:abstractNumId="63">
    <w:nsid w:val="6A3DD3E8"/>
    <w:multiLevelType w:val="hybridMultilevel"/>
    <w:lvl w:ilvl="0">
      <w:lvlJc w:val="left"/>
      <w:lvlText w:val="(%1)"/>
      <w:numFmt w:val="decimal"/>
      <w:start w:val="17"/>
    </w:lvl>
  </w:abstractNum>
  <w:abstractNum w:abstractNumId="64">
    <w:nsid w:val="71C91298"/>
    <w:multiLevelType w:val="hybridMultilevel"/>
    <w:lvl w:ilvl="0">
      <w:lvlJc w:val="left"/>
      <w:lvlText w:val="%1"/>
      <w:numFmt w:val="decimal"/>
      <w:start w:val="32"/>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1"/>
      <w:numFmt w:val="decimal"/>
      <w:start w:val="34"/>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1"/>
      <w:numFmt w:val="decimal"/>
      <w:start w:val="36"/>
    </w:lvl>
  </w:abstractNum>
  <w:abstractNum w:abstractNumId="74">
    <w:nsid w:val="97E1B4E"/>
    <w:multiLevelType w:val="hybridMultilevel"/>
    <w:lvl w:ilvl="0">
      <w:lvlJc w:val="left"/>
      <w:lvlText w:val="%1."/>
      <w:numFmt w:val="decimal"/>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1)"/>
      <w:numFmt w:val="lowerRoman"/>
      <w:start w:val="1"/>
    </w:lvl>
  </w:abstractNum>
  <w:abstractNum w:abstractNumId="77">
    <w:nsid w:val="53584BCB"/>
    <w:multiLevelType w:val="hybridMultilevel"/>
    <w:lvl w:ilvl="0">
      <w:lvlJc w:val="left"/>
      <w:lvlText w:val="%1"/>
      <w:numFmt w:val="decimal"/>
      <w:start w:val="38"/>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1"/>
      <w:numFmt w:val="decimal"/>
      <w:start w:val="40"/>
    </w:lvl>
  </w:abstractNum>
  <w:abstractNum w:abstractNumId="81">
    <w:nsid w:val="45E6D486"/>
    <w:multiLevelType w:val="hybridMultilevel"/>
    <w:lvl w:ilvl="0">
      <w:lvlJc w:val="left"/>
      <w:lvlText w:val="(%1)"/>
      <w:numFmt w:val="decimal"/>
      <w:start w:val="1"/>
    </w:lvl>
  </w:abstractNum>
  <w:abstractNum w:abstractNumId="82">
    <w:nsid w:val="5C10FE21"/>
    <w:multiLevelType w:val="hybridMultilevel"/>
    <w:lvl w:ilvl="0">
      <w:lvlJc w:val="left"/>
      <w:lvlText w:val="%1"/>
      <w:numFmt w:val="decimal"/>
      <w:start w:val="42"/>
    </w:lvl>
  </w:abstractNum>
  <w:abstractNum w:abstractNumId="83">
    <w:nsid w:val="E7FFA2B"/>
    <w:multiLevelType w:val="hybridMultilevel"/>
    <w:lvl w:ilvl="0">
      <w:lvlJc w:val="left"/>
      <w:lvlText w:val="\emdash "/>
      <w:numFmt w:val="bullet"/>
      <w:start w:val="1"/>
    </w:lvl>
  </w:abstractNum>
  <w:abstractNum w:abstractNumId="84">
    <w:nsid w:val="3C5991AA"/>
    <w:multiLevelType w:val="hybridMultilevel"/>
    <w:lvl w:ilvl="0">
      <w:lvlJc w:val="left"/>
      <w:lvlText w:val="(%1)"/>
      <w:numFmt w:val="decimal"/>
      <w:start w:val="1"/>
    </w:lvl>
  </w:abstractNum>
  <w:abstractNum w:abstractNumId="85">
    <w:nsid w:val="4BD8591A"/>
    <w:multiLevelType w:val="hybridMultilevel"/>
    <w:lvl w:ilvl="0">
      <w:lvlJc w:val="left"/>
      <w:lvlText w:val="%1"/>
      <w:numFmt w:val="decimal"/>
      <w:start w:val="44"/>
    </w:lvl>
  </w:abstractNum>
  <w:abstractNum w:abstractNumId="86">
    <w:nsid w:val="78DF6A55"/>
    <w:multiLevelType w:val="hybridMultilevel"/>
    <w:lvl w:ilvl="0">
      <w:lvlJc w:val="left"/>
      <w:lvlText w:val="(%1)"/>
      <w:numFmt w:val="lowerRoman"/>
      <w:start w:val="3"/>
    </w:lvl>
  </w:abstractNum>
  <w:abstractNum w:abstractNumId="87">
    <w:nsid w:val="39B7AAA2"/>
    <w:multiLevelType w:val="hybridMultilevel"/>
    <w:lvl w:ilvl="0">
      <w:lvlJc w:val="left"/>
      <w:lvlText w:val="%1"/>
      <w:numFmt w:val="decimal"/>
      <w:start w:val="46"/>
    </w:lvl>
  </w:abstractNum>
  <w:abstractNum w:abstractNumId="88">
    <w:nsid w:val="2B0D8DBE"/>
    <w:multiLevelType w:val="hybridMultilevel"/>
    <w:lvl w:ilvl="0">
      <w:lvlJc w:val="left"/>
      <w:lvlText w:val="\emdash "/>
      <w:numFmt w:val="bullet"/>
      <w:start w:val="1"/>
    </w:lvl>
  </w:abstractNum>
  <w:abstractNum w:abstractNumId="89">
    <w:nsid w:val="6C80EC70"/>
    <w:multiLevelType w:val="hybridMultilevel"/>
    <w:lvl w:ilvl="0">
      <w:lvlJc w:val="left"/>
      <w:lvlText w:val="%1"/>
      <w:numFmt w:val="decimal"/>
      <w:start w:val="48"/>
    </w:lvl>
  </w:abstractNum>
  <w:abstractNum w:abstractNumId="90">
    <w:nsid w:val="379E21B5"/>
    <w:multiLevelType w:val="hybridMultilevel"/>
    <w:lvl w:ilvl="0">
      <w:lvlJc w:val="left"/>
      <w:lvlText w:val="(%1)"/>
      <w:numFmt w:val="decimal"/>
      <w:start w:val="1"/>
    </w:lvl>
  </w:abstractNum>
  <w:abstractNum w:abstractNumId="91">
    <w:nsid w:val="69E373"/>
    <w:multiLevelType w:val="hybridMultilevel"/>
    <w:lvl w:ilvl="0">
      <w:lvlJc w:val="left"/>
      <w:lvlText w:val="(%1)"/>
      <w:numFmt w:val="decimal"/>
      <w:start w:val="2"/>
    </w:lvl>
  </w:abstractNum>
  <w:abstractNum w:abstractNumId="92">
    <w:nsid w:val="2C27173B"/>
    <w:multiLevelType w:val="hybridMultilevel"/>
    <w:lvl w:ilvl="0">
      <w:lvlJc w:val="left"/>
      <w:lvlText w:val="(%1)"/>
      <w:numFmt w:val="decimal"/>
      <w:start w:val="5"/>
    </w:lvl>
    <w:lvl w:ilvl="1">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1)"/>
      <w:numFmt w:val="lowerRoman"/>
      <w:start w:val="2"/>
    </w:lvl>
  </w:abstractNum>
  <w:abstractNum w:abstractNumId="95">
    <w:nsid w:val="1DF029D3"/>
    <w:multiLevelType w:val="hybridMultilevel"/>
    <w:lvl w:ilvl="0">
      <w:lvlJc w:val="left"/>
      <w:lvlText w:val="%1"/>
      <w:numFmt w:val="decimal"/>
      <w:start w:val="50"/>
    </w:lvl>
  </w:abstractNum>
  <w:abstractNum w:abstractNumId="96">
    <w:nsid w:val="5675FF36"/>
    <w:multiLevelType w:val="hybridMultilevel"/>
    <w:lvl w:ilvl="0">
      <w:lvlJc w:val="left"/>
      <w:lvlText w:val="(%1)"/>
      <w:numFmt w:val="decimal"/>
      <w:start w:val="1"/>
    </w:lvl>
  </w:abstractNum>
  <w:abstractNum w:abstractNumId="97">
    <w:nsid w:val="3DD15094"/>
    <w:multiLevelType w:val="hybridMultilevel"/>
    <w:lvl w:ilvl="0">
      <w:lvlJc w:val="left"/>
      <w:lvlText w:val="(%1)"/>
      <w:numFmt w:val="lowerRoman"/>
      <w:start w:val="2"/>
    </w:lvl>
  </w:abstractNum>
  <w:abstractNum w:abstractNumId="98">
    <w:nsid w:val="3DB012B3"/>
    <w:multiLevelType w:val="hybridMultilevel"/>
    <w:lvl w:ilvl="0">
      <w:lvlJc w:val="left"/>
      <w:lvlText w:val="%1"/>
      <w:numFmt w:val="decimal"/>
      <w:start w:val="52"/>
    </w:lvl>
  </w:abstractNum>
  <w:abstractNum w:abstractNumId="99">
    <w:nsid w:val="2708C9AF"/>
    <w:multiLevelType w:val="hybridMultilevel"/>
    <w:lvl w:ilvl="0">
      <w:lvlJc w:val="left"/>
      <w:lvlText w:val="(%1)"/>
      <w:numFmt w:val="decimal"/>
      <w:start w:val="1"/>
    </w:lvl>
  </w:abstractNum>
  <w:abstractNum w:abstractNumId="100">
    <w:nsid w:val="5B25ACE2"/>
    <w:multiLevelType w:val="hybridMultilevel"/>
    <w:lvl w:ilvl="0">
      <w:lvlJc w:val="left"/>
      <w:lvlText w:val="(%1)"/>
      <w:numFmt w:val="decimal"/>
      <w:start w:val="4"/>
    </w:lvl>
  </w:abstractNum>
  <w:abstractNum w:abstractNumId="101">
    <w:nsid w:val="175DFCF0"/>
    <w:multiLevelType w:val="hybridMultilevel"/>
    <w:lvl w:ilvl="0">
      <w:lvlJc w:val="left"/>
      <w:lvlText w:val="(%1)"/>
      <w:numFmt w:val="decimal"/>
      <w:start w:val="5"/>
    </w:lvl>
  </w:abstractNum>
  <w:abstractNum w:abstractNumId="102">
    <w:nsid w:val="4F97E3E4"/>
    <w:multiLevelType w:val="hybridMultilevel"/>
    <w:lvl w:ilvl="0">
      <w:lvlJc w:val="left"/>
      <w:lvlText w:val="%1"/>
      <w:numFmt w:val="decimal"/>
      <w:start w:val="54"/>
    </w:lvl>
  </w:abstractNum>
  <w:abstractNum w:abstractNumId="103">
    <w:nsid w:val="53B0A9E"/>
    <w:multiLevelType w:val="hybridMultilevel"/>
    <w:lvl w:ilvl="0">
      <w:lvlJc w:val="left"/>
      <w:lvlText w:val="(%1)"/>
      <w:numFmt w:val="decimal"/>
      <w:start w:val="1"/>
    </w:lvl>
  </w:abstractNum>
  <w:abstractNum w:abstractNumId="104">
    <w:nsid w:val="34FD6B4F"/>
    <w:multiLevelType w:val="hybridMultilevel"/>
    <w:lvl w:ilvl="0">
      <w:lvlJc w:val="left"/>
      <w:lvlText w:val="(%1)"/>
      <w:numFmt w:val="decimal"/>
      <w:start w:val="2"/>
    </w:lvl>
  </w:abstractNum>
  <w:abstractNum w:abstractNumId="105">
    <w:nsid w:val="5915FF32"/>
    <w:multiLevelType w:val="hybridMultilevel"/>
    <w:lvl w:ilvl="0">
      <w:lvlJc w:val="left"/>
      <w:lvlText w:val="(%1)"/>
      <w:numFmt w:val="decimal"/>
      <w:start w:val="1"/>
    </w:lvl>
  </w:abstractNum>
  <w:abstractNum w:abstractNumId="106">
    <w:nsid w:val="56438D15"/>
    <w:multiLevelType w:val="hybridMultilevel"/>
    <w:lvl w:ilvl="0">
      <w:lvlJc w:val="left"/>
      <w:lvlText w:val="%1"/>
      <w:numFmt w:val="decimal"/>
      <w:start w:val="56"/>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1)"/>
      <w:numFmt w:val="lowerRoman"/>
      <w:start w:val="1"/>
    </w:lvl>
  </w:abstractNum>
  <w:abstractNum w:abstractNumId="109">
    <w:nsid w:val="17A1B582"/>
    <w:multiLevelType w:val="hybridMultilevel"/>
    <w:lvl w:ilvl="0">
      <w:lvlJc w:val="left"/>
      <w:lvlText w:val="(%1)"/>
      <w:numFmt w:val="decimal"/>
      <w:start w:val="1"/>
    </w:lvl>
  </w:abstractNum>
  <w:abstractNum w:abstractNumId="110">
    <w:nsid w:val="4DF72E4E"/>
    <w:multiLevelType w:val="hybridMultilevel"/>
    <w:lvl w:ilvl="0">
      <w:lvlJc w:val="left"/>
      <w:lvlText w:val="%1"/>
      <w:numFmt w:val="decimal"/>
      <w:start w:val="58"/>
    </w:lvl>
  </w:abstractNum>
  <w:abstractNum w:abstractNumId="111">
    <w:nsid w:val="5046B5A9"/>
    <w:multiLevelType w:val="hybridMultilevel"/>
    <w:lvl w:ilvl="0">
      <w:lvlJc w:val="left"/>
      <w:lvlText w:val="(%1)"/>
      <w:numFmt w:val="decimal"/>
      <w:start w:val="1"/>
    </w:lvl>
  </w:abstractNum>
  <w:abstractNum w:abstractNumId="112">
    <w:nsid w:val="5D888A08"/>
    <w:multiLevelType w:val="hybridMultilevel"/>
    <w:lvl w:ilvl="0">
      <w:lvlJc w:val="left"/>
      <w:lvlText w:val="%1"/>
      <w:numFmt w:val="decimal"/>
      <w:start w:val="60"/>
    </w:lvl>
  </w:abstractNum>
  <w:abstractNum w:abstractNumId="113">
    <w:nsid w:val="2A082C70"/>
    <w:multiLevelType w:val="hybridMultilevel"/>
    <w:lvl w:ilvl="0">
      <w:lvlJc w:val="left"/>
      <w:lvlText w:val="(%1)"/>
      <w:numFmt w:val="decimal"/>
      <w:start w:val="2"/>
    </w:lvl>
  </w:abstractNum>
  <w:abstractNum w:abstractNumId="114">
    <w:nsid w:val="5EC6AFD4"/>
    <w:multiLevelType w:val="hybridMultilevel"/>
    <w:lvl w:ilvl="0">
      <w:lvlJc w:val="left"/>
      <w:lvlText w:val="%1"/>
      <w:numFmt w:val="decimal"/>
      <w:start w:val="62"/>
    </w:lvl>
  </w:abstractNum>
  <w:abstractNum w:abstractNumId="115">
    <w:nsid w:val="19E21BB2"/>
    <w:multiLevelType w:val="hybridMultilevel"/>
    <w:lvl w:ilvl="0">
      <w:lvlJc w:val="left"/>
      <w:lvlText w:val="(%1)"/>
      <w:numFmt w:val="lowerRoman"/>
      <w:start w:val="2"/>
    </w:lvl>
  </w:abstractNum>
  <w:abstractNum w:abstractNumId="116">
    <w:nsid w:val="75E0858A"/>
    <w:multiLevelType w:val="hybridMultilevel"/>
    <w:lvl w:ilvl="0">
      <w:lvlJc w:val="left"/>
      <w:lvlText w:val="•"/>
      <w:numFmt w:val="bullet"/>
      <w:start w:val="1"/>
    </w:lvl>
  </w:abstractNum>
  <w:abstractNum w:abstractNumId="117">
    <w:nsid w:val="57A61A29"/>
    <w:multiLevelType w:val="hybridMultilevel"/>
    <w:lvl w:ilvl="0">
      <w:lvlJc w:val="left"/>
      <w:lvlText w:val="•"/>
      <w:numFmt w:val="bullet"/>
      <w:start w:val="1"/>
    </w:lvl>
  </w:abstractNum>
  <w:abstractNum w:abstractNumId="118">
    <w:nsid w:val="5399C654"/>
    <w:multiLevelType w:val="hybridMultilevel"/>
    <w:lvl w:ilvl="0">
      <w:lvlJc w:val="left"/>
      <w:lvlText w:val="•"/>
      <w:numFmt w:val="bullet"/>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1."/>
      <w:numFmt w:val="decimal"/>
      <w:start w:val="1"/>
    </w:lvl>
    <w:lvl w:ilvl="1">
      <w:lvlJc w:val="left"/>
      <w:lvlText w:val="%2)"/>
      <w:numFmt w:val="lowerRoman"/>
      <w:start w:val="1"/>
    </w:lvl>
  </w:abstractNum>
  <w:abstractNum w:abstractNumId="122">
    <w:nsid w:val="2157F6BC"/>
    <w:multiLevelType w:val="hybridMultilevel"/>
    <w:lvl w:ilvl="0">
      <w:lvlJc w:val="left"/>
      <w:lvlText w:val="%1"/>
      <w:numFmt w:val="decimal"/>
      <w:start w:val="64"/>
    </w:lvl>
  </w:abstractNum>
  <w:abstractNum w:abstractNumId="123">
    <w:nsid w:val="704E1DD5"/>
    <w:multiLevelType w:val="hybridMultilevel"/>
    <w:lvl w:ilvl="0">
      <w:lvlJc w:val="left"/>
      <w:lvlText w:val="%1)"/>
      <w:numFmt w:val="lowerRoman"/>
      <w:start w:val="2"/>
    </w:lvl>
  </w:abstractNum>
  <w:abstractNum w:abstractNumId="124">
    <w:nsid w:val="57D2F10E"/>
    <w:multiLevelType w:val="hybridMultilevel"/>
    <w:lvl w:ilvl="0">
      <w:lvlJc w:val="left"/>
      <w:lvlText w:val="%1."/>
      <w:numFmt w:val="decimal"/>
      <w:start w:val="2"/>
    </w:lvl>
  </w:abstractNum>
  <w:abstractNum w:abstractNumId="125">
    <w:nsid w:val="BFFAE18"/>
    <w:multiLevelType w:val="hybridMultilevel"/>
    <w:lvl w:ilvl="0">
      <w:lvlJc w:val="left"/>
      <w:lvlText w:val="•"/>
      <w:numFmt w:val="bullet"/>
      <w:start w:val="1"/>
    </w:lvl>
  </w:abstractNum>
  <w:abstractNum w:abstractNumId="126">
    <w:nsid w:val="E3E47A8"/>
    <w:multiLevelType w:val="hybridMultilevel"/>
    <w:lvl w:ilvl="0">
      <w:lvlJc w:val="left"/>
      <w:lvlText w:val="•"/>
      <w:numFmt w:val="bullet"/>
      <w:start w:val="1"/>
    </w:lvl>
  </w:abstractNum>
  <w:abstractNum w:abstractNumId="127">
    <w:nsid w:val="2E48F044"/>
    <w:multiLevelType w:val="hybridMultilevel"/>
    <w:lvl w:ilvl="0">
      <w:lvlJc w:val="left"/>
      <w:lvlText w:val="%1"/>
      <w:numFmt w:val="decimal"/>
      <w:start w:val="66"/>
    </w:lvl>
  </w:abstractNum>
  <w:abstractNum w:abstractNumId="128">
    <w:nsid w:val="49D0FEAC"/>
    <w:multiLevelType w:val="hybridMultilevel"/>
    <w:lvl w:ilvl="0">
      <w:lvlJc w:val="left"/>
      <w:lvlText w:val="%1"/>
      <w:numFmt w:val="decimal"/>
      <w:start w:val="68"/>
    </w:lvl>
  </w:abstractNum>
  <w:abstractNum w:abstractNumId="129">
    <w:nsid w:val="4BEE5A5B"/>
    <w:multiLevelType w:val="hybridMultilevel"/>
    <w:lvl w:ilvl="0">
      <w:lvlJc w:val="left"/>
      <w:lvlText w:val="(%1)"/>
      <w:numFmt w:val="decimal"/>
      <w:start w:val="1"/>
    </w:lvl>
  </w:abstractNum>
  <w:abstractNum w:abstractNumId="130">
    <w:nsid w:val="5551B9F3"/>
    <w:multiLevelType w:val="hybridMultilevel"/>
    <w:lvl w:ilvl="0">
      <w:lvlJc w:val="left"/>
      <w:lvlText w:val="%1"/>
      <w:numFmt w:val="decimal"/>
      <w:start w:val="70"/>
    </w:lvl>
  </w:abstractNum>
  <w:abstractNum w:abstractNumId="131">
    <w:nsid w:val="24F6AB8E"/>
    <w:multiLevelType w:val="hybridMultilevel"/>
    <w:lvl w:ilvl="0">
      <w:lvlJc w:val="left"/>
      <w:lvlText w:val="(%1)"/>
      <w:numFmt w:val="lowerRoman"/>
      <w:start w:val="2"/>
    </w:lvl>
  </w:abstractNum>
  <w:abstractNum w:abstractNumId="132">
    <w:nsid w:val="634C574C"/>
    <w:multiLevelType w:val="hybridMultilevel"/>
    <w:lvl w:ilvl="0">
      <w:lvlJc w:val="left"/>
      <w:lvlText w:val="%1"/>
      <w:numFmt w:val="decimal"/>
      <w:start w:val="72"/>
    </w:lvl>
  </w:abstractNum>
  <w:abstractNum w:abstractNumId="133">
    <w:nsid w:val="24E99DD7"/>
    <w:multiLevelType w:val="hybridMultilevel"/>
    <w:lvl w:ilvl="0">
      <w:lvlJc w:val="left"/>
      <w:lvlText w:val="%1"/>
      <w:numFmt w:val="decimal"/>
      <w:start w:val="74"/>
    </w:lvl>
  </w:abstractNum>
  <w:abstractNum w:abstractNumId="134">
    <w:nsid w:val="2A31B62D"/>
    <w:multiLevelType w:val="hybridMultilevel"/>
    <w:lvl w:ilvl="0">
      <w:lvlJc w:val="left"/>
      <w:lvlText w:val="%1."/>
      <w:numFmt w:val="decimal"/>
      <w:start w:val="1"/>
    </w:lvl>
  </w:abstractNum>
  <w:abstractNum w:abstractNumId="135">
    <w:nsid w:val="1849C29B"/>
    <w:multiLevelType w:val="hybridMultilevel"/>
    <w:lvl w:ilvl="0">
      <w:lvlJc w:val="left"/>
      <w:lvlText w:val="%1."/>
      <w:numFmt w:val="decimal"/>
      <w:start w:val="4"/>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1."/>
      <w:numFmt w:val="decimal"/>
      <w:start w:val="3"/>
    </w:lvl>
  </w:abstractNum>
  <w:abstractNum w:abstractNumId="138">
    <w:nsid w:val="69E7F3E5"/>
    <w:multiLevelType w:val="hybridMultilevel"/>
    <w:lvl w:ilvl="0">
      <w:lvlJc w:val="left"/>
      <w:lvlText w:val="•"/>
      <w:numFmt w:val="bullet"/>
      <w:start w:val="1"/>
    </w:lvl>
  </w:abstractNum>
  <w:abstractNum w:abstractNumId="139">
    <w:nsid w:val="2A6DE806"/>
    <w:multiLevelType w:val="hybridMultilevel"/>
    <w:lvl w:ilvl="0">
      <w:lvlJc w:val="left"/>
      <w:lvlText w:val="%1"/>
      <w:numFmt w:val="decimal"/>
      <w:start w:val="76"/>
    </w:lvl>
  </w:abstractNum>
  <w:abstractNum w:abstractNumId="140">
    <w:nsid w:val="1816F8C4"/>
    <w:multiLevelType w:val="hybridMultilevel"/>
    <w:lvl w:ilvl="0">
      <w:lvlJc w:val="left"/>
      <w:lvlText w:val="%1"/>
      <w:numFmt w:val="decimal"/>
      <w:start w:val="78"/>
    </w:lvl>
  </w:abstractNum>
  <w:abstractNum w:abstractNumId="141">
    <w:nsid w:val="37DF2233"/>
    <w:multiLevelType w:val="hybridMultilevel"/>
    <w:lvl w:ilvl="0">
      <w:lvlJc w:val="left"/>
      <w:lvlText w:val="%1"/>
      <w:numFmt w:val="decimal"/>
      <w:start w:val="80"/>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2022-04-04T15:19:17Z</dcterms:created>
  <dcterms:modified xsi:type="dcterms:W3CDTF">2022-04-04T15:19:17Z</dcterms:modified>
</cp:coreProperties>
</file>